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706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706B2" w:rsidP="00E706B2">
            <w:pPr>
              <w:jc w:val="right"/>
            </w:pPr>
            <w:r w:rsidRPr="00E706B2">
              <w:rPr>
                <w:sz w:val="40"/>
              </w:rPr>
              <w:t>ECE</w:t>
            </w:r>
            <w:r>
              <w:t>/TRANS/WP.15/AC.1/2019/16</w:t>
            </w:r>
          </w:p>
        </w:tc>
      </w:tr>
      <w:tr w:rsidR="002D5AAC" w:rsidRPr="000E191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706B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706B2" w:rsidRDefault="00E706B2" w:rsidP="00E706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December 2018</w:t>
            </w:r>
          </w:p>
          <w:p w:rsidR="00E706B2" w:rsidRDefault="00E706B2" w:rsidP="00E706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706B2" w:rsidRPr="008D53B6" w:rsidRDefault="00E706B2" w:rsidP="00E706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E706B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706B2" w:rsidRPr="0089421D" w:rsidRDefault="00E706B2" w:rsidP="00E706B2">
      <w:pPr>
        <w:spacing w:before="120"/>
        <w:rPr>
          <w:sz w:val="28"/>
          <w:szCs w:val="28"/>
        </w:rPr>
      </w:pPr>
      <w:r w:rsidRPr="0089421D">
        <w:rPr>
          <w:sz w:val="28"/>
          <w:szCs w:val="28"/>
        </w:rPr>
        <w:t>Комитет по внутреннему транспорту</w:t>
      </w:r>
    </w:p>
    <w:p w:rsidR="00E706B2" w:rsidRPr="0089421D" w:rsidRDefault="00E706B2" w:rsidP="00E706B2">
      <w:pPr>
        <w:spacing w:before="120" w:after="120"/>
        <w:rPr>
          <w:b/>
          <w:sz w:val="24"/>
          <w:szCs w:val="24"/>
        </w:rPr>
      </w:pPr>
      <w:r w:rsidRPr="0089421D">
        <w:rPr>
          <w:b/>
          <w:bCs/>
          <w:sz w:val="24"/>
          <w:szCs w:val="24"/>
        </w:rPr>
        <w:t>Рабочая группа по перевозкам опасных грузов</w:t>
      </w:r>
    </w:p>
    <w:p w:rsidR="00E706B2" w:rsidRPr="0089421D" w:rsidRDefault="00E706B2" w:rsidP="00E706B2">
      <w:pPr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</w:t>
      </w:r>
      <w:r w:rsidRPr="00E706B2">
        <w:rPr>
          <w:b/>
          <w:bCs/>
        </w:rPr>
        <w:t xml:space="preserve"> </w:t>
      </w:r>
      <w:r>
        <w:rPr>
          <w:b/>
          <w:bCs/>
        </w:rPr>
        <w:t>Рабочей группы по перевозкам опасных грузов</w:t>
      </w:r>
    </w:p>
    <w:p w:rsidR="00E706B2" w:rsidRPr="0089421D" w:rsidRDefault="00E706B2" w:rsidP="00E706B2">
      <w:r>
        <w:t>Берн, 18–22 марта 2019 года</w:t>
      </w:r>
    </w:p>
    <w:p w:rsidR="00E706B2" w:rsidRPr="0089421D" w:rsidRDefault="00E706B2" w:rsidP="00E706B2">
      <w:r>
        <w:t>Пункт 5 a) предварительной повестки дня</w:t>
      </w:r>
    </w:p>
    <w:p w:rsidR="00E12C5F" w:rsidRDefault="00E706B2" w:rsidP="00E706B2">
      <w:pPr>
        <w:spacing w:line="240" w:lineRule="auto"/>
      </w:pPr>
      <w:r>
        <w:rPr>
          <w:b/>
          <w:bCs/>
        </w:rPr>
        <w:t>Предложения о внесении поправок в МПОГ/ДОПОГ/ВОПОГ:</w:t>
      </w:r>
      <w:r>
        <w:rPr>
          <w:b/>
          <w:bCs/>
        </w:rPr>
        <w:br/>
        <w:t>нерассмотренные вопросы</w:t>
      </w:r>
    </w:p>
    <w:p w:rsidR="00E706B2" w:rsidRPr="0089421D" w:rsidRDefault="00E706B2" w:rsidP="00E706B2">
      <w:pPr>
        <w:pStyle w:val="HChG"/>
      </w:pPr>
      <w:r>
        <w:tab/>
      </w:r>
      <w:r>
        <w:tab/>
        <w:t>№ ООН 1010 Бутадиены, стабилизированные</w:t>
      </w:r>
    </w:p>
    <w:p w:rsidR="00E706B2" w:rsidRPr="000E191E" w:rsidRDefault="00E706B2" w:rsidP="00E706B2">
      <w:pPr>
        <w:pStyle w:val="H1G"/>
      </w:pPr>
      <w:r>
        <w:tab/>
      </w:r>
      <w:r>
        <w:tab/>
        <w:t>Передано правительством Испании</w:t>
      </w:r>
      <w:r w:rsidRPr="00E706B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0E191E">
        <w:rPr>
          <w:b w:val="0"/>
          <w:sz w:val="20"/>
        </w:rPr>
        <w:t xml:space="preserve"> </w:t>
      </w:r>
      <w:r w:rsidRPr="000E191E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E706B2" w:rsidRPr="00E706B2" w:rsidTr="00DC4D3E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E706B2" w:rsidRPr="00E706B2" w:rsidRDefault="00E706B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706B2">
              <w:rPr>
                <w:rFonts w:cs="Times New Roman"/>
              </w:rPr>
              <w:tab/>
            </w:r>
            <w:r w:rsidRPr="00E706B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706B2" w:rsidRPr="00E706B2" w:rsidTr="00DC4D3E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E706B2" w:rsidRDefault="00E706B2" w:rsidP="00E706B2">
            <w:pPr>
              <w:pStyle w:val="SingleTxtG"/>
              <w:tabs>
                <w:tab w:val="left" w:pos="3676"/>
              </w:tabs>
              <w:ind w:left="3676" w:hanging="2542"/>
            </w:pPr>
            <w:r w:rsidRPr="00E706B2">
              <w:rPr>
                <w:b/>
                <w:bCs/>
              </w:rPr>
              <w:t>Существо предложения:</w:t>
            </w:r>
            <w:r w:rsidRPr="00E706B2">
              <w:t xml:space="preserve"> </w:t>
            </w:r>
            <w:r w:rsidRPr="00E706B2">
              <w:tab/>
              <w:t>Согласование наименования и описания позиции под</w:t>
            </w:r>
            <w:r>
              <w:rPr>
                <w:lang w:val="en-US"/>
              </w:rPr>
              <w:t> </w:t>
            </w:r>
            <w:r w:rsidRPr="00E706B2">
              <w:t>№</w:t>
            </w:r>
            <w:r>
              <w:rPr>
                <w:lang w:val="en-US"/>
              </w:rPr>
              <w:t> </w:t>
            </w:r>
            <w:r w:rsidRPr="00E706B2">
              <w:t>ООН 1010, содержащихся в МПОГ/ДОПОГ, с формулировками, содержащимися в Типовых правилах ООН.</w:t>
            </w:r>
          </w:p>
          <w:p w:rsidR="00E706B2" w:rsidRDefault="00E706B2" w:rsidP="00E706B2">
            <w:pPr>
              <w:pStyle w:val="SingleTxtG"/>
              <w:tabs>
                <w:tab w:val="left" w:pos="3676"/>
              </w:tabs>
              <w:ind w:left="3676" w:hanging="2542"/>
            </w:pPr>
            <w:r w:rsidRPr="00E706B2">
              <w:rPr>
                <w:b/>
                <w:bCs/>
              </w:rPr>
              <w:t>Предлагаемое решение:</w:t>
            </w:r>
            <w:r>
              <w:rPr>
                <w:b/>
                <w:bCs/>
              </w:rPr>
              <w:tab/>
            </w:r>
            <w:r w:rsidRPr="003A7D63">
              <w:rPr>
                <w:spacing w:val="-4"/>
              </w:rPr>
              <w:t>Изменить описание позиции под № ООН 1010 в таблице А</w:t>
            </w:r>
            <w:r w:rsidRPr="00E706B2">
              <w:t xml:space="preserve"> главы 3.2 МПОГ/ДОПОГ.</w:t>
            </w:r>
          </w:p>
          <w:p w:rsidR="00E706B2" w:rsidRPr="00E706B2" w:rsidRDefault="00E706B2" w:rsidP="00E706B2">
            <w:pPr>
              <w:pStyle w:val="SingleTxtG"/>
              <w:tabs>
                <w:tab w:val="left" w:pos="3676"/>
              </w:tabs>
              <w:spacing w:after="0"/>
              <w:ind w:left="3674" w:hanging="2540"/>
            </w:pPr>
            <w:r w:rsidRPr="00E706B2">
              <w:rPr>
                <w:b/>
                <w:bCs/>
              </w:rPr>
              <w:t>Справочные документы:</w:t>
            </w:r>
            <w:r>
              <w:rPr>
                <w:b/>
                <w:bCs/>
              </w:rPr>
              <w:tab/>
            </w:r>
            <w:r w:rsidRPr="00E706B2">
              <w:t>ECE/TRANS/WP.15/AC.1/2018/19</w:t>
            </w:r>
          </w:p>
          <w:p w:rsidR="00E706B2" w:rsidRPr="00E706B2" w:rsidRDefault="00E706B2" w:rsidP="00E706B2">
            <w:pPr>
              <w:pStyle w:val="SingleTxtG"/>
              <w:tabs>
                <w:tab w:val="left" w:pos="3676"/>
              </w:tabs>
              <w:spacing w:after="0"/>
              <w:ind w:left="3674" w:hanging="2540"/>
            </w:pPr>
            <w:r>
              <w:tab/>
            </w:r>
            <w:r w:rsidRPr="00E706B2">
              <w:t xml:space="preserve">Доклад Подкомитета по ПОГ 2003 года – </w:t>
            </w:r>
            <w:r w:rsidRPr="00DC4D3E">
              <w:rPr>
                <w:spacing w:val="-6"/>
              </w:rPr>
              <w:t>ST/SG/AC.10/C.3/46, пункты 13–14 (доклад Подкомитета</w:t>
            </w:r>
            <w:r w:rsidRPr="00E706B2">
              <w:t xml:space="preserve"> экспертов по перевозке опасных грузов, двадцать третья сессия) </w:t>
            </w:r>
          </w:p>
          <w:p w:rsidR="00E706B2" w:rsidRPr="00E706B2" w:rsidRDefault="00E706B2" w:rsidP="00E706B2">
            <w:pPr>
              <w:pStyle w:val="SingleTxtG"/>
              <w:tabs>
                <w:tab w:val="left" w:pos="3676"/>
              </w:tabs>
              <w:spacing w:after="0"/>
              <w:ind w:left="3674" w:hanging="2540"/>
              <w:rPr>
                <w:lang w:val="en-US"/>
              </w:rPr>
            </w:pPr>
            <w:r w:rsidRPr="00E706B2">
              <w:tab/>
            </w:r>
            <w:r w:rsidRPr="00E706B2">
              <w:rPr>
                <w:lang w:val="en-US"/>
              </w:rPr>
              <w:t>ST/SG/AC.10/C.3/2003/12 (</w:t>
            </w:r>
            <w:r w:rsidRPr="00E706B2">
              <w:t>ЕАПГ</w:t>
            </w:r>
            <w:r w:rsidRPr="00E706B2">
              <w:rPr>
                <w:lang w:val="en-US"/>
              </w:rPr>
              <w:t>)</w:t>
            </w:r>
          </w:p>
          <w:p w:rsidR="00E706B2" w:rsidRPr="00E706B2" w:rsidRDefault="00E706B2" w:rsidP="00E706B2">
            <w:pPr>
              <w:pStyle w:val="SingleTxtG"/>
              <w:tabs>
                <w:tab w:val="left" w:pos="3676"/>
              </w:tabs>
              <w:spacing w:after="0"/>
              <w:ind w:left="3674" w:hanging="2540"/>
            </w:pPr>
            <w:r w:rsidRPr="000E191E">
              <w:rPr>
                <w:lang w:val="en-US"/>
              </w:rPr>
              <w:tab/>
            </w:r>
            <w:r w:rsidRPr="00E706B2">
              <w:t>Неофициальный документ INF.37 двадцать третьей сессии Подкомитета экспертов (Рабочая группа по газам)</w:t>
            </w:r>
          </w:p>
          <w:p w:rsidR="00E706B2" w:rsidRDefault="00E706B2" w:rsidP="00E706B2">
            <w:pPr>
              <w:pStyle w:val="SingleTxtG"/>
              <w:tabs>
                <w:tab w:val="left" w:pos="3676"/>
              </w:tabs>
              <w:spacing w:after="0"/>
              <w:ind w:left="3674" w:hanging="2540"/>
            </w:pPr>
            <w:r w:rsidRPr="00E706B2">
              <w:t xml:space="preserve"> </w:t>
            </w:r>
            <w:r>
              <w:tab/>
            </w:r>
            <w:r w:rsidRPr="00E706B2">
              <w:t>TRANS/WP.15/AC.1/94, пункты 10–13</w:t>
            </w:r>
          </w:p>
          <w:p w:rsidR="00E706B2" w:rsidRPr="00E706B2" w:rsidRDefault="00E706B2" w:rsidP="00E706B2">
            <w:pPr>
              <w:pStyle w:val="SingleTxtG"/>
              <w:tabs>
                <w:tab w:val="left" w:pos="3676"/>
              </w:tabs>
              <w:ind w:left="3676" w:hanging="2542"/>
            </w:pPr>
            <w:r>
              <w:tab/>
            </w:r>
            <w:r w:rsidRPr="00E706B2">
              <w:t>Неофициальный документ INF.4 осенней сессии 2003</w:t>
            </w:r>
            <w:r>
              <w:rPr>
                <w:lang w:val="en-US"/>
              </w:rPr>
              <w:t> </w:t>
            </w:r>
            <w:r w:rsidRPr="00E706B2">
              <w:t>года Совместного совещания (МСЖД)</w:t>
            </w:r>
          </w:p>
        </w:tc>
      </w:tr>
      <w:tr w:rsidR="00E706B2" w:rsidRPr="00E706B2" w:rsidTr="00DC4D3E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E706B2" w:rsidRPr="00E706B2" w:rsidRDefault="00E706B2" w:rsidP="00850215">
            <w:pPr>
              <w:rPr>
                <w:rFonts w:cs="Times New Roman"/>
              </w:rPr>
            </w:pPr>
          </w:p>
        </w:tc>
      </w:tr>
    </w:tbl>
    <w:p w:rsidR="00DC4D3E" w:rsidRPr="0089421D" w:rsidRDefault="00DC4D3E" w:rsidP="00DC4D3E">
      <w:pPr>
        <w:pStyle w:val="HChG"/>
      </w:pPr>
      <w:r>
        <w:rPr>
          <w:bCs/>
        </w:rPr>
        <w:lastRenderedPageBreak/>
        <w:tab/>
      </w:r>
      <w:r>
        <w:rPr>
          <w:bCs/>
        </w:rPr>
        <w:tab/>
        <w:t>Общая информация</w:t>
      </w:r>
    </w:p>
    <w:p w:rsidR="00DC4D3E" w:rsidRPr="0089421D" w:rsidRDefault="00DC4D3E" w:rsidP="00DC4D3E">
      <w:pPr>
        <w:pStyle w:val="SingleTxtG"/>
      </w:pPr>
      <w:proofErr w:type="gramStart"/>
      <w:r>
        <w:t>1.</w:t>
      </w:r>
      <w:r>
        <w:tab/>
        <w:t>В</w:t>
      </w:r>
      <w:proofErr w:type="gramEnd"/>
      <w:r>
        <w:t xml:space="preserve"> ходе сессии, проходившей в сентябре 2018 года, делегат от Испании обратила внимание Совместного совещания (в документе ECE/TRANS/WP.15/AC.1/2018/19) на существующие расхождения в наименовании и описании позиции под № ООН 1010 в Типовых правилах ООН и в МПОГ/ДОПОГ на всех языках.</w:t>
      </w:r>
    </w:p>
    <w:p w:rsidR="00DC4D3E" w:rsidRPr="0089421D" w:rsidRDefault="00DC4D3E" w:rsidP="00DC4D3E">
      <w:pPr>
        <w:pStyle w:val="SingleTxtG"/>
      </w:pPr>
      <w:r>
        <w:t>2.</w:t>
      </w:r>
      <w:r>
        <w:tab/>
        <w:t>В Типовых правилах позиция под № ООН 1010 гласит следующее:</w:t>
      </w:r>
    </w:p>
    <w:p w:rsidR="00DC4D3E" w:rsidRPr="0089421D" w:rsidRDefault="00DC4D3E" w:rsidP="00DC4D3E">
      <w:pPr>
        <w:pStyle w:val="SingleTxtG"/>
      </w:pPr>
      <w:r>
        <w:t>«</w:t>
      </w:r>
      <w:r w:rsidR="003A7D63">
        <w:t xml:space="preserve">№ ООН </w:t>
      </w:r>
      <w:r>
        <w:t>1010 БУТАДИЕНЫ, СТАБИЛИЗИРОВАННЫЕ или БУТАДИЕНОВ И УГЛЕВОДОРОДА СМЕСЬ, СТАБИЛИЗИРОВАННАЯ, содержащая более 40% бутадиенов».</w:t>
      </w:r>
    </w:p>
    <w:p w:rsidR="00DC4D3E" w:rsidRPr="0089421D" w:rsidRDefault="00DC4D3E" w:rsidP="00DC4D3E">
      <w:pPr>
        <w:pStyle w:val="SingleTxtG"/>
      </w:pPr>
      <w:proofErr w:type="gramStart"/>
      <w:r>
        <w:t>3.</w:t>
      </w:r>
      <w:r>
        <w:tab/>
        <w:t>В</w:t>
      </w:r>
      <w:proofErr w:type="gramEnd"/>
      <w:r>
        <w:t xml:space="preserve"> то же время соответствующая позиция в МПОГ/ДОПОГ гласит следующее:</w:t>
      </w:r>
    </w:p>
    <w:p w:rsidR="00DC4D3E" w:rsidRPr="0089421D" w:rsidRDefault="00DC4D3E" w:rsidP="00DC4D3E">
      <w:pPr>
        <w:pStyle w:val="SingleTxtG"/>
      </w:pPr>
      <w:r>
        <w:t>«</w:t>
      </w:r>
      <w:r w:rsidR="003A7D63">
        <w:t xml:space="preserve">№ ООН </w:t>
      </w:r>
      <w:r>
        <w:t>1010 БУТАДИЕНЫ СТАБИЛИЗИРОВАННЫЕ или БУТАДИЕНОВ И УГЛЕВОДОРОДА СМЕСЬ СТАБИЛИЗИРОВАННАЯ, имеющая при 70 °С давление паров, не превышающее 1,1 МПа (11 бар), и имеющая при 50 °С плотность не менее 0,525 кг/л».</w:t>
      </w:r>
    </w:p>
    <w:p w:rsidR="00DC4D3E" w:rsidRPr="00EC7180" w:rsidRDefault="00DC4D3E" w:rsidP="00DC4D3E">
      <w:pPr>
        <w:pStyle w:val="SingleTxtG"/>
      </w:pPr>
      <w:r>
        <w:t>4.</w:t>
      </w:r>
      <w:r>
        <w:tab/>
        <w:t>Эти две формулировки не являются эквивалентными, и под № ООН 1010 могут перевозиться явно отличающиеся вещества, если исходить из описания, используемого в Типовых правилах, а не описания, содержащегося в МПОГ/ДОПОГ.</w:t>
      </w:r>
    </w:p>
    <w:p w:rsidR="00DC4D3E" w:rsidRPr="00EC7180" w:rsidRDefault="00DC4D3E" w:rsidP="00DC4D3E">
      <w:pPr>
        <w:pStyle w:val="SingleTxtG"/>
      </w:pPr>
      <w:r>
        <w:t>5.</w:t>
      </w:r>
      <w:r>
        <w:tab/>
        <w:t>В ходе обсуждения участники Совместного совещания высказали следующие мнения (ECE/TRANS/WP.15/AC.1/152, пункты 25–27):</w:t>
      </w:r>
    </w:p>
    <w:p w:rsidR="00DC4D3E" w:rsidRPr="0089421D" w:rsidRDefault="00DC4D3E" w:rsidP="00DC4D3E">
      <w:pPr>
        <w:pStyle w:val="SingleTxtG"/>
        <w:ind w:left="1701"/>
      </w:pPr>
      <w:r>
        <w:t xml:space="preserve">«25. Совместное совещание отметило различия между наименованием и описанием № ООН 1010 в МПОГ/ДОПОГ и в Типовых правилах. Было отмечено, в частности, что нынешнее описание в МПОГ/ДОПОГ может охватывать бутадиены и смеси бутадиенов, содержащие менее 40% бутадиенов, в то время как в Типовых правилах описание охватывает только смеси, содержащие более 40% бутадиенов. </w:t>
      </w:r>
    </w:p>
    <w:p w:rsidR="00DC4D3E" w:rsidRPr="0089421D" w:rsidRDefault="00DC4D3E" w:rsidP="00DC4D3E">
      <w:pPr>
        <w:pStyle w:val="SingleTxtG"/>
        <w:ind w:left="1701"/>
      </w:pPr>
      <w:r>
        <w:t>26. Представитель Испании указала, что, насколько ей известно, все используемые и перевозимые в настоящее время бутадиены и смеси бутадиенов содержат более 40% бутадиенов и, следовательно, используемое в МПОГ/ДОПОГ описание должно быть приведено в соответствие с Типовыми правилами. Это предложение в принципе получило определенную поддержку. Вместе с тем были высказаны некоторые оговорки в отношении того, как при необходимости решать вопрос о стабилизации смесей бутадиенов, содержащих менее 40% бутадиенов, в соответствии с пунктом 2.2.2.2.1, если эти бутадиены будут перевозиться под общими позициями "</w:t>
      </w:r>
      <w:proofErr w:type="spellStart"/>
      <w:r>
        <w:t>н.у.к</w:t>
      </w:r>
      <w:proofErr w:type="spellEnd"/>
      <w:r>
        <w:t xml:space="preserve">.". </w:t>
      </w:r>
    </w:p>
    <w:p w:rsidR="00DC4D3E" w:rsidRPr="0089421D" w:rsidRDefault="00DC4D3E" w:rsidP="00DC4D3E">
      <w:pPr>
        <w:pStyle w:val="SingleTxtG"/>
        <w:ind w:left="1701"/>
      </w:pPr>
      <w:r>
        <w:t>27. Совместное совещание предложило представителю Испании подготовить предложение с указанием позиций "</w:t>
      </w:r>
      <w:proofErr w:type="spellStart"/>
      <w:r>
        <w:t>н.у.к</w:t>
      </w:r>
      <w:proofErr w:type="spellEnd"/>
      <w:r>
        <w:t>.", которые можно было бы использовать, и проверить, являются ли они подходящими для перевозки этих веществ всеми видами транспорта.».</w:t>
      </w:r>
    </w:p>
    <w:p w:rsidR="00DC4D3E" w:rsidRPr="0089421D" w:rsidRDefault="00DC4D3E" w:rsidP="00DC4D3E">
      <w:pPr>
        <w:pStyle w:val="HChG"/>
        <w:rPr>
          <w:rFonts w:eastAsiaTheme="minorEastAsia"/>
        </w:rPr>
      </w:pPr>
      <w:r>
        <w:tab/>
      </w:r>
      <w:r>
        <w:tab/>
      </w:r>
      <w:r>
        <w:rPr>
          <w:bCs/>
        </w:rPr>
        <w:t>Альтернативные позиции для бутадиенов, которые не будут перевозиться под № ООН 1010</w:t>
      </w:r>
    </w:p>
    <w:p w:rsidR="00DC4D3E" w:rsidRPr="0089421D" w:rsidRDefault="00DC4D3E" w:rsidP="00DC4D3E">
      <w:pPr>
        <w:pStyle w:val="SingleTxtG"/>
      </w:pPr>
      <w:r>
        <w:t>6.</w:t>
      </w:r>
      <w:r>
        <w:tab/>
        <w:t>В соответствии с просьбой Совместного совещания был проведен анализ альтернативных номеров ООН и предусмотренных ими условий перевозки для тех бутадиенов, которые не будут перевозиться под № ООН 1010, поскольку содержание бутадиенов в смеси составляет менее 40%.</w:t>
      </w:r>
    </w:p>
    <w:p w:rsidR="00DC4D3E" w:rsidRPr="0089421D" w:rsidRDefault="00DC4D3E" w:rsidP="00DC4D3E">
      <w:pPr>
        <w:pStyle w:val="SingleTxtG"/>
      </w:pPr>
      <w:r>
        <w:t>7.</w:t>
      </w:r>
      <w:r>
        <w:tab/>
        <w:t xml:space="preserve">Для перевозки этих смесей могут существовать различные варианты, поскольку классификация зависит также от других компонентов смеси. Наиболее вероятными вариантами, по мнению представителей отрасли, будут «№ ООН 1965 </w:t>
      </w:r>
      <w:r w:rsidR="003A7D63">
        <w:t xml:space="preserve">ГАЗОВ </w:t>
      </w:r>
      <w:r>
        <w:t>УГЛЕВОДОРОД</w:t>
      </w:r>
      <w:r w:rsidR="003A7D63">
        <w:t>НЫХ</w:t>
      </w:r>
      <w:r>
        <w:t xml:space="preserve"> СМЕСЬ СЖИЖЕННАЯ, Н.У.К., такая как смеси А, А01, А02, А0, В1, В2, В или С» и «№ ООН 3161 ГАЗ СЖИЖЕННЫЙ ЛЕГКОВОСПЛАМЕНЯЮЩИЙСЯ, Н.У.К.». Следует отметить, что такого рода смесь </w:t>
      </w:r>
      <w:r>
        <w:lastRenderedPageBreak/>
        <w:t>либо может, либо не может перевозиться также по условиям других позиций «</w:t>
      </w:r>
      <w:proofErr w:type="spellStart"/>
      <w:r>
        <w:t>н.у.к</w:t>
      </w:r>
      <w:proofErr w:type="spellEnd"/>
      <w:r>
        <w:t>.», в зависимости от конкретной смеси, подлежащей перевозке.</w:t>
      </w:r>
    </w:p>
    <w:p w:rsidR="00DC4D3E" w:rsidRPr="0089421D" w:rsidRDefault="00DC4D3E" w:rsidP="00DC4D3E">
      <w:pPr>
        <w:pStyle w:val="SingleTxtG"/>
      </w:pPr>
      <w:r>
        <w:t>8.</w:t>
      </w:r>
      <w:r>
        <w:tab/>
        <w:t>В Типовых правилах ООН условия перевозки для номеров ООН 1965 и 3165 являются такими же, как для № ООН 1010, за исключением применимых специальных положений (СП):</w:t>
      </w:r>
    </w:p>
    <w:p w:rsidR="00DC4D3E" w:rsidRPr="009A2C3D" w:rsidRDefault="00DC4D3E" w:rsidP="00DC4D3E">
      <w:pPr>
        <w:pStyle w:val="Bullet1G"/>
      </w:pPr>
      <w:r>
        <w:t>№ ООН 1010: СП 386;</w:t>
      </w:r>
    </w:p>
    <w:p w:rsidR="00DC4D3E" w:rsidRPr="009A2C3D" w:rsidRDefault="00DC4D3E" w:rsidP="00DC4D3E">
      <w:pPr>
        <w:pStyle w:val="Bullet1G"/>
      </w:pPr>
      <w:r>
        <w:t>№ ООН 1965: СП 274+392;</w:t>
      </w:r>
    </w:p>
    <w:p w:rsidR="00DC4D3E" w:rsidRPr="009A2C3D" w:rsidRDefault="00DC4D3E" w:rsidP="00DC4D3E">
      <w:pPr>
        <w:pStyle w:val="Bullet1G"/>
      </w:pPr>
      <w:r>
        <w:t>№ ООН 3161: СП 274.</w:t>
      </w:r>
    </w:p>
    <w:p w:rsidR="00DC4D3E" w:rsidRPr="0089421D" w:rsidRDefault="00DC4D3E" w:rsidP="00DC4D3E">
      <w:pPr>
        <w:pStyle w:val="SingleTxtG"/>
      </w:pPr>
      <w:r>
        <w:t>9.</w:t>
      </w:r>
      <w:r>
        <w:tab/>
      </w:r>
      <w:r w:rsidRPr="003A7D63">
        <w:rPr>
          <w:spacing w:val="-6"/>
        </w:rPr>
        <w:t xml:space="preserve">Только в СП 386, применимом к № ООН 1010, и в самом наименовании № ООН 1010 </w:t>
      </w:r>
      <w:r>
        <w:t>содержится информация о стабилизации.</w:t>
      </w:r>
    </w:p>
    <w:p w:rsidR="00DC4D3E" w:rsidRPr="0089421D" w:rsidRDefault="00DC4D3E" w:rsidP="00DC4D3E">
      <w:pPr>
        <w:pStyle w:val="SingleTxtG"/>
      </w:pPr>
      <w:r>
        <w:t>10.</w:t>
      </w:r>
      <w:r>
        <w:tab/>
      </w:r>
      <w:r w:rsidRPr="003A7D63">
        <w:rPr>
          <w:spacing w:val="-4"/>
        </w:rPr>
        <w:t xml:space="preserve">В МПОГ/ДОПОГ условия перевозки для № ООН 1010, № ООН 1965 и № ООН 3161 </w:t>
      </w:r>
      <w:r>
        <w:t>являются в целом одинаковыми, но со следующими различиями:</w:t>
      </w:r>
    </w:p>
    <w:p w:rsidR="00DC4D3E" w:rsidRPr="0089421D" w:rsidRDefault="00DC4D3E" w:rsidP="00DC4D3E">
      <w:pPr>
        <w:pStyle w:val="Bullet1G"/>
      </w:pPr>
      <w:r w:rsidRPr="003A7D63">
        <w:rPr>
          <w:spacing w:val="-4"/>
        </w:rPr>
        <w:t>различные СП (колонка 6) и идентификационные номера опасности (колонка 20)</w:t>
      </w:r>
      <w:r>
        <w:t xml:space="preserve"> как в МПОГ, так и в ДОПОГ;</w:t>
      </w:r>
    </w:p>
    <w:p w:rsidR="00DC4D3E" w:rsidRPr="0089421D" w:rsidRDefault="00DC4D3E" w:rsidP="00DC4D3E">
      <w:pPr>
        <w:pStyle w:val="Bullet1G"/>
      </w:pPr>
      <w:r w:rsidRPr="003A7D63">
        <w:rPr>
          <w:spacing w:val="-4"/>
        </w:rPr>
        <w:t>различные СП по цистернам (колонка 13), СП по перевозке упаковок (колонка 16)</w:t>
      </w:r>
      <w:r>
        <w:t xml:space="preserve"> и СП по эксплуатации (колонка 19) в ДОПОГ:</w:t>
      </w:r>
    </w:p>
    <w:tbl>
      <w:tblPr>
        <w:tblStyle w:val="TableGrid"/>
        <w:tblW w:w="7479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675"/>
        <w:gridCol w:w="3170"/>
        <w:gridCol w:w="658"/>
        <w:gridCol w:w="737"/>
        <w:gridCol w:w="709"/>
        <w:gridCol w:w="850"/>
        <w:gridCol w:w="680"/>
      </w:tblGrid>
      <w:tr w:rsidR="00DC4D3E" w:rsidRPr="00DC4D3E" w:rsidTr="003A7D63">
        <w:trPr>
          <w:cantSplit/>
          <w:trHeight w:val="2178"/>
        </w:trPr>
        <w:tc>
          <w:tcPr>
            <w:tcW w:w="675" w:type="dxa"/>
            <w:textDirection w:val="btLr"/>
          </w:tcPr>
          <w:p w:rsidR="00DC4D3E" w:rsidRPr="00DC4D3E" w:rsidRDefault="00DC4D3E" w:rsidP="003A7D63">
            <w:pPr>
              <w:pStyle w:val="SingleTxtG"/>
              <w:spacing w:line="240" w:lineRule="auto"/>
              <w:ind w:left="57" w:right="113"/>
              <w:jc w:val="left"/>
              <w:rPr>
                <w:sz w:val="16"/>
                <w:szCs w:val="16"/>
              </w:rPr>
            </w:pPr>
            <w:r w:rsidRPr="00DC4D3E">
              <w:rPr>
                <w:sz w:val="16"/>
                <w:szCs w:val="16"/>
              </w:rPr>
              <w:t>№ ООН</w:t>
            </w:r>
          </w:p>
        </w:tc>
        <w:tc>
          <w:tcPr>
            <w:tcW w:w="3170" w:type="dxa"/>
            <w:textDirection w:val="btLr"/>
          </w:tcPr>
          <w:p w:rsidR="00DC4D3E" w:rsidRPr="00DC4D3E" w:rsidRDefault="00DC4D3E" w:rsidP="003A7D63">
            <w:pPr>
              <w:pStyle w:val="SingleTxtG"/>
              <w:spacing w:line="240" w:lineRule="auto"/>
              <w:ind w:left="57" w:right="113"/>
              <w:jc w:val="left"/>
              <w:rPr>
                <w:sz w:val="16"/>
                <w:szCs w:val="16"/>
              </w:rPr>
            </w:pPr>
            <w:r w:rsidRPr="00DC4D3E">
              <w:rPr>
                <w:sz w:val="16"/>
                <w:szCs w:val="16"/>
              </w:rPr>
              <w:t>Наименование и описание</w:t>
            </w:r>
          </w:p>
        </w:tc>
        <w:tc>
          <w:tcPr>
            <w:tcW w:w="658" w:type="dxa"/>
            <w:textDirection w:val="btLr"/>
          </w:tcPr>
          <w:p w:rsidR="00DC4D3E" w:rsidRPr="00DC4D3E" w:rsidRDefault="00DC4D3E" w:rsidP="003A7D63">
            <w:pPr>
              <w:pStyle w:val="SingleTxtG"/>
              <w:spacing w:line="240" w:lineRule="auto"/>
              <w:ind w:left="57" w:right="113"/>
              <w:jc w:val="left"/>
              <w:rPr>
                <w:sz w:val="16"/>
                <w:szCs w:val="16"/>
              </w:rPr>
            </w:pPr>
            <w:r w:rsidRPr="00DC4D3E">
              <w:rPr>
                <w:sz w:val="16"/>
                <w:szCs w:val="16"/>
              </w:rPr>
              <w:t>Специальные положения (6)</w:t>
            </w:r>
          </w:p>
        </w:tc>
        <w:tc>
          <w:tcPr>
            <w:tcW w:w="737" w:type="dxa"/>
            <w:textDirection w:val="btLr"/>
          </w:tcPr>
          <w:p w:rsidR="00DC4D3E" w:rsidRPr="00DC4D3E" w:rsidRDefault="00DC4D3E" w:rsidP="003A7D63">
            <w:pPr>
              <w:pStyle w:val="SingleTxtG"/>
              <w:spacing w:line="240" w:lineRule="auto"/>
              <w:ind w:left="57" w:right="113"/>
              <w:jc w:val="left"/>
              <w:rPr>
                <w:sz w:val="16"/>
                <w:szCs w:val="16"/>
              </w:rPr>
            </w:pPr>
            <w:r w:rsidRPr="00DC4D3E">
              <w:rPr>
                <w:sz w:val="16"/>
                <w:szCs w:val="16"/>
              </w:rPr>
              <w:t>СП по цистернам (13) (отличаются только в</w:t>
            </w:r>
            <w:r>
              <w:rPr>
                <w:sz w:val="16"/>
                <w:szCs w:val="16"/>
                <w:lang w:val="en-US"/>
              </w:rPr>
              <w:t> </w:t>
            </w:r>
            <w:r w:rsidRPr="00DC4D3E">
              <w:rPr>
                <w:sz w:val="16"/>
                <w:szCs w:val="16"/>
              </w:rPr>
              <w:t>ДОПОГ)</w:t>
            </w:r>
          </w:p>
        </w:tc>
        <w:tc>
          <w:tcPr>
            <w:tcW w:w="709" w:type="dxa"/>
            <w:textDirection w:val="btLr"/>
          </w:tcPr>
          <w:p w:rsidR="00DC4D3E" w:rsidRPr="00DC4D3E" w:rsidRDefault="00DC4D3E" w:rsidP="003A7D63">
            <w:pPr>
              <w:pStyle w:val="SingleTxtG"/>
              <w:spacing w:line="240" w:lineRule="auto"/>
              <w:ind w:left="57" w:right="113"/>
              <w:jc w:val="left"/>
              <w:rPr>
                <w:sz w:val="16"/>
                <w:szCs w:val="16"/>
              </w:rPr>
            </w:pPr>
            <w:r w:rsidRPr="00DC4D3E">
              <w:rPr>
                <w:sz w:val="16"/>
                <w:szCs w:val="16"/>
              </w:rPr>
              <w:t>СП по перевозке упаковок (16) (отличаются только в</w:t>
            </w:r>
            <w:r>
              <w:rPr>
                <w:sz w:val="16"/>
                <w:szCs w:val="16"/>
                <w:lang w:val="en-US"/>
              </w:rPr>
              <w:t> </w:t>
            </w:r>
            <w:r w:rsidRPr="00DC4D3E">
              <w:rPr>
                <w:sz w:val="16"/>
                <w:szCs w:val="16"/>
              </w:rPr>
              <w:t>ДОПОГ)</w:t>
            </w:r>
          </w:p>
        </w:tc>
        <w:tc>
          <w:tcPr>
            <w:tcW w:w="850" w:type="dxa"/>
            <w:textDirection w:val="btLr"/>
          </w:tcPr>
          <w:p w:rsidR="00DC4D3E" w:rsidRPr="00DC4D3E" w:rsidRDefault="00DC4D3E" w:rsidP="003A7D63">
            <w:pPr>
              <w:pStyle w:val="SingleTxtG"/>
              <w:spacing w:line="240" w:lineRule="auto"/>
              <w:ind w:left="57" w:right="113"/>
              <w:jc w:val="left"/>
              <w:rPr>
                <w:sz w:val="16"/>
                <w:szCs w:val="16"/>
              </w:rPr>
            </w:pPr>
            <w:r w:rsidRPr="00DC4D3E">
              <w:rPr>
                <w:sz w:val="16"/>
                <w:szCs w:val="16"/>
              </w:rPr>
              <w:t>СП по эксплуа</w:t>
            </w:r>
            <w:r>
              <w:rPr>
                <w:sz w:val="16"/>
                <w:szCs w:val="16"/>
              </w:rPr>
              <w:t>тации (19) (отличаются только в </w:t>
            </w:r>
            <w:r w:rsidRPr="00DC4D3E">
              <w:rPr>
                <w:sz w:val="16"/>
                <w:szCs w:val="16"/>
              </w:rPr>
              <w:t>ДОПОГ)</w:t>
            </w:r>
          </w:p>
        </w:tc>
        <w:tc>
          <w:tcPr>
            <w:tcW w:w="680" w:type="dxa"/>
            <w:textDirection w:val="btLr"/>
          </w:tcPr>
          <w:p w:rsidR="00DC4D3E" w:rsidRPr="00DC4D3E" w:rsidRDefault="00DC4D3E" w:rsidP="003A7D63">
            <w:pPr>
              <w:pStyle w:val="SingleTxtG"/>
              <w:spacing w:line="240" w:lineRule="auto"/>
              <w:ind w:left="57" w:right="113"/>
              <w:jc w:val="left"/>
              <w:rPr>
                <w:sz w:val="16"/>
                <w:szCs w:val="16"/>
              </w:rPr>
            </w:pPr>
            <w:r w:rsidRPr="00DC4D3E">
              <w:rPr>
                <w:sz w:val="16"/>
                <w:szCs w:val="16"/>
              </w:rPr>
              <w:t>Идентификационный номер опасности (20)</w:t>
            </w:r>
          </w:p>
        </w:tc>
      </w:tr>
      <w:tr w:rsidR="00DC4D3E" w:rsidRPr="009A2C3D" w:rsidTr="00DC4D3E">
        <w:tc>
          <w:tcPr>
            <w:tcW w:w="675" w:type="dxa"/>
          </w:tcPr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 xml:space="preserve">1010 </w:t>
            </w:r>
          </w:p>
        </w:tc>
        <w:tc>
          <w:tcPr>
            <w:tcW w:w="3170" w:type="dxa"/>
          </w:tcPr>
          <w:p w:rsidR="00DC4D3E" w:rsidRPr="0089421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БУТАДИЕНЫ СТАБИЛИЗИРОВАННЫЕ или БУТАДИЕНОВ И УГЛЕВОДОРОДА СМЕСЬ СТАБИЛИЗИРОВАННАЯ, имеющая при 70 °С давление паров, не превышающее 1,1 МПа (11 бар), и имеющая при 50 °С плотность не менее 0,525 кг/л</w:t>
            </w:r>
          </w:p>
        </w:tc>
        <w:tc>
          <w:tcPr>
            <w:tcW w:w="658" w:type="dxa"/>
          </w:tcPr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386</w:t>
            </w:r>
          </w:p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618</w:t>
            </w:r>
          </w:p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662</w:t>
            </w:r>
          </w:p>
        </w:tc>
        <w:tc>
          <w:tcPr>
            <w:tcW w:w="737" w:type="dxa"/>
          </w:tcPr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ТА4</w:t>
            </w:r>
          </w:p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TT9</w:t>
            </w:r>
          </w:p>
        </w:tc>
        <w:tc>
          <w:tcPr>
            <w:tcW w:w="709" w:type="dxa"/>
          </w:tcPr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V8</w:t>
            </w:r>
          </w:p>
        </w:tc>
        <w:tc>
          <w:tcPr>
            <w:tcW w:w="850" w:type="dxa"/>
          </w:tcPr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S2</w:t>
            </w:r>
          </w:p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S4</w:t>
            </w:r>
          </w:p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S20</w:t>
            </w:r>
          </w:p>
        </w:tc>
        <w:tc>
          <w:tcPr>
            <w:tcW w:w="680" w:type="dxa"/>
          </w:tcPr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239</w:t>
            </w:r>
          </w:p>
        </w:tc>
      </w:tr>
      <w:tr w:rsidR="00DC4D3E" w:rsidRPr="009A2C3D" w:rsidTr="00DC4D3E">
        <w:tc>
          <w:tcPr>
            <w:tcW w:w="675" w:type="dxa"/>
          </w:tcPr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1965</w:t>
            </w:r>
          </w:p>
        </w:tc>
        <w:tc>
          <w:tcPr>
            <w:tcW w:w="3170" w:type="dxa"/>
          </w:tcPr>
          <w:p w:rsidR="00DC4D3E" w:rsidRPr="0089421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 xml:space="preserve">ГАЗОВ УГЛЕВОДОРОДНЫХ СМЕСЬ СЖИЖЕННАЯ, Н.У.К., такая как смеси А, А01, А02, А0, </w:t>
            </w:r>
            <w:r>
              <w:br/>
              <w:t>А1, В1, В2, В или С</w:t>
            </w:r>
          </w:p>
        </w:tc>
        <w:tc>
          <w:tcPr>
            <w:tcW w:w="658" w:type="dxa"/>
          </w:tcPr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274</w:t>
            </w:r>
          </w:p>
          <w:p w:rsidR="00DC4D3E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583</w:t>
            </w:r>
          </w:p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652</w:t>
            </w:r>
          </w:p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660</w:t>
            </w:r>
          </w:p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662</w:t>
            </w:r>
          </w:p>
        </w:tc>
        <w:tc>
          <w:tcPr>
            <w:tcW w:w="737" w:type="dxa"/>
          </w:tcPr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ТА4</w:t>
            </w:r>
          </w:p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TT9</w:t>
            </w:r>
          </w:p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TT11</w:t>
            </w:r>
          </w:p>
        </w:tc>
        <w:tc>
          <w:tcPr>
            <w:tcW w:w="709" w:type="dxa"/>
          </w:tcPr>
          <w:p w:rsidR="00DC4D3E" w:rsidRPr="00DC4D3E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 w:rsidRPr="00DC4D3E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S2</w:t>
            </w:r>
          </w:p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S20</w:t>
            </w:r>
          </w:p>
          <w:p w:rsidR="00DC4D3E" w:rsidRPr="00DC4D3E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23</w:t>
            </w:r>
          </w:p>
        </w:tc>
      </w:tr>
      <w:tr w:rsidR="00DC4D3E" w:rsidRPr="009A2C3D" w:rsidTr="00DC4D3E">
        <w:tc>
          <w:tcPr>
            <w:tcW w:w="675" w:type="dxa"/>
          </w:tcPr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3161</w:t>
            </w:r>
          </w:p>
        </w:tc>
        <w:tc>
          <w:tcPr>
            <w:tcW w:w="3170" w:type="dxa"/>
          </w:tcPr>
          <w:p w:rsidR="00DC4D3E" w:rsidRPr="0089421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ГАЗ СЖИЖЕННЫЙ ЛЕГКОВОСПЛАМЕНЯЮЩИЙСЯ, Н.У.К.</w:t>
            </w:r>
          </w:p>
        </w:tc>
        <w:tc>
          <w:tcPr>
            <w:tcW w:w="658" w:type="dxa"/>
          </w:tcPr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274</w:t>
            </w:r>
          </w:p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662</w:t>
            </w:r>
          </w:p>
        </w:tc>
        <w:tc>
          <w:tcPr>
            <w:tcW w:w="737" w:type="dxa"/>
          </w:tcPr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ТА4</w:t>
            </w:r>
          </w:p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TT9</w:t>
            </w:r>
          </w:p>
        </w:tc>
        <w:tc>
          <w:tcPr>
            <w:tcW w:w="709" w:type="dxa"/>
          </w:tcPr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–</w:t>
            </w:r>
          </w:p>
        </w:tc>
        <w:tc>
          <w:tcPr>
            <w:tcW w:w="850" w:type="dxa"/>
          </w:tcPr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S2</w:t>
            </w:r>
          </w:p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S20</w:t>
            </w:r>
          </w:p>
          <w:p w:rsidR="00DC4D3E" w:rsidRPr="00DC4D3E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DC4D3E" w:rsidRPr="009A2C3D" w:rsidRDefault="00DC4D3E" w:rsidP="003A7D63">
            <w:pPr>
              <w:pStyle w:val="SingleTxtG"/>
              <w:spacing w:after="0" w:line="240" w:lineRule="auto"/>
              <w:ind w:left="57" w:right="0"/>
              <w:jc w:val="left"/>
              <w:rPr>
                <w:sz w:val="18"/>
                <w:szCs w:val="18"/>
              </w:rPr>
            </w:pPr>
            <w:r>
              <w:t>23</w:t>
            </w:r>
          </w:p>
        </w:tc>
      </w:tr>
    </w:tbl>
    <w:p w:rsidR="00DC4D3E" w:rsidRPr="0089421D" w:rsidRDefault="00DC4D3E" w:rsidP="00DC4D3E">
      <w:pPr>
        <w:pStyle w:val="SingleTxtG"/>
        <w:spacing w:before="120"/>
      </w:pPr>
      <w:r>
        <w:t>11.</w:t>
      </w:r>
      <w:r>
        <w:tab/>
        <w:t>Даже с учетом этих различий базовые условия перевозки можно считать одинаковыми для всех видов транспорта. Основные различия связаны с применением СП. Как и прежде в Типовых правилах, только СП 386, применимое к № ООН 1010, содержит информацию о стабилизации.</w:t>
      </w:r>
    </w:p>
    <w:p w:rsidR="00DC4D3E" w:rsidRPr="00257F5F" w:rsidRDefault="00DC4D3E" w:rsidP="00DC4D3E">
      <w:pPr>
        <w:pStyle w:val="HChG"/>
        <w:spacing w:before="120" w:after="120"/>
      </w:pPr>
      <w:r>
        <w:tab/>
      </w:r>
      <w:r>
        <w:tab/>
      </w:r>
      <w:r>
        <w:rPr>
          <w:bCs/>
        </w:rPr>
        <w:t>Анализ</w:t>
      </w:r>
    </w:p>
    <w:p w:rsidR="00DC4D3E" w:rsidRPr="0089421D" w:rsidRDefault="00DC4D3E" w:rsidP="00DC4D3E">
      <w:pPr>
        <w:pStyle w:val="SingleTxtG"/>
      </w:pPr>
      <w:r>
        <w:t>12.</w:t>
      </w:r>
      <w:r>
        <w:tab/>
        <w:t>Анализ других номеров ООН, которые могли бы использоваться для перевозки смеси бутадиенов, содержащих менее 40% бутадиенов, показывает, что для самых обычных альтернативных номеров ООН предусмотрены аналогичные условия перевозки. Тем не менее, что касается стабилизации, то как наименование позиции под</w:t>
      </w:r>
      <w:r>
        <w:rPr>
          <w:lang w:val="en-US"/>
        </w:rPr>
        <w:t> </w:t>
      </w:r>
      <w:r>
        <w:t xml:space="preserve">№ ООН 1010, так и СП 386 ясно указывают на необходимость стабилизации, в отличие от альтернативных номеров ООН. </w:t>
      </w:r>
    </w:p>
    <w:p w:rsidR="00DC4D3E" w:rsidRPr="009A2C3D" w:rsidRDefault="00DC4D3E" w:rsidP="00DC4D3E">
      <w:pPr>
        <w:pStyle w:val="SingleTxtG"/>
      </w:pPr>
      <w:r>
        <w:lastRenderedPageBreak/>
        <w:t>13.</w:t>
      </w:r>
      <w:r>
        <w:tab/>
        <w:t>Решение о включении в МПОГ/ДОПОГ для № ООН 1010 иного описания, чем в Типовых правилах, было принято несколько лет тому назад. За прошедший с тех пор период времени:</w:t>
      </w:r>
    </w:p>
    <w:p w:rsidR="00DC4D3E" w:rsidRPr="0089421D" w:rsidRDefault="00DC4D3E" w:rsidP="00DC4D3E">
      <w:pPr>
        <w:pStyle w:val="Bullet1G"/>
      </w:pPr>
      <w:r>
        <w:t xml:space="preserve">в Соединенных Штатах при перевозке № ООН 1010 согласно наименованию и описанию, содержащимся в Типовых правилах, </w:t>
      </w:r>
      <w:r w:rsidRPr="003A6B01">
        <w:t>не произошло ни аварий, ни инцидентов и не возникло каких-либо известных проблем;</w:t>
      </w:r>
      <w:r>
        <w:t xml:space="preserve"> </w:t>
      </w:r>
    </w:p>
    <w:p w:rsidR="00DC4D3E" w:rsidRPr="0089421D" w:rsidRDefault="00DC4D3E" w:rsidP="00DC4D3E">
      <w:pPr>
        <w:pStyle w:val="Bullet1G"/>
      </w:pPr>
      <w:r>
        <w:t xml:space="preserve">в Испании и в других странах, с которыми были проведены консультации, перевозки бутадиенов или смесей бутадиенов, содержащих менее 40% бутадиенов, не осуществляются; </w:t>
      </w:r>
    </w:p>
    <w:p w:rsidR="00DC4D3E" w:rsidRPr="0089421D" w:rsidRDefault="00DC4D3E" w:rsidP="00DC4D3E">
      <w:pPr>
        <w:pStyle w:val="Bullet1G"/>
      </w:pPr>
      <w:r>
        <w:t>в МПОГ/ДОПОГ был включен пункт 2.2.2.2.1 с общим указанием для всех газов, что химически неустойчивые газы допускаются к перевозке только в том случае, если приняты необходимые меры предосторожности для предотвращения возможности опасной реакции разложения или полимеризации.</w:t>
      </w:r>
    </w:p>
    <w:p w:rsidR="00DC4D3E" w:rsidRPr="0089421D" w:rsidRDefault="00DC4D3E" w:rsidP="00DC4D3E">
      <w:pPr>
        <w:pStyle w:val="SingleTxtG"/>
      </w:pPr>
      <w:r>
        <w:t>14.</w:t>
      </w:r>
      <w:r>
        <w:tab/>
        <w:t>Согласно пункту 2.2.2.2.1 МПОГ/ДОПОГ, даже если смесь бутадиенов, содержащая менее 40% бутадиенов, будет перевозиться под другими номерами ООН, должны быть приняты необходимые меры предосторожности (стабилизация) независимо от номера ООН, под которым будет перевозиться данная смесь.</w:t>
      </w:r>
    </w:p>
    <w:p w:rsidR="00DC4D3E" w:rsidRPr="0089421D" w:rsidRDefault="00DC4D3E" w:rsidP="00DC4D3E">
      <w:pPr>
        <w:pStyle w:val="SingleTxtG"/>
      </w:pPr>
      <w:r>
        <w:t>15.</w:t>
      </w:r>
      <w:r>
        <w:tab/>
        <w:t>Перевозка бутадиенов осуществляется для очень ограниченного числа компаний. Эти компании имеют средства для проведения классификации и принятия</w:t>
      </w:r>
      <w:r w:rsidR="000E191E">
        <w:rPr>
          <w:lang w:val="en-US"/>
        </w:rPr>
        <w:t> </w:t>
      </w:r>
      <w:r>
        <w:t>– в каждом конкретном случае – решения о наиболее целесообразной классификации. Кроме того, им хорошо известно, когда их продукция нуждается в стабилизации.</w:t>
      </w:r>
    </w:p>
    <w:p w:rsidR="00DC4D3E" w:rsidRPr="00EC7180" w:rsidRDefault="00DC4D3E" w:rsidP="00DC4D3E">
      <w:pPr>
        <w:pStyle w:val="SingleTxtG"/>
      </w:pPr>
      <w:r>
        <w:t>16.</w:t>
      </w:r>
      <w:r>
        <w:tab/>
        <w:t>Все предыдущие факты в совокупности означают, что изменение наименования и описания позиции под № ООН 1010 с целью приведения их в соответствие с наименованием и описанием, содержащимися в Типовых правилах, не будет иметь серьезных последствий, в том числе с точки зрения безопасности, но при этом позволит обеспечить согласование с Типовыми правилами ООН и правилами других видов транспорта и уменьшить административное бремя.</w:t>
      </w:r>
    </w:p>
    <w:p w:rsidR="00DC4D3E" w:rsidRPr="0089421D" w:rsidRDefault="00DC4D3E" w:rsidP="00DC4D3E">
      <w:pPr>
        <w:pStyle w:val="SingleTxtG"/>
      </w:pPr>
      <w:r>
        <w:t>17.</w:t>
      </w:r>
      <w:r>
        <w:tab/>
        <w:t>Кроме того, если будет сочтено необходимым сохранить прямое упоминание стабилизации, можно ввести для № ООН 1010</w:t>
      </w:r>
      <w:r w:rsidRPr="00E451AC">
        <w:t xml:space="preserve"> </w:t>
      </w:r>
      <w:r>
        <w:t xml:space="preserve">специальное положение, указывающее на необходимость оценки того, нужна ли стабилизация в каждом конкретном случае, даже если содержание бутадиенов в смеси ниже 40%. Это предложение включено в качестве предложения 2, которое может быть принято в дополнение к предложению 1. </w:t>
      </w:r>
    </w:p>
    <w:p w:rsidR="00DC4D3E" w:rsidRPr="0089421D" w:rsidRDefault="00DC4D3E" w:rsidP="00DC4D3E">
      <w:pPr>
        <w:pStyle w:val="HChG"/>
        <w:spacing w:before="240"/>
        <w:rPr>
          <w:rFonts w:eastAsiaTheme="minorEastAsia"/>
        </w:rPr>
      </w:pPr>
      <w:r>
        <w:tab/>
      </w:r>
      <w:r>
        <w:tab/>
      </w:r>
      <w:r>
        <w:rPr>
          <w:bCs/>
        </w:rPr>
        <w:t>Предложения</w:t>
      </w:r>
    </w:p>
    <w:p w:rsidR="00DC4D3E" w:rsidRPr="0089421D" w:rsidRDefault="00DC4D3E" w:rsidP="00DC4D3E">
      <w:pPr>
        <w:pStyle w:val="H1G"/>
        <w:spacing w:before="240"/>
        <w:rPr>
          <w:rFonts w:eastAsiaTheme="minorEastAsia"/>
        </w:rPr>
      </w:pPr>
      <w:r>
        <w:tab/>
      </w:r>
      <w:r>
        <w:tab/>
      </w:r>
      <w:r>
        <w:rPr>
          <w:bCs/>
        </w:rPr>
        <w:t>Предложение 1</w:t>
      </w:r>
    </w:p>
    <w:p w:rsidR="00DC4D3E" w:rsidRPr="0089421D" w:rsidRDefault="00DC4D3E" w:rsidP="00DC4D3E">
      <w:pPr>
        <w:pStyle w:val="SingleTxtG"/>
      </w:pPr>
      <w:r>
        <w:t>18.</w:t>
      </w:r>
      <w:r>
        <w:tab/>
      </w:r>
      <w:r w:rsidRPr="003A7D63">
        <w:rPr>
          <w:spacing w:val="-6"/>
        </w:rPr>
        <w:t xml:space="preserve">Испания предлагает согласовать наименование и описание позиции под № ООН 1010 </w:t>
      </w:r>
      <w:r>
        <w:t>в МПОГ/ДОПОГ с наименованием и описанием данной позиции в Типовых правилах следующим образом:</w:t>
      </w:r>
    </w:p>
    <w:p w:rsidR="00DC4D3E" w:rsidRPr="0089421D" w:rsidRDefault="00DC4D3E" w:rsidP="00DC4D3E">
      <w:pPr>
        <w:pStyle w:val="SingleTxtG"/>
      </w:pPr>
      <w:r>
        <w:t>«№ ООН 1010 БУТАДИЕНЫ, СТАБИЛИЗИРОВАННЫЕ или БУТАДИЕНОВ И УГЛЕВОДОРОДА СМЕСЬ, СТАБИЛИЗИРОВАННАЯ, содержащая более 40% бутадиенов».</w:t>
      </w:r>
    </w:p>
    <w:p w:rsidR="00DC4D3E" w:rsidRPr="0089421D" w:rsidRDefault="00DC4D3E" w:rsidP="00DC4D3E">
      <w:pPr>
        <w:pStyle w:val="SingleTxtG"/>
      </w:pPr>
      <w:r>
        <w:t>Наименование и описание данной позиции следует изменить также в перечне сводных позиций, содержащемся в подразделе 2.2.2.3, и в таблицах А и В главы 3.2 МПОГ/ДОПОГ.</w:t>
      </w:r>
    </w:p>
    <w:p w:rsidR="00614693" w:rsidRDefault="00614693">
      <w:pPr>
        <w:suppressAutoHyphens w:val="0"/>
        <w:spacing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>
        <w:br w:type="page"/>
      </w:r>
    </w:p>
    <w:p w:rsidR="00DC4D3E" w:rsidRPr="0089421D" w:rsidRDefault="00DC4D3E" w:rsidP="00DC4D3E">
      <w:pPr>
        <w:pStyle w:val="H1G"/>
        <w:spacing w:before="240"/>
      </w:pPr>
      <w:r>
        <w:lastRenderedPageBreak/>
        <w:tab/>
      </w:r>
      <w:r>
        <w:tab/>
      </w:r>
      <w:r>
        <w:rPr>
          <w:bCs/>
        </w:rPr>
        <w:t>Предложение 2</w:t>
      </w:r>
    </w:p>
    <w:p w:rsidR="00DC4D3E" w:rsidRPr="0089421D" w:rsidRDefault="00DC4D3E" w:rsidP="00DC4D3E">
      <w:pPr>
        <w:pStyle w:val="SingleTxtG"/>
      </w:pPr>
      <w:proofErr w:type="gramStart"/>
      <w:r>
        <w:t>19.</w:t>
      </w:r>
      <w:r>
        <w:tab/>
        <w:t>В</w:t>
      </w:r>
      <w:proofErr w:type="gramEnd"/>
      <w:r>
        <w:t xml:space="preserve"> дополнение к предложению 1 можно включить</w:t>
      </w:r>
      <w:r w:rsidRPr="00E451AC">
        <w:t xml:space="preserve"> </w:t>
      </w:r>
      <w:r>
        <w:t>для № ООН 1010 нижеследующее специальное положение:</w:t>
      </w:r>
    </w:p>
    <w:p w:rsidR="00E706B2" w:rsidRDefault="00DC4D3E" w:rsidP="00DC4D3E">
      <w:pPr>
        <w:pStyle w:val="SingleTxtG"/>
      </w:pPr>
      <w:r>
        <w:t>«СП XXX В случае бутадиенов или смесей бутадиенов и углеводородов, не отвечающих критерию минимального содержания бутадиенов для отнесения к данной позиции, должна быть проанализирована необходимость стабилизации во время перевозки [согласно пункту 2.2.2.2.1].».</w:t>
      </w:r>
    </w:p>
    <w:p w:rsidR="00E706B2" w:rsidRPr="00DC4D3E" w:rsidRDefault="00DC4D3E" w:rsidP="00DC4D3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706B2" w:rsidRPr="00DC4D3E" w:rsidSect="00E706B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AD6" w:rsidRPr="00A312BC" w:rsidRDefault="00E67AD6" w:rsidP="00A312BC"/>
  </w:endnote>
  <w:endnote w:type="continuationSeparator" w:id="0">
    <w:p w:rsidR="00E67AD6" w:rsidRPr="00A312BC" w:rsidRDefault="00E67AD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6B2" w:rsidRPr="00E706B2" w:rsidRDefault="00E706B2">
    <w:pPr>
      <w:pStyle w:val="Footer"/>
    </w:pPr>
    <w:r w:rsidRPr="00E706B2">
      <w:rPr>
        <w:b/>
        <w:sz w:val="18"/>
      </w:rPr>
      <w:fldChar w:fldCharType="begin"/>
    </w:r>
    <w:r w:rsidRPr="00E706B2">
      <w:rPr>
        <w:b/>
        <w:sz w:val="18"/>
      </w:rPr>
      <w:instrText xml:space="preserve"> PAGE  \* MERGEFORMAT </w:instrText>
    </w:r>
    <w:r w:rsidRPr="00E706B2">
      <w:rPr>
        <w:b/>
        <w:sz w:val="18"/>
      </w:rPr>
      <w:fldChar w:fldCharType="separate"/>
    </w:r>
    <w:r w:rsidR="004A1DC9">
      <w:rPr>
        <w:b/>
        <w:noProof/>
        <w:sz w:val="18"/>
      </w:rPr>
      <w:t>4</w:t>
    </w:r>
    <w:r w:rsidRPr="00E706B2">
      <w:rPr>
        <w:b/>
        <w:sz w:val="18"/>
      </w:rPr>
      <w:fldChar w:fldCharType="end"/>
    </w:r>
    <w:r>
      <w:rPr>
        <w:b/>
        <w:sz w:val="18"/>
      </w:rPr>
      <w:tab/>
    </w:r>
    <w:r>
      <w:t>GE.18-22802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6B2" w:rsidRPr="00E706B2" w:rsidRDefault="00E706B2" w:rsidP="00E706B2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GE.18-22802</w:t>
    </w:r>
    <w:r>
      <w:tab/>
    </w:r>
    <w:r w:rsidRPr="00E706B2">
      <w:rPr>
        <w:b/>
        <w:sz w:val="18"/>
      </w:rPr>
      <w:fldChar w:fldCharType="begin"/>
    </w:r>
    <w:r w:rsidRPr="00E706B2">
      <w:rPr>
        <w:b/>
        <w:sz w:val="18"/>
      </w:rPr>
      <w:instrText xml:space="preserve"> PAGE  \* MERGEFORMAT </w:instrText>
    </w:r>
    <w:r w:rsidRPr="00E706B2">
      <w:rPr>
        <w:b/>
        <w:sz w:val="18"/>
      </w:rPr>
      <w:fldChar w:fldCharType="separate"/>
    </w:r>
    <w:r w:rsidR="004A1DC9">
      <w:rPr>
        <w:b/>
        <w:noProof/>
        <w:sz w:val="18"/>
      </w:rPr>
      <w:t>5</w:t>
    </w:r>
    <w:r w:rsidRPr="00E706B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706B2" w:rsidRDefault="00E706B2" w:rsidP="00E706B2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22802  (</w:t>
    </w:r>
    <w:proofErr w:type="gramEnd"/>
    <w:r>
      <w:t>R)</w:t>
    </w:r>
    <w:r w:rsidR="00DC4D3E">
      <w:rPr>
        <w:lang w:val="en-US"/>
      </w:rPr>
      <w:t xml:space="preserve">  030119  090119</w:t>
    </w:r>
    <w:r>
      <w:br/>
    </w:r>
    <w:r w:rsidRPr="00E706B2">
      <w:rPr>
        <w:rFonts w:ascii="C39T30Lfz" w:hAnsi="C39T30Lfz"/>
        <w:kern w:val="14"/>
        <w:sz w:val="56"/>
      </w:rPr>
      <w:t></w:t>
    </w:r>
    <w:r w:rsidRPr="00E706B2">
      <w:rPr>
        <w:rFonts w:ascii="C39T30Lfz" w:hAnsi="C39T30Lfz"/>
        <w:kern w:val="14"/>
        <w:sz w:val="56"/>
      </w:rPr>
      <w:t></w:t>
    </w:r>
    <w:r w:rsidRPr="00E706B2">
      <w:rPr>
        <w:rFonts w:ascii="C39T30Lfz" w:hAnsi="C39T30Lfz"/>
        <w:kern w:val="14"/>
        <w:sz w:val="56"/>
      </w:rPr>
      <w:t></w:t>
    </w:r>
    <w:r w:rsidRPr="00E706B2">
      <w:rPr>
        <w:rFonts w:ascii="C39T30Lfz" w:hAnsi="C39T30Lfz"/>
        <w:kern w:val="14"/>
        <w:sz w:val="56"/>
      </w:rPr>
      <w:t></w:t>
    </w:r>
    <w:r w:rsidRPr="00E706B2">
      <w:rPr>
        <w:rFonts w:ascii="C39T30Lfz" w:hAnsi="C39T30Lfz"/>
        <w:kern w:val="14"/>
        <w:sz w:val="56"/>
      </w:rPr>
      <w:t></w:t>
    </w:r>
    <w:r w:rsidRPr="00E706B2">
      <w:rPr>
        <w:rFonts w:ascii="C39T30Lfz" w:hAnsi="C39T30Lfz"/>
        <w:kern w:val="14"/>
        <w:sz w:val="56"/>
      </w:rPr>
      <w:t></w:t>
    </w:r>
    <w:r w:rsidRPr="00E706B2">
      <w:rPr>
        <w:rFonts w:ascii="C39T30Lfz" w:hAnsi="C39T30Lfz"/>
        <w:kern w:val="14"/>
        <w:sz w:val="56"/>
      </w:rPr>
      <w:t></w:t>
    </w:r>
    <w:r w:rsidRPr="00E706B2">
      <w:rPr>
        <w:rFonts w:ascii="C39T30Lfz" w:hAnsi="C39T30Lfz"/>
        <w:kern w:val="14"/>
        <w:sz w:val="56"/>
      </w:rPr>
      <w:t></w:t>
    </w:r>
    <w:r w:rsidRPr="00E706B2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AD6" w:rsidRPr="001075E9" w:rsidRDefault="00E67AD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67AD6" w:rsidRDefault="00E67AD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706B2" w:rsidRPr="00E706B2" w:rsidRDefault="00E706B2">
      <w:pPr>
        <w:pStyle w:val="FootnoteText"/>
        <w:rPr>
          <w:sz w:val="20"/>
        </w:rPr>
      </w:pPr>
      <w:r>
        <w:tab/>
      </w:r>
      <w:r w:rsidRPr="00E706B2">
        <w:rPr>
          <w:rStyle w:val="FootnoteReference"/>
          <w:sz w:val="20"/>
          <w:vertAlign w:val="baseline"/>
        </w:rPr>
        <w:t>*</w:t>
      </w:r>
      <w:r w:rsidRPr="00E706B2">
        <w:rPr>
          <w:rStyle w:val="FootnoteReference"/>
          <w:vertAlign w:val="baseline"/>
        </w:rPr>
        <w:tab/>
      </w:r>
      <w:r w:rsidRPr="00E706B2"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:rsidR="00E706B2" w:rsidRPr="00E706B2" w:rsidRDefault="00E706B2">
      <w:pPr>
        <w:pStyle w:val="FootnoteText"/>
        <w:rPr>
          <w:sz w:val="20"/>
        </w:rPr>
      </w:pPr>
      <w:r>
        <w:tab/>
      </w:r>
      <w:r w:rsidRPr="00E706B2">
        <w:rPr>
          <w:rStyle w:val="FootnoteReference"/>
          <w:sz w:val="20"/>
          <w:vertAlign w:val="baseline"/>
        </w:rPr>
        <w:t>**</w:t>
      </w:r>
      <w:r w:rsidRPr="00E706B2">
        <w:rPr>
          <w:rStyle w:val="FootnoteReference"/>
          <w:vertAlign w:val="baseline"/>
        </w:rPr>
        <w:tab/>
      </w:r>
      <w:r w:rsidRPr="00E706B2">
        <w:t>Распространено Межправительственной организацией по международным железнодорожным перевозкам (ОТИФ) под условным обозначением OTIF/RID/RC/2019/16.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6B2" w:rsidRPr="00E706B2" w:rsidRDefault="004A1DC9">
    <w:pPr>
      <w:pStyle w:val="Header"/>
    </w:pPr>
    <w:fldSimple w:instr=" TITLE  \* MERGEFORMAT ">
      <w:r>
        <w:t>ECE/TRANS/WP.15/AC.1/2019/16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6B2" w:rsidRPr="00E706B2" w:rsidRDefault="004A1DC9" w:rsidP="00E706B2">
    <w:pPr>
      <w:pStyle w:val="Header"/>
      <w:jc w:val="right"/>
    </w:pPr>
    <w:fldSimple w:instr=" TITLE  \* MERGEFORMAT ">
      <w:r>
        <w:t>ECE/TRANS/WP.15/AC.1/2019/16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483329"/>
    <w:multiLevelType w:val="hybridMultilevel"/>
    <w:tmpl w:val="FF54FF66"/>
    <w:lvl w:ilvl="0" w:tplc="0C0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5A31CCF"/>
    <w:multiLevelType w:val="hybridMultilevel"/>
    <w:tmpl w:val="D7208092"/>
    <w:lvl w:ilvl="0" w:tplc="0C0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E7C259A"/>
    <w:multiLevelType w:val="hybridMultilevel"/>
    <w:tmpl w:val="63540F8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20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5"/>
  </w:num>
  <w:num w:numId="18">
    <w:abstractNumId w:val="17"/>
  </w:num>
  <w:num w:numId="19">
    <w:abstractNumId w:val="18"/>
  </w:num>
  <w:num w:numId="20">
    <w:abstractNumId w:val="15"/>
  </w:num>
  <w:num w:numId="21">
    <w:abstractNumId w:val="17"/>
  </w:num>
  <w:num w:numId="22">
    <w:abstractNumId w:val="10"/>
  </w:num>
  <w:num w:numId="23">
    <w:abstractNumId w:val="11"/>
    <w:lvlOverride w:ilvl="0">
      <w:lvl w:ilvl="0" w:tplc="0C0A0001">
        <w:start w:val="1"/>
        <w:numFmt w:val="bullet"/>
        <w:lvlText w:val=""/>
        <w:lvlJc w:val="left"/>
        <w:pPr>
          <w:ind w:left="1905" w:hanging="360"/>
        </w:pPr>
        <w:rPr>
          <w:rFonts w:ascii="Symbol" w:hAnsi="Symbol" w:hint="default"/>
        </w:rPr>
      </w:lvl>
    </w:lvlOverride>
  </w:num>
  <w:num w:numId="24">
    <w:abstractNumId w:val="13"/>
    <w:lvlOverride w:ilvl="0">
      <w:lvl w:ilvl="0" w:tplc="0C0A0001">
        <w:start w:val="1"/>
        <w:numFmt w:val="bullet"/>
        <w:lvlText w:val=""/>
        <w:lvlJc w:val="left"/>
        <w:pPr>
          <w:ind w:left="1905" w:hanging="360"/>
        </w:pPr>
        <w:rPr>
          <w:rFonts w:ascii="Symbol" w:hAnsi="Symbol" w:hint="default"/>
        </w:rPr>
      </w:lvl>
    </w:lvlOverride>
  </w:num>
  <w:num w:numId="25">
    <w:abstractNumId w:val="21"/>
    <w:lvlOverride w:ilvl="0">
      <w:lvl w:ilvl="0" w:tplc="0C0A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D6"/>
    <w:rsid w:val="00033EE1"/>
    <w:rsid w:val="00042B72"/>
    <w:rsid w:val="000558BD"/>
    <w:rsid w:val="000B57E7"/>
    <w:rsid w:val="000B6373"/>
    <w:rsid w:val="000E191E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7D63"/>
    <w:rsid w:val="003B00E5"/>
    <w:rsid w:val="003E0B46"/>
    <w:rsid w:val="00407B78"/>
    <w:rsid w:val="00410CFE"/>
    <w:rsid w:val="00424203"/>
    <w:rsid w:val="00452493"/>
    <w:rsid w:val="00453318"/>
    <w:rsid w:val="00454AF2"/>
    <w:rsid w:val="00454E07"/>
    <w:rsid w:val="00472C5C"/>
    <w:rsid w:val="004A1DC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3279"/>
    <w:rsid w:val="005D7914"/>
    <w:rsid w:val="005E2B41"/>
    <w:rsid w:val="005F0B42"/>
    <w:rsid w:val="00614693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0DAB"/>
    <w:rsid w:val="00825F8D"/>
    <w:rsid w:val="00834B71"/>
    <w:rsid w:val="0086445C"/>
    <w:rsid w:val="0087604D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6AF7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4D3E"/>
    <w:rsid w:val="00DD78D1"/>
    <w:rsid w:val="00DE32CD"/>
    <w:rsid w:val="00DF5767"/>
    <w:rsid w:val="00DF71B9"/>
    <w:rsid w:val="00E12C5F"/>
    <w:rsid w:val="00E67AD6"/>
    <w:rsid w:val="00E706B2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98A2EC6-7BE4-436B-AB08-A97F6185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rsid w:val="00E706B2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E706B2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E706B2"/>
    <w:rPr>
      <w:lang w:val="ru-RU" w:eastAsia="en-US"/>
    </w:rPr>
  </w:style>
  <w:style w:type="character" w:customStyle="1" w:styleId="H1GChar">
    <w:name w:val="_ H_1_G Char"/>
    <w:link w:val="H1G"/>
    <w:rsid w:val="00DC4D3E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1581</Words>
  <Characters>8243</Characters>
  <Application>Microsoft Office Word</Application>
  <DocSecurity>0</DocSecurity>
  <Lines>211</Lines>
  <Paragraphs>97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ECE/TRANS/WP.15/AC.1/2019/16</vt:lpstr>
      <vt:lpstr>ECE/TRANS/WP.15/AC.1/2019/16</vt:lpstr>
      <vt:lpstr>A/</vt:lpstr>
    </vt:vector>
  </TitlesOfParts>
  <Company>DCM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ECE/TRANS/WP.15/AC.1/2019/16</dc:title>
  <dc:subject/>
  <dc:creator>Marina KOROTKOVA</dc:creator>
  <cp:keywords/>
  <cp:lastModifiedBy>Christine Barrio-Champeau</cp:lastModifiedBy>
  <cp:revision>2</cp:revision>
  <cp:lastPrinted>2019-01-09T12:37:00Z</cp:lastPrinted>
  <dcterms:created xsi:type="dcterms:W3CDTF">2019-01-29T15:25:00Z</dcterms:created>
  <dcterms:modified xsi:type="dcterms:W3CDTF">2019-01-29T15:25:00Z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