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EBF3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CAEFB9" w14:textId="77777777" w:rsidR="002D5AAC" w:rsidRDefault="002D5AAC" w:rsidP="007E5C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5B8A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CA6E07" w14:textId="77777777" w:rsidR="002D5AAC" w:rsidRDefault="007E5C6D" w:rsidP="007E5C6D">
            <w:pPr>
              <w:jc w:val="right"/>
            </w:pPr>
            <w:r w:rsidRPr="007E5C6D">
              <w:rPr>
                <w:sz w:val="40"/>
              </w:rPr>
              <w:t>ECE</w:t>
            </w:r>
            <w:r>
              <w:t>/TRANS/WP.15/AC.1/2019/32</w:t>
            </w:r>
          </w:p>
        </w:tc>
      </w:tr>
      <w:tr w:rsidR="002D5AAC" w:rsidRPr="0041243C" w14:paraId="7CBCD56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065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547F5A" wp14:editId="03A67D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6193E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736872" w14:textId="77777777" w:rsidR="002D5AAC" w:rsidRDefault="007E5C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7AB65A" w14:textId="77777777" w:rsidR="007E5C6D" w:rsidRDefault="007E5C6D" w:rsidP="007E5C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14:paraId="24B28BD7" w14:textId="77777777" w:rsidR="007E5C6D" w:rsidRDefault="007E5C6D" w:rsidP="007E5C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AB7538" w14:textId="77777777" w:rsidR="007E5C6D" w:rsidRPr="008D53B6" w:rsidRDefault="007E5C6D" w:rsidP="007E5C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54F955" w14:textId="77777777" w:rsidR="007E5C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EE3561" w14:textId="77777777" w:rsidR="007E5C6D" w:rsidRPr="00960236" w:rsidRDefault="007E5C6D" w:rsidP="007E5C6D">
      <w:pPr>
        <w:spacing w:before="120"/>
        <w:rPr>
          <w:sz w:val="28"/>
          <w:szCs w:val="28"/>
        </w:rPr>
      </w:pPr>
      <w:r w:rsidRPr="0010401C">
        <w:rPr>
          <w:sz w:val="28"/>
          <w:szCs w:val="28"/>
        </w:rPr>
        <w:t>Комитет по внутреннему транспорту</w:t>
      </w:r>
    </w:p>
    <w:p w14:paraId="56829BAF" w14:textId="77777777" w:rsidR="007E5C6D" w:rsidRPr="0010401C" w:rsidRDefault="007E5C6D" w:rsidP="007E5C6D">
      <w:pPr>
        <w:spacing w:before="120"/>
        <w:rPr>
          <w:b/>
          <w:sz w:val="24"/>
          <w:szCs w:val="24"/>
        </w:rPr>
      </w:pPr>
      <w:r w:rsidRPr="0010401C">
        <w:rPr>
          <w:b/>
          <w:bCs/>
          <w:sz w:val="24"/>
          <w:szCs w:val="24"/>
        </w:rPr>
        <w:t>Рабочая группа по перевозкам опасных грузов</w:t>
      </w:r>
    </w:p>
    <w:p w14:paraId="6B9B736B" w14:textId="77777777" w:rsidR="007E5C6D" w:rsidRPr="0010401C" w:rsidRDefault="007E5C6D" w:rsidP="007E5C6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5A7D0D3" w14:textId="77777777" w:rsidR="007E5C6D" w:rsidRPr="0010401C" w:rsidRDefault="007E5C6D" w:rsidP="007E5C6D">
      <w:r>
        <w:t>Женева, 17−27 сентября 2019 года</w:t>
      </w:r>
    </w:p>
    <w:p w14:paraId="5202F95B" w14:textId="77777777" w:rsidR="007E5C6D" w:rsidRPr="0010401C" w:rsidRDefault="007E5C6D" w:rsidP="007E5C6D">
      <w:r>
        <w:t>Пункт 5 b) предварительной повестки дня</w:t>
      </w:r>
    </w:p>
    <w:p w14:paraId="5724F591" w14:textId="77777777" w:rsidR="007E5C6D" w:rsidRPr="0010401C" w:rsidRDefault="007E5C6D" w:rsidP="007E5C6D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3FEDAFE4" w14:textId="77777777" w:rsidR="007E5C6D" w:rsidRPr="0010401C" w:rsidRDefault="007E5C6D" w:rsidP="007E5C6D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1C818D1B" w14:textId="77777777" w:rsidR="007E5C6D" w:rsidRPr="0010401C" w:rsidRDefault="007E5C6D" w:rsidP="007E5C6D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Различия в наименованиях и описаниях номеров ООН в</w:t>
      </w:r>
      <w:r>
        <w:rPr>
          <w:bCs/>
          <w:lang w:val="en-US"/>
        </w:rPr>
        <w:t> </w:t>
      </w:r>
      <w:r>
        <w:rPr>
          <w:bCs/>
        </w:rPr>
        <w:t>Типовых правилах и МПОГ/ДОПОГ</w:t>
      </w:r>
    </w:p>
    <w:p w14:paraId="310EFF07" w14:textId="77777777" w:rsidR="007E5C6D" w:rsidRDefault="007E5C6D" w:rsidP="007E5C6D">
      <w:pPr>
        <w:pStyle w:val="H1G"/>
        <w:rPr>
          <w:sz w:val="20"/>
          <w:vertAlign w:val="superscript"/>
        </w:rPr>
      </w:pPr>
      <w:r>
        <w:tab/>
      </w:r>
      <w:r>
        <w:tab/>
      </w:r>
      <w:r>
        <w:rPr>
          <w:bCs/>
        </w:rPr>
        <w:t>Передано правительством Испании</w:t>
      </w:r>
      <w:r w:rsidRPr="007E5C6D">
        <w:rPr>
          <w:b w:val="0"/>
          <w:sz w:val="18"/>
        </w:rPr>
        <w:footnoteReference w:customMarkFollows="1" w:id="1"/>
        <w:t>*</w:t>
      </w:r>
      <w:r>
        <w:rPr>
          <w:b w:val="0"/>
          <w:sz w:val="18"/>
          <w:lang w:val="en-US"/>
        </w:rPr>
        <w:t xml:space="preserve"> </w:t>
      </w:r>
      <w:r w:rsidRPr="007E5C6D">
        <w:rPr>
          <w:b w:val="0"/>
          <w:sz w:val="18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E5C6D" w:rsidRPr="007E5C6D" w14:paraId="581B9D59" w14:textId="77777777" w:rsidTr="007E5C6D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75A8E8E" w14:textId="77777777" w:rsidR="007E5C6D" w:rsidRPr="007E5C6D" w:rsidRDefault="007E5C6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E5C6D">
              <w:rPr>
                <w:rFonts w:cs="Times New Roman"/>
              </w:rPr>
              <w:tab/>
            </w:r>
            <w:r w:rsidRPr="007E5C6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E5C6D" w:rsidRPr="007E5C6D" w14:paraId="0D9E1882" w14:textId="77777777" w:rsidTr="007E5C6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6704F47" w14:textId="77777777" w:rsidR="007E5C6D" w:rsidRPr="007E5C6D" w:rsidRDefault="007E5C6D" w:rsidP="007E5C6D">
            <w:pPr>
              <w:pStyle w:val="SingleTxtG"/>
              <w:tabs>
                <w:tab w:val="left" w:pos="3666"/>
              </w:tabs>
              <w:ind w:left="3666" w:hanging="253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Изучение различий в наименованиях и описаниях нескольких номеров ООН между Типовыми правилами ООН и МПОГ/ДОПОГ.</w:t>
            </w:r>
          </w:p>
        </w:tc>
      </w:tr>
      <w:tr w:rsidR="007E5C6D" w:rsidRPr="007E5C6D" w14:paraId="0F3D2547" w14:textId="77777777" w:rsidTr="007E5C6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51EF22C" w14:textId="77777777" w:rsidR="007E5C6D" w:rsidRPr="007E5C6D" w:rsidRDefault="007E5C6D" w:rsidP="007E5C6D">
            <w:pPr>
              <w:pStyle w:val="SingleTxtG"/>
              <w:tabs>
                <w:tab w:val="left" w:pos="3666"/>
              </w:tabs>
              <w:ind w:left="3666" w:hanging="2532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Обсудить возможность согласования с Типовыми правилами ООН.</w:t>
            </w:r>
          </w:p>
        </w:tc>
      </w:tr>
      <w:tr w:rsidR="007E5C6D" w:rsidRPr="007E5C6D" w14:paraId="22FC4C24" w14:textId="77777777" w:rsidTr="007E5C6D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7CBDD79" w14:textId="77777777" w:rsidR="007E5C6D" w:rsidRPr="007E5C6D" w:rsidRDefault="007E5C6D" w:rsidP="00850215">
            <w:pPr>
              <w:rPr>
                <w:rFonts w:cs="Times New Roman"/>
              </w:rPr>
            </w:pPr>
          </w:p>
        </w:tc>
      </w:tr>
    </w:tbl>
    <w:p w14:paraId="4401CB1B" w14:textId="77777777" w:rsidR="007E5C6D" w:rsidRPr="0010401C" w:rsidRDefault="007E5C6D" w:rsidP="007E5C6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3D9B655" w14:textId="77777777" w:rsidR="007E5C6D" w:rsidRPr="0010401C" w:rsidRDefault="007E5C6D" w:rsidP="007E5C6D">
      <w:pPr>
        <w:pStyle w:val="SingleTxtG"/>
      </w:pPr>
      <w:r>
        <w:t>1.</w:t>
      </w:r>
      <w:r>
        <w:tab/>
        <w:t>Существуют различные случаи, когда наименование и описание номеров ООН являются неодинаковыми в Типовых правилах и МПОГ/ДОПОГ. В большинстве случаев это имеет место тогда, когда в МПОГ/ДОПОГ один номер ООН «подразделяется» в разных ситуациях, для разных групп упаковки или разных условий, например: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43"/>
        <w:gridCol w:w="2492"/>
        <w:gridCol w:w="2743"/>
        <w:gridCol w:w="1101"/>
      </w:tblGrid>
      <w:tr w:rsidR="007E5C6D" w:rsidRPr="00E62907" w14:paraId="5FDCF89A" w14:textId="77777777" w:rsidTr="00F45AA9">
        <w:trPr>
          <w:trHeight w:val="558"/>
        </w:trPr>
        <w:tc>
          <w:tcPr>
            <w:tcW w:w="1143" w:type="dxa"/>
            <w:tcMar>
              <w:left w:w="28" w:type="dxa"/>
              <w:right w:w="28" w:type="dxa"/>
            </w:tcMar>
          </w:tcPr>
          <w:p w14:paraId="2234A775" w14:textId="77777777" w:rsidR="007E5C6D" w:rsidRPr="00965DDE" w:rsidRDefault="007E5C6D" w:rsidP="00DD3D70">
            <w:pPr>
              <w:pStyle w:val="SingleTxtG"/>
              <w:keepNext/>
              <w:keepLines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lastRenderedPageBreak/>
              <w:t>Номер ООН</w:t>
            </w: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5908FF68" w14:textId="77777777" w:rsidR="007E5C6D" w:rsidRPr="00965DDE" w:rsidRDefault="007E5C6D" w:rsidP="00727BE7">
            <w:pPr>
              <w:pStyle w:val="SingleTxtG"/>
              <w:keepNext/>
              <w:keepLines/>
              <w:tabs>
                <w:tab w:val="left" w:pos="1910"/>
              </w:tabs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493B12B2" w14:textId="77777777" w:rsidR="007E5C6D" w:rsidRPr="00965DDE" w:rsidRDefault="007E5C6D" w:rsidP="00727BE7">
            <w:pPr>
              <w:pStyle w:val="SingleTxtG"/>
              <w:keepNext/>
              <w:keepLines/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МПОГ/ДОПОГ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7A490F4D" w14:textId="77777777" w:rsidR="007E5C6D" w:rsidRPr="00965DDE" w:rsidRDefault="007E5C6D" w:rsidP="00727BE7">
            <w:pPr>
              <w:pStyle w:val="SingleTxtG"/>
              <w:keepNext/>
              <w:keepLines/>
              <w:tabs>
                <w:tab w:val="left" w:pos="264"/>
              </w:tabs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ГУ</w:t>
            </w:r>
          </w:p>
        </w:tc>
      </w:tr>
      <w:tr w:rsidR="007E5C6D" w:rsidRPr="00E62907" w14:paraId="3559211C" w14:textId="77777777" w:rsidTr="00F45AA9">
        <w:tc>
          <w:tcPr>
            <w:tcW w:w="1143" w:type="dxa"/>
            <w:tcMar>
              <w:left w:w="28" w:type="dxa"/>
              <w:right w:w="28" w:type="dxa"/>
            </w:tcMar>
          </w:tcPr>
          <w:p w14:paraId="3B3A210F" w14:textId="77777777" w:rsidR="007E5C6D" w:rsidRPr="002636E1" w:rsidRDefault="007E5C6D" w:rsidP="00107F8B">
            <w:pPr>
              <w:pStyle w:val="SingleTxtG"/>
              <w:keepNext/>
              <w:keepLines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1169</w:t>
            </w: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4013129E" w14:textId="77777777" w:rsidR="007E5C6D" w:rsidRPr="002636E1" w:rsidRDefault="007E5C6D" w:rsidP="00F45AA9">
            <w:pPr>
              <w:pStyle w:val="SingleTxtG"/>
              <w:keepNext/>
              <w:keepLines/>
              <w:tabs>
                <w:tab w:val="left" w:pos="1565"/>
              </w:tabs>
              <w:spacing w:before="60" w:afterLines="60" w:after="144"/>
              <w:ind w:left="0" w:right="105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  <w:lang w:eastAsia="ru-RU"/>
              </w:rPr>
              <w:t>ЭКСТРАКТЫ АРОМАТИЧЕСКИЕ ЖИДКИЕ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36BE0CE4" w14:textId="77777777" w:rsidR="007E5C6D" w:rsidRPr="002636E1" w:rsidRDefault="007E5C6D" w:rsidP="00F45AA9">
            <w:pPr>
              <w:keepNext/>
              <w:keepLines/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 xml:space="preserve">ЭКСТРАКТЫ АРОМАТИЧЕСКИЕ ЖИДКИЕ </w:t>
            </w:r>
            <w:r w:rsidRPr="00107F8B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(давление паров при 50 °С более 110 кПа)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34016A55" w14:textId="77777777" w:rsidR="007E5C6D" w:rsidRPr="002636E1" w:rsidRDefault="007E5C6D" w:rsidP="00F45AA9">
            <w:pPr>
              <w:pStyle w:val="SingleTxtG"/>
              <w:keepNext/>
              <w:keepLines/>
              <w:spacing w:before="60" w:afterLines="60" w:after="144"/>
              <w:ind w:left="0" w:right="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II</w:t>
            </w:r>
          </w:p>
        </w:tc>
      </w:tr>
      <w:tr w:rsidR="007E5C6D" w:rsidRPr="00E62907" w14:paraId="60CC3CF1" w14:textId="77777777" w:rsidTr="00F45AA9">
        <w:tc>
          <w:tcPr>
            <w:tcW w:w="1143" w:type="dxa"/>
            <w:tcMar>
              <w:left w:w="28" w:type="dxa"/>
              <w:right w:w="28" w:type="dxa"/>
            </w:tcMar>
          </w:tcPr>
          <w:p w14:paraId="37580E08" w14:textId="77777777" w:rsidR="007E5C6D" w:rsidRPr="00E62907" w:rsidRDefault="007E5C6D" w:rsidP="00D454E6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481F2119" w14:textId="77777777" w:rsidR="007E5C6D" w:rsidRPr="002636E1" w:rsidRDefault="007E5C6D" w:rsidP="00F45AA9">
            <w:pPr>
              <w:pStyle w:val="SingleTxtG"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6D458DE7" w14:textId="77777777" w:rsidR="007E5C6D" w:rsidRPr="002636E1" w:rsidRDefault="007E5C6D" w:rsidP="00F45AA9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 xml:space="preserve">ЭКСТРАКТЫ АРОМАТИЧЕСКИЕ ЖИДКИЕ </w:t>
            </w:r>
            <w:r w:rsidRPr="00107F8B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(давление паров при 50 °С не более 110 кПа)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2061BE3F" w14:textId="77777777" w:rsidR="007E5C6D" w:rsidRPr="002636E1" w:rsidRDefault="007E5C6D" w:rsidP="00F45AA9">
            <w:pPr>
              <w:pStyle w:val="SingleTxtG"/>
              <w:spacing w:before="60" w:afterLines="60" w:after="144"/>
              <w:ind w:left="0" w:right="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II</w:t>
            </w:r>
          </w:p>
        </w:tc>
      </w:tr>
      <w:tr w:rsidR="007E5C6D" w:rsidRPr="00E62907" w14:paraId="74C249E6" w14:textId="77777777" w:rsidTr="00F45AA9">
        <w:trPr>
          <w:trHeight w:val="185"/>
        </w:trPr>
        <w:tc>
          <w:tcPr>
            <w:tcW w:w="1143" w:type="dxa"/>
            <w:tcMar>
              <w:left w:w="28" w:type="dxa"/>
              <w:right w:w="28" w:type="dxa"/>
            </w:tcMar>
          </w:tcPr>
          <w:p w14:paraId="164AE363" w14:textId="77777777" w:rsidR="007E5C6D" w:rsidRPr="00E62907" w:rsidRDefault="007E5C6D" w:rsidP="00D454E6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52020DC7" w14:textId="77777777" w:rsidR="007E5C6D" w:rsidRPr="00E62907" w:rsidRDefault="007E5C6D" w:rsidP="00F45AA9">
            <w:pPr>
              <w:pStyle w:val="SingleTxtG"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33D769B4" w14:textId="77777777" w:rsidR="007E5C6D" w:rsidRPr="002636E1" w:rsidRDefault="007E5C6D" w:rsidP="00F45AA9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ЭКСТРАКТЫ АРОМАТИЧЕСКИЕ ЖИДКИЕ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69FEF322" w14:textId="77777777" w:rsidR="007E5C6D" w:rsidRPr="002636E1" w:rsidRDefault="007E5C6D" w:rsidP="00F45AA9">
            <w:pPr>
              <w:pStyle w:val="SingleTxtG"/>
              <w:spacing w:before="60" w:afterLines="60" w:after="144"/>
              <w:ind w:left="0" w:right="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III</w:t>
            </w:r>
          </w:p>
        </w:tc>
      </w:tr>
      <w:tr w:rsidR="007E5C6D" w:rsidRPr="00E62907" w14:paraId="7BD97BB4" w14:textId="77777777" w:rsidTr="00F45AA9">
        <w:tc>
          <w:tcPr>
            <w:tcW w:w="1143" w:type="dxa"/>
            <w:tcMar>
              <w:left w:w="28" w:type="dxa"/>
              <w:right w:w="28" w:type="dxa"/>
            </w:tcMar>
          </w:tcPr>
          <w:p w14:paraId="5C99E1A2" w14:textId="77777777" w:rsidR="007E5C6D" w:rsidRPr="00E62907" w:rsidRDefault="007E5C6D" w:rsidP="00D454E6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1671DF0B" w14:textId="77777777" w:rsidR="007E5C6D" w:rsidRPr="00E62907" w:rsidRDefault="007E5C6D" w:rsidP="00F45AA9">
            <w:pPr>
              <w:pStyle w:val="SingleTxtG"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29865EA5" w14:textId="77777777" w:rsidR="007E5C6D" w:rsidRPr="002636E1" w:rsidRDefault="007E5C6D" w:rsidP="00F45AA9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 xml:space="preserve">ЭКСТРАКТЫ АРОМАТИЧЕСКИЕ ЖИДКИЕ </w:t>
            </w:r>
            <w:r w:rsidRPr="00107F8B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(имеющие температуру вспышки ниже 23 °С и вязкие согласно пункту 2.2.3.1.4) (давление паров при 50 °С более 110 кПа)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22E9BBE1" w14:textId="77777777" w:rsidR="007E5C6D" w:rsidRPr="002636E1" w:rsidRDefault="007E5C6D" w:rsidP="00F45AA9">
            <w:pPr>
              <w:pStyle w:val="SingleTxtG"/>
              <w:spacing w:before="60" w:afterLines="60" w:after="144"/>
              <w:ind w:left="0" w:right="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III</w:t>
            </w:r>
          </w:p>
        </w:tc>
      </w:tr>
      <w:tr w:rsidR="007E5C6D" w:rsidRPr="00E62907" w14:paraId="5A12014E" w14:textId="77777777" w:rsidTr="00F45AA9">
        <w:tc>
          <w:tcPr>
            <w:tcW w:w="1143" w:type="dxa"/>
            <w:tcMar>
              <w:left w:w="28" w:type="dxa"/>
              <w:right w:w="28" w:type="dxa"/>
            </w:tcMar>
          </w:tcPr>
          <w:p w14:paraId="616BA7D8" w14:textId="77777777" w:rsidR="007E5C6D" w:rsidRPr="00E62907" w:rsidRDefault="007E5C6D" w:rsidP="00D454E6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492" w:type="dxa"/>
            <w:tcMar>
              <w:left w:w="28" w:type="dxa"/>
              <w:right w:w="28" w:type="dxa"/>
            </w:tcMar>
          </w:tcPr>
          <w:p w14:paraId="7A12E241" w14:textId="77777777" w:rsidR="007E5C6D" w:rsidRPr="00E62907" w:rsidRDefault="007E5C6D" w:rsidP="00F45AA9">
            <w:pPr>
              <w:pStyle w:val="SingleTxtG"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  <w:lang w:val="nl-NL"/>
              </w:rPr>
            </w:pP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14:paraId="417EE12F" w14:textId="77777777" w:rsidR="007E5C6D" w:rsidRPr="002636E1" w:rsidRDefault="007E5C6D" w:rsidP="00F45AA9">
            <w:pPr>
              <w:pStyle w:val="SingleTxtG"/>
              <w:tabs>
                <w:tab w:val="left" w:pos="1565"/>
              </w:tabs>
              <w:spacing w:before="60" w:afterLines="60" w:after="144" w:line="240" w:lineRule="auto"/>
              <w:ind w:left="0" w:right="-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 xml:space="preserve">ЭКСТРАКТЫ АРОМАТИЧЕСКИЕ ЖИДКИЕ </w:t>
            </w:r>
            <w:r w:rsidRPr="00107F8B">
              <w:rPr>
                <w:rFonts w:asciiTheme="majorBidi" w:eastAsiaTheme="minorHAns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(имеющие температуру вспышки ниже 23 °С и вязкие согласно пункту 2.2.3.1.4) (давление паров при 50 °С не более 110 кПа)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14:paraId="3B918E6F" w14:textId="77777777" w:rsidR="007E5C6D" w:rsidRPr="002636E1" w:rsidRDefault="007E5C6D" w:rsidP="00F45AA9">
            <w:pPr>
              <w:pStyle w:val="SingleTxtG"/>
              <w:spacing w:before="60" w:afterLines="60" w:after="144"/>
              <w:ind w:left="0" w:right="34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636E1">
              <w:rPr>
                <w:sz w:val="16"/>
                <w:szCs w:val="16"/>
              </w:rPr>
              <w:t>III</w:t>
            </w:r>
          </w:p>
        </w:tc>
      </w:tr>
    </w:tbl>
    <w:p w14:paraId="7FC8E406" w14:textId="77777777" w:rsidR="007E5C6D" w:rsidRPr="0010401C" w:rsidRDefault="007E5C6D" w:rsidP="00107F8B">
      <w:pPr>
        <w:pStyle w:val="SingleTxtG"/>
        <w:spacing w:before="120"/>
      </w:pPr>
      <w:r>
        <w:t>2.</w:t>
      </w:r>
      <w:r>
        <w:tab/>
        <w:t>Тем не менее существуют и другие случаи, когда причины расхождений в наименованиях номеров ООН не столь очевидны. Это касается № ООН 1012, 1326, 1345, 1352, 1358, 2015 и 2071.</w:t>
      </w:r>
    </w:p>
    <w:p w14:paraId="58E0C073" w14:textId="77777777" w:rsidR="007E5C6D" w:rsidRPr="0010401C" w:rsidRDefault="007E5C6D" w:rsidP="007E5C6D">
      <w:pPr>
        <w:pStyle w:val="SingleTxtG"/>
      </w:pPr>
      <w:r>
        <w:t>3.</w:t>
      </w:r>
      <w:r>
        <w:tab/>
        <w:t xml:space="preserve">Данный случай будет более подробно проанализирован в настоящем документе, поскольку согласование с Типовыми правилами и правилами других видов транспорта позволит применять более рациональный подход и облегчит административное бремя в ходе перевозки. </w:t>
      </w:r>
    </w:p>
    <w:p w14:paraId="4143E8CC" w14:textId="77777777" w:rsidR="007E5C6D" w:rsidRPr="0010401C" w:rsidRDefault="007E5C6D" w:rsidP="007E5C6D">
      <w:pPr>
        <w:pStyle w:val="HChG"/>
        <w:spacing w:before="120" w:after="120"/>
        <w:rPr>
          <w:rFonts w:eastAsiaTheme="minorEastAsia"/>
        </w:rPr>
      </w:pPr>
      <w:r>
        <w:tab/>
      </w:r>
      <w:r>
        <w:tab/>
      </w:r>
      <w:r>
        <w:rPr>
          <w:bCs/>
        </w:rPr>
        <w:t>№ ООН 1012 БУТИЛЕН</w:t>
      </w:r>
    </w:p>
    <w:p w14:paraId="6546BEF6" w14:textId="77777777" w:rsidR="007E5C6D" w:rsidRPr="0010401C" w:rsidRDefault="007E5C6D" w:rsidP="007E5C6D">
      <w:pPr>
        <w:pStyle w:val="SingleTxtG"/>
      </w:pPr>
      <w:r>
        <w:t>4.</w:t>
      </w:r>
      <w:r>
        <w:tab/>
        <w:t>Ниже приводятся наименование и описание № ООН 1012, содержащиеся в Типовых правилах и МПОГ/ДОПОГ: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689"/>
        <w:gridCol w:w="2114"/>
        <w:gridCol w:w="3676"/>
      </w:tblGrid>
      <w:tr w:rsidR="007E5C6D" w:rsidRPr="00E62907" w14:paraId="4FAFA854" w14:textId="77777777" w:rsidTr="00F45AA9">
        <w:tc>
          <w:tcPr>
            <w:tcW w:w="1689" w:type="dxa"/>
            <w:tcMar>
              <w:left w:w="28" w:type="dxa"/>
              <w:right w:w="28" w:type="dxa"/>
            </w:tcMar>
          </w:tcPr>
          <w:p w14:paraId="6618CFF0" w14:textId="77777777" w:rsidR="007E5C6D" w:rsidRPr="00965DDE" w:rsidRDefault="007E5C6D" w:rsidP="00D454E6">
            <w:pPr>
              <w:pStyle w:val="SingleTxtG"/>
              <w:ind w:left="0" w:right="34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Номер ООН</w:t>
            </w:r>
          </w:p>
        </w:tc>
        <w:tc>
          <w:tcPr>
            <w:tcW w:w="2114" w:type="dxa"/>
            <w:tcMar>
              <w:left w:w="28" w:type="dxa"/>
              <w:right w:w="28" w:type="dxa"/>
            </w:tcMar>
          </w:tcPr>
          <w:p w14:paraId="60EE0B98" w14:textId="77777777" w:rsidR="007E5C6D" w:rsidRPr="00965DDE" w:rsidRDefault="007E5C6D" w:rsidP="00107F8B">
            <w:pPr>
              <w:pStyle w:val="SingleTxtG"/>
              <w:ind w:left="0" w:right="0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</w:tcPr>
          <w:p w14:paraId="273FA528" w14:textId="77777777" w:rsidR="007E5C6D" w:rsidRPr="00965DDE" w:rsidRDefault="007E5C6D" w:rsidP="00D454E6">
            <w:pPr>
              <w:pStyle w:val="SingleTxtG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МПОГ/ДОПОГ</w:t>
            </w:r>
          </w:p>
        </w:tc>
      </w:tr>
      <w:tr w:rsidR="007E5C6D" w:rsidRPr="008E587B" w14:paraId="4129EC88" w14:textId="77777777" w:rsidTr="00F45AA9">
        <w:tc>
          <w:tcPr>
            <w:tcW w:w="1689" w:type="dxa"/>
            <w:tcMar>
              <w:left w:w="28" w:type="dxa"/>
              <w:right w:w="28" w:type="dxa"/>
            </w:tcMar>
            <w:vAlign w:val="center"/>
          </w:tcPr>
          <w:p w14:paraId="20D96C38" w14:textId="77777777" w:rsidR="007E5C6D" w:rsidRPr="00965DDE" w:rsidRDefault="007E5C6D" w:rsidP="00F45AA9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1012</w:t>
            </w:r>
          </w:p>
        </w:tc>
        <w:tc>
          <w:tcPr>
            <w:tcW w:w="2114" w:type="dxa"/>
            <w:tcMar>
              <w:left w:w="28" w:type="dxa"/>
              <w:right w:w="28" w:type="dxa"/>
            </w:tcMar>
          </w:tcPr>
          <w:p w14:paraId="501961AE" w14:textId="77777777" w:rsidR="007E5C6D" w:rsidRPr="00965DDE" w:rsidRDefault="007E5C6D" w:rsidP="00F45AA9">
            <w:pPr>
              <w:spacing w:after="12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5DDE">
              <w:rPr>
                <w:sz w:val="16"/>
                <w:szCs w:val="16"/>
              </w:rPr>
              <w:t>БУТИЛЕН</w:t>
            </w:r>
          </w:p>
        </w:tc>
        <w:tc>
          <w:tcPr>
            <w:tcW w:w="3676" w:type="dxa"/>
            <w:tcMar>
              <w:left w:w="28" w:type="dxa"/>
              <w:right w:w="28" w:type="dxa"/>
            </w:tcMar>
          </w:tcPr>
          <w:p w14:paraId="78C53908" w14:textId="77777777" w:rsidR="007E5C6D" w:rsidRPr="00965DDE" w:rsidRDefault="007E5C6D" w:rsidP="00F45AA9">
            <w:pPr>
              <w:spacing w:after="120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107F8B">
              <w:rPr>
                <w:strike/>
                <w:color w:val="FF0000"/>
                <w:sz w:val="16"/>
                <w:szCs w:val="16"/>
              </w:rPr>
              <w:t>БУТИЛЕН</w:t>
            </w:r>
            <w:r w:rsidR="00107F8B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БУ</w:t>
            </w:r>
            <w:r w:rsidRPr="00107F8B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ТИЛЕНОВ СМЕСЬ или 1-БУТИЛЕН или цис-2-БУТИЛЕН или транс-2-БУТИЛЕН</w:t>
            </w:r>
          </w:p>
        </w:tc>
      </w:tr>
    </w:tbl>
    <w:p w14:paraId="0063E45E" w14:textId="77777777" w:rsidR="007E5C6D" w:rsidRDefault="007E5C6D" w:rsidP="00F45AA9">
      <w:pPr>
        <w:pStyle w:val="SingleTxtG"/>
        <w:spacing w:before="120"/>
      </w:pPr>
      <w:r>
        <w:t>5.</w:t>
      </w:r>
      <w:r>
        <w:tab/>
        <w:t>Бутилен, известный также как бутен, представляет собой серию алкенов с общей формулой C</w:t>
      </w:r>
      <w:r w:rsidRPr="00965DDE">
        <w:rPr>
          <w:vertAlign w:val="subscript"/>
        </w:rPr>
        <w:t>4</w:t>
      </w:r>
      <w:r>
        <w:t>H</w:t>
      </w:r>
      <w:r w:rsidRPr="00965DDE">
        <w:rPr>
          <w:vertAlign w:val="subscript"/>
        </w:rPr>
        <w:t>8</w:t>
      </w:r>
      <w:r>
        <w:t>. Существуют четыре различных изомера алкенов, которые соответствуют упомянутой формуле:</w:t>
      </w:r>
    </w:p>
    <w:tbl>
      <w:tblPr>
        <w:tblStyle w:val="TableGrid"/>
        <w:tblW w:w="7479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479"/>
        <w:gridCol w:w="2268"/>
        <w:gridCol w:w="3732"/>
      </w:tblGrid>
      <w:tr w:rsidR="007E5C6D" w:rsidRPr="00F45AA9" w14:paraId="159EB059" w14:textId="77777777" w:rsidTr="00F45AA9"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14:paraId="133C9E27" w14:textId="77777777" w:rsidR="007E5C6D" w:rsidRPr="00F45AA9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5AA9">
              <w:rPr>
                <w:b/>
                <w:bCs/>
                <w:sz w:val="16"/>
                <w:szCs w:val="16"/>
              </w:rPr>
              <w:t>Наименование по</w:t>
            </w:r>
            <w:r w:rsidR="00727BE7">
              <w:rPr>
                <w:b/>
                <w:bCs/>
                <w:sz w:val="16"/>
                <w:szCs w:val="16"/>
              </w:rPr>
              <w:t> </w:t>
            </w:r>
            <w:r w:rsidRPr="00F45AA9">
              <w:rPr>
                <w:b/>
                <w:bCs/>
                <w:sz w:val="16"/>
                <w:szCs w:val="16"/>
              </w:rPr>
              <w:t>ИЮПАК</w:t>
            </w:r>
            <w:r w:rsidRPr="00F4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78BF3E5" w14:textId="77777777" w:rsidR="007E5C6D" w:rsidRPr="00F45AA9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5AA9">
              <w:rPr>
                <w:b/>
                <w:bCs/>
                <w:sz w:val="16"/>
                <w:szCs w:val="16"/>
              </w:rPr>
              <w:t xml:space="preserve">Общее наименование </w:t>
            </w:r>
          </w:p>
        </w:tc>
        <w:tc>
          <w:tcPr>
            <w:tcW w:w="3732" w:type="dxa"/>
            <w:tcMar>
              <w:left w:w="28" w:type="dxa"/>
              <w:right w:w="28" w:type="dxa"/>
            </w:tcMar>
            <w:vAlign w:val="center"/>
          </w:tcPr>
          <w:p w14:paraId="6F186319" w14:textId="77777777" w:rsidR="007E5C6D" w:rsidRPr="00F45AA9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45AA9">
              <w:rPr>
                <w:b/>
                <w:bCs/>
                <w:sz w:val="16"/>
                <w:szCs w:val="16"/>
              </w:rPr>
              <w:t>Структура</w:t>
            </w:r>
            <w:r w:rsidRPr="00F45AA9">
              <w:rPr>
                <w:sz w:val="16"/>
                <w:szCs w:val="16"/>
              </w:rPr>
              <w:t xml:space="preserve"> </w:t>
            </w:r>
          </w:p>
        </w:tc>
      </w:tr>
      <w:tr w:rsidR="007E5C6D" w:rsidRPr="00E62907" w14:paraId="3EB3378E" w14:textId="77777777" w:rsidTr="00F45AA9">
        <w:tc>
          <w:tcPr>
            <w:tcW w:w="1479" w:type="dxa"/>
            <w:tcMar>
              <w:left w:w="28" w:type="dxa"/>
              <w:right w:w="28" w:type="dxa"/>
            </w:tcMar>
          </w:tcPr>
          <w:p w14:paraId="03E0128A" w14:textId="77777777" w:rsidR="007E5C6D" w:rsidRPr="00E62907" w:rsidRDefault="00C760A7" w:rsidP="00F45AA9">
            <w:pPr>
              <w:pStyle w:val="SingleTxtG"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9" w:tooltip="1-Butene" w:history="1"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Бут-1-ен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633E132" w14:textId="77777777" w:rsidR="007E5C6D" w:rsidRPr="00F45AA9" w:rsidRDefault="007E5C6D" w:rsidP="00F45AA9">
            <w:pPr>
              <w:pStyle w:val="SingleTxtG"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α-бутилен или бутилен-1</w:t>
            </w:r>
          </w:p>
        </w:tc>
        <w:tc>
          <w:tcPr>
            <w:tcW w:w="3732" w:type="dxa"/>
            <w:tcMar>
              <w:left w:w="28" w:type="dxa"/>
              <w:right w:w="28" w:type="dxa"/>
            </w:tcMar>
          </w:tcPr>
          <w:p w14:paraId="4F530352" w14:textId="77777777" w:rsidR="007E5C6D" w:rsidRPr="00E62907" w:rsidRDefault="007E5C6D" w:rsidP="00D454E6">
            <w:pPr>
              <w:pStyle w:val="SingleTxtG"/>
              <w:spacing w:before="60" w:afterLines="60" w:after="144"/>
              <w:ind w:left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eastAsia="zh-CN"/>
              </w:rPr>
              <w:drawing>
                <wp:inline distT="0" distB="0" distL="0" distR="0" wp14:anchorId="252F6755" wp14:editId="269BDE6E">
                  <wp:extent cx="1997075" cy="1170305"/>
                  <wp:effectExtent l="0" t="0" r="3175" b="0"/>
                  <wp:docPr id="13" name="Imagen 13" descr="1-butene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butene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C6D" w:rsidRPr="00E62907" w14:paraId="1A1B7503" w14:textId="77777777" w:rsidTr="00F45AA9"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14:paraId="7C672976" w14:textId="77777777" w:rsidR="007E5C6D" w:rsidRPr="00E62907" w:rsidRDefault="00C760A7" w:rsidP="00F45AA9">
            <w:pPr>
              <w:pStyle w:val="SingleTxtG"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12" w:tooltip="2-Butene" w:history="1"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(2</w:t>
              </w:r>
              <w:r w:rsidR="007E5C6D" w:rsidRPr="00B77974">
                <w:rPr>
                  <w:rStyle w:val="Hyperlink"/>
                  <w:rFonts w:asciiTheme="majorBidi" w:hAnsiTheme="majorBidi" w:cstheme="majorBidi"/>
                  <w:i/>
                  <w:sz w:val="16"/>
                  <w:szCs w:val="16"/>
                </w:rPr>
                <w:t>Z</w:t>
              </w:r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 xml:space="preserve">)-бут-2-ен 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CAE7CC5" w14:textId="77777777" w:rsidR="007E5C6D" w:rsidRPr="00F45AA9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i/>
                <w:iCs/>
                <w:sz w:val="16"/>
                <w:szCs w:val="16"/>
              </w:rPr>
              <w:t>цис</w:t>
            </w:r>
            <w:r w:rsidRPr="00F45AA9">
              <w:rPr>
                <w:sz w:val="16"/>
                <w:szCs w:val="16"/>
              </w:rPr>
              <w:t xml:space="preserve">-β-бутилен или </w:t>
            </w:r>
            <w:r w:rsidR="00F45AA9">
              <w:rPr>
                <w:sz w:val="16"/>
                <w:szCs w:val="16"/>
              </w:rPr>
              <w:br/>
            </w:r>
            <w:r w:rsidRPr="00F45AA9">
              <w:rPr>
                <w:sz w:val="16"/>
                <w:szCs w:val="16"/>
              </w:rPr>
              <w:t>цис-2-бутилен</w:t>
            </w:r>
          </w:p>
        </w:tc>
        <w:tc>
          <w:tcPr>
            <w:tcW w:w="3732" w:type="dxa"/>
            <w:tcMar>
              <w:left w:w="28" w:type="dxa"/>
              <w:right w:w="28" w:type="dxa"/>
            </w:tcMar>
            <w:vAlign w:val="center"/>
          </w:tcPr>
          <w:p w14:paraId="6CF5506E" w14:textId="77777777" w:rsidR="007E5C6D" w:rsidRPr="00E62907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eastAsia="zh-CN"/>
              </w:rPr>
              <w:drawing>
                <wp:inline distT="0" distB="0" distL="0" distR="0" wp14:anchorId="44B0DE6E" wp14:editId="5051EBD7">
                  <wp:extent cx="1616710" cy="1192530"/>
                  <wp:effectExtent l="0" t="0" r="2540" b="0"/>
                  <wp:docPr id="14" name="Imagen 14" descr="Cis-2-buten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s-2-buten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C6D" w:rsidRPr="00E62907" w14:paraId="16EB4E73" w14:textId="77777777" w:rsidTr="00F45AA9"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14:paraId="2A64C10B" w14:textId="77777777" w:rsidR="007E5C6D" w:rsidRPr="00E62907" w:rsidRDefault="00C760A7" w:rsidP="00F45AA9">
            <w:pPr>
              <w:pStyle w:val="SingleTxtG"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hyperlink r:id="rId15" w:tooltip="2-Butene" w:history="1"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(2</w:t>
              </w:r>
              <w:r w:rsidR="007E5C6D" w:rsidRPr="00B77974">
                <w:rPr>
                  <w:rStyle w:val="Hyperlink"/>
                  <w:rFonts w:asciiTheme="majorBidi" w:hAnsiTheme="majorBidi" w:cstheme="majorBidi"/>
                  <w:i/>
                  <w:sz w:val="16"/>
                  <w:szCs w:val="16"/>
                </w:rPr>
                <w:t>Е</w:t>
              </w:r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 xml:space="preserve">)-бут-2-ен 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64E8B60" w14:textId="77777777" w:rsidR="007E5C6D" w:rsidRPr="00F45AA9" w:rsidRDefault="007E5C6D" w:rsidP="00F45AA9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i/>
                <w:iCs/>
                <w:sz w:val="16"/>
                <w:szCs w:val="16"/>
              </w:rPr>
              <w:t>транс</w:t>
            </w:r>
            <w:r w:rsidRPr="00F45AA9">
              <w:rPr>
                <w:sz w:val="16"/>
                <w:szCs w:val="16"/>
              </w:rPr>
              <w:t xml:space="preserve">-β-бутилен или </w:t>
            </w:r>
            <w:r w:rsidR="00F45AA9">
              <w:rPr>
                <w:sz w:val="16"/>
                <w:szCs w:val="16"/>
              </w:rPr>
              <w:br/>
            </w:r>
            <w:r w:rsidRPr="00F45AA9">
              <w:rPr>
                <w:sz w:val="16"/>
                <w:szCs w:val="16"/>
              </w:rPr>
              <w:t>транс-2-бутилен</w:t>
            </w:r>
          </w:p>
        </w:tc>
        <w:tc>
          <w:tcPr>
            <w:tcW w:w="3732" w:type="dxa"/>
            <w:tcMar>
              <w:left w:w="28" w:type="dxa"/>
              <w:right w:w="28" w:type="dxa"/>
            </w:tcMar>
            <w:vAlign w:val="center"/>
          </w:tcPr>
          <w:p w14:paraId="3E45CD8C" w14:textId="77777777" w:rsidR="007E5C6D" w:rsidRPr="00E62907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eastAsia="zh-CN"/>
              </w:rPr>
              <w:drawing>
                <wp:inline distT="0" distB="0" distL="0" distR="0" wp14:anchorId="71D174B0" wp14:editId="0B767F20">
                  <wp:extent cx="1616710" cy="1228725"/>
                  <wp:effectExtent l="0" t="0" r="2540" b="0"/>
                  <wp:docPr id="15" name="Imagen 15" descr="Trans-2-butene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-2-butene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C6D" w:rsidRPr="00E62907" w14:paraId="1CDA2C87" w14:textId="77777777" w:rsidTr="00F45AA9"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14:paraId="5C2D5C68" w14:textId="77777777" w:rsidR="007E5C6D" w:rsidRPr="00B77974" w:rsidRDefault="00C760A7" w:rsidP="00F45AA9">
            <w:pPr>
              <w:pStyle w:val="SingleTxtG"/>
              <w:spacing w:before="60" w:afterLines="60" w:after="144"/>
              <w:ind w:left="0" w:right="0"/>
              <w:jc w:val="center"/>
              <w:rPr>
                <w:rStyle w:val="Hyperlink"/>
              </w:rPr>
            </w:pPr>
            <w:hyperlink r:id="rId18" w:tooltip="Isobutylene" w:history="1">
              <w:r w:rsidR="007E5C6D" w:rsidRPr="00B77974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 xml:space="preserve">2-метилпроп-1-ен 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33ED853" w14:textId="77777777" w:rsidR="007E5C6D" w:rsidRPr="00F45AA9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 xml:space="preserve">Изобутилен </w:t>
            </w:r>
          </w:p>
        </w:tc>
        <w:tc>
          <w:tcPr>
            <w:tcW w:w="3732" w:type="dxa"/>
            <w:tcMar>
              <w:left w:w="28" w:type="dxa"/>
              <w:right w:w="28" w:type="dxa"/>
            </w:tcMar>
            <w:vAlign w:val="center"/>
          </w:tcPr>
          <w:p w14:paraId="2CFDBA20" w14:textId="77777777" w:rsidR="007E5C6D" w:rsidRPr="00E62907" w:rsidRDefault="007E5C6D" w:rsidP="00D454E6">
            <w:pPr>
              <w:spacing w:before="60" w:afterLines="60" w:after="1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62907">
              <w:rPr>
                <w:rFonts w:asciiTheme="majorBidi" w:hAnsiTheme="majorBidi" w:cstheme="majorBidi"/>
                <w:noProof/>
                <w:color w:val="0000FF"/>
                <w:sz w:val="16"/>
                <w:szCs w:val="16"/>
                <w:lang w:eastAsia="zh-CN"/>
              </w:rPr>
              <w:drawing>
                <wp:inline distT="0" distB="0" distL="0" distR="0" wp14:anchorId="5BF7936A" wp14:editId="43DF2A77">
                  <wp:extent cx="1382395" cy="1250950"/>
                  <wp:effectExtent l="0" t="0" r="0" b="0"/>
                  <wp:docPr id="16" name="Imagen 16" descr="Methylpropen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thylpropen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AF4C8" w14:textId="77777777" w:rsidR="007E5C6D" w:rsidRPr="0010401C" w:rsidRDefault="007E5C6D" w:rsidP="00107F8B">
      <w:pPr>
        <w:pStyle w:val="SingleTxtG"/>
        <w:spacing w:before="120"/>
      </w:pPr>
      <w:r>
        <w:t>6.</w:t>
      </w:r>
      <w:r>
        <w:tab/>
        <w:t>Наименование «бутилен», как представляется, охватывает все 4 изомера, и</w:t>
      </w:r>
      <w:r w:rsidR="00F45AA9">
        <w:t> </w:t>
      </w:r>
      <w:r>
        <w:t>поэтому, по всей видимости, нет необходимости включать названия изомеров по отдельности, как в наименовании в МПОГ и ДОПОГ. «Бутиленов смесь» явно включает в себя также смесь этих изомеров; но она также, как правило, включается в общее наименование «бутилен». Изобутилен</w:t>
      </w:r>
      <w:r w:rsidR="00107F8B">
        <w:t>-</w:t>
      </w:r>
      <w:r>
        <w:t>изомер прямо не упоминается в наименовании, содержащемся в МПОГ/ДОПОГ, и это может наводить на мысль о том, что согласно МПОГ/ДОПОГ его невозможно перевозить под этим номером ООН, кроме как в смеси с другими изомерами.</w:t>
      </w:r>
    </w:p>
    <w:p w14:paraId="68BD9045" w14:textId="77777777" w:rsidR="007E5C6D" w:rsidRPr="0010401C" w:rsidRDefault="007E5C6D" w:rsidP="007E5C6D">
      <w:pPr>
        <w:pStyle w:val="SingleTxtG"/>
      </w:pPr>
      <w:r>
        <w:t>7.</w:t>
      </w:r>
      <w:r>
        <w:tab/>
        <w:t>Таким образом, дополнительный текст, включенный в наименование и описание в МПОГ/ДОПОГ, не представляется необходимым.</w:t>
      </w:r>
    </w:p>
    <w:p w14:paraId="4B548B65" w14:textId="77777777" w:rsidR="007E5C6D" w:rsidRPr="0010401C" w:rsidRDefault="007E5C6D" w:rsidP="007E5C6D">
      <w:pPr>
        <w:pStyle w:val="HChG"/>
        <w:spacing w:before="120" w:after="120"/>
        <w:ind w:firstLine="0"/>
        <w:rPr>
          <w:rFonts w:eastAsiaTheme="minorEastAsia"/>
        </w:rPr>
      </w:pPr>
      <w:r>
        <w:rPr>
          <w:bCs/>
        </w:rPr>
        <w:t>Гафниевый, циркониевый и титановый порошки и</w:t>
      </w:r>
      <w:r w:rsidR="00B77974">
        <w:rPr>
          <w:bCs/>
        </w:rPr>
        <w:t> </w:t>
      </w:r>
      <w:r>
        <w:rPr>
          <w:bCs/>
        </w:rPr>
        <w:t>каучука отходы</w:t>
      </w:r>
    </w:p>
    <w:p w14:paraId="057483DA" w14:textId="77777777" w:rsidR="007E5C6D" w:rsidRPr="0010401C" w:rsidRDefault="007E5C6D" w:rsidP="007E5C6D">
      <w:pPr>
        <w:pStyle w:val="SingleTxtG"/>
      </w:pPr>
      <w:r>
        <w:t>8.</w:t>
      </w:r>
      <w:r>
        <w:tab/>
        <w:t>Ниже приводятся наименования и описания № ООН 1326, 1345, 1352 и 1358, содержащиеся в Типовых правилах и МПОГ/ДОПОГ: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81"/>
        <w:gridCol w:w="3038"/>
        <w:gridCol w:w="3060"/>
      </w:tblGrid>
      <w:tr w:rsidR="007E5C6D" w:rsidRPr="00F45AA9" w14:paraId="46DE42B0" w14:textId="77777777" w:rsidTr="00F45AA9">
        <w:tc>
          <w:tcPr>
            <w:tcW w:w="1381" w:type="dxa"/>
            <w:tcMar>
              <w:left w:w="28" w:type="dxa"/>
              <w:right w:w="28" w:type="dxa"/>
            </w:tcMar>
          </w:tcPr>
          <w:p w14:paraId="61F2F3B9" w14:textId="77777777" w:rsidR="007E5C6D" w:rsidRPr="00F45AA9" w:rsidRDefault="007E5C6D" w:rsidP="00D454E6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Номер ООН</w:t>
            </w:r>
          </w:p>
        </w:tc>
        <w:tc>
          <w:tcPr>
            <w:tcW w:w="3038" w:type="dxa"/>
            <w:tcMar>
              <w:left w:w="28" w:type="dxa"/>
              <w:right w:w="28" w:type="dxa"/>
            </w:tcMar>
          </w:tcPr>
          <w:p w14:paraId="407CDC85" w14:textId="77777777" w:rsidR="007E5C6D" w:rsidRPr="00F45AA9" w:rsidRDefault="007E5C6D" w:rsidP="00544B4F">
            <w:pPr>
              <w:pStyle w:val="SingleTxtG"/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1124ABC4" w14:textId="77777777" w:rsidR="007E5C6D" w:rsidRPr="00F45AA9" w:rsidRDefault="007E5C6D" w:rsidP="00544B4F">
            <w:pPr>
              <w:pStyle w:val="SingleTxtG"/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МПОГ/ДОПОГ</w:t>
            </w:r>
          </w:p>
        </w:tc>
      </w:tr>
      <w:tr w:rsidR="007E5C6D" w:rsidRPr="00F45AA9" w14:paraId="1F16D884" w14:textId="77777777" w:rsidTr="00F45AA9"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57B13486" w14:textId="77777777" w:rsidR="007E5C6D" w:rsidRPr="00F45AA9" w:rsidRDefault="007E5C6D" w:rsidP="00D454E6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1326</w:t>
            </w:r>
          </w:p>
        </w:tc>
        <w:tc>
          <w:tcPr>
            <w:tcW w:w="3038" w:type="dxa"/>
            <w:tcMar>
              <w:left w:w="28" w:type="dxa"/>
              <w:right w:w="28" w:type="dxa"/>
            </w:tcMar>
          </w:tcPr>
          <w:p w14:paraId="4438E9AC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ГАФНИЕВЫЙ ПОРОШОК УВЛАЖНЕННЫЙ с не менее 25% воды (должен быть видимый избыток воды) а)</w:t>
            </w:r>
            <w:r w:rsidR="00F45AA9">
              <w:rPr>
                <w:sz w:val="16"/>
                <w:szCs w:val="16"/>
              </w:rPr>
              <w:t> </w:t>
            </w:r>
            <w:r w:rsidRPr="00F45AA9">
              <w:rPr>
                <w:sz w:val="16"/>
                <w:szCs w:val="16"/>
              </w:rPr>
              <w:t>изготовленный механическим способом, размер частиц менее 53 микрон; b)</w:t>
            </w:r>
            <w:r w:rsidR="00F45AA9">
              <w:rPr>
                <w:sz w:val="16"/>
                <w:szCs w:val="16"/>
              </w:rPr>
              <w:t> </w:t>
            </w:r>
            <w:r w:rsidRPr="00F45AA9">
              <w:rPr>
                <w:sz w:val="16"/>
                <w:szCs w:val="16"/>
              </w:rPr>
              <w:t xml:space="preserve">изготовленный химическим способом, размер частиц менее 840 микрон 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56694207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 xml:space="preserve">ГАФНИЕВЫЙ ПОРОШОК УВЛАЖНЕННЫЙ с долей воды не менее 25% </w:t>
            </w:r>
            <w:r w:rsidRPr="00F45AA9">
              <w:rPr>
                <w:strike/>
                <w:color w:val="FF0000"/>
                <w:sz w:val="16"/>
                <w:szCs w:val="16"/>
              </w:rPr>
              <w:t>(должен быть видимый избыток воды) а) изготовленный механическим способом, размер частиц менее 53 микрон; b)</w:t>
            </w:r>
            <w:r w:rsidR="00F45AA9">
              <w:rPr>
                <w:strike/>
                <w:color w:val="FF0000"/>
                <w:sz w:val="16"/>
                <w:szCs w:val="16"/>
              </w:rPr>
              <w:t> </w:t>
            </w:r>
            <w:r w:rsidRPr="00F45AA9">
              <w:rPr>
                <w:strike/>
                <w:color w:val="FF0000"/>
                <w:sz w:val="16"/>
                <w:szCs w:val="16"/>
              </w:rPr>
              <w:t>изготовленный химическим способом, размер частиц менее 840 микрон</w:t>
            </w:r>
          </w:p>
        </w:tc>
      </w:tr>
      <w:tr w:rsidR="007E5C6D" w:rsidRPr="00F45AA9" w14:paraId="6B9096F5" w14:textId="77777777" w:rsidTr="00F45AA9"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4A7D0EDA" w14:textId="77777777" w:rsidR="007E5C6D" w:rsidRPr="00F45AA9" w:rsidRDefault="007E5C6D" w:rsidP="00D454E6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1345</w:t>
            </w:r>
          </w:p>
        </w:tc>
        <w:tc>
          <w:tcPr>
            <w:tcW w:w="3038" w:type="dxa"/>
            <w:tcMar>
              <w:left w:w="28" w:type="dxa"/>
              <w:right w:w="28" w:type="dxa"/>
            </w:tcMar>
          </w:tcPr>
          <w:p w14:paraId="3AAFA54D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КАУЧУКА ОТХОДЫ или КАУЧУК РЕГЕНЕРИРОВАННЫЙ, порошок или гранулы размером не более 840 микрон с более 45% каучука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7F654838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 xml:space="preserve">КАУЧУКА ОТХОДЫ или КАУЧУК РЕГЕНЕРИРОВАННЫЙ, порошок или гранулы </w:t>
            </w:r>
            <w:r w:rsidRPr="00F45AA9">
              <w:rPr>
                <w:strike/>
                <w:color w:val="FF0000"/>
                <w:sz w:val="16"/>
                <w:szCs w:val="16"/>
              </w:rPr>
              <w:t>размером не более 840 микрон с</w:t>
            </w:r>
            <w:r w:rsidR="00F45AA9">
              <w:rPr>
                <w:strike/>
                <w:color w:val="FF0000"/>
                <w:sz w:val="16"/>
                <w:szCs w:val="16"/>
              </w:rPr>
              <w:t> </w:t>
            </w:r>
            <w:r w:rsidRPr="00F45AA9">
              <w:rPr>
                <w:strike/>
                <w:color w:val="FF0000"/>
                <w:sz w:val="16"/>
                <w:szCs w:val="16"/>
              </w:rPr>
              <w:t>более 45% каучука</w:t>
            </w:r>
          </w:p>
        </w:tc>
      </w:tr>
      <w:tr w:rsidR="007E5C6D" w:rsidRPr="00F45AA9" w14:paraId="1F975BBC" w14:textId="77777777" w:rsidTr="00F45AA9"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24FC36B5" w14:textId="77777777" w:rsidR="007E5C6D" w:rsidRPr="00F45AA9" w:rsidRDefault="007E5C6D" w:rsidP="00F45AA9">
            <w:pPr>
              <w:keepNext/>
              <w:keepLines/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lastRenderedPageBreak/>
              <w:t>1352</w:t>
            </w:r>
          </w:p>
        </w:tc>
        <w:tc>
          <w:tcPr>
            <w:tcW w:w="3038" w:type="dxa"/>
            <w:tcMar>
              <w:left w:w="28" w:type="dxa"/>
              <w:right w:w="28" w:type="dxa"/>
            </w:tcMar>
          </w:tcPr>
          <w:p w14:paraId="7ACB8169" w14:textId="77777777" w:rsidR="007E5C6D" w:rsidRPr="00F45AA9" w:rsidRDefault="007E5C6D" w:rsidP="00F45AA9">
            <w:pPr>
              <w:keepNext/>
              <w:keepLines/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ТИТАНОВЫЙ ПОРОШОК, УВЛАЖНЕННЫЙ с не менее 25% воды (должен быть видимый избыток воды) а)</w:t>
            </w:r>
            <w:r w:rsidR="00F45AA9">
              <w:rPr>
                <w:sz w:val="16"/>
                <w:szCs w:val="16"/>
              </w:rPr>
              <w:t> </w:t>
            </w:r>
            <w:r w:rsidRPr="00F45AA9">
              <w:rPr>
                <w:sz w:val="16"/>
                <w:szCs w:val="16"/>
              </w:rPr>
              <w:t>изготовленный механическим способом, размер частиц менее 53 микрон; b)</w:t>
            </w:r>
            <w:r w:rsidR="00F45AA9">
              <w:rPr>
                <w:sz w:val="16"/>
                <w:szCs w:val="16"/>
              </w:rPr>
              <w:t> </w:t>
            </w:r>
            <w:r w:rsidRPr="00F45AA9">
              <w:rPr>
                <w:sz w:val="16"/>
                <w:szCs w:val="16"/>
              </w:rPr>
              <w:t xml:space="preserve">изготовленный химическим способом, размер частиц менее 840 микрон 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6C309A2B" w14:textId="77777777" w:rsidR="007E5C6D" w:rsidRPr="00F45AA9" w:rsidRDefault="007E5C6D" w:rsidP="00F45AA9">
            <w:pPr>
              <w:keepNext/>
              <w:keepLines/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 xml:space="preserve">ТИТАНОВЫЙ ПОРОШОК, УВЛАЖНЕННЫЙ с долей воды не менее 25% </w:t>
            </w:r>
            <w:r w:rsidRPr="00F45AA9">
              <w:rPr>
                <w:strike/>
                <w:color w:val="FF0000"/>
                <w:sz w:val="16"/>
                <w:szCs w:val="16"/>
              </w:rPr>
              <w:t>(должен быть видимый избыток воды) а) изготовленный механическим способом, размер частиц менее 53 микрон; b)</w:t>
            </w:r>
            <w:r w:rsidR="00F45AA9">
              <w:rPr>
                <w:strike/>
                <w:color w:val="FF0000"/>
                <w:sz w:val="16"/>
                <w:szCs w:val="16"/>
              </w:rPr>
              <w:t> </w:t>
            </w:r>
            <w:r w:rsidRPr="00F45AA9">
              <w:rPr>
                <w:strike/>
                <w:color w:val="FF0000"/>
                <w:sz w:val="16"/>
                <w:szCs w:val="16"/>
              </w:rPr>
              <w:t>изготовленный химическим способом, размер частиц менее 840 микрон</w:t>
            </w:r>
            <w:r w:rsidRPr="00F45AA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E5C6D" w:rsidRPr="00F45AA9" w14:paraId="37682763" w14:textId="77777777" w:rsidTr="00F45AA9"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0CA6F55F" w14:textId="77777777" w:rsidR="007E5C6D" w:rsidRPr="00F45AA9" w:rsidRDefault="007E5C6D" w:rsidP="00D454E6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1358</w:t>
            </w:r>
          </w:p>
        </w:tc>
        <w:tc>
          <w:tcPr>
            <w:tcW w:w="3038" w:type="dxa"/>
            <w:tcMar>
              <w:left w:w="28" w:type="dxa"/>
              <w:right w:w="28" w:type="dxa"/>
            </w:tcMar>
          </w:tcPr>
          <w:p w14:paraId="7C1FE838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 xml:space="preserve">ЦИРКОНИЕВЫЙ ПОРОШОК, УВЛАЖНЕННЫЙ с не менее 25% воды, по массе (должен быть видимый избыток воды а) изготовленный механическим способом, размер частиц меньше </w:t>
            </w:r>
            <w:r w:rsidR="00F45AA9">
              <w:rPr>
                <w:sz w:val="16"/>
                <w:szCs w:val="16"/>
              </w:rPr>
              <w:br/>
            </w:r>
            <w:r w:rsidRPr="00F45AA9">
              <w:rPr>
                <w:sz w:val="16"/>
                <w:szCs w:val="16"/>
              </w:rPr>
              <w:t>53</w:t>
            </w:r>
            <w:r w:rsidRPr="00F45AA9">
              <w:t xml:space="preserve"> </w:t>
            </w:r>
            <w:r w:rsidRPr="00F45AA9">
              <w:rPr>
                <w:sz w:val="16"/>
                <w:szCs w:val="16"/>
              </w:rPr>
              <w:t>микрон; b) изготовленный химическим способом, размер частиц меньше 840</w:t>
            </w:r>
            <w:r w:rsidR="00F45AA9">
              <w:rPr>
                <w:sz w:val="16"/>
                <w:szCs w:val="16"/>
              </w:rPr>
              <w:t> </w:t>
            </w:r>
            <w:r w:rsidRPr="00F45AA9">
              <w:rPr>
                <w:sz w:val="16"/>
                <w:szCs w:val="16"/>
              </w:rPr>
              <w:t xml:space="preserve">микрон 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6F1C9AB6" w14:textId="77777777" w:rsidR="007E5C6D" w:rsidRPr="00F45AA9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5AA9">
              <w:rPr>
                <w:sz w:val="16"/>
                <w:szCs w:val="16"/>
              </w:rPr>
              <w:t>ЦИРКОНИЕВЫЙ ПОРОШОК, УВЛАЖНЕННЫЙ с долей воды не менее 25</w:t>
            </w:r>
            <w:r w:rsidRPr="002D10DC">
              <w:rPr>
                <w:sz w:val="16"/>
                <w:szCs w:val="16"/>
              </w:rPr>
              <w:t xml:space="preserve">% </w:t>
            </w:r>
            <w:r w:rsidRPr="00F45AA9">
              <w:rPr>
                <w:strike/>
                <w:color w:val="FF0000"/>
                <w:sz w:val="16"/>
                <w:szCs w:val="16"/>
              </w:rPr>
              <w:t>(должен быть видимый избыток воды а) изготовленный механическим способом, размер частиц меньше 53 микрон; b)</w:t>
            </w:r>
            <w:r w:rsidR="00F45AA9">
              <w:rPr>
                <w:strike/>
                <w:color w:val="FF0000"/>
                <w:sz w:val="16"/>
                <w:szCs w:val="16"/>
              </w:rPr>
              <w:t> </w:t>
            </w:r>
            <w:r w:rsidRPr="00F45AA9">
              <w:rPr>
                <w:strike/>
                <w:color w:val="FF0000"/>
                <w:sz w:val="16"/>
                <w:szCs w:val="16"/>
              </w:rPr>
              <w:t>изготовленный химическим способом, размер частиц меньше 840 микро</w:t>
            </w:r>
            <w:r w:rsidRPr="00F45AA9">
              <w:rPr>
                <w:strike/>
                <w:sz w:val="16"/>
                <w:szCs w:val="16"/>
              </w:rPr>
              <w:t>н</w:t>
            </w:r>
            <w:r w:rsidRPr="00F45AA9">
              <w:rPr>
                <w:sz w:val="16"/>
                <w:szCs w:val="16"/>
              </w:rPr>
              <w:t xml:space="preserve"> </w:t>
            </w:r>
          </w:p>
        </w:tc>
      </w:tr>
    </w:tbl>
    <w:p w14:paraId="31BBD0C4" w14:textId="77777777" w:rsidR="007E5C6D" w:rsidRPr="00716C14" w:rsidRDefault="007E5C6D" w:rsidP="00107F8B">
      <w:pPr>
        <w:pStyle w:val="SingleTxtG"/>
        <w:spacing w:before="120"/>
      </w:pPr>
      <w:r>
        <w:t>9.</w:t>
      </w:r>
      <w:r>
        <w:tab/>
        <w:t xml:space="preserve">Во всех этих случаях МПОГ/ДОПОГ охватывают данные вещества независимо от их гранулометрических характеристик, в то время как Типовые правила ограничивают перечень веществами, которые, по всей видимости, представляют наибольшую опасность. </w:t>
      </w:r>
    </w:p>
    <w:p w14:paraId="0D44B3D7" w14:textId="77777777" w:rsidR="007E5C6D" w:rsidRPr="0010401C" w:rsidRDefault="007E5C6D" w:rsidP="007E5C6D">
      <w:pPr>
        <w:pStyle w:val="SingleTxtG"/>
      </w:pPr>
      <w:r>
        <w:t>10.</w:t>
      </w:r>
      <w:r>
        <w:tab/>
        <w:t>В правилах других видов транспорта номера ООН имеют такое же описание, как и в Типовых правилах. Описание, содержащееся в МПОГ/ДОПОГ, охватывает больше случаев, чем описание в Типовых правилах, и это может привести к несоответствиям.</w:t>
      </w:r>
    </w:p>
    <w:p w14:paraId="1FB40145" w14:textId="77777777" w:rsidR="007E5C6D" w:rsidRPr="0010401C" w:rsidRDefault="007E5C6D" w:rsidP="007E5C6D">
      <w:pPr>
        <w:pStyle w:val="HChG"/>
        <w:spacing w:before="240"/>
        <w:ind w:firstLine="0"/>
        <w:rPr>
          <w:rFonts w:eastAsiaTheme="minorEastAsia"/>
        </w:rPr>
      </w:pPr>
      <w:r>
        <w:rPr>
          <w:bCs/>
        </w:rPr>
        <w:t>№ ООН 2015 Водорода пероксид</w:t>
      </w:r>
    </w:p>
    <w:p w14:paraId="57A17674" w14:textId="77777777" w:rsidR="007E5C6D" w:rsidRPr="0010401C" w:rsidRDefault="007E5C6D" w:rsidP="007E5C6D">
      <w:pPr>
        <w:pStyle w:val="SingleTxtG"/>
      </w:pPr>
      <w:r>
        <w:t>11.</w:t>
      </w:r>
      <w:r>
        <w:tab/>
        <w:t>Данный номер ООН для пероксида водорода подразделяется в МПОГ/ДОПОГ на две разные позиции: одна – с содержанием пероксида водорода 60–70% и другая</w:t>
      </w:r>
      <w:r w:rsidR="002D10DC">
        <w:t> </w:t>
      </w:r>
      <w:r>
        <w:t>– с содержанием пероксида водорода более 70%. Кроме того, эта позиция применяется только для перевозки пероксида водорода в виде водного раствора, но не в виде стабилизированного продукта: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95"/>
        <w:gridCol w:w="3024"/>
        <w:gridCol w:w="3060"/>
      </w:tblGrid>
      <w:tr w:rsidR="007E5C6D" w:rsidRPr="002D10DC" w14:paraId="01AA2EB0" w14:textId="77777777" w:rsidTr="002D10DC">
        <w:tc>
          <w:tcPr>
            <w:tcW w:w="1395" w:type="dxa"/>
            <w:tcMar>
              <w:left w:w="28" w:type="dxa"/>
              <w:right w:w="28" w:type="dxa"/>
            </w:tcMar>
          </w:tcPr>
          <w:p w14:paraId="684A176E" w14:textId="77777777" w:rsidR="007E5C6D" w:rsidRPr="002D10DC" w:rsidRDefault="007E5C6D" w:rsidP="002D10DC">
            <w:pPr>
              <w:pStyle w:val="SingleTxtG"/>
              <w:spacing w:before="60" w:afterLines="60" w:after="144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Номер ООН</w:t>
            </w:r>
          </w:p>
        </w:tc>
        <w:tc>
          <w:tcPr>
            <w:tcW w:w="3024" w:type="dxa"/>
            <w:tcMar>
              <w:left w:w="28" w:type="dxa"/>
              <w:right w:w="28" w:type="dxa"/>
            </w:tcMar>
          </w:tcPr>
          <w:p w14:paraId="7D71C840" w14:textId="77777777" w:rsidR="007E5C6D" w:rsidRPr="002D10DC" w:rsidRDefault="007E5C6D" w:rsidP="00727BE7">
            <w:pPr>
              <w:pStyle w:val="SingleTxtG"/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111C31AB" w14:textId="77777777" w:rsidR="007E5C6D" w:rsidRPr="002D10DC" w:rsidRDefault="007E5C6D" w:rsidP="00727BE7">
            <w:pPr>
              <w:pStyle w:val="SingleTxtG"/>
              <w:spacing w:before="60" w:afterLines="60" w:after="144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МПОГ/ДОПОГ</w:t>
            </w:r>
          </w:p>
        </w:tc>
      </w:tr>
      <w:tr w:rsidR="007E5C6D" w:rsidRPr="002D10DC" w14:paraId="06D22FF0" w14:textId="77777777" w:rsidTr="002D10DC"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 w14:paraId="78CDC6F0" w14:textId="77777777" w:rsidR="007E5C6D" w:rsidRPr="002D10DC" w:rsidRDefault="007E5C6D" w:rsidP="00D454E6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2015</w:t>
            </w:r>
          </w:p>
        </w:tc>
        <w:tc>
          <w:tcPr>
            <w:tcW w:w="3024" w:type="dxa"/>
            <w:tcMar>
              <w:left w:w="28" w:type="dxa"/>
              <w:right w:w="28" w:type="dxa"/>
            </w:tcMar>
          </w:tcPr>
          <w:p w14:paraId="0955DD74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ВОДОРОДА ПЕРОКСИД СТАБИЛИЗИРОВАННЫЙ или ВОДОРОДА ПЕРОКСИДА ВОДНЫЙ РАСТВОР СТАБИЛИЗИРОВАННЫЙ, содержащий более 60% пероксида водорода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3E1D5853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2D10DC">
              <w:rPr>
                <w:strike/>
                <w:color w:val="FF0000"/>
                <w:sz w:val="16"/>
                <w:szCs w:val="16"/>
              </w:rPr>
              <w:t>ВОДОРОДА ПЕРОКСИД СТАБИЛИЗИРОВАННЫЙ или</w:t>
            </w:r>
            <w:r w:rsidRPr="002D10DC">
              <w:rPr>
                <w:color w:val="FF0000"/>
                <w:sz w:val="16"/>
                <w:szCs w:val="16"/>
              </w:rPr>
              <w:t xml:space="preserve"> </w:t>
            </w:r>
            <w:r w:rsidRPr="002D10DC">
              <w:rPr>
                <w:sz w:val="16"/>
                <w:szCs w:val="16"/>
              </w:rPr>
              <w:t xml:space="preserve">ВОДОРОДА ПЕРОКСИДА ВОДНЫЙ РАСТВОР СТАБИЛИЗИРОВАННЫЙ, содержащий более </w:t>
            </w:r>
            <w:r w:rsidRPr="002D10DC">
              <w:rPr>
                <w:strike/>
                <w:color w:val="FF0000"/>
                <w:sz w:val="16"/>
                <w:szCs w:val="16"/>
              </w:rPr>
              <w:t>60</w:t>
            </w:r>
            <w:r w:rsidRPr="002D10DC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70%</w:t>
            </w:r>
            <w:r w:rsidRPr="002D10DC">
              <w:rPr>
                <w:sz w:val="16"/>
                <w:szCs w:val="16"/>
              </w:rPr>
              <w:t xml:space="preserve"> пероксида водорода</w:t>
            </w:r>
          </w:p>
        </w:tc>
      </w:tr>
      <w:tr w:rsidR="007E5C6D" w:rsidRPr="002D10DC" w14:paraId="1BDEA124" w14:textId="77777777" w:rsidTr="002D10DC"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 w14:paraId="4885BE1D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3024" w:type="dxa"/>
            <w:tcMar>
              <w:left w:w="28" w:type="dxa"/>
              <w:right w:w="28" w:type="dxa"/>
            </w:tcMar>
          </w:tcPr>
          <w:p w14:paraId="4DDB33A7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3060" w:type="dxa"/>
            <w:tcMar>
              <w:left w:w="28" w:type="dxa"/>
              <w:right w:w="28" w:type="dxa"/>
            </w:tcMar>
          </w:tcPr>
          <w:p w14:paraId="6D5974B1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2D10DC">
              <w:rPr>
                <w:strike/>
                <w:color w:val="FF0000"/>
                <w:sz w:val="16"/>
                <w:szCs w:val="16"/>
              </w:rPr>
              <w:t>ВОДОРОДА ПЕРОКСИД СТАБИЛИЗИРОВАННЫЙ или</w:t>
            </w:r>
            <w:r w:rsidRPr="002D10DC">
              <w:rPr>
                <w:color w:val="FF0000"/>
                <w:sz w:val="16"/>
                <w:szCs w:val="16"/>
              </w:rPr>
              <w:t xml:space="preserve"> </w:t>
            </w:r>
            <w:r w:rsidRPr="002D10DC">
              <w:rPr>
                <w:sz w:val="16"/>
                <w:szCs w:val="16"/>
              </w:rPr>
              <w:t xml:space="preserve">ВОДОРОДА ПЕРОКСИДА ВОДНЫЙ РАСТВОР СТАБИЛИЗИРОВАННЫЙ, содержащий более 60% </w:t>
            </w:r>
            <w:r w:rsidRPr="002D10DC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и не более 70% пероксида водорода</w:t>
            </w:r>
          </w:p>
        </w:tc>
      </w:tr>
    </w:tbl>
    <w:p w14:paraId="46D898DA" w14:textId="77777777" w:rsidR="007E5C6D" w:rsidRPr="0010401C" w:rsidRDefault="007E5C6D" w:rsidP="00107F8B">
      <w:pPr>
        <w:pStyle w:val="SingleTxtG"/>
        <w:spacing w:before="120"/>
      </w:pPr>
      <w:r>
        <w:t>12.</w:t>
      </w:r>
      <w:r>
        <w:tab/>
        <w:t>Таким образом, в соответствии с Типовыми правилами стабилизированный пероксид водорода может перевозиться под № ООН 2015, а согласно МПОГ/ДОПОГ</w:t>
      </w:r>
      <w:r w:rsidR="00107F8B">
        <w:t> </w:t>
      </w:r>
      <w:r>
        <w:t>– не может; возможно, этот случай следует также включить в МПОГ/ДОПОГ.</w:t>
      </w:r>
    </w:p>
    <w:p w14:paraId="7E6CB490" w14:textId="77777777" w:rsidR="007E5C6D" w:rsidRPr="0010401C" w:rsidRDefault="007E5C6D" w:rsidP="007E5C6D">
      <w:pPr>
        <w:pStyle w:val="HChG"/>
        <w:spacing w:before="240"/>
        <w:ind w:firstLine="0"/>
        <w:rPr>
          <w:rFonts w:eastAsiaTheme="minorEastAsia"/>
        </w:rPr>
      </w:pPr>
      <w:r>
        <w:rPr>
          <w:bCs/>
        </w:rPr>
        <w:t>№ ООН 2071 и № ООН 2426 Аммония нитрат</w:t>
      </w:r>
    </w:p>
    <w:p w14:paraId="2B58028F" w14:textId="77777777" w:rsidR="007E5C6D" w:rsidRPr="0010401C" w:rsidRDefault="007E5C6D" w:rsidP="007E5C6D">
      <w:pPr>
        <w:pStyle w:val="SingleTxtG"/>
      </w:pPr>
      <w:r>
        <w:t>13.</w:t>
      </w:r>
      <w:r>
        <w:tab/>
        <w:t>Ниже приводятся наименования и описания № ООН 2071 и № ООН 2426, содержащиеся в Типовых правилах и МПОГ/ДОПОГ: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402"/>
      </w:tblGrid>
      <w:tr w:rsidR="007E5C6D" w:rsidRPr="002D10DC" w14:paraId="16205A1D" w14:textId="77777777" w:rsidTr="002D10DC">
        <w:tc>
          <w:tcPr>
            <w:tcW w:w="1384" w:type="dxa"/>
            <w:tcMar>
              <w:left w:w="28" w:type="dxa"/>
              <w:right w:w="28" w:type="dxa"/>
            </w:tcMar>
          </w:tcPr>
          <w:p w14:paraId="6A66E05E" w14:textId="77777777" w:rsidR="007E5C6D" w:rsidRPr="002D10DC" w:rsidRDefault="007E5C6D" w:rsidP="00670BC3">
            <w:pPr>
              <w:pStyle w:val="SingleTxtG"/>
              <w:keepNext/>
              <w:keepLines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lastRenderedPageBreak/>
              <w:t>Номер ООН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7BA6DBD" w14:textId="77777777" w:rsidR="007E5C6D" w:rsidRPr="002D10DC" w:rsidRDefault="007E5C6D" w:rsidP="00727BE7">
            <w:pPr>
              <w:pStyle w:val="SingleTxtG"/>
              <w:keepNext/>
              <w:keepLines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6109B3E" w14:textId="77777777" w:rsidR="007E5C6D" w:rsidRPr="002D10DC" w:rsidRDefault="007E5C6D" w:rsidP="00727BE7">
            <w:pPr>
              <w:pStyle w:val="SingleTxtG"/>
              <w:keepNext/>
              <w:keepLines/>
              <w:spacing w:before="60" w:afterLines="60" w:after="144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МПОГ/ДОПОГ</w:t>
            </w:r>
          </w:p>
        </w:tc>
      </w:tr>
      <w:tr w:rsidR="007E5C6D" w:rsidRPr="002D10DC" w14:paraId="57A16545" w14:textId="77777777" w:rsidTr="002D10DC"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14:paraId="722DD409" w14:textId="77777777" w:rsidR="007E5C6D" w:rsidRPr="002D10DC" w:rsidRDefault="007E5C6D" w:rsidP="00670BC3">
            <w:pPr>
              <w:keepNext/>
              <w:keepLines/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2071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32C64BD" w14:textId="77777777" w:rsidR="007E5C6D" w:rsidRPr="002D10DC" w:rsidRDefault="007E5C6D" w:rsidP="00670BC3">
            <w:pPr>
              <w:keepNext/>
              <w:keepLines/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УДОБРЕНИЕ НА ОСНОВЕ АММОНИЯ НИТРАТА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39219016" w14:textId="77777777" w:rsidR="007E5C6D" w:rsidRPr="002D10DC" w:rsidRDefault="007E5C6D" w:rsidP="00670BC3">
            <w:pPr>
              <w:keepNext/>
              <w:keepLines/>
              <w:spacing w:before="60" w:afterLines="60" w:after="144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2D10DC">
              <w:rPr>
                <w:strike/>
                <w:color w:val="FF0000"/>
                <w:sz w:val="16"/>
                <w:szCs w:val="16"/>
              </w:rPr>
              <w:t>УДОБРЕНИЕ НА ОСНОВЕ АММОНИЯ НИТРАТА</w:t>
            </w:r>
            <w:r w:rsidRPr="002D10DC">
              <w:rPr>
                <w:color w:val="FF0000"/>
                <w:sz w:val="16"/>
                <w:szCs w:val="16"/>
              </w:rPr>
              <w:t xml:space="preserve"> </w:t>
            </w:r>
            <w:r w:rsidRPr="002D10DC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Удобрение на основе нитрата аммония, однородные азотно-фосфатные, азотно-калийные или азотно-фосфатно-калийные смеси, содержащие не более 70% нитрата аммония и не более 0,4% общего количества горючего/органического материала, рассчитываемого по углероду, или не более 45% нитрата аммония и неограниченное количество горючего материала</w:t>
            </w:r>
          </w:p>
        </w:tc>
      </w:tr>
      <w:tr w:rsidR="007E5C6D" w:rsidRPr="002D10DC" w14:paraId="05D4480C" w14:textId="77777777" w:rsidTr="002D10DC"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14:paraId="65B6FAA1" w14:textId="77777777" w:rsidR="007E5C6D" w:rsidRPr="002D10DC" w:rsidRDefault="007E5C6D" w:rsidP="00D454E6">
            <w:pPr>
              <w:spacing w:before="60" w:afterLines="60" w:after="144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2426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7B9E847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>АММОНИЯ НИТРАТ ЖИДКИЙ (горячий концентрированный раствор)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210B3F2" w14:textId="77777777" w:rsidR="007E5C6D" w:rsidRPr="002D10DC" w:rsidRDefault="007E5C6D" w:rsidP="00D454E6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D10DC">
              <w:rPr>
                <w:sz w:val="16"/>
                <w:szCs w:val="16"/>
              </w:rPr>
              <w:t xml:space="preserve">АММОНИЯ НИТРАТ ЖИДКИЙ </w:t>
            </w:r>
            <w:r w:rsidRPr="002D10DC">
              <w:rPr>
                <w:strike/>
                <w:color w:val="FF0000"/>
                <w:sz w:val="16"/>
                <w:szCs w:val="16"/>
              </w:rPr>
              <w:t>(</w:t>
            </w:r>
            <w:r w:rsidRPr="002D10DC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,</w:t>
            </w:r>
            <w:r w:rsidRPr="002D10DC">
              <w:rPr>
                <w:sz w:val="16"/>
                <w:szCs w:val="16"/>
              </w:rPr>
              <w:t xml:space="preserve"> горячий концентрированный раствор</w:t>
            </w:r>
            <w:r w:rsidRPr="002D10DC">
              <w:rPr>
                <w:strike/>
                <w:color w:val="FF0000"/>
                <w:sz w:val="16"/>
                <w:szCs w:val="16"/>
              </w:rPr>
              <w:t>)</w:t>
            </w:r>
            <w:r w:rsidRPr="002D10DC">
              <w:rPr>
                <w:sz w:val="16"/>
                <w:szCs w:val="16"/>
              </w:rPr>
              <w:t xml:space="preserve"> </w:t>
            </w:r>
            <w:r w:rsidRPr="002D10DC">
              <w:rPr>
                <w:rFonts w:asciiTheme="majorBidi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концентрации более 80%, но не более 93%</w:t>
            </w:r>
          </w:p>
        </w:tc>
      </w:tr>
    </w:tbl>
    <w:p w14:paraId="3BDCB506" w14:textId="77777777" w:rsidR="007E5C6D" w:rsidRPr="0010401C" w:rsidRDefault="007E5C6D" w:rsidP="00107F8B">
      <w:pPr>
        <w:pStyle w:val="SingleTxtG"/>
        <w:spacing w:before="120"/>
      </w:pPr>
      <w:r>
        <w:t>14.</w:t>
      </w:r>
      <w:r>
        <w:tab/>
        <w:t>Различия в наименовании и описании вызваны тем, что положения, касающиеся аммония нитрата, применяются по-разному. Поскольку в двадцатое издание Типовых правил были внесены изменения, это различие в наименовании и описании следует проанализировать в рамках работы по согласованию по данной теме.</w:t>
      </w:r>
    </w:p>
    <w:p w14:paraId="1D1977A8" w14:textId="77777777" w:rsidR="007E5C6D" w:rsidRPr="00EB35BF" w:rsidRDefault="007E5C6D" w:rsidP="007E5C6D">
      <w:pPr>
        <w:pStyle w:val="HChG"/>
        <w:spacing w:before="240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Предложения</w:t>
      </w:r>
    </w:p>
    <w:p w14:paraId="75101EA7" w14:textId="77777777" w:rsidR="007E5C6D" w:rsidRPr="00716C14" w:rsidRDefault="007E5C6D" w:rsidP="007E5C6D">
      <w:pPr>
        <w:pStyle w:val="SingleTxtG"/>
      </w:pPr>
      <w:r>
        <w:t>15.</w:t>
      </w:r>
      <w:r>
        <w:tab/>
        <w:t>Испания предлагает изучить возможность согласования наименований и</w:t>
      </w:r>
      <w:r w:rsidR="00670BC3">
        <w:t> </w:t>
      </w:r>
      <w:r>
        <w:t>описаний этих номеров ООН с текстами Типовых правил ООН.</w:t>
      </w:r>
    </w:p>
    <w:p w14:paraId="0674D678" w14:textId="77777777" w:rsidR="007E5C6D" w:rsidRPr="00716C14" w:rsidRDefault="007E5C6D" w:rsidP="007E5C6D">
      <w:pPr>
        <w:spacing w:before="240"/>
        <w:jc w:val="center"/>
        <w:rPr>
          <w:u w:val="single"/>
        </w:rPr>
      </w:pPr>
      <w:r w:rsidRPr="00716C14">
        <w:rPr>
          <w:u w:val="single"/>
        </w:rPr>
        <w:tab/>
      </w:r>
      <w:r w:rsidRPr="00716C14">
        <w:rPr>
          <w:u w:val="single"/>
        </w:rPr>
        <w:tab/>
      </w:r>
      <w:r w:rsidRPr="00716C14">
        <w:rPr>
          <w:u w:val="single"/>
        </w:rPr>
        <w:tab/>
      </w:r>
    </w:p>
    <w:sectPr w:rsidR="007E5C6D" w:rsidRPr="00716C14" w:rsidSect="007E5C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E08D" w14:textId="77777777" w:rsidR="009A7711" w:rsidRPr="00A312BC" w:rsidRDefault="009A7711" w:rsidP="00A312BC"/>
  </w:endnote>
  <w:endnote w:type="continuationSeparator" w:id="0">
    <w:p w14:paraId="4A7F8A09" w14:textId="77777777" w:rsidR="009A7711" w:rsidRPr="00A312BC" w:rsidRDefault="009A77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75E3" w14:textId="77777777" w:rsidR="007E5C6D" w:rsidRPr="007E5C6D" w:rsidRDefault="007E5C6D">
    <w:pPr>
      <w:pStyle w:val="Footer"/>
    </w:pPr>
    <w:r w:rsidRPr="007E5C6D">
      <w:rPr>
        <w:b/>
        <w:sz w:val="18"/>
      </w:rPr>
      <w:fldChar w:fldCharType="begin"/>
    </w:r>
    <w:r w:rsidRPr="007E5C6D">
      <w:rPr>
        <w:b/>
        <w:sz w:val="18"/>
      </w:rPr>
      <w:instrText xml:space="preserve"> PAGE  \* MERGEFORMAT </w:instrText>
    </w:r>
    <w:r w:rsidRPr="007E5C6D">
      <w:rPr>
        <w:b/>
        <w:sz w:val="18"/>
      </w:rPr>
      <w:fldChar w:fldCharType="separate"/>
    </w:r>
    <w:r w:rsidRPr="007E5C6D">
      <w:rPr>
        <w:b/>
        <w:noProof/>
        <w:sz w:val="18"/>
      </w:rPr>
      <w:t>2</w:t>
    </w:r>
    <w:r w:rsidRPr="007E5C6D">
      <w:rPr>
        <w:b/>
        <w:sz w:val="18"/>
      </w:rPr>
      <w:fldChar w:fldCharType="end"/>
    </w:r>
    <w:r>
      <w:rPr>
        <w:b/>
        <w:sz w:val="18"/>
      </w:rPr>
      <w:tab/>
    </w:r>
    <w:r>
      <w:t>GE.19-10104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FFC7" w14:textId="77777777" w:rsidR="007E5C6D" w:rsidRPr="007E5C6D" w:rsidRDefault="007E5C6D" w:rsidP="007E5C6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GE.19-10104</w:t>
    </w:r>
    <w:r>
      <w:tab/>
    </w:r>
    <w:r w:rsidRPr="007E5C6D">
      <w:rPr>
        <w:b/>
        <w:sz w:val="18"/>
      </w:rPr>
      <w:fldChar w:fldCharType="begin"/>
    </w:r>
    <w:r w:rsidRPr="007E5C6D">
      <w:rPr>
        <w:b/>
        <w:sz w:val="18"/>
      </w:rPr>
      <w:instrText xml:space="preserve"> PAGE  \* MERGEFORMAT </w:instrText>
    </w:r>
    <w:r w:rsidRPr="007E5C6D">
      <w:rPr>
        <w:b/>
        <w:sz w:val="18"/>
      </w:rPr>
      <w:fldChar w:fldCharType="separate"/>
    </w:r>
    <w:r w:rsidRPr="007E5C6D">
      <w:rPr>
        <w:b/>
        <w:noProof/>
        <w:sz w:val="18"/>
      </w:rPr>
      <w:t>3</w:t>
    </w:r>
    <w:r w:rsidRPr="007E5C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5E94" w14:textId="77777777" w:rsidR="00042B72" w:rsidRPr="007E5C6D" w:rsidRDefault="007E5C6D" w:rsidP="007E5C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5F7411" wp14:editId="75F4AB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19-10104  (R)</w:t>
    </w:r>
    <w:r w:rsidR="00A041B3">
      <w:t xml:space="preserve">  260619  260619</w:t>
    </w:r>
    <w:r>
      <w:br/>
    </w:r>
    <w:r w:rsidRPr="007E5C6D">
      <w:rPr>
        <w:rFonts w:ascii="C39T30Lfz" w:hAnsi="C39T30Lfz"/>
        <w:kern w:val="14"/>
        <w:sz w:val="56"/>
      </w:rPr>
      <w:t></w:t>
    </w:r>
    <w:r w:rsidRPr="007E5C6D">
      <w:rPr>
        <w:rFonts w:ascii="C39T30Lfz" w:hAnsi="C39T30Lfz"/>
        <w:kern w:val="14"/>
        <w:sz w:val="56"/>
      </w:rPr>
      <w:t></w:t>
    </w:r>
    <w:r w:rsidRPr="007E5C6D">
      <w:rPr>
        <w:rFonts w:ascii="C39T30Lfz" w:hAnsi="C39T30Lfz"/>
        <w:kern w:val="14"/>
        <w:sz w:val="56"/>
      </w:rPr>
      <w:t></w:t>
    </w:r>
    <w:r w:rsidRPr="007E5C6D">
      <w:rPr>
        <w:rFonts w:ascii="C39T30Lfz" w:hAnsi="C39T30Lfz"/>
        <w:kern w:val="14"/>
        <w:sz w:val="56"/>
      </w:rPr>
      <w:t></w:t>
    </w:r>
    <w:r w:rsidRPr="007E5C6D">
      <w:rPr>
        <w:rFonts w:ascii="C39T30Lfz" w:hAnsi="C39T30Lfz"/>
        <w:kern w:val="14"/>
        <w:sz w:val="56"/>
      </w:rPr>
      <w:t></w:t>
    </w:r>
    <w:r w:rsidRPr="007E5C6D">
      <w:rPr>
        <w:rFonts w:ascii="C39T30Lfz" w:hAnsi="C39T30Lfz"/>
        <w:kern w:val="14"/>
        <w:sz w:val="56"/>
      </w:rPr>
      <w:t></w:t>
    </w:r>
    <w:r w:rsidRPr="007E5C6D">
      <w:rPr>
        <w:rFonts w:ascii="C39T30Lfz" w:hAnsi="C39T30Lfz"/>
        <w:kern w:val="14"/>
        <w:sz w:val="56"/>
      </w:rPr>
      <w:t></w:t>
    </w:r>
    <w:r w:rsidRPr="007E5C6D">
      <w:rPr>
        <w:rFonts w:ascii="C39T30Lfz" w:hAnsi="C39T30Lfz"/>
        <w:kern w:val="14"/>
        <w:sz w:val="56"/>
      </w:rPr>
      <w:t></w:t>
    </w:r>
    <w:r w:rsidRPr="007E5C6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5BD3C7" wp14:editId="4BD865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9FC8" w14:textId="77777777" w:rsidR="009A7711" w:rsidRPr="001075E9" w:rsidRDefault="009A77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634B82" w14:textId="77777777" w:rsidR="009A7711" w:rsidRDefault="009A77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B77178" w14:textId="77777777" w:rsidR="007E5C6D" w:rsidRPr="0010401C" w:rsidRDefault="007E5C6D" w:rsidP="0041243C">
      <w:pPr>
        <w:pStyle w:val="FootnoteText"/>
        <w:ind w:left="1418" w:right="1532" w:hanging="284"/>
        <w:rPr>
          <w:sz w:val="20"/>
        </w:rPr>
      </w:pPr>
      <w:r>
        <w:t>*</w:t>
      </w:r>
      <w:r>
        <w:tab/>
        <w:t xml:space="preserve">В соответствии с программой работы Комитета по внутреннему транспорту </w:t>
      </w:r>
      <w:r w:rsidR="00107F8B">
        <w:br/>
      </w:r>
      <w:r>
        <w:t>на 2018–2019 годы (ECE/TRANS/2018/21/Add.1, направление деятельности 9 (9.2)).</w:t>
      </w:r>
    </w:p>
  </w:footnote>
  <w:footnote w:id="2">
    <w:p w14:paraId="6388D9E4" w14:textId="77777777" w:rsidR="007E5C6D" w:rsidRPr="0010401C" w:rsidRDefault="007E5C6D" w:rsidP="00107F8B">
      <w:pPr>
        <w:pStyle w:val="FootnoteText"/>
        <w:ind w:left="1418" w:right="1532" w:hanging="284"/>
        <w:rPr>
          <w:sz w:val="20"/>
        </w:rPr>
      </w:pPr>
      <w: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8BB3" w14:textId="53900047" w:rsidR="007E5C6D" w:rsidRPr="007E5C6D" w:rsidRDefault="00EF6246">
    <w:pPr>
      <w:pStyle w:val="Header"/>
    </w:pPr>
    <w:fldSimple w:instr=" TITLE  \* MERGEFORMAT ">
      <w:r>
        <w:t>ECE/TRANS/WP.15/AC.1/2019/32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2A67" w14:textId="5B8ABEAD" w:rsidR="007E5C6D" w:rsidRPr="007E5C6D" w:rsidRDefault="00EF6246" w:rsidP="007E5C6D">
    <w:pPr>
      <w:pStyle w:val="Header"/>
      <w:jc w:val="right"/>
    </w:pPr>
    <w:fldSimple w:instr=" TITLE  \* MERGEFORMAT ">
      <w:r>
        <w:t>ECE/TRANS/WP.15/AC.1/2019/32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2E27" w14:textId="77777777" w:rsidR="00A041B3" w:rsidRDefault="00A041B3" w:rsidP="00A041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07F8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10D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243C"/>
    <w:rsid w:val="00424203"/>
    <w:rsid w:val="00452493"/>
    <w:rsid w:val="00453318"/>
    <w:rsid w:val="00454AF2"/>
    <w:rsid w:val="00454E07"/>
    <w:rsid w:val="00472C5C"/>
    <w:rsid w:val="004905DC"/>
    <w:rsid w:val="004E05B7"/>
    <w:rsid w:val="0050108D"/>
    <w:rsid w:val="00513081"/>
    <w:rsid w:val="00517901"/>
    <w:rsid w:val="00526683"/>
    <w:rsid w:val="00544B4F"/>
    <w:rsid w:val="005639C1"/>
    <w:rsid w:val="005709E0"/>
    <w:rsid w:val="00572E19"/>
    <w:rsid w:val="005961C8"/>
    <w:rsid w:val="005966F1"/>
    <w:rsid w:val="005A54C3"/>
    <w:rsid w:val="005D7914"/>
    <w:rsid w:val="005E2B41"/>
    <w:rsid w:val="005F0B42"/>
    <w:rsid w:val="00617A43"/>
    <w:rsid w:val="006345DB"/>
    <w:rsid w:val="00640F49"/>
    <w:rsid w:val="00670BC3"/>
    <w:rsid w:val="00680D03"/>
    <w:rsid w:val="00681A10"/>
    <w:rsid w:val="006A1ED8"/>
    <w:rsid w:val="006C2031"/>
    <w:rsid w:val="006D461A"/>
    <w:rsid w:val="006F35EE"/>
    <w:rsid w:val="007021FF"/>
    <w:rsid w:val="00712895"/>
    <w:rsid w:val="00727BE7"/>
    <w:rsid w:val="00734ACB"/>
    <w:rsid w:val="00736BB2"/>
    <w:rsid w:val="00757357"/>
    <w:rsid w:val="00792497"/>
    <w:rsid w:val="007A4EE9"/>
    <w:rsid w:val="007E2D24"/>
    <w:rsid w:val="007E5C6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1EF"/>
    <w:rsid w:val="008F7609"/>
    <w:rsid w:val="00906890"/>
    <w:rsid w:val="00911BE4"/>
    <w:rsid w:val="00951972"/>
    <w:rsid w:val="009608F3"/>
    <w:rsid w:val="009A24AC"/>
    <w:rsid w:val="009A7711"/>
    <w:rsid w:val="009C59D7"/>
    <w:rsid w:val="009C6FE6"/>
    <w:rsid w:val="009D7E7D"/>
    <w:rsid w:val="00A041B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7974"/>
    <w:rsid w:val="00BC18B2"/>
    <w:rsid w:val="00BD33EE"/>
    <w:rsid w:val="00BE1CC7"/>
    <w:rsid w:val="00C106D6"/>
    <w:rsid w:val="00C119AE"/>
    <w:rsid w:val="00C60F0C"/>
    <w:rsid w:val="00C71E84"/>
    <w:rsid w:val="00C760A7"/>
    <w:rsid w:val="00C805C9"/>
    <w:rsid w:val="00C92939"/>
    <w:rsid w:val="00CA1679"/>
    <w:rsid w:val="00CB151C"/>
    <w:rsid w:val="00CE5A1A"/>
    <w:rsid w:val="00CF55F6"/>
    <w:rsid w:val="00D33D63"/>
    <w:rsid w:val="00D5253A"/>
    <w:rsid w:val="00D61C81"/>
    <w:rsid w:val="00D873A8"/>
    <w:rsid w:val="00D90028"/>
    <w:rsid w:val="00D90138"/>
    <w:rsid w:val="00D9145B"/>
    <w:rsid w:val="00DD3D70"/>
    <w:rsid w:val="00DD78D1"/>
    <w:rsid w:val="00DE32CD"/>
    <w:rsid w:val="00DF5767"/>
    <w:rsid w:val="00DF71B9"/>
    <w:rsid w:val="00E12C5F"/>
    <w:rsid w:val="00E54A07"/>
    <w:rsid w:val="00E73F76"/>
    <w:rsid w:val="00EA2C9F"/>
    <w:rsid w:val="00EA420E"/>
    <w:rsid w:val="00ED0BDA"/>
    <w:rsid w:val="00EE142A"/>
    <w:rsid w:val="00EF1360"/>
    <w:rsid w:val="00EF3220"/>
    <w:rsid w:val="00EF6246"/>
    <w:rsid w:val="00F2523A"/>
    <w:rsid w:val="00F43903"/>
    <w:rsid w:val="00F45AA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1A8A8"/>
  <w15:docId w15:val="{79B3BDF9-1C11-4B29-B985-F449DF2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E5C6D"/>
    <w:rPr>
      <w:lang w:val="ru-RU" w:eastAsia="en-US"/>
    </w:rPr>
  </w:style>
  <w:style w:type="paragraph" w:customStyle="1" w:styleId="ParNoG">
    <w:name w:val="_ParNo_G"/>
    <w:basedOn w:val="SingleTxtG"/>
    <w:qFormat/>
    <w:rsid w:val="007E5C6D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7E5C6D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locked/>
    <w:rsid w:val="007E5C6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n.wikipedia.org/wiki/File:Cis-2-butene.svg" TargetMode="External"/><Relationship Id="rId18" Type="http://schemas.openxmlformats.org/officeDocument/2006/relationships/hyperlink" Target="https://en.wikipedia.org/wiki/Isobutylen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2-Butene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Trans-2-butene.sv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2-Buten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File:1-butene.svg" TargetMode="External"/><Relationship Id="rId19" Type="http://schemas.openxmlformats.org/officeDocument/2006/relationships/hyperlink" Target="https://en.wikipedia.org/wiki/File:Methylpropen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1-Buten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FCA7-0785-47B0-8A25-A772BC73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ECE/TRANS/WP.15/AC.1/2019/32</vt:lpstr>
      <vt:lpstr>ECE/TRANS/WP.15/AC.1/2019/32</vt:lpstr>
      <vt:lpstr>A/</vt:lpstr>
    </vt:vector>
  </TitlesOfParts>
  <Company>DCM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ECE/TRANS/WP.15/AC.1/2019/32</dc:title>
  <dc:subject/>
  <dc:creator>Shuvalova NATALIA</dc:creator>
  <cp:keywords/>
  <cp:lastModifiedBy>Christine Barrio-Champeau</cp:lastModifiedBy>
  <cp:revision>2</cp:revision>
  <cp:lastPrinted>2019-06-26T14:44:00Z</cp:lastPrinted>
  <dcterms:created xsi:type="dcterms:W3CDTF">2019-07-25T07:42:00Z</dcterms:created>
  <dcterms:modified xsi:type="dcterms:W3CDTF">2019-07-25T07:42:00Z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