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B7E8D2D" w14:textId="77777777" w:rsidTr="00C97039">
        <w:trPr>
          <w:trHeight w:hRule="exact" w:val="851"/>
        </w:trPr>
        <w:tc>
          <w:tcPr>
            <w:tcW w:w="1276" w:type="dxa"/>
            <w:tcBorders>
              <w:bottom w:val="single" w:sz="4" w:space="0" w:color="auto"/>
            </w:tcBorders>
          </w:tcPr>
          <w:p w14:paraId="4FE1FA38" w14:textId="77777777" w:rsidR="00F35BAF" w:rsidRPr="00DB58B5" w:rsidRDefault="00F35BAF" w:rsidP="00FE491F"/>
        </w:tc>
        <w:tc>
          <w:tcPr>
            <w:tcW w:w="2268" w:type="dxa"/>
            <w:tcBorders>
              <w:bottom w:val="single" w:sz="4" w:space="0" w:color="auto"/>
            </w:tcBorders>
            <w:vAlign w:val="bottom"/>
          </w:tcPr>
          <w:p w14:paraId="2B491C3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ECD77ED" w14:textId="77777777" w:rsidR="00F35BAF" w:rsidRPr="00DB58B5" w:rsidRDefault="00FE491F" w:rsidP="00FE491F">
            <w:pPr>
              <w:jc w:val="right"/>
            </w:pPr>
            <w:r w:rsidRPr="00FE491F">
              <w:rPr>
                <w:sz w:val="40"/>
              </w:rPr>
              <w:t>ECE</w:t>
            </w:r>
            <w:r>
              <w:t>/TRANS/WP.15/AC.1/2019/38</w:t>
            </w:r>
          </w:p>
        </w:tc>
      </w:tr>
      <w:tr w:rsidR="00F35BAF" w:rsidRPr="00DB58B5" w14:paraId="0BE7BC2B" w14:textId="77777777" w:rsidTr="00C97039">
        <w:trPr>
          <w:trHeight w:hRule="exact" w:val="2835"/>
        </w:trPr>
        <w:tc>
          <w:tcPr>
            <w:tcW w:w="1276" w:type="dxa"/>
            <w:tcBorders>
              <w:top w:val="single" w:sz="4" w:space="0" w:color="auto"/>
              <w:bottom w:val="single" w:sz="12" w:space="0" w:color="auto"/>
            </w:tcBorders>
          </w:tcPr>
          <w:p w14:paraId="60FAB529" w14:textId="77777777" w:rsidR="00F35BAF" w:rsidRPr="00DB58B5" w:rsidRDefault="00F35BAF" w:rsidP="00C97039">
            <w:pPr>
              <w:spacing w:before="120"/>
              <w:jc w:val="center"/>
            </w:pPr>
            <w:r>
              <w:rPr>
                <w:noProof/>
                <w:lang w:eastAsia="fr-CH"/>
              </w:rPr>
              <w:drawing>
                <wp:inline distT="0" distB="0" distL="0" distR="0" wp14:anchorId="24F111D2" wp14:editId="4F45751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04E07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F248875" w14:textId="77777777" w:rsidR="00F35BAF" w:rsidRDefault="00FE491F" w:rsidP="00C97039">
            <w:pPr>
              <w:spacing w:before="240"/>
            </w:pPr>
            <w:proofErr w:type="spellStart"/>
            <w:r>
              <w:t>Distr</w:t>
            </w:r>
            <w:proofErr w:type="spellEnd"/>
            <w:r>
              <w:t>. générale</w:t>
            </w:r>
          </w:p>
          <w:p w14:paraId="0793A5B5" w14:textId="77777777" w:rsidR="00FE491F" w:rsidRDefault="00FE491F" w:rsidP="00FE491F">
            <w:pPr>
              <w:spacing w:line="240" w:lineRule="exact"/>
            </w:pPr>
            <w:r>
              <w:t>21 juin 2019</w:t>
            </w:r>
          </w:p>
          <w:p w14:paraId="4648C2E2" w14:textId="77777777" w:rsidR="00FE491F" w:rsidRDefault="00FE491F" w:rsidP="00FE491F">
            <w:pPr>
              <w:spacing w:line="240" w:lineRule="exact"/>
            </w:pPr>
            <w:r>
              <w:t>Français</w:t>
            </w:r>
          </w:p>
          <w:p w14:paraId="70691F6E" w14:textId="77777777" w:rsidR="00FE491F" w:rsidRPr="00DB58B5" w:rsidRDefault="00FE491F" w:rsidP="00FE491F">
            <w:pPr>
              <w:spacing w:line="240" w:lineRule="exact"/>
            </w:pPr>
            <w:r>
              <w:t>Original : anglais</w:t>
            </w:r>
          </w:p>
        </w:tc>
      </w:tr>
    </w:tbl>
    <w:p w14:paraId="542A852D" w14:textId="77777777" w:rsidR="007F20FA" w:rsidRPr="000312C0" w:rsidRDefault="007F20FA" w:rsidP="007F20FA">
      <w:pPr>
        <w:spacing w:before="120"/>
        <w:rPr>
          <w:b/>
          <w:sz w:val="28"/>
          <w:szCs w:val="28"/>
        </w:rPr>
      </w:pPr>
      <w:r w:rsidRPr="000312C0">
        <w:rPr>
          <w:b/>
          <w:sz w:val="28"/>
          <w:szCs w:val="28"/>
        </w:rPr>
        <w:t>Commission économique pour l</w:t>
      </w:r>
      <w:r w:rsidR="00EA51A8">
        <w:rPr>
          <w:b/>
          <w:sz w:val="28"/>
          <w:szCs w:val="28"/>
        </w:rPr>
        <w:t>’</w:t>
      </w:r>
      <w:r w:rsidRPr="000312C0">
        <w:rPr>
          <w:b/>
          <w:sz w:val="28"/>
          <w:szCs w:val="28"/>
        </w:rPr>
        <w:t>Europe</w:t>
      </w:r>
    </w:p>
    <w:p w14:paraId="7E43FB17" w14:textId="77777777" w:rsidR="007F20FA" w:rsidRDefault="007F20FA" w:rsidP="007F20FA">
      <w:pPr>
        <w:spacing w:before="120"/>
        <w:rPr>
          <w:sz w:val="28"/>
          <w:szCs w:val="28"/>
        </w:rPr>
      </w:pPr>
      <w:r w:rsidRPr="00685843">
        <w:rPr>
          <w:sz w:val="28"/>
          <w:szCs w:val="28"/>
        </w:rPr>
        <w:t>Comité des transports intérieurs</w:t>
      </w:r>
    </w:p>
    <w:p w14:paraId="1104A934" w14:textId="77777777" w:rsidR="00656D6E" w:rsidRPr="009E01B8" w:rsidRDefault="00656D6E" w:rsidP="00AF0CB5">
      <w:pPr>
        <w:spacing w:before="120"/>
        <w:rPr>
          <w:b/>
          <w:sz w:val="24"/>
          <w:szCs w:val="24"/>
        </w:rPr>
      </w:pPr>
      <w:r w:rsidRPr="009E01B8">
        <w:rPr>
          <w:b/>
          <w:sz w:val="24"/>
          <w:szCs w:val="24"/>
        </w:rPr>
        <w:t>Groupe de travail des transports de marchandises dangereuses</w:t>
      </w:r>
    </w:p>
    <w:p w14:paraId="7ADBEF80" w14:textId="77777777" w:rsidR="00656D6E" w:rsidRPr="00926E87" w:rsidRDefault="00656D6E" w:rsidP="00AF0CB5">
      <w:pPr>
        <w:spacing w:before="120"/>
        <w:rPr>
          <w:b/>
        </w:rPr>
      </w:pPr>
      <w:r w:rsidRPr="00926E87">
        <w:rPr>
          <w:b/>
        </w:rPr>
        <w:t>Réunion commune de la Commission d</w:t>
      </w:r>
      <w:r w:rsidR="00EA51A8">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628009DE" w14:textId="77777777" w:rsidR="00656D6E" w:rsidRDefault="00656D6E" w:rsidP="00AF0CB5">
      <w:pPr>
        <w:spacing w:before="120"/>
      </w:pPr>
      <w:r>
        <w:t xml:space="preserve">Genève, </w:t>
      </w:r>
      <w:r w:rsidRPr="00656D6E">
        <w:t>17</w:t>
      </w:r>
      <w:r>
        <w:t>-</w:t>
      </w:r>
      <w:r w:rsidRPr="00656D6E">
        <w:t>27 septembre 2019</w:t>
      </w:r>
    </w:p>
    <w:p w14:paraId="650779F7" w14:textId="77777777" w:rsidR="00656D6E" w:rsidRDefault="00656D6E" w:rsidP="00AF0CB5">
      <w:r w:rsidRPr="00B93E72">
        <w:t xml:space="preserve">Point </w:t>
      </w:r>
      <w:r w:rsidR="002C0F7D">
        <w:t>5 a)</w:t>
      </w:r>
      <w:r w:rsidRPr="00B93E72">
        <w:t xml:space="preserve"> de l</w:t>
      </w:r>
      <w:r w:rsidR="00EA51A8">
        <w:t>’</w:t>
      </w:r>
      <w:r w:rsidRPr="00B93E72">
        <w:t>ordre du jour provisoire</w:t>
      </w:r>
    </w:p>
    <w:p w14:paraId="6ADEDD48" w14:textId="77777777" w:rsidR="00F9573C" w:rsidRDefault="002C0F7D" w:rsidP="00AF0CB5">
      <w:pPr>
        <w:rPr>
          <w:b/>
          <w:bCs/>
        </w:rPr>
      </w:pPr>
      <w:r w:rsidRPr="002C0F7D">
        <w:rPr>
          <w:b/>
        </w:rPr>
        <w:t>Propositions d</w:t>
      </w:r>
      <w:r w:rsidR="00EA51A8">
        <w:rPr>
          <w:b/>
        </w:rPr>
        <w:t>’</w:t>
      </w:r>
      <w:r w:rsidRPr="002C0F7D">
        <w:rPr>
          <w:b/>
        </w:rPr>
        <w:t>amendements au RID/ADR/ADN</w:t>
      </w:r>
      <w:r>
        <w:rPr>
          <w:b/>
        </w:rPr>
        <w:t> </w:t>
      </w:r>
      <w:r w:rsidRPr="002C0F7D">
        <w:rPr>
          <w:b/>
        </w:rPr>
        <w:t>:</w:t>
      </w:r>
      <w:r w:rsidRPr="002C0F7D">
        <w:rPr>
          <w:b/>
        </w:rPr>
        <w:br/>
      </w:r>
      <w:r w:rsidRPr="002C0F7D">
        <w:rPr>
          <w:b/>
          <w:bCs/>
        </w:rPr>
        <w:t>questions en suspens</w:t>
      </w:r>
    </w:p>
    <w:p w14:paraId="02DC0A39" w14:textId="77777777" w:rsidR="002C0F7D" w:rsidRDefault="002C0F7D" w:rsidP="002C0F7D">
      <w:pPr>
        <w:pStyle w:val="HChG"/>
      </w:pPr>
      <w:r>
        <w:tab/>
      </w:r>
      <w:r>
        <w:tab/>
      </w:r>
      <w:r w:rsidRPr="007C33C1">
        <w:t xml:space="preserve">Marquage des wagons et conteneurs chargés </w:t>
      </w:r>
      <w:r>
        <w:br/>
      </w:r>
      <w:r w:rsidRPr="007C33C1">
        <w:t>avec des quantités limitées</w:t>
      </w:r>
    </w:p>
    <w:p w14:paraId="4E80D1F2" w14:textId="77777777" w:rsidR="002C0F7D" w:rsidRDefault="002C0F7D" w:rsidP="002C0F7D">
      <w:pPr>
        <w:pStyle w:val="H1G"/>
        <w:rPr>
          <w:b w:val="0"/>
          <w:sz w:val="20"/>
        </w:rPr>
      </w:pPr>
      <w:r>
        <w:tab/>
      </w:r>
      <w:r>
        <w:tab/>
      </w:r>
      <w:r w:rsidRPr="002C0F7D">
        <w:t>Communication des Gouvernements suédois et suisse</w:t>
      </w:r>
      <w:r w:rsidRPr="002C0F7D">
        <w:rPr>
          <w:b w:val="0"/>
          <w:sz w:val="20"/>
        </w:rPr>
        <w:footnoteReference w:customMarkFollows="1" w:id="2"/>
        <w:t>*</w:t>
      </w:r>
      <w:r w:rsidRPr="002C0F7D">
        <w:rPr>
          <w:b w:val="0"/>
          <w:position w:val="6"/>
          <w:sz w:val="20"/>
        </w:rPr>
        <w:t>,</w:t>
      </w:r>
      <w:r w:rsidRPr="002C0F7D">
        <w:rPr>
          <w:b w:val="0"/>
          <w:sz w:val="20"/>
        </w:rPr>
        <w:t xml:space="preserve"> </w:t>
      </w:r>
      <w:r w:rsidRPr="002C0F7D">
        <w:rPr>
          <w:b w:val="0"/>
          <w:sz w:val="20"/>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2C0F7D" w14:paraId="7455C48D" w14:textId="77777777">
        <w:trPr>
          <w:jc w:val="center"/>
        </w:trPr>
        <w:tc>
          <w:tcPr>
            <w:tcW w:w="9637" w:type="dxa"/>
            <w:shd w:val="clear" w:color="auto" w:fill="auto"/>
          </w:tcPr>
          <w:p w14:paraId="3F031552" w14:textId="77777777" w:rsidR="002C0F7D" w:rsidRDefault="002C0F7D">
            <w:pPr>
              <w:spacing w:before="240" w:after="120"/>
              <w:ind w:left="255"/>
              <w:rPr>
                <w:i/>
                <w:sz w:val="24"/>
              </w:rPr>
            </w:pPr>
            <w:r>
              <w:rPr>
                <w:i/>
                <w:sz w:val="24"/>
              </w:rPr>
              <w:t>Résumé</w:t>
            </w:r>
          </w:p>
        </w:tc>
      </w:tr>
      <w:tr w:rsidR="002C0F7D" w14:paraId="6A2F6277" w14:textId="77777777">
        <w:trPr>
          <w:jc w:val="center"/>
        </w:trPr>
        <w:tc>
          <w:tcPr>
            <w:tcW w:w="9637" w:type="dxa"/>
            <w:shd w:val="clear" w:color="auto" w:fill="auto"/>
          </w:tcPr>
          <w:p w14:paraId="1962464B" w14:textId="77777777" w:rsidR="002C0F7D" w:rsidRDefault="002C0F7D" w:rsidP="003530B6">
            <w:pPr>
              <w:pStyle w:val="SingleTxtG"/>
              <w:ind w:left="3402" w:hanging="2268"/>
            </w:pPr>
            <w:r w:rsidRPr="002C0F7D">
              <w:rPr>
                <w:b/>
              </w:rPr>
              <w:t>Résumé analytique</w:t>
            </w:r>
            <w:r>
              <w:rPr>
                <w:b/>
              </w:rPr>
              <w:t> </w:t>
            </w:r>
            <w:r w:rsidRPr="002C0F7D">
              <w:rPr>
                <w:b/>
              </w:rPr>
              <w:t>:</w:t>
            </w:r>
            <w:r w:rsidR="003530B6">
              <w:rPr>
                <w:b/>
              </w:rPr>
              <w:tab/>
            </w:r>
            <w:r w:rsidR="003530B6" w:rsidRPr="003530B6">
              <w:t>Les wagons et les conteneurs chargés avec des quantités limitées ainsi que des marchandises dangereuses pleinement réglementées n</w:t>
            </w:r>
            <w:r w:rsidR="00EA51A8">
              <w:t>’</w:t>
            </w:r>
            <w:r w:rsidR="003530B6" w:rsidRPr="003530B6">
              <w:t>ont pas à porter la marque pour les quantités limitées. Cela peut avoir pour effet que le marquage du wagon ou du conteneur ne rende pas compte du danger réel, ce qui pourrait entraîner de graves problèmes de sécurité en cas d</w:t>
            </w:r>
            <w:r w:rsidR="00EA51A8">
              <w:t>’</w:t>
            </w:r>
            <w:r w:rsidR="003530B6" w:rsidRPr="003530B6">
              <w:t>accident.</w:t>
            </w:r>
          </w:p>
        </w:tc>
      </w:tr>
      <w:tr w:rsidR="003530B6" w14:paraId="00BC2FAA" w14:textId="77777777">
        <w:trPr>
          <w:jc w:val="center"/>
        </w:trPr>
        <w:tc>
          <w:tcPr>
            <w:tcW w:w="9637" w:type="dxa"/>
            <w:shd w:val="clear" w:color="auto" w:fill="auto"/>
          </w:tcPr>
          <w:p w14:paraId="36E16A6A" w14:textId="77777777" w:rsidR="003530B6" w:rsidRPr="002C0F7D" w:rsidRDefault="003530B6" w:rsidP="006C2672">
            <w:pPr>
              <w:pStyle w:val="SingleTxtG"/>
              <w:ind w:left="3402" w:hanging="2268"/>
              <w:rPr>
                <w:b/>
              </w:rPr>
            </w:pPr>
            <w:r w:rsidRPr="007F581B">
              <w:rPr>
                <w:b/>
              </w:rPr>
              <w:t>Mesure à prendre</w:t>
            </w:r>
            <w:r>
              <w:rPr>
                <w:b/>
              </w:rPr>
              <w:t> </w:t>
            </w:r>
            <w:r w:rsidRPr="007F581B">
              <w:rPr>
                <w:b/>
              </w:rPr>
              <w:t>:</w:t>
            </w:r>
            <w:r w:rsidR="006C2672">
              <w:rPr>
                <w:b/>
              </w:rPr>
              <w:tab/>
            </w:r>
            <w:r w:rsidR="006C2672" w:rsidRPr="00586821">
              <w:t>Modifier l</w:t>
            </w:r>
            <w:r w:rsidR="00EA51A8">
              <w:t>’</w:t>
            </w:r>
            <w:r w:rsidR="006C2672" w:rsidRPr="00586821">
              <w:t>alinéa</w:t>
            </w:r>
            <w:r w:rsidR="00FB0F5A">
              <w:t> </w:t>
            </w:r>
            <w:r w:rsidR="006C2672" w:rsidRPr="00586821">
              <w:t>b) du 3.4.13 de l</w:t>
            </w:r>
            <w:r w:rsidR="00EA51A8">
              <w:t>’</w:t>
            </w:r>
            <w:r w:rsidR="006C2672" w:rsidRPr="00586821">
              <w:t>ADR et les alinéas</w:t>
            </w:r>
            <w:r w:rsidR="00FB0F5A">
              <w:t> </w:t>
            </w:r>
            <w:r w:rsidR="006C2672" w:rsidRPr="00586821">
              <w:t>a) et b) du 3.4.13 du RID.</w:t>
            </w:r>
          </w:p>
        </w:tc>
      </w:tr>
      <w:tr w:rsidR="003530B6" w14:paraId="3727232F" w14:textId="77777777">
        <w:trPr>
          <w:jc w:val="center"/>
        </w:trPr>
        <w:tc>
          <w:tcPr>
            <w:tcW w:w="9637" w:type="dxa"/>
            <w:shd w:val="clear" w:color="auto" w:fill="auto"/>
          </w:tcPr>
          <w:p w14:paraId="4E7D475A" w14:textId="259C9A28" w:rsidR="003530B6" w:rsidRPr="002C0F7D" w:rsidRDefault="003530B6" w:rsidP="00010B21">
            <w:pPr>
              <w:pStyle w:val="SingleTxtG"/>
              <w:ind w:left="3402" w:right="0" w:hanging="2268"/>
              <w:jc w:val="left"/>
              <w:rPr>
                <w:b/>
              </w:rPr>
            </w:pPr>
            <w:r w:rsidRPr="007F581B">
              <w:rPr>
                <w:b/>
              </w:rPr>
              <w:t>Documents de référence</w:t>
            </w:r>
            <w:r>
              <w:rPr>
                <w:b/>
              </w:rPr>
              <w:t> </w:t>
            </w:r>
            <w:r w:rsidRPr="007F581B">
              <w:rPr>
                <w:b/>
              </w:rPr>
              <w:t>:</w:t>
            </w:r>
            <w:r w:rsidR="00586821">
              <w:rPr>
                <w:b/>
              </w:rPr>
              <w:tab/>
            </w:r>
            <w:r w:rsidR="00586821" w:rsidRPr="00586821">
              <w:t>OTIF/RID/CE/GTP/2017/9 (Suède)</w:t>
            </w:r>
            <w:r w:rsidR="00586821" w:rsidRPr="00586821">
              <w:br/>
              <w:t>OTIF/RID/CE/GTP/2017-A</w:t>
            </w:r>
            <w:r w:rsidR="00010B21">
              <w:br/>
            </w:r>
            <w:r w:rsidR="00586821" w:rsidRPr="00586821">
              <w:t>TRANS/WP.15/AC.1/2018/14</w:t>
            </w:r>
            <w:r w:rsidR="00586821" w:rsidRPr="00586821">
              <w:br/>
              <w:t>ECE/TRANS/WP.15/AC.1/150</w:t>
            </w:r>
            <w:r w:rsidR="00586821" w:rsidRPr="00586821">
              <w:br/>
              <w:t>ECE/TRANS/WP.15/2019/7</w:t>
            </w:r>
            <w:r w:rsidR="00586821" w:rsidRPr="00586821">
              <w:br/>
              <w:t>Document informel INF.7 (Observations sur le document 2019/7)</w:t>
            </w:r>
            <w:r w:rsidR="00F151DC">
              <w:t>.</w:t>
            </w:r>
          </w:p>
        </w:tc>
      </w:tr>
      <w:tr w:rsidR="002C0F7D" w14:paraId="354BEC40" w14:textId="77777777">
        <w:trPr>
          <w:jc w:val="center"/>
        </w:trPr>
        <w:tc>
          <w:tcPr>
            <w:tcW w:w="9637" w:type="dxa"/>
            <w:shd w:val="clear" w:color="auto" w:fill="auto"/>
          </w:tcPr>
          <w:p w14:paraId="737D9F0F" w14:textId="77777777" w:rsidR="002C0F7D" w:rsidRDefault="002C0F7D"/>
        </w:tc>
      </w:tr>
    </w:tbl>
    <w:p w14:paraId="3CB31902" w14:textId="77777777" w:rsidR="0006395C" w:rsidRPr="0006395C" w:rsidRDefault="00586821" w:rsidP="0006395C">
      <w:pPr>
        <w:pStyle w:val="HChG"/>
      </w:pPr>
      <w:r>
        <w:br w:type="page"/>
      </w:r>
      <w:r w:rsidR="0006395C">
        <w:lastRenderedPageBreak/>
        <w:tab/>
      </w:r>
      <w:r w:rsidR="0006395C">
        <w:tab/>
      </w:r>
      <w:r w:rsidR="0006395C" w:rsidRPr="0006395C">
        <w:t>Contexte</w:t>
      </w:r>
    </w:p>
    <w:p w14:paraId="3DD33FB0" w14:textId="77777777" w:rsidR="0006395C" w:rsidRPr="0006395C" w:rsidRDefault="0006395C" w:rsidP="0006395C">
      <w:pPr>
        <w:pStyle w:val="SingleTxtG"/>
      </w:pPr>
      <w:r w:rsidRPr="0006395C">
        <w:t>1.</w:t>
      </w:r>
      <w:r w:rsidRPr="0006395C">
        <w:tab/>
        <w:t>À la huitième session du groupe de travail permanent du RID, la Suède a soumis un document (2017/9) concernant le marquage des wagons contenant des quantités limitées. Toutefois, le groupe de travail a estimé que les conteneurs devaient également être pris en considération et que, par conséquent, la question devrait être examinée par la Réunion commune en mars 2018. Les avis étaient partagés à la Réunion commune. La Suède a décidé qu</w:t>
      </w:r>
      <w:r w:rsidR="00EA51A8">
        <w:t>’</w:t>
      </w:r>
      <w:r w:rsidRPr="0006395C">
        <w:t>elle examinerait plus en détail les observations formulées et qu</w:t>
      </w:r>
      <w:r w:rsidR="00EA51A8">
        <w:t>’</w:t>
      </w:r>
      <w:r w:rsidRPr="0006395C">
        <w:t>elle soumettrait une nouvelle proposition à une session future.</w:t>
      </w:r>
    </w:p>
    <w:p w14:paraId="6C3F143B" w14:textId="77777777" w:rsidR="0006395C" w:rsidRPr="0006395C" w:rsidRDefault="0006395C" w:rsidP="0006395C">
      <w:pPr>
        <w:pStyle w:val="SingleTxtG"/>
      </w:pPr>
      <w:r w:rsidRPr="0006395C">
        <w:t>2.</w:t>
      </w:r>
      <w:r w:rsidRPr="0006395C">
        <w:tab/>
        <w:t>Suite à une proposition de la Suisse (</w:t>
      </w:r>
      <w:hyperlink r:id="rId8" w:history="1">
        <w:r w:rsidRPr="0006395C">
          <w:rPr>
            <w:rStyle w:val="Hyperlink"/>
          </w:rPr>
          <w:t>2019/7</w:t>
        </w:r>
      </w:hyperlink>
      <w:r w:rsidRPr="0006395C">
        <w:t>), suivie par un document informel de la Suède (</w:t>
      </w:r>
      <w:hyperlink r:id="rId9" w:history="1">
        <w:r w:rsidRPr="0006395C">
          <w:rPr>
            <w:rStyle w:val="Hyperlink"/>
          </w:rPr>
          <w:t>INF.7</w:t>
        </w:r>
      </w:hyperlink>
      <w:r w:rsidRPr="0006395C">
        <w:t>), la question a également été examinée par le Groupe de travail des transports de marchandises dangereuses (WP.15) en mai 2019. La proposition figurant dans le document INF.7 a obtenu un certain soutien mais a été à nouveau transmise à la Réunion commune pour que celle-ci examine la question à la fois du point de vue du transport routier et du transport ferroviaire.</w:t>
      </w:r>
    </w:p>
    <w:p w14:paraId="4AF81EB5" w14:textId="77777777" w:rsidR="0006395C" w:rsidRPr="0006395C" w:rsidRDefault="00C40DAA" w:rsidP="00C40DAA">
      <w:pPr>
        <w:pStyle w:val="HChG"/>
      </w:pPr>
      <w:r>
        <w:tab/>
      </w:r>
      <w:r>
        <w:tab/>
      </w:r>
      <w:r w:rsidR="0006395C" w:rsidRPr="0006395C">
        <w:t>Introduction</w:t>
      </w:r>
    </w:p>
    <w:p w14:paraId="2BBEE896" w14:textId="77777777" w:rsidR="0006395C" w:rsidRPr="0006395C" w:rsidRDefault="0006395C" w:rsidP="0006395C">
      <w:pPr>
        <w:pStyle w:val="SingleTxtG"/>
      </w:pPr>
      <w:r w:rsidRPr="0006395C">
        <w:t>3.</w:t>
      </w:r>
      <w:r w:rsidRPr="0006395C">
        <w:tab/>
        <w:t>D</w:t>
      </w:r>
      <w:r w:rsidR="00EA51A8">
        <w:t>’</w:t>
      </w:r>
      <w:r w:rsidRPr="0006395C">
        <w:t>après le rapport de la Réunion commune tenue en mars 2018, la plupart des délégations qui ont pris la parole ont souligné que les marchandises dangereuses dont le transport en quantités limitées était autorisé étaient celles présentant un risque faible pendant le transport. Elles ont donc estimé que le fait d</w:t>
      </w:r>
      <w:r w:rsidR="00EA51A8">
        <w:t>’</w:t>
      </w:r>
      <w:r w:rsidRPr="0006395C">
        <w:t>apposer la marque LQ n</w:t>
      </w:r>
      <w:r w:rsidR="00EA51A8">
        <w:t>’</w:t>
      </w:r>
      <w:r w:rsidRPr="0006395C">
        <w:t xml:space="preserve">améliorerait pas la sécurité puisque cette marque ne donnait aucune indication quant à la nature des risques liés aux marchandises transportées. </w:t>
      </w:r>
    </w:p>
    <w:p w14:paraId="55ED8C5F" w14:textId="77777777" w:rsidR="0006395C" w:rsidRPr="0006395C" w:rsidRDefault="0006395C" w:rsidP="0006395C">
      <w:pPr>
        <w:pStyle w:val="SingleTxtG"/>
      </w:pPr>
      <w:r w:rsidRPr="0006395C">
        <w:t>4.</w:t>
      </w:r>
      <w:r w:rsidRPr="0006395C">
        <w:tab/>
        <w:t>La Suède et la Suisse contestent que l</w:t>
      </w:r>
      <w:r w:rsidR="00EA51A8">
        <w:t>’</w:t>
      </w:r>
      <w:r w:rsidRPr="0006395C">
        <w:t>apposition de la marque LQ n</w:t>
      </w:r>
      <w:r w:rsidR="00EA51A8">
        <w:t>’</w:t>
      </w:r>
      <w:r w:rsidRPr="0006395C">
        <w:t xml:space="preserve">augmenterait pas la sécurité, au motif que la marque LQ est bien exigée pour les chargements dont le poids dépasse </w:t>
      </w:r>
      <w:r w:rsidR="00172632">
        <w:t>8 </w:t>
      </w:r>
      <w:r w:rsidRPr="0006395C">
        <w:t>tonnes. D</w:t>
      </w:r>
      <w:r w:rsidR="00EA51A8">
        <w:t>’</w:t>
      </w:r>
      <w:r w:rsidRPr="0006395C">
        <w:t>après ce qu</w:t>
      </w:r>
      <w:r w:rsidR="00EA51A8">
        <w:t>’</w:t>
      </w:r>
      <w:r w:rsidRPr="0006395C">
        <w:t>elles comprennent, cette exigence est justifiée par le fait qu</w:t>
      </w:r>
      <w:r w:rsidR="00EA51A8">
        <w:t>’</w:t>
      </w:r>
      <w:r w:rsidRPr="0006395C">
        <w:t xml:space="preserve">au-delà de </w:t>
      </w:r>
      <w:r w:rsidR="00172632">
        <w:t>8 </w:t>
      </w:r>
      <w:r w:rsidRPr="0006395C">
        <w:t>tonnes, le poids du chargement autorisé est considéré comme étant tellement élevé qu</w:t>
      </w:r>
      <w:r w:rsidR="00EA51A8">
        <w:t>’</w:t>
      </w:r>
      <w:r w:rsidRPr="0006395C">
        <w:t>il est vraiment pertinent d</w:t>
      </w:r>
      <w:r w:rsidR="00EA51A8">
        <w:t>’</w:t>
      </w:r>
      <w:r w:rsidRPr="0006395C">
        <w:t>informer les services de secours de son existence. Il est vrai que cela ne donne aucune indication de la nature du risque, mais informe les services de secours de l</w:t>
      </w:r>
      <w:r w:rsidR="00EA51A8">
        <w:t>’</w:t>
      </w:r>
      <w:r w:rsidRPr="0006395C">
        <w:t>existence d</w:t>
      </w:r>
      <w:r w:rsidR="00EA51A8">
        <w:t>’</w:t>
      </w:r>
      <w:r w:rsidRPr="0006395C">
        <w:t>un risque qui peut varier, information qui est utile par exemple en cas d</w:t>
      </w:r>
      <w:r w:rsidR="00EA51A8">
        <w:t>’</w:t>
      </w:r>
      <w:r w:rsidRPr="0006395C">
        <w:t>incendie. Les panneaux orange fournissent le même type d</w:t>
      </w:r>
      <w:r w:rsidR="00EA51A8">
        <w:t>’</w:t>
      </w:r>
      <w:r w:rsidRPr="0006395C">
        <w:t>information.</w:t>
      </w:r>
    </w:p>
    <w:p w14:paraId="152EF61A" w14:textId="77777777" w:rsidR="0006395C" w:rsidRPr="0006395C" w:rsidRDefault="0006395C" w:rsidP="0006395C">
      <w:pPr>
        <w:pStyle w:val="SingleTxtG"/>
      </w:pPr>
      <w:r w:rsidRPr="0006395C">
        <w:t>5.</w:t>
      </w:r>
      <w:r w:rsidRPr="0006395C">
        <w:tab/>
        <w:t>Cependant, les panneaux orange ne peuvent jamais être considérés comme superflus comme l</w:t>
      </w:r>
      <w:r w:rsidR="00EA51A8">
        <w:t>’</w:t>
      </w:r>
      <w:r w:rsidRPr="0006395C">
        <w:t>est la marque LQ d</w:t>
      </w:r>
      <w:r w:rsidR="00EA51A8">
        <w:t>’</w:t>
      </w:r>
      <w:r w:rsidRPr="0006395C">
        <w:t>après le 3.4.13. Cela signifie que si un wagon ou un conteneur chargé avec des quantités limitées contient également des marchandises dangereuses pour lesquelles une plaque-étiquette est exigée, la marque LQ peut être retirée. Cela entraîne une perte d</w:t>
      </w:r>
      <w:r w:rsidR="00EA51A8">
        <w:t>’</w:t>
      </w:r>
      <w:r w:rsidRPr="0006395C">
        <w:t>informations sur le type de marchandises transportées ainsi que le risque que la plaque-étiquette soit comprise comme représentant l</w:t>
      </w:r>
      <w:r w:rsidR="00EA51A8">
        <w:t>’</w:t>
      </w:r>
      <w:r w:rsidRPr="0006395C">
        <w:t>ensemble du chargement. C</w:t>
      </w:r>
      <w:r w:rsidR="00EA51A8">
        <w:t>’</w:t>
      </w:r>
      <w:r w:rsidRPr="0006395C">
        <w:t xml:space="preserve">est malheureux pour des raisons de sécurité. </w:t>
      </w:r>
    </w:p>
    <w:p w14:paraId="45A3F1E7" w14:textId="77777777" w:rsidR="0006395C" w:rsidRPr="0006395C" w:rsidRDefault="0006395C" w:rsidP="0006395C">
      <w:pPr>
        <w:pStyle w:val="SingleTxtG"/>
      </w:pPr>
      <w:r w:rsidRPr="0006395C">
        <w:t>6.</w:t>
      </w:r>
      <w:r w:rsidRPr="0006395C">
        <w:tab/>
        <w:t>On trouve également dans le rapport de la Réunion commune les considérations suivantes</w:t>
      </w:r>
      <w:r w:rsidR="00BD33DA">
        <w:t> </w:t>
      </w:r>
      <w:r w:rsidRPr="0006395C">
        <w:t>:</w:t>
      </w:r>
    </w:p>
    <w:p w14:paraId="3D83F612" w14:textId="77777777" w:rsidR="0006395C" w:rsidRPr="0006395C" w:rsidRDefault="0006395C" w:rsidP="0006395C">
      <w:pPr>
        <w:pStyle w:val="SingleTxtG"/>
      </w:pPr>
      <w:r w:rsidRPr="0006395C">
        <w:t>«</w:t>
      </w:r>
      <w:r w:rsidR="00BD33DA">
        <w:t> </w:t>
      </w:r>
      <w:r w:rsidRPr="0006395C">
        <w:t>D</w:t>
      </w:r>
      <w:r w:rsidR="00EA51A8">
        <w:t>’</w:t>
      </w:r>
      <w:r w:rsidRPr="0006395C">
        <w:t>autres délégations ont fait observer que le même argument (</w:t>
      </w:r>
      <w:r w:rsidRPr="0006395C">
        <w:rPr>
          <w:i/>
        </w:rPr>
        <w:t>le fait que l</w:t>
      </w:r>
      <w:r w:rsidR="00EA51A8">
        <w:rPr>
          <w:i/>
        </w:rPr>
        <w:t>’</w:t>
      </w:r>
      <w:r w:rsidRPr="0006395C">
        <w:rPr>
          <w:i/>
        </w:rPr>
        <w:t>on ne connaisse pas la nature du risque</w:t>
      </w:r>
      <w:r w:rsidRPr="0006395C">
        <w:t>) pourrait être invoqué pour contester l</w:t>
      </w:r>
      <w:r w:rsidR="00EA51A8">
        <w:t>’</w:t>
      </w:r>
      <w:r w:rsidRPr="0006395C">
        <w:t>utilité du panneau orange. Il a toutefois été noté que lorsque le panneau orange était exigé, l</w:t>
      </w:r>
      <w:r w:rsidR="00EA51A8">
        <w:t>’</w:t>
      </w:r>
      <w:r w:rsidRPr="0006395C">
        <w:t>information concernant la nature des marchandises transportées devait figurer dans le document de transport, alors que ce n</w:t>
      </w:r>
      <w:r w:rsidR="00EA51A8">
        <w:t>’</w:t>
      </w:r>
      <w:r w:rsidRPr="0006395C">
        <w:t>était pas le cas pour les marchandises dangereuses transportées en quantités limitées.</w:t>
      </w:r>
      <w:r w:rsidR="00BD33DA">
        <w:t> </w:t>
      </w:r>
      <w:r w:rsidRPr="0006395C">
        <w:t>»</w:t>
      </w:r>
      <w:r w:rsidR="00BD33DA">
        <w:t>.</w:t>
      </w:r>
    </w:p>
    <w:p w14:paraId="0A83F180" w14:textId="77777777" w:rsidR="002C0F7D" w:rsidRDefault="0006395C" w:rsidP="0006395C">
      <w:pPr>
        <w:pStyle w:val="SingleTxtG"/>
      </w:pPr>
      <w:r w:rsidRPr="0006395C">
        <w:t>7.</w:t>
      </w:r>
      <w:r w:rsidRPr="0006395C">
        <w:tab/>
        <w:t>La Suède et la Suisse estiment que cela prouve qu</w:t>
      </w:r>
      <w:r w:rsidR="00EA51A8">
        <w:t>’</w:t>
      </w:r>
      <w:r w:rsidRPr="0006395C">
        <w:t>il est d</w:t>
      </w:r>
      <w:r w:rsidR="00EA51A8">
        <w:t>’</w:t>
      </w:r>
      <w:r w:rsidRPr="0006395C">
        <w:t>autant plus important d</w:t>
      </w:r>
      <w:r w:rsidR="00EA51A8">
        <w:t>’</w:t>
      </w:r>
      <w:r w:rsidRPr="0006395C">
        <w:t>apposer la marque LQ qu</w:t>
      </w:r>
      <w:r w:rsidR="00EA51A8">
        <w:t>’</w:t>
      </w:r>
      <w:r w:rsidRPr="0006395C">
        <w:t>il s</w:t>
      </w:r>
      <w:r w:rsidR="00EA51A8">
        <w:t>’</w:t>
      </w:r>
      <w:r w:rsidRPr="0006395C">
        <w:t>agit de la seule manière d</w:t>
      </w:r>
      <w:r w:rsidR="00EA51A8">
        <w:t>’</w:t>
      </w:r>
      <w:r w:rsidRPr="0006395C">
        <w:t>indiquer que l</w:t>
      </w:r>
      <w:r w:rsidR="00EA51A8">
        <w:t>’</w:t>
      </w:r>
      <w:r w:rsidRPr="0006395C">
        <w:t>unité de transport contient des marchandises dangereuses qui peuvent présenter différents types de risques.</w:t>
      </w:r>
    </w:p>
    <w:p w14:paraId="02D470A1" w14:textId="77777777" w:rsidR="00BD33DA" w:rsidRDefault="00BD33DA" w:rsidP="00BD33DA">
      <w:pPr>
        <w:pStyle w:val="H23G"/>
        <w:rPr>
          <w:lang w:val="en-GB"/>
        </w:rPr>
      </w:pPr>
      <w:bookmarkStart w:id="0" w:name="_GoBack"/>
      <w:bookmarkEnd w:id="0"/>
      <w:r w:rsidRPr="0006483F">
        <w:lastRenderedPageBreak/>
        <w:tab/>
      </w:r>
      <w:r w:rsidRPr="0006483F">
        <w:tab/>
      </w:r>
      <w:proofErr w:type="spellStart"/>
      <w:r w:rsidRPr="00BD33DA">
        <w:rPr>
          <w:i/>
          <w:lang w:val="en-GB"/>
        </w:rPr>
        <w:t>Scénarios</w:t>
      </w:r>
      <w:proofErr w:type="spellEnd"/>
      <w:r>
        <w:rPr>
          <w:lang w:val="en-GB"/>
        </w:rPr>
        <w:t> </w:t>
      </w:r>
      <w:r w:rsidRPr="00BD33DA">
        <w:rPr>
          <w:lang w:val="en-GB"/>
        </w:rP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9"/>
        <w:gridCol w:w="4603"/>
        <w:gridCol w:w="3183"/>
      </w:tblGrid>
      <w:tr w:rsidR="00A31F2C" w14:paraId="0D215AC3" w14:textId="77777777" w:rsidTr="006744A6">
        <w:tc>
          <w:tcPr>
            <w:tcW w:w="8505" w:type="dxa"/>
            <w:gridSpan w:val="3"/>
            <w:tcBorders>
              <w:top w:val="single" w:sz="4" w:space="0" w:color="auto"/>
              <w:left w:val="single" w:sz="4" w:space="0" w:color="auto"/>
              <w:bottom w:val="single" w:sz="4" w:space="0" w:color="auto"/>
              <w:right w:val="single" w:sz="4" w:space="0" w:color="auto"/>
            </w:tcBorders>
          </w:tcPr>
          <w:p w14:paraId="2AF17BA6" w14:textId="77777777" w:rsidR="00A31F2C" w:rsidRDefault="00A31F2C" w:rsidP="00F318B3">
            <w:pPr>
              <w:spacing w:before="80" w:after="80" w:line="276" w:lineRule="auto"/>
              <w:ind w:left="1134"/>
              <w:jc w:val="center"/>
              <w:rPr>
                <w:rFonts w:ascii="Calibri" w:eastAsia="Calibri" w:hAnsi="Calibri"/>
                <w:b/>
              </w:rPr>
            </w:pPr>
            <w:proofErr w:type="spellStart"/>
            <w:r w:rsidRPr="00A31F2C">
              <w:rPr>
                <w:b/>
                <w:bCs/>
                <w:lang w:val="en-GB"/>
              </w:rPr>
              <w:t>Conteneur</w:t>
            </w:r>
            <w:proofErr w:type="spellEnd"/>
            <w:r w:rsidRPr="00A31F2C">
              <w:rPr>
                <w:b/>
                <w:bCs/>
                <w:lang w:val="en-GB"/>
              </w:rPr>
              <w:t xml:space="preserve"> </w:t>
            </w:r>
            <w:proofErr w:type="spellStart"/>
            <w:r w:rsidRPr="00A31F2C">
              <w:rPr>
                <w:b/>
                <w:bCs/>
                <w:lang w:val="en-GB"/>
              </w:rPr>
              <w:t>ou</w:t>
            </w:r>
            <w:proofErr w:type="spellEnd"/>
            <w:r w:rsidRPr="00A31F2C">
              <w:rPr>
                <w:b/>
                <w:bCs/>
                <w:lang w:val="en-GB"/>
              </w:rPr>
              <w:t xml:space="preserve"> wagon</w:t>
            </w:r>
          </w:p>
        </w:tc>
      </w:tr>
      <w:tr w:rsidR="00A31F2C" w:rsidRPr="00A31F2C" w14:paraId="74EBB04E" w14:textId="77777777" w:rsidTr="006744A6">
        <w:tc>
          <w:tcPr>
            <w:tcW w:w="719" w:type="dxa"/>
            <w:tcBorders>
              <w:top w:val="single" w:sz="4" w:space="0" w:color="auto"/>
              <w:left w:val="single" w:sz="4" w:space="0" w:color="auto"/>
              <w:bottom w:val="single" w:sz="4" w:space="0" w:color="auto"/>
              <w:right w:val="single" w:sz="4" w:space="0" w:color="auto"/>
            </w:tcBorders>
          </w:tcPr>
          <w:p w14:paraId="53A3B1F2" w14:textId="77777777" w:rsidR="00A31F2C" w:rsidRDefault="00A31F2C" w:rsidP="00F318B3">
            <w:pPr>
              <w:ind w:left="1134"/>
              <w:rPr>
                <w:b/>
              </w:rPr>
            </w:pPr>
          </w:p>
        </w:tc>
        <w:tc>
          <w:tcPr>
            <w:tcW w:w="4603" w:type="dxa"/>
            <w:tcBorders>
              <w:top w:val="single" w:sz="4" w:space="0" w:color="auto"/>
              <w:left w:val="single" w:sz="4" w:space="0" w:color="auto"/>
              <w:bottom w:val="single" w:sz="4" w:space="0" w:color="auto"/>
              <w:right w:val="single" w:sz="4" w:space="0" w:color="auto"/>
            </w:tcBorders>
            <w:hideMark/>
          </w:tcPr>
          <w:p w14:paraId="49EE7937" w14:textId="77777777" w:rsidR="00A31F2C" w:rsidRDefault="00A31F2C" w:rsidP="00BC7E73">
            <w:pPr>
              <w:spacing w:before="60" w:after="60"/>
              <w:ind w:left="1134"/>
              <w:rPr>
                <w:b/>
              </w:rPr>
            </w:pPr>
            <w:r>
              <w:rPr>
                <w:b/>
                <w:bCs/>
              </w:rPr>
              <w:t>Contenu</w:t>
            </w:r>
          </w:p>
        </w:tc>
        <w:tc>
          <w:tcPr>
            <w:tcW w:w="3183" w:type="dxa"/>
            <w:tcBorders>
              <w:top w:val="single" w:sz="4" w:space="0" w:color="auto"/>
              <w:left w:val="single" w:sz="4" w:space="0" w:color="auto"/>
              <w:bottom w:val="single" w:sz="4" w:space="0" w:color="auto"/>
              <w:right w:val="single" w:sz="4" w:space="0" w:color="auto"/>
            </w:tcBorders>
            <w:hideMark/>
          </w:tcPr>
          <w:p w14:paraId="5CAD06D3" w14:textId="77777777" w:rsidR="00A31F2C" w:rsidRPr="00A31F2C" w:rsidRDefault="00BC7E73" w:rsidP="00BC7E73">
            <w:pPr>
              <w:spacing w:before="60" w:after="60"/>
              <w:jc w:val="center"/>
              <w:rPr>
                <w:b/>
                <w:lang w:val="ru-RU"/>
              </w:rPr>
            </w:pPr>
            <w:proofErr w:type="spellStart"/>
            <w:r w:rsidRPr="00D73A4C">
              <w:rPr>
                <w:b/>
                <w:bCs/>
                <w:i/>
                <w:iCs/>
                <w:lang w:val="en-GB"/>
              </w:rPr>
              <w:t>Placardage</w:t>
            </w:r>
            <w:proofErr w:type="spellEnd"/>
            <w:r w:rsidRPr="00D73A4C">
              <w:rPr>
                <w:b/>
                <w:bCs/>
                <w:i/>
                <w:iCs/>
                <w:lang w:val="en-GB"/>
              </w:rPr>
              <w:t>/</w:t>
            </w:r>
            <w:proofErr w:type="spellStart"/>
            <w:r w:rsidRPr="00D73A4C">
              <w:rPr>
                <w:b/>
                <w:bCs/>
                <w:i/>
                <w:iCs/>
                <w:lang w:val="en-GB"/>
              </w:rPr>
              <w:t>marquage</w:t>
            </w:r>
            <w:proofErr w:type="spellEnd"/>
            <w:r>
              <w:rPr>
                <w:b/>
                <w:bCs/>
                <w:i/>
                <w:iCs/>
                <w:lang w:val="en-GB"/>
              </w:rPr>
              <w:t xml:space="preserve"> </w:t>
            </w:r>
            <w:proofErr w:type="spellStart"/>
            <w:r w:rsidRPr="00D73A4C">
              <w:rPr>
                <w:b/>
                <w:bCs/>
                <w:iCs/>
                <w:lang w:val="en-GB"/>
              </w:rPr>
              <w:t>requi</w:t>
            </w:r>
            <w:r w:rsidR="003D1EDB" w:rsidRPr="00D73A4C">
              <w:rPr>
                <w:b/>
                <w:bCs/>
                <w:iCs/>
                <w:lang w:val="en-GB"/>
              </w:rPr>
              <w:t>s</w:t>
            </w:r>
            <w:proofErr w:type="spellEnd"/>
          </w:p>
        </w:tc>
      </w:tr>
      <w:tr w:rsidR="006744A6" w14:paraId="610E2C99" w14:textId="77777777" w:rsidTr="006744A6">
        <w:trPr>
          <w:trHeight w:val="1235"/>
        </w:trPr>
        <w:tc>
          <w:tcPr>
            <w:tcW w:w="719" w:type="dxa"/>
            <w:tcBorders>
              <w:top w:val="single" w:sz="4" w:space="0" w:color="auto"/>
              <w:left w:val="single" w:sz="4" w:space="0" w:color="auto"/>
              <w:bottom w:val="single" w:sz="4" w:space="0" w:color="auto"/>
              <w:right w:val="single" w:sz="4" w:space="0" w:color="auto"/>
            </w:tcBorders>
          </w:tcPr>
          <w:p w14:paraId="10D79082" w14:textId="77777777" w:rsidR="006744A6" w:rsidRPr="00115A1F" w:rsidRDefault="006744A6" w:rsidP="006744A6">
            <w:pPr>
              <w:spacing w:before="60" w:after="60"/>
              <w:jc w:val="center"/>
              <w:rPr>
                <w:rFonts w:asciiTheme="majorBidi" w:eastAsia="Calibri" w:hAnsiTheme="majorBidi" w:cstheme="majorBidi"/>
                <w:b/>
                <w:bCs/>
              </w:rPr>
            </w:pPr>
            <w:r w:rsidRPr="00115A1F">
              <w:rPr>
                <w:rFonts w:asciiTheme="majorBidi" w:hAnsiTheme="majorBidi" w:cstheme="majorBidi"/>
                <w:b/>
                <w:bCs/>
              </w:rPr>
              <w:t>1</w:t>
            </w:r>
          </w:p>
        </w:tc>
        <w:tc>
          <w:tcPr>
            <w:tcW w:w="4603" w:type="dxa"/>
            <w:tcBorders>
              <w:top w:val="single" w:sz="4" w:space="0" w:color="auto"/>
              <w:left w:val="single" w:sz="4" w:space="0" w:color="auto"/>
              <w:bottom w:val="single" w:sz="4" w:space="0" w:color="auto"/>
              <w:right w:val="single" w:sz="4" w:space="0" w:color="auto"/>
            </w:tcBorders>
            <w:hideMark/>
          </w:tcPr>
          <w:p w14:paraId="38CF7B8E" w14:textId="77777777" w:rsidR="006744A6" w:rsidRPr="004B5628" w:rsidRDefault="006744A6" w:rsidP="006744A6">
            <w:pPr>
              <w:pStyle w:val="Bullet1G"/>
              <w:spacing w:before="60" w:after="60"/>
              <w:ind w:left="340" w:right="57"/>
              <w:jc w:val="left"/>
              <w:rPr>
                <w:rFonts w:eastAsia="Calibri"/>
              </w:rPr>
            </w:pPr>
            <w:r w:rsidRPr="003D1EDB">
              <w:t>28</w:t>
            </w:r>
            <w:r>
              <w:t> </w:t>
            </w:r>
            <w:r w:rsidRPr="003D1EDB">
              <w:t>000 litres d</w:t>
            </w:r>
            <w:r>
              <w:t>’</w:t>
            </w:r>
            <w:r w:rsidRPr="003D1EDB">
              <w:t xml:space="preserve">éthanol, </w:t>
            </w:r>
            <w:r>
              <w:t>N</w:t>
            </w:r>
            <w:r>
              <w:rPr>
                <w:rFonts w:eastAsia="MS Mincho"/>
                <w:szCs w:val="22"/>
              </w:rPr>
              <w:t>o</w:t>
            </w:r>
            <w:r>
              <w:t> </w:t>
            </w:r>
            <w:r w:rsidRPr="003D1EDB">
              <w:t>ONU 1170, 3, III,</w:t>
            </w:r>
            <w:r>
              <w:br/>
            </w:r>
            <w:r w:rsidRPr="003D1EDB">
              <w:t>dans 5</w:t>
            </w:r>
            <w:r>
              <w:t> </w:t>
            </w:r>
            <w:r w:rsidRPr="003D1EDB">
              <w:t xml:space="preserve">600 bidons </w:t>
            </w:r>
            <w:r w:rsidRPr="00170F66">
              <w:t>en</w:t>
            </w:r>
            <w:r w:rsidRPr="003D1EDB">
              <w:t xml:space="preserve"> plastique de 5</w:t>
            </w:r>
            <w:r>
              <w:t> </w:t>
            </w:r>
            <w:r w:rsidRPr="003D1EDB">
              <w:t>litres chacun (quantité limitée)</w:t>
            </w:r>
          </w:p>
        </w:tc>
        <w:tc>
          <w:tcPr>
            <w:tcW w:w="3183" w:type="dxa"/>
            <w:tcBorders>
              <w:top w:val="single" w:sz="4" w:space="0" w:color="auto"/>
              <w:left w:val="single" w:sz="4" w:space="0" w:color="auto"/>
              <w:bottom w:val="single" w:sz="4" w:space="0" w:color="auto"/>
              <w:right w:val="single" w:sz="4" w:space="0" w:color="auto"/>
            </w:tcBorders>
          </w:tcPr>
          <w:p w14:paraId="124D072A" w14:textId="35DA1D14" w:rsidR="00B25C0D" w:rsidRDefault="00B25C0D" w:rsidP="00517AD7">
            <w:pPr>
              <w:spacing w:before="60" w:after="60" w:line="276" w:lineRule="auto"/>
              <w:ind w:left="249"/>
              <w:rPr>
                <w:rFonts w:eastAsia="Calibri"/>
              </w:rPr>
            </w:pPr>
            <w:r>
              <w:rPr>
                <w:noProof/>
                <w:lang w:eastAsia="ru-RU"/>
              </w:rPr>
              <w:drawing>
                <wp:anchor distT="0" distB="0" distL="114300" distR="114300" simplePos="0" relativeHeight="251657216" behindDoc="1" locked="0" layoutInCell="1" allowOverlap="1" wp14:anchorId="30189B45" wp14:editId="3B0964B5">
                  <wp:simplePos x="0" y="0"/>
                  <wp:positionH relativeFrom="column">
                    <wp:posOffset>755650</wp:posOffset>
                  </wp:positionH>
                  <wp:positionV relativeFrom="paragraph">
                    <wp:posOffset>183515</wp:posOffset>
                  </wp:positionV>
                  <wp:extent cx="410210" cy="410210"/>
                  <wp:effectExtent l="95250" t="95250" r="85090" b="85090"/>
                  <wp:wrapNone/>
                  <wp:docPr id="4" name="Bildobjekt 4" descr="https://www.msb.se/Upload/Forebyggande/farligt_gods/Skyltar_etiketter/bmp/LQ_n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https://www.msb.se/Upload/Forebyggande/farligt_gods/Skyltar_etiketter/bmp/LQ_ny.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8184875">
                            <a:off x="0" y="0"/>
                            <a:ext cx="410210" cy="410210"/>
                          </a:xfrm>
                          <a:prstGeom prst="rect">
                            <a:avLst/>
                          </a:prstGeom>
                          <a:noFill/>
                        </pic:spPr>
                      </pic:pic>
                    </a:graphicData>
                  </a:graphic>
                  <wp14:sizeRelH relativeFrom="margin">
                    <wp14:pctWidth>0</wp14:pctWidth>
                  </wp14:sizeRelH>
                  <wp14:sizeRelV relativeFrom="margin">
                    <wp14:pctHeight>0</wp14:pctHeight>
                  </wp14:sizeRelV>
                </wp:anchor>
              </w:drawing>
            </w:r>
            <w:r>
              <w:t>LQ</w:t>
            </w:r>
          </w:p>
          <w:p w14:paraId="16088CCC" w14:textId="77777777" w:rsidR="006744A6" w:rsidRPr="0086757D" w:rsidRDefault="006744A6" w:rsidP="006744A6">
            <w:pPr>
              <w:spacing w:before="60" w:after="60"/>
              <w:ind w:left="249"/>
              <w:rPr>
                <w:rFonts w:eastAsia="Calibri"/>
              </w:rPr>
            </w:pPr>
          </w:p>
        </w:tc>
      </w:tr>
      <w:tr w:rsidR="006744A6" w14:paraId="17768469" w14:textId="77777777" w:rsidTr="006744A6">
        <w:tc>
          <w:tcPr>
            <w:tcW w:w="719" w:type="dxa"/>
            <w:tcBorders>
              <w:top w:val="single" w:sz="4" w:space="0" w:color="auto"/>
              <w:left w:val="single" w:sz="4" w:space="0" w:color="auto"/>
              <w:bottom w:val="single" w:sz="4" w:space="0" w:color="auto"/>
              <w:right w:val="single" w:sz="4" w:space="0" w:color="auto"/>
            </w:tcBorders>
          </w:tcPr>
          <w:p w14:paraId="77D1D626" w14:textId="77777777" w:rsidR="006744A6" w:rsidRPr="00115A1F" w:rsidRDefault="006744A6" w:rsidP="006744A6">
            <w:pPr>
              <w:spacing w:before="60" w:after="60"/>
              <w:jc w:val="center"/>
              <w:rPr>
                <w:rFonts w:asciiTheme="majorBidi" w:eastAsia="Calibri" w:hAnsiTheme="majorBidi" w:cstheme="majorBidi"/>
                <w:b/>
                <w:bCs/>
              </w:rPr>
            </w:pPr>
            <w:r w:rsidRPr="00115A1F">
              <w:rPr>
                <w:rFonts w:asciiTheme="majorBidi" w:hAnsiTheme="majorBidi" w:cstheme="majorBidi"/>
                <w:b/>
                <w:bCs/>
              </w:rPr>
              <w:t>2</w:t>
            </w:r>
          </w:p>
        </w:tc>
        <w:tc>
          <w:tcPr>
            <w:tcW w:w="4603" w:type="dxa"/>
            <w:tcBorders>
              <w:top w:val="single" w:sz="4" w:space="0" w:color="auto"/>
              <w:left w:val="single" w:sz="4" w:space="0" w:color="auto"/>
              <w:bottom w:val="single" w:sz="4" w:space="0" w:color="auto"/>
              <w:right w:val="single" w:sz="4" w:space="0" w:color="auto"/>
            </w:tcBorders>
            <w:hideMark/>
          </w:tcPr>
          <w:p w14:paraId="48117793" w14:textId="77777777" w:rsidR="006744A6" w:rsidRPr="00115A1F" w:rsidRDefault="006744A6" w:rsidP="006744A6">
            <w:pPr>
              <w:pStyle w:val="Bullet1G"/>
              <w:spacing w:before="60" w:after="60"/>
              <w:ind w:left="340" w:right="57"/>
              <w:jc w:val="left"/>
              <w:rPr>
                <w:rFonts w:asciiTheme="majorBidi" w:eastAsia="Calibri" w:hAnsiTheme="majorBidi" w:cstheme="majorBidi"/>
              </w:rPr>
            </w:pPr>
            <w:r w:rsidRPr="00355ACF">
              <w:rPr>
                <w:rFonts w:asciiTheme="majorBidi" w:hAnsiTheme="majorBidi" w:cstheme="majorBidi"/>
              </w:rPr>
              <w:t>28</w:t>
            </w:r>
            <w:r>
              <w:rPr>
                <w:rFonts w:asciiTheme="majorBidi" w:hAnsiTheme="majorBidi" w:cstheme="majorBidi"/>
              </w:rPr>
              <w:t> </w:t>
            </w:r>
            <w:r w:rsidRPr="00355ACF">
              <w:rPr>
                <w:rFonts w:asciiTheme="majorBidi" w:hAnsiTheme="majorBidi" w:cstheme="majorBidi"/>
              </w:rPr>
              <w:t>000 litres d</w:t>
            </w:r>
            <w:r>
              <w:rPr>
                <w:rFonts w:asciiTheme="majorBidi" w:hAnsiTheme="majorBidi" w:cstheme="majorBidi"/>
              </w:rPr>
              <w:t>’</w:t>
            </w:r>
            <w:r w:rsidRPr="00355ACF">
              <w:rPr>
                <w:rFonts w:asciiTheme="majorBidi" w:hAnsiTheme="majorBidi" w:cstheme="majorBidi"/>
              </w:rPr>
              <w:t xml:space="preserve">éthanol, </w:t>
            </w:r>
            <w:r>
              <w:t>N</w:t>
            </w:r>
            <w:r>
              <w:rPr>
                <w:rFonts w:eastAsia="MS Mincho"/>
                <w:szCs w:val="22"/>
              </w:rPr>
              <w:t>o</w:t>
            </w:r>
            <w:r>
              <w:t> </w:t>
            </w:r>
            <w:r w:rsidRPr="003D1EDB">
              <w:t>ONU</w:t>
            </w:r>
            <w:r w:rsidRPr="00355ACF">
              <w:rPr>
                <w:rFonts w:asciiTheme="majorBidi" w:hAnsiTheme="majorBidi" w:cstheme="majorBidi"/>
              </w:rPr>
              <w:t xml:space="preserve"> 1170, 3, III, </w:t>
            </w:r>
            <w:r>
              <w:rPr>
                <w:rFonts w:asciiTheme="majorBidi" w:hAnsiTheme="majorBidi" w:cstheme="majorBidi"/>
              </w:rPr>
              <w:br/>
            </w:r>
            <w:r w:rsidRPr="00355ACF">
              <w:rPr>
                <w:rFonts w:asciiTheme="majorBidi" w:hAnsiTheme="majorBidi" w:cstheme="majorBidi"/>
              </w:rPr>
              <w:t>dans 5</w:t>
            </w:r>
            <w:r>
              <w:rPr>
                <w:rFonts w:asciiTheme="majorBidi" w:hAnsiTheme="majorBidi" w:cstheme="majorBidi"/>
              </w:rPr>
              <w:t> </w:t>
            </w:r>
            <w:r w:rsidRPr="00355ACF">
              <w:rPr>
                <w:rFonts w:asciiTheme="majorBidi" w:hAnsiTheme="majorBidi" w:cstheme="majorBidi"/>
              </w:rPr>
              <w:t>600 bidons en plastique de 5</w:t>
            </w:r>
            <w:r>
              <w:rPr>
                <w:rFonts w:asciiTheme="majorBidi" w:hAnsiTheme="majorBidi" w:cstheme="majorBidi"/>
              </w:rPr>
              <w:t> </w:t>
            </w:r>
            <w:r w:rsidRPr="00355ACF">
              <w:rPr>
                <w:rFonts w:asciiTheme="majorBidi" w:hAnsiTheme="majorBidi" w:cstheme="majorBidi"/>
              </w:rPr>
              <w:t>litres chacun (quantité limitée)</w:t>
            </w:r>
          </w:p>
          <w:p w14:paraId="61252156" w14:textId="77777777" w:rsidR="006744A6" w:rsidRPr="001B7079" w:rsidRDefault="006744A6" w:rsidP="006744A6">
            <w:pPr>
              <w:pStyle w:val="SingleTxtG"/>
              <w:spacing w:before="60" w:after="60"/>
              <w:ind w:left="338"/>
              <w:rPr>
                <w:i/>
              </w:rPr>
            </w:pPr>
            <w:r w:rsidRPr="001B7079">
              <w:rPr>
                <w:i/>
              </w:rPr>
              <w:t>et</w:t>
            </w:r>
          </w:p>
          <w:p w14:paraId="687CBF66" w14:textId="77777777" w:rsidR="006744A6" w:rsidRPr="00355ACF" w:rsidRDefault="006744A6" w:rsidP="006744A6">
            <w:pPr>
              <w:pStyle w:val="Bullet1G"/>
              <w:spacing w:before="60" w:after="60"/>
              <w:ind w:left="340" w:right="57"/>
              <w:jc w:val="left"/>
              <w:rPr>
                <w:rFonts w:asciiTheme="majorBidi" w:eastAsia="Calibri" w:hAnsiTheme="majorBidi" w:cstheme="majorBidi"/>
              </w:rPr>
            </w:pPr>
            <w:r w:rsidRPr="00355ACF">
              <w:rPr>
                <w:rFonts w:asciiTheme="majorBidi" w:hAnsiTheme="majorBidi" w:cstheme="majorBidi"/>
              </w:rPr>
              <w:t>60</w:t>
            </w:r>
            <w:r>
              <w:rPr>
                <w:rFonts w:asciiTheme="majorBidi" w:hAnsiTheme="majorBidi" w:cstheme="majorBidi"/>
              </w:rPr>
              <w:t> </w:t>
            </w:r>
            <w:r w:rsidRPr="00355ACF">
              <w:rPr>
                <w:rFonts w:asciiTheme="majorBidi" w:hAnsiTheme="majorBidi" w:cstheme="majorBidi"/>
              </w:rPr>
              <w:t xml:space="preserve">kg du </w:t>
            </w:r>
            <w:r>
              <w:t>N</w:t>
            </w:r>
            <w:r>
              <w:rPr>
                <w:rFonts w:eastAsia="MS Mincho"/>
                <w:szCs w:val="22"/>
              </w:rPr>
              <w:t>o</w:t>
            </w:r>
            <w:r>
              <w:t> </w:t>
            </w:r>
            <w:r w:rsidRPr="003D1EDB">
              <w:t>ONU</w:t>
            </w:r>
            <w:r w:rsidRPr="00355ACF">
              <w:rPr>
                <w:rFonts w:asciiTheme="majorBidi" w:hAnsiTheme="majorBidi" w:cstheme="majorBidi"/>
              </w:rPr>
              <w:t xml:space="preserve"> 3077 Matière dangereuse du point de vue de l</w:t>
            </w:r>
            <w:r>
              <w:rPr>
                <w:rFonts w:asciiTheme="majorBidi" w:hAnsiTheme="majorBidi" w:cstheme="majorBidi"/>
              </w:rPr>
              <w:t>’</w:t>
            </w:r>
            <w:r w:rsidRPr="00355ACF">
              <w:rPr>
                <w:rFonts w:asciiTheme="majorBidi" w:hAnsiTheme="majorBidi" w:cstheme="majorBidi"/>
              </w:rPr>
              <w:t xml:space="preserve">environnement, solide, NSA, 9, </w:t>
            </w:r>
            <w:r>
              <w:rPr>
                <w:rFonts w:asciiTheme="majorBidi" w:hAnsiTheme="majorBidi" w:cstheme="majorBidi"/>
              </w:rPr>
              <w:br/>
            </w:r>
            <w:r w:rsidRPr="00355ACF">
              <w:rPr>
                <w:rFonts w:asciiTheme="majorBidi" w:hAnsiTheme="majorBidi" w:cstheme="majorBidi"/>
              </w:rPr>
              <w:t>III</w:t>
            </w:r>
            <w:r>
              <w:rPr>
                <w:rFonts w:asciiTheme="majorBidi" w:hAnsiTheme="majorBidi" w:cstheme="majorBidi"/>
              </w:rPr>
              <w:t>,</w:t>
            </w:r>
            <w:r w:rsidRPr="00355ACF">
              <w:rPr>
                <w:rFonts w:asciiTheme="majorBidi" w:hAnsiTheme="majorBidi" w:cstheme="majorBidi"/>
              </w:rPr>
              <w:t xml:space="preserve"> dans un fût</w:t>
            </w:r>
          </w:p>
        </w:tc>
        <w:tc>
          <w:tcPr>
            <w:tcW w:w="3183" w:type="dxa"/>
            <w:tcBorders>
              <w:top w:val="single" w:sz="4" w:space="0" w:color="auto"/>
              <w:left w:val="single" w:sz="4" w:space="0" w:color="auto"/>
              <w:bottom w:val="single" w:sz="4" w:space="0" w:color="auto"/>
              <w:right w:val="single" w:sz="4" w:space="0" w:color="auto"/>
            </w:tcBorders>
          </w:tcPr>
          <w:p w14:paraId="14C7A01F" w14:textId="77777777" w:rsidR="006744A6" w:rsidRDefault="006744A6" w:rsidP="006744A6">
            <w:pPr>
              <w:spacing w:before="60" w:after="60"/>
              <w:ind w:left="249"/>
              <w:rPr>
                <w:rFonts w:eastAsia="Calibri"/>
              </w:rPr>
            </w:pPr>
            <w:r>
              <w:rPr>
                <w:noProof/>
                <w:lang w:eastAsia="ru-RU"/>
              </w:rPr>
              <w:drawing>
                <wp:anchor distT="0" distB="0" distL="114300" distR="114300" simplePos="0" relativeHeight="251658240" behindDoc="1" locked="0" layoutInCell="1" allowOverlap="1" wp14:anchorId="175642FE" wp14:editId="6354D02E">
                  <wp:simplePos x="0" y="0"/>
                  <wp:positionH relativeFrom="column">
                    <wp:posOffset>766445</wp:posOffset>
                  </wp:positionH>
                  <wp:positionV relativeFrom="paragraph">
                    <wp:posOffset>76835</wp:posOffset>
                  </wp:positionV>
                  <wp:extent cx="414655" cy="418465"/>
                  <wp:effectExtent l="95250" t="95250" r="99695" b="95885"/>
                  <wp:wrapNone/>
                  <wp:docPr id="5" name="Bildobjekt 3" descr="https://www.msb.se/Upload/Forebyggande/farligt_gods/Skyltar_etiketter/bmp/Nr%209%20%c3%96vriga%20farliga%20%c3%a4mnen%20och%20f%c3%b6rem%c3%a5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www.msb.se/Upload/Forebyggande/farligt_gods/Skyltar_etiketter/bmp/Nr%209%20%c3%96vriga%20farliga%20%c3%a4mnen%20och%20f%c3%b6rem%c3%a5l.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3390859" flipV="1">
                            <a:off x="0" y="0"/>
                            <a:ext cx="414655" cy="418465"/>
                          </a:xfrm>
                          <a:prstGeom prst="rect">
                            <a:avLst/>
                          </a:prstGeom>
                          <a:noFill/>
                        </pic:spPr>
                      </pic:pic>
                    </a:graphicData>
                  </a:graphic>
                  <wp14:sizeRelH relativeFrom="margin">
                    <wp14:pctWidth>0</wp14:pctWidth>
                  </wp14:sizeRelH>
                  <wp14:sizeRelV relativeFrom="margin">
                    <wp14:pctHeight>0</wp14:pctHeight>
                  </wp14:sizeRelV>
                </wp:anchor>
              </w:drawing>
            </w:r>
            <w:r>
              <w:rPr>
                <w:rFonts w:eastAsia="MS Mincho"/>
                <w:szCs w:val="22"/>
              </w:rPr>
              <w:t>N</w:t>
            </w:r>
            <w:r w:rsidRPr="002D76F4">
              <w:rPr>
                <w:rFonts w:eastAsia="MS Mincho"/>
                <w:szCs w:val="22"/>
                <w:vertAlign w:val="superscript"/>
              </w:rPr>
              <w:t>o</w:t>
            </w:r>
            <w:r>
              <w:t> 9</w:t>
            </w:r>
          </w:p>
          <w:p w14:paraId="49568699" w14:textId="77777777" w:rsidR="006744A6" w:rsidRDefault="006744A6" w:rsidP="006744A6">
            <w:pPr>
              <w:spacing w:before="60" w:after="60"/>
              <w:ind w:left="249"/>
              <w:rPr>
                <w:rFonts w:eastAsia="Calibri"/>
                <w:lang w:val="en-US"/>
              </w:rPr>
            </w:pPr>
          </w:p>
        </w:tc>
      </w:tr>
    </w:tbl>
    <w:p w14:paraId="38C2680B" w14:textId="77777777" w:rsidR="00D471C1" w:rsidRPr="00D471C1" w:rsidRDefault="00355ACF" w:rsidP="00D471C1">
      <w:pPr>
        <w:pStyle w:val="SingleTxtG"/>
        <w:spacing w:before="120"/>
      </w:pPr>
      <w:r w:rsidRPr="00D471C1">
        <w:t>8.</w:t>
      </w:r>
      <w:r w:rsidRPr="00D471C1">
        <w:tab/>
      </w:r>
      <w:r w:rsidR="00D471C1" w:rsidRPr="00D471C1">
        <w:t>Comme indiqué dans les exemples ci-dessus, ce sont les dispositions concernant les marchandises entièrement réglementées qui prévalent et déterminent le type d</w:t>
      </w:r>
      <w:r w:rsidR="00EA51A8">
        <w:t>’</w:t>
      </w:r>
      <w:r w:rsidR="00D471C1" w:rsidRPr="00D471C1">
        <w:t xml:space="preserve">informations qui doivent être apposées sur le conteneur (cas </w:t>
      </w:r>
      <w:r w:rsidR="00D471C1" w:rsidRPr="002D76F4">
        <w:rPr>
          <w:rFonts w:eastAsia="MS Mincho"/>
          <w:szCs w:val="22"/>
        </w:rPr>
        <w:t>n</w:t>
      </w:r>
      <w:r w:rsidR="00D471C1" w:rsidRPr="002D76F4">
        <w:rPr>
          <w:rFonts w:eastAsia="MS Mincho"/>
          <w:szCs w:val="22"/>
          <w:vertAlign w:val="superscript"/>
        </w:rPr>
        <w:t>o</w:t>
      </w:r>
      <w:r w:rsidR="00D471C1">
        <w:t> </w:t>
      </w:r>
      <w:r w:rsidR="00D471C1" w:rsidRPr="00D471C1">
        <w:t>2), et pas nécessairement le danger le plus réel et donc le plus pertinent. Cela pose un problème. Le risque pour les personnes et l</w:t>
      </w:r>
      <w:r w:rsidR="00EA51A8">
        <w:t>’</w:t>
      </w:r>
      <w:r w:rsidR="00D471C1" w:rsidRPr="00D471C1">
        <w:t>environnement, par exemple d</w:t>
      </w:r>
      <w:r w:rsidR="00EA51A8">
        <w:t>’</w:t>
      </w:r>
      <w:r w:rsidR="00D471C1" w:rsidRPr="00D471C1">
        <w:t>un fût contenant 60</w:t>
      </w:r>
      <w:r w:rsidR="00D471C1">
        <w:t> </w:t>
      </w:r>
      <w:r w:rsidR="00D471C1" w:rsidRPr="00D471C1">
        <w:t>kg d</w:t>
      </w:r>
      <w:r w:rsidR="00EA51A8">
        <w:t>’</w:t>
      </w:r>
      <w:r w:rsidR="00D471C1" w:rsidRPr="00D471C1">
        <w:t>une matière dangereuse pour l</w:t>
      </w:r>
      <w:r w:rsidR="00EA51A8">
        <w:t>’</w:t>
      </w:r>
      <w:r w:rsidR="00D471C1" w:rsidRPr="00D471C1">
        <w:t>environnement de la classe</w:t>
      </w:r>
      <w:r w:rsidR="00D471C1">
        <w:t> </w:t>
      </w:r>
      <w:r w:rsidR="00D471C1" w:rsidRPr="00D471C1">
        <w:t>9 (transportée en tant que marchandise dangereuse pleinement réglementée et non en tant que quantité limitée) ne peut pas être si essentiel qu</w:t>
      </w:r>
      <w:r w:rsidR="00EA51A8">
        <w:t>’</w:t>
      </w:r>
      <w:r w:rsidR="00D471C1" w:rsidRPr="00D471C1">
        <w:t>il prévale dans la manière d</w:t>
      </w:r>
      <w:r w:rsidR="00EA51A8">
        <w:t>’</w:t>
      </w:r>
      <w:r w:rsidR="00D471C1" w:rsidRPr="00D471C1">
        <w:t>avertir du danger sur un wagon ou un conteneur contenant également plus de 8</w:t>
      </w:r>
      <w:r w:rsidR="00726032">
        <w:t> </w:t>
      </w:r>
      <w:r w:rsidR="00D471C1" w:rsidRPr="00D471C1">
        <w:t>tonnes d</w:t>
      </w:r>
      <w:r w:rsidR="00EA51A8">
        <w:t>’</w:t>
      </w:r>
      <w:r w:rsidR="00D471C1" w:rsidRPr="00D471C1">
        <w:t>éthanol conditionné en quantités limitées.</w:t>
      </w:r>
    </w:p>
    <w:p w14:paraId="151E34CE" w14:textId="77777777" w:rsidR="00D471C1" w:rsidRPr="00D471C1" w:rsidRDefault="00D471C1" w:rsidP="00D471C1">
      <w:pPr>
        <w:pStyle w:val="SingleTxtG"/>
        <w:spacing w:before="120"/>
      </w:pPr>
      <w:r w:rsidRPr="00D471C1">
        <w:t>9.</w:t>
      </w:r>
      <w:r w:rsidRPr="00D471C1">
        <w:tab/>
        <w:t>Cependant, la situation est quelque peu différente pour les unités de transport contenant des marchandises dangereuses emballées en quantités limitées. Dans ce cas, les marques LQ peuvent être retirées lorsque l</w:t>
      </w:r>
      <w:r w:rsidR="00EA51A8">
        <w:t>’</w:t>
      </w:r>
      <w:r w:rsidRPr="00D471C1">
        <w:t>unité de transport contient également des marchandises dangereuses pour lesquelles les panneaux orange sont exigés en vertu du 5.3.2. Cependant, dans la mesure où les panneaux orange présentent les mêmes informations que les marques LQ sur les risques posés par les marchandises dangereuses (c</w:t>
      </w:r>
      <w:r w:rsidR="00EA51A8">
        <w:t>’</w:t>
      </w:r>
      <w:r w:rsidRPr="00D471C1">
        <w:t>est</w:t>
      </w:r>
      <w:r w:rsidR="00884146">
        <w:t>-</w:t>
      </w:r>
      <w:r w:rsidRPr="00D471C1">
        <w:t>à</w:t>
      </w:r>
      <w:r w:rsidR="00884146">
        <w:t>-</w:t>
      </w:r>
      <w:r w:rsidRPr="00D471C1">
        <w:t>dire que le risque peut varier car le chargement peut être constitué de marchandises dangereuses de différents types), apposer également les marques LQ ferait double emploi.</w:t>
      </w:r>
    </w:p>
    <w:p w14:paraId="42DC8F43" w14:textId="77777777" w:rsidR="00D471C1" w:rsidRPr="00D471C1" w:rsidRDefault="00D471C1" w:rsidP="00D471C1">
      <w:pPr>
        <w:pStyle w:val="SingleTxtG"/>
        <w:spacing w:before="120"/>
      </w:pPr>
      <w:r w:rsidRPr="00D471C1">
        <w:t>10.</w:t>
      </w:r>
      <w:r w:rsidRPr="00D471C1">
        <w:tab/>
        <w:t>Pour les raisons susmentionnées, il est proposé de modifier les dispositions relatives au marquage des quantités limitées de manière à rendre toujours obligatoire la marque LQ pour tout transport de plus de 8</w:t>
      </w:r>
      <w:r w:rsidR="003B3421">
        <w:t> </w:t>
      </w:r>
      <w:r w:rsidRPr="00D471C1">
        <w:t>tonnes.</w:t>
      </w:r>
    </w:p>
    <w:p w14:paraId="2270E1AC" w14:textId="77777777" w:rsidR="00D471C1" w:rsidRPr="00D471C1" w:rsidRDefault="00D471C1" w:rsidP="00726032">
      <w:pPr>
        <w:pStyle w:val="HChG"/>
      </w:pPr>
      <w:r w:rsidRPr="00D471C1">
        <w:tab/>
      </w:r>
      <w:r w:rsidR="00726032">
        <w:tab/>
      </w:r>
      <w:r w:rsidRPr="00D471C1">
        <w:t>Propositions</w:t>
      </w:r>
    </w:p>
    <w:p w14:paraId="5F8E3F47" w14:textId="77777777" w:rsidR="00D471C1" w:rsidRPr="00D471C1" w:rsidRDefault="00D471C1" w:rsidP="00D471C1">
      <w:pPr>
        <w:pStyle w:val="SingleTxtG"/>
        <w:spacing w:before="120"/>
        <w:rPr>
          <w:b/>
        </w:rPr>
      </w:pPr>
      <w:r w:rsidRPr="00D471C1">
        <w:t>11.</w:t>
      </w:r>
      <w:r w:rsidRPr="00D471C1">
        <w:rPr>
          <w:b/>
        </w:rPr>
        <w:tab/>
        <w:t>ADR</w:t>
      </w:r>
    </w:p>
    <w:p w14:paraId="6F1E5EAE" w14:textId="77777777" w:rsidR="00D471C1" w:rsidRPr="00D471C1" w:rsidRDefault="00D471C1" w:rsidP="00D471C1">
      <w:pPr>
        <w:pStyle w:val="SingleTxtG"/>
        <w:spacing w:before="120"/>
        <w:rPr>
          <w:i/>
        </w:rPr>
      </w:pPr>
      <w:r w:rsidRPr="00D471C1">
        <w:rPr>
          <w:i/>
        </w:rPr>
        <w:t>Modifier comme suit l</w:t>
      </w:r>
      <w:r w:rsidR="00EA51A8">
        <w:rPr>
          <w:i/>
        </w:rPr>
        <w:t>’</w:t>
      </w:r>
      <w:r w:rsidRPr="00D471C1">
        <w:rPr>
          <w:i/>
        </w:rPr>
        <w:t>alinéa</w:t>
      </w:r>
      <w:r w:rsidR="0006483F">
        <w:rPr>
          <w:i/>
        </w:rPr>
        <w:t> </w:t>
      </w:r>
      <w:r w:rsidRPr="00D471C1">
        <w:rPr>
          <w:i/>
        </w:rPr>
        <w:t>b) du 3.4.13 de l</w:t>
      </w:r>
      <w:r w:rsidR="00EA51A8">
        <w:rPr>
          <w:i/>
        </w:rPr>
        <w:t>’</w:t>
      </w:r>
      <w:r w:rsidRPr="00D471C1">
        <w:rPr>
          <w:i/>
        </w:rPr>
        <w:t xml:space="preserve">ADR (les modifications sont </w:t>
      </w:r>
      <w:r w:rsidRPr="00E029E3">
        <w:rPr>
          <w:i/>
          <w:u w:val="single"/>
        </w:rPr>
        <w:t>soulignées</w:t>
      </w:r>
      <w:r w:rsidRPr="00D471C1">
        <w:rPr>
          <w:i/>
        </w:rPr>
        <w:t xml:space="preserve"> ou </w:t>
      </w:r>
      <w:r w:rsidR="0089674C" w:rsidRPr="0089674C">
        <w:rPr>
          <w:i/>
          <w:strike/>
        </w:rPr>
        <w:t>biffées</w:t>
      </w:r>
      <w:r w:rsidRPr="00D471C1">
        <w:rPr>
          <w:i/>
        </w:rPr>
        <w:t>)</w:t>
      </w:r>
      <w:r w:rsidR="0006483F">
        <w:rPr>
          <w:i/>
        </w:rPr>
        <w:t> </w:t>
      </w:r>
      <w:r w:rsidRPr="00D471C1">
        <w:rPr>
          <w:i/>
        </w:rPr>
        <w:t>:</w:t>
      </w:r>
    </w:p>
    <w:p w14:paraId="7B233BE2" w14:textId="77777777" w:rsidR="00D471C1" w:rsidRPr="00757EDE" w:rsidRDefault="00D471C1" w:rsidP="00D471C1">
      <w:pPr>
        <w:pStyle w:val="SingleTxtG"/>
      </w:pPr>
      <w:r w:rsidRPr="00757EDE">
        <w:t>«</w:t>
      </w:r>
      <w:r w:rsidR="0006483F" w:rsidRPr="00757EDE">
        <w:t> </w:t>
      </w:r>
      <w:r w:rsidR="00757EDE" w:rsidRPr="00757EDE">
        <w:t>Les wagons transportant des marchandises dangereuses emballées en quantités limitées doivent porter une marque conforme au 3.4.15 sur les deux côtés latéraux</w:t>
      </w:r>
      <w:r w:rsidR="00757EDE" w:rsidRPr="00884146">
        <w:rPr>
          <w:u w:val="single"/>
        </w:rPr>
        <w:t>.</w:t>
      </w:r>
      <w:r w:rsidR="00757EDE" w:rsidRPr="00757EDE">
        <w:t xml:space="preserve"> </w:t>
      </w:r>
      <w:r w:rsidR="00757EDE" w:rsidRPr="00757EDE">
        <w:rPr>
          <w:strike/>
        </w:rPr>
        <w:t xml:space="preserve">sauf </w:t>
      </w:r>
      <w:proofErr w:type="spellStart"/>
      <w:r w:rsidR="00757EDE" w:rsidRPr="00757EDE">
        <w:rPr>
          <w:strike/>
        </w:rPr>
        <w:t>d</w:t>
      </w:r>
      <w:r w:rsidR="00757EDE" w:rsidRPr="00884146">
        <w:rPr>
          <w:u w:val="single"/>
        </w:rPr>
        <w:t>D</w:t>
      </w:r>
      <w:r w:rsidR="00757EDE" w:rsidRPr="00757EDE">
        <w:t>ans</w:t>
      </w:r>
      <w:proofErr w:type="spellEnd"/>
      <w:r w:rsidR="00757EDE" w:rsidRPr="00757EDE">
        <w:t xml:space="preserve"> le cas de wagons contenant d</w:t>
      </w:r>
      <w:r w:rsidR="00EA51A8">
        <w:t>’</w:t>
      </w:r>
      <w:r w:rsidR="00757EDE" w:rsidRPr="00757EDE">
        <w:t xml:space="preserve">autres marchandises dangereuses pour lesquelles un placardage conforme au 5.3.1 est prescrit, </w:t>
      </w:r>
      <w:r w:rsidR="00757EDE" w:rsidRPr="00757EDE">
        <w:rPr>
          <w:strike/>
        </w:rPr>
        <w:t>Dans ce dernier cas,</w:t>
      </w:r>
      <w:r w:rsidR="00757EDE">
        <w:rPr>
          <w:strike/>
        </w:rPr>
        <w:t xml:space="preserve"> </w:t>
      </w:r>
      <w:r w:rsidR="00757EDE" w:rsidRPr="00757EDE">
        <w:t xml:space="preserve">le wagon </w:t>
      </w:r>
      <w:r w:rsidR="00757EDE" w:rsidRPr="00757EDE">
        <w:rPr>
          <w:strike/>
        </w:rPr>
        <w:t>peut</w:t>
      </w:r>
      <w:r w:rsidR="00757EDE">
        <w:rPr>
          <w:strike/>
        </w:rPr>
        <w:t xml:space="preserve"> </w:t>
      </w:r>
      <w:r w:rsidR="00757EDE" w:rsidRPr="00757EDE">
        <w:rPr>
          <w:u w:val="single"/>
        </w:rPr>
        <w:t>doit</w:t>
      </w:r>
      <w:r w:rsidR="00757EDE" w:rsidRPr="00757EDE">
        <w:t xml:space="preserve"> porter</w:t>
      </w:r>
      <w:r w:rsidR="001C4E86" w:rsidRPr="001C4E86">
        <w:rPr>
          <w:strike/>
        </w:rPr>
        <w:t xml:space="preserve"> </w:t>
      </w:r>
      <w:r w:rsidR="00757EDE" w:rsidRPr="00757EDE">
        <w:rPr>
          <w:strike/>
        </w:rPr>
        <w:t>uniquement</w:t>
      </w:r>
      <w:r w:rsidR="00757EDE">
        <w:rPr>
          <w:strike/>
        </w:rPr>
        <w:t xml:space="preserve"> </w:t>
      </w:r>
      <w:r w:rsidR="00757EDE" w:rsidRPr="00757EDE">
        <w:t xml:space="preserve">les plaques-étiquettes prescrites </w:t>
      </w:r>
      <w:r w:rsidR="00757EDE" w:rsidRPr="00757EDE">
        <w:rPr>
          <w:strike/>
        </w:rPr>
        <w:t>ou porter, à la fois, les plaques-étiquettes</w:t>
      </w:r>
      <w:r w:rsidR="00757EDE">
        <w:rPr>
          <w:strike/>
        </w:rPr>
        <w:t xml:space="preserve"> </w:t>
      </w:r>
      <w:r w:rsidR="00757EDE" w:rsidRPr="00757EDE">
        <w:t>conformes au 5.3.1 et les marques conformes au 3.4.15</w:t>
      </w:r>
      <w:r w:rsidRPr="00757EDE">
        <w:t>.</w:t>
      </w:r>
    </w:p>
    <w:p w14:paraId="11BD44EA" w14:textId="77777777" w:rsidR="00D471C1" w:rsidRPr="00D471C1" w:rsidRDefault="00D471C1" w:rsidP="00FC7942">
      <w:pPr>
        <w:pStyle w:val="SingleTxtG"/>
      </w:pPr>
      <w:r w:rsidRPr="00D471C1">
        <w:t>Il n</w:t>
      </w:r>
      <w:r w:rsidR="00EA51A8">
        <w:t>’</w:t>
      </w:r>
      <w:r w:rsidRPr="00D471C1">
        <w:t>est pas nécessaire de porter les marques sur l</w:t>
      </w:r>
      <w:r w:rsidR="00EA51A8">
        <w:t>’</w:t>
      </w:r>
      <w:r w:rsidRPr="00D471C1">
        <w:t>unité de transport porteuse, sauf lorsque les marques apposées sur les conteneurs ne sont pas visibles de l</w:t>
      </w:r>
      <w:r w:rsidR="00EA51A8">
        <w:t>’</w:t>
      </w:r>
      <w:r w:rsidRPr="00D471C1">
        <w:t>extérieur de celle-ci. Dans ce dernier cas, la même marque doit également figurer à l</w:t>
      </w:r>
      <w:r w:rsidR="00EA51A8">
        <w:t>’</w:t>
      </w:r>
      <w:r w:rsidRPr="00D471C1">
        <w:t>avant et à l</w:t>
      </w:r>
      <w:r w:rsidR="00EA51A8">
        <w:t>’</w:t>
      </w:r>
      <w:r w:rsidRPr="00D471C1">
        <w:t>arrière de l</w:t>
      </w:r>
      <w:r w:rsidR="00EA51A8">
        <w:t>’</w:t>
      </w:r>
      <w:r w:rsidRPr="00D471C1">
        <w:t>unité de transport.</w:t>
      </w:r>
      <w:r w:rsidR="00757EDE">
        <w:t> </w:t>
      </w:r>
      <w:r w:rsidRPr="00D471C1">
        <w:t>»</w:t>
      </w:r>
      <w:r w:rsidR="003B3421">
        <w:t>.</w:t>
      </w:r>
    </w:p>
    <w:p w14:paraId="25098992" w14:textId="77777777" w:rsidR="00D471C1" w:rsidRPr="00D471C1" w:rsidRDefault="00D471C1" w:rsidP="00FC7942">
      <w:pPr>
        <w:pStyle w:val="SingleTxtG"/>
        <w:keepNext/>
        <w:spacing w:before="120"/>
        <w:rPr>
          <w:b/>
        </w:rPr>
      </w:pPr>
      <w:r w:rsidRPr="00D471C1">
        <w:lastRenderedPageBreak/>
        <w:t>12.</w:t>
      </w:r>
      <w:r w:rsidRPr="00D471C1">
        <w:tab/>
      </w:r>
      <w:r w:rsidRPr="00D471C1">
        <w:rPr>
          <w:b/>
        </w:rPr>
        <w:t>RID</w:t>
      </w:r>
    </w:p>
    <w:p w14:paraId="79EF613B" w14:textId="77777777" w:rsidR="00D471C1" w:rsidRPr="00D471C1" w:rsidRDefault="00D471C1" w:rsidP="00D471C1">
      <w:pPr>
        <w:pStyle w:val="SingleTxtG"/>
        <w:spacing w:before="120"/>
        <w:rPr>
          <w:i/>
        </w:rPr>
      </w:pPr>
      <w:r w:rsidRPr="00D471C1">
        <w:rPr>
          <w:i/>
        </w:rPr>
        <w:t>Modifier comme suit l</w:t>
      </w:r>
      <w:r w:rsidR="00EA51A8">
        <w:rPr>
          <w:i/>
        </w:rPr>
        <w:t>’</w:t>
      </w:r>
      <w:r w:rsidRPr="00D471C1">
        <w:rPr>
          <w:i/>
        </w:rPr>
        <w:t>alinéa</w:t>
      </w:r>
      <w:r w:rsidR="00FC7942">
        <w:rPr>
          <w:i/>
        </w:rPr>
        <w:t> </w:t>
      </w:r>
      <w:r w:rsidRPr="00D471C1">
        <w:rPr>
          <w:i/>
        </w:rPr>
        <w:t>a) du 3.4.13 de l</w:t>
      </w:r>
      <w:r w:rsidR="00EA51A8">
        <w:rPr>
          <w:i/>
        </w:rPr>
        <w:t>’</w:t>
      </w:r>
      <w:r w:rsidRPr="00D471C1">
        <w:rPr>
          <w:i/>
        </w:rPr>
        <w:t xml:space="preserve">ADR (les modifications sont </w:t>
      </w:r>
      <w:r w:rsidRPr="0089674C">
        <w:rPr>
          <w:i/>
          <w:u w:val="single"/>
        </w:rPr>
        <w:t>soulignées</w:t>
      </w:r>
      <w:r w:rsidRPr="00D471C1">
        <w:rPr>
          <w:i/>
        </w:rPr>
        <w:t xml:space="preserve"> ou </w:t>
      </w:r>
      <w:r w:rsidRPr="0089674C">
        <w:rPr>
          <w:i/>
          <w:strike/>
        </w:rPr>
        <w:t>biffées</w:t>
      </w:r>
      <w:r w:rsidRPr="00D471C1">
        <w:rPr>
          <w:i/>
        </w:rPr>
        <w:t>)</w:t>
      </w:r>
      <w:r w:rsidR="003E13A7">
        <w:rPr>
          <w:i/>
        </w:rPr>
        <w:t> </w:t>
      </w:r>
      <w:r w:rsidRPr="00D471C1">
        <w:rPr>
          <w:i/>
        </w:rPr>
        <w:t>:</w:t>
      </w:r>
    </w:p>
    <w:p w14:paraId="6F72014D" w14:textId="77777777" w:rsidR="00D471C1" w:rsidRPr="003B3421" w:rsidRDefault="00D471C1" w:rsidP="00D471C1">
      <w:pPr>
        <w:pStyle w:val="SingleTxtG"/>
        <w:spacing w:before="120"/>
      </w:pPr>
      <w:r w:rsidRPr="003B3421">
        <w:t>«</w:t>
      </w:r>
      <w:r w:rsidR="003B3421" w:rsidRPr="003B3421">
        <w:t> </w:t>
      </w:r>
      <w:bookmarkStart w:id="1" w:name="_Hlk14689500"/>
      <w:r w:rsidR="003B3421" w:rsidRPr="003B3421">
        <w:t>Les wagons transportant des marchandises dangereuses emballées en quantités limitées doivent porter une marque conforme au 3.4.15 sur les deux côtés latéraux</w:t>
      </w:r>
      <w:r w:rsidR="003B3421" w:rsidRPr="00884146">
        <w:rPr>
          <w:u w:val="single"/>
        </w:rPr>
        <w:t>.</w:t>
      </w:r>
      <w:r w:rsidR="003B3421" w:rsidRPr="003B3421">
        <w:t xml:space="preserve"> </w:t>
      </w:r>
      <w:r w:rsidR="003B3421" w:rsidRPr="003B3421">
        <w:rPr>
          <w:strike/>
        </w:rPr>
        <w:t xml:space="preserve">sauf </w:t>
      </w:r>
      <w:proofErr w:type="spellStart"/>
      <w:r w:rsidR="003B3421" w:rsidRPr="003B3421">
        <w:rPr>
          <w:strike/>
        </w:rPr>
        <w:t>d</w:t>
      </w:r>
      <w:r w:rsidR="003B3421" w:rsidRPr="00884146">
        <w:rPr>
          <w:u w:val="single"/>
        </w:rPr>
        <w:t>D</w:t>
      </w:r>
      <w:r w:rsidR="003B3421" w:rsidRPr="003B3421">
        <w:t>ans</w:t>
      </w:r>
      <w:proofErr w:type="spellEnd"/>
      <w:r w:rsidR="003B3421" w:rsidRPr="003B3421">
        <w:t xml:space="preserve"> le cas de wagons contenant d</w:t>
      </w:r>
      <w:r w:rsidR="00EA51A8">
        <w:t>’</w:t>
      </w:r>
      <w:r w:rsidR="003B3421" w:rsidRPr="003B3421">
        <w:t xml:space="preserve">autres marchandises dangereuses pour lesquelles un placardage conforme au 5.3.1 est prescrit, </w:t>
      </w:r>
      <w:r w:rsidR="003B3421" w:rsidRPr="003B3421">
        <w:rPr>
          <w:strike/>
        </w:rPr>
        <w:t>Dans ce dernier cas,</w:t>
      </w:r>
      <w:r w:rsidR="003B3421">
        <w:rPr>
          <w:strike/>
        </w:rPr>
        <w:t xml:space="preserve"> </w:t>
      </w:r>
      <w:r w:rsidR="003B3421" w:rsidRPr="003B3421">
        <w:t xml:space="preserve">le wagon </w:t>
      </w:r>
      <w:r w:rsidR="003B3421" w:rsidRPr="003B3421">
        <w:rPr>
          <w:strike/>
        </w:rPr>
        <w:t>peut</w:t>
      </w:r>
      <w:r w:rsidR="001C4E86">
        <w:rPr>
          <w:strike/>
        </w:rPr>
        <w:t xml:space="preserve"> </w:t>
      </w:r>
      <w:r w:rsidR="003B3421" w:rsidRPr="003B3421">
        <w:rPr>
          <w:u w:val="single"/>
        </w:rPr>
        <w:t>doit</w:t>
      </w:r>
      <w:r w:rsidR="003B3421" w:rsidRPr="003B3421">
        <w:t xml:space="preserve"> porter</w:t>
      </w:r>
      <w:r w:rsidR="001C4E86" w:rsidRPr="001C4E86">
        <w:rPr>
          <w:strike/>
        </w:rPr>
        <w:t xml:space="preserve"> </w:t>
      </w:r>
      <w:r w:rsidR="003B3421" w:rsidRPr="003B3421">
        <w:rPr>
          <w:strike/>
        </w:rPr>
        <w:t>uniquement</w:t>
      </w:r>
      <w:r w:rsidR="003B3421" w:rsidRPr="003B3421">
        <w:t xml:space="preserve"> les plaques-étiquettes prescrites </w:t>
      </w:r>
      <w:r w:rsidR="003B3421" w:rsidRPr="003B3421">
        <w:rPr>
          <w:strike/>
        </w:rPr>
        <w:t>ou porter, à la fois, les plaques-étiquettes</w:t>
      </w:r>
      <w:r w:rsidR="001C4E86">
        <w:rPr>
          <w:strike/>
        </w:rPr>
        <w:t xml:space="preserve"> </w:t>
      </w:r>
      <w:r w:rsidR="003B3421" w:rsidRPr="003B3421">
        <w:t>conformes au 5.3.1 et les marques conformes au 3.4.15</w:t>
      </w:r>
      <w:bookmarkEnd w:id="1"/>
      <w:r w:rsidRPr="003B3421">
        <w:t>.</w:t>
      </w:r>
      <w:r w:rsidR="003B3421" w:rsidRPr="003B3421">
        <w:t> </w:t>
      </w:r>
      <w:r w:rsidRPr="003B3421">
        <w:t>»</w:t>
      </w:r>
      <w:r w:rsidR="003B3421" w:rsidRPr="003B3421">
        <w:t>.</w:t>
      </w:r>
    </w:p>
    <w:p w14:paraId="03A8E455" w14:textId="77777777" w:rsidR="00D471C1" w:rsidRPr="00D471C1" w:rsidRDefault="00D471C1" w:rsidP="00D471C1">
      <w:pPr>
        <w:pStyle w:val="SingleTxtG"/>
        <w:spacing w:before="120"/>
        <w:rPr>
          <w:i/>
        </w:rPr>
      </w:pPr>
      <w:r w:rsidRPr="00D471C1">
        <w:rPr>
          <w:i/>
        </w:rPr>
        <w:t>Modifier comme suit l</w:t>
      </w:r>
      <w:r w:rsidR="00EA51A8">
        <w:rPr>
          <w:i/>
        </w:rPr>
        <w:t>’</w:t>
      </w:r>
      <w:r w:rsidRPr="00D471C1">
        <w:rPr>
          <w:i/>
        </w:rPr>
        <w:t>alinéa</w:t>
      </w:r>
      <w:r w:rsidR="001C4E86">
        <w:rPr>
          <w:i/>
        </w:rPr>
        <w:t> </w:t>
      </w:r>
      <w:r w:rsidRPr="00D471C1">
        <w:rPr>
          <w:i/>
        </w:rPr>
        <w:t xml:space="preserve">b) du 3.4.13 du RID (les modifications sont </w:t>
      </w:r>
      <w:r w:rsidRPr="0089674C">
        <w:rPr>
          <w:i/>
          <w:u w:val="single"/>
        </w:rPr>
        <w:t>soulignées</w:t>
      </w:r>
      <w:r w:rsidRPr="00D471C1">
        <w:rPr>
          <w:i/>
        </w:rPr>
        <w:t xml:space="preserve"> ou </w:t>
      </w:r>
      <w:r w:rsidR="0089674C" w:rsidRPr="0089674C">
        <w:rPr>
          <w:i/>
          <w:strike/>
        </w:rPr>
        <w:t>biffées</w:t>
      </w:r>
      <w:r w:rsidRPr="00D471C1">
        <w:rPr>
          <w:i/>
        </w:rPr>
        <w:t>)</w:t>
      </w:r>
      <w:r w:rsidR="003E13A7">
        <w:rPr>
          <w:i/>
        </w:rPr>
        <w:t> </w:t>
      </w:r>
      <w:r w:rsidRPr="00D471C1">
        <w:rPr>
          <w:i/>
        </w:rPr>
        <w:t>:</w:t>
      </w:r>
    </w:p>
    <w:p w14:paraId="014C4003" w14:textId="77777777" w:rsidR="00D471C1" w:rsidRPr="003E13A7" w:rsidRDefault="00D471C1" w:rsidP="00D471C1">
      <w:pPr>
        <w:pStyle w:val="SingleTxtG"/>
        <w:spacing w:before="120"/>
      </w:pPr>
      <w:r w:rsidRPr="00D471C1">
        <w:t>«</w:t>
      </w:r>
      <w:r w:rsidR="003E13A7">
        <w:t> </w:t>
      </w:r>
      <w:r w:rsidR="003E13A7" w:rsidRPr="003E13A7">
        <w:t>Les grands conteneurs transportant des marchandises dangereuses emballées en quantités limitées doivent porter des marques conformes au 3.4.15 sur les quatre côtés</w:t>
      </w:r>
      <w:r w:rsidR="003E13A7" w:rsidRPr="00884146">
        <w:rPr>
          <w:u w:val="single"/>
        </w:rPr>
        <w:t>.</w:t>
      </w:r>
      <w:r w:rsidR="003E13A7" w:rsidRPr="003E13A7">
        <w:t xml:space="preserve"> </w:t>
      </w:r>
      <w:r w:rsidR="003E13A7" w:rsidRPr="003E13A7">
        <w:rPr>
          <w:strike/>
        </w:rPr>
        <w:t xml:space="preserve">sauf </w:t>
      </w:r>
      <w:proofErr w:type="spellStart"/>
      <w:r w:rsidR="003E13A7" w:rsidRPr="003E13A7">
        <w:rPr>
          <w:strike/>
        </w:rPr>
        <w:t>d</w:t>
      </w:r>
      <w:r w:rsidR="003E13A7" w:rsidRPr="00884146">
        <w:rPr>
          <w:u w:val="single"/>
        </w:rPr>
        <w:t>D</w:t>
      </w:r>
      <w:r w:rsidR="003E13A7" w:rsidRPr="003E13A7">
        <w:t>ans</w:t>
      </w:r>
      <w:proofErr w:type="spellEnd"/>
      <w:r w:rsidR="003E13A7" w:rsidRPr="003E13A7">
        <w:t xml:space="preserve"> le cas de grands conteneurs contenant d</w:t>
      </w:r>
      <w:r w:rsidR="00EA51A8">
        <w:t>’</w:t>
      </w:r>
      <w:r w:rsidR="003E13A7" w:rsidRPr="003E13A7">
        <w:t>autres marchandises dangereuses pour lesquelles un placardage conforme au 5.3.1 est prescrit,</w:t>
      </w:r>
      <w:r w:rsidR="003E13A7" w:rsidRPr="003E13A7">
        <w:rPr>
          <w:strike/>
        </w:rPr>
        <w:t xml:space="preserve"> Dans ce dernier cas,</w:t>
      </w:r>
      <w:r w:rsidR="003E13A7" w:rsidRPr="003E13A7">
        <w:t xml:space="preserve"> le grand conteneur </w:t>
      </w:r>
      <w:r w:rsidR="003E13A7" w:rsidRPr="003E13A7">
        <w:rPr>
          <w:strike/>
        </w:rPr>
        <w:t>peut</w:t>
      </w:r>
      <w:r w:rsidR="00EA51A8">
        <w:rPr>
          <w:strike/>
        </w:rPr>
        <w:t xml:space="preserve"> </w:t>
      </w:r>
      <w:r w:rsidR="003E13A7" w:rsidRPr="003E13A7">
        <w:rPr>
          <w:u w:val="single"/>
        </w:rPr>
        <w:t>doit</w:t>
      </w:r>
      <w:r w:rsidR="003E13A7" w:rsidRPr="003E13A7">
        <w:t xml:space="preserve"> porter </w:t>
      </w:r>
      <w:r w:rsidR="003E13A7" w:rsidRPr="003E13A7">
        <w:rPr>
          <w:strike/>
        </w:rPr>
        <w:t xml:space="preserve">uniquement </w:t>
      </w:r>
      <w:r w:rsidR="003E13A7" w:rsidRPr="003E13A7">
        <w:t xml:space="preserve">les plaques-étiquettes prescrites </w:t>
      </w:r>
      <w:r w:rsidR="003E13A7" w:rsidRPr="003E13A7">
        <w:rPr>
          <w:strike/>
        </w:rPr>
        <w:t>ou porter, à la fois, les plaques-étiquette</w:t>
      </w:r>
      <w:r w:rsidR="00EA51A8">
        <w:rPr>
          <w:strike/>
        </w:rPr>
        <w:t xml:space="preserve"> </w:t>
      </w:r>
      <w:r w:rsidR="003E13A7" w:rsidRPr="003E13A7">
        <w:t>conformes au 5.3.1 et les marques conformes au 3.4.15.</w:t>
      </w:r>
    </w:p>
    <w:p w14:paraId="6540703B" w14:textId="77777777" w:rsidR="00D471C1" w:rsidRPr="00D471C1" w:rsidRDefault="00D471C1" w:rsidP="00D471C1">
      <w:pPr>
        <w:pStyle w:val="SingleTxtG"/>
        <w:spacing w:before="120"/>
      </w:pPr>
      <w:r w:rsidRPr="00D471C1">
        <w:t>Si les marques apposées sur les grands conteneurs ne sont pas visibles de l</w:t>
      </w:r>
      <w:r w:rsidR="00EA51A8">
        <w:t>’</w:t>
      </w:r>
      <w:r w:rsidRPr="00D471C1">
        <w:t>extérieur du wagon porteur, les mêmes marques doivent également figurer des deux côtés latéraux du wagon</w:t>
      </w:r>
      <w:r w:rsidR="00753352">
        <w:t>.</w:t>
      </w:r>
      <w:r w:rsidR="00EA51A8">
        <w:t> </w:t>
      </w:r>
      <w:r w:rsidRPr="00D471C1">
        <w:t>»</w:t>
      </w:r>
      <w:r w:rsidR="00EA51A8">
        <w:t>.</w:t>
      </w:r>
    </w:p>
    <w:p w14:paraId="741E69AA" w14:textId="77777777" w:rsidR="00D471C1" w:rsidRPr="00D471C1" w:rsidRDefault="00D471C1" w:rsidP="00EA51A8">
      <w:pPr>
        <w:pStyle w:val="HChG"/>
      </w:pPr>
      <w:r w:rsidRPr="00D471C1">
        <w:tab/>
      </w:r>
      <w:r w:rsidRPr="00D471C1">
        <w:tab/>
        <w:t>Justification</w:t>
      </w:r>
    </w:p>
    <w:p w14:paraId="4DC88915" w14:textId="77777777" w:rsidR="00BD33DA" w:rsidRDefault="00D471C1" w:rsidP="00D471C1">
      <w:pPr>
        <w:pStyle w:val="SingleTxtG"/>
        <w:spacing w:before="120"/>
      </w:pPr>
      <w:r w:rsidRPr="00D471C1">
        <w:t>13.</w:t>
      </w:r>
      <w:r w:rsidRPr="00D471C1">
        <w:tab/>
        <w:t>Les services d</w:t>
      </w:r>
      <w:r w:rsidR="00EA51A8">
        <w:t>’</w:t>
      </w:r>
      <w:r w:rsidRPr="00D471C1">
        <w:t>urgence bénéficieraient d</w:t>
      </w:r>
      <w:r w:rsidR="00EA51A8">
        <w:t>’</w:t>
      </w:r>
      <w:r w:rsidRPr="00D471C1">
        <w:t>un affichage plus complet des marchandises transportées.</w:t>
      </w:r>
    </w:p>
    <w:p w14:paraId="213FBAE1" w14:textId="77777777" w:rsidR="00EA51A8" w:rsidRPr="00EA51A8" w:rsidRDefault="00EA51A8" w:rsidP="00EA51A8">
      <w:pPr>
        <w:pStyle w:val="SingleTxtG"/>
        <w:spacing w:before="240" w:after="0"/>
        <w:jc w:val="center"/>
        <w:rPr>
          <w:u w:val="single"/>
        </w:rPr>
      </w:pPr>
      <w:r>
        <w:rPr>
          <w:u w:val="single"/>
        </w:rPr>
        <w:tab/>
      </w:r>
      <w:r>
        <w:rPr>
          <w:u w:val="single"/>
        </w:rPr>
        <w:tab/>
      </w:r>
      <w:r>
        <w:rPr>
          <w:u w:val="single"/>
        </w:rPr>
        <w:tab/>
      </w:r>
    </w:p>
    <w:sectPr w:rsidR="00EA51A8" w:rsidRPr="00EA51A8" w:rsidSect="00FE491F">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F7861" w14:textId="77777777" w:rsidR="00A05EA5" w:rsidRDefault="00A05EA5" w:rsidP="00F95C08">
      <w:pPr>
        <w:spacing w:line="240" w:lineRule="auto"/>
      </w:pPr>
    </w:p>
  </w:endnote>
  <w:endnote w:type="continuationSeparator" w:id="0">
    <w:p w14:paraId="055D2427" w14:textId="77777777" w:rsidR="00A05EA5" w:rsidRPr="00AC3823" w:rsidRDefault="00A05EA5" w:rsidP="00AC3823">
      <w:pPr>
        <w:pStyle w:val="Footer"/>
      </w:pPr>
    </w:p>
  </w:endnote>
  <w:endnote w:type="continuationNotice" w:id="1">
    <w:p w14:paraId="079B0A38" w14:textId="77777777" w:rsidR="00A05EA5" w:rsidRDefault="00A05E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C9237" w14:textId="77777777" w:rsidR="00FE491F" w:rsidRPr="00FE491F" w:rsidRDefault="00FE491F" w:rsidP="00FE491F">
    <w:pPr>
      <w:pStyle w:val="Footer"/>
      <w:tabs>
        <w:tab w:val="right" w:pos="9638"/>
      </w:tabs>
    </w:pPr>
    <w:r w:rsidRPr="00FE491F">
      <w:rPr>
        <w:b/>
        <w:sz w:val="18"/>
      </w:rPr>
      <w:fldChar w:fldCharType="begin"/>
    </w:r>
    <w:r w:rsidRPr="00FE491F">
      <w:rPr>
        <w:b/>
        <w:sz w:val="18"/>
      </w:rPr>
      <w:instrText xml:space="preserve"> PAGE  \* MERGEFORMAT </w:instrText>
    </w:r>
    <w:r w:rsidRPr="00FE491F">
      <w:rPr>
        <w:b/>
        <w:sz w:val="18"/>
      </w:rPr>
      <w:fldChar w:fldCharType="separate"/>
    </w:r>
    <w:r w:rsidRPr="00FE491F">
      <w:rPr>
        <w:b/>
        <w:noProof/>
        <w:sz w:val="18"/>
      </w:rPr>
      <w:t>2</w:t>
    </w:r>
    <w:r w:rsidRPr="00FE491F">
      <w:rPr>
        <w:b/>
        <w:sz w:val="18"/>
      </w:rPr>
      <w:fldChar w:fldCharType="end"/>
    </w:r>
    <w:r>
      <w:rPr>
        <w:b/>
        <w:sz w:val="18"/>
      </w:rPr>
      <w:tab/>
    </w:r>
    <w:r>
      <w:t>GE.19-10383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1FB9" w14:textId="77777777" w:rsidR="00FE491F" w:rsidRPr="00FE491F" w:rsidRDefault="00FE491F" w:rsidP="00FE491F">
    <w:pPr>
      <w:pStyle w:val="Footer"/>
      <w:tabs>
        <w:tab w:val="right" w:pos="9638"/>
      </w:tabs>
      <w:rPr>
        <w:b/>
        <w:sz w:val="18"/>
      </w:rPr>
    </w:pPr>
    <w:r>
      <w:t>GE.19-10383</w:t>
    </w:r>
    <w:r>
      <w:tab/>
    </w:r>
    <w:r w:rsidRPr="00FE491F">
      <w:rPr>
        <w:b/>
        <w:sz w:val="18"/>
      </w:rPr>
      <w:fldChar w:fldCharType="begin"/>
    </w:r>
    <w:r w:rsidRPr="00FE491F">
      <w:rPr>
        <w:b/>
        <w:sz w:val="18"/>
      </w:rPr>
      <w:instrText xml:space="preserve"> PAGE  \* MERGEFORMAT </w:instrText>
    </w:r>
    <w:r w:rsidRPr="00FE491F">
      <w:rPr>
        <w:b/>
        <w:sz w:val="18"/>
      </w:rPr>
      <w:fldChar w:fldCharType="separate"/>
    </w:r>
    <w:r w:rsidRPr="00FE491F">
      <w:rPr>
        <w:b/>
        <w:noProof/>
        <w:sz w:val="18"/>
      </w:rPr>
      <w:t>3</w:t>
    </w:r>
    <w:r w:rsidRPr="00FE49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9C3C" w14:textId="77777777" w:rsidR="007F20FA" w:rsidRPr="00FE491F" w:rsidRDefault="00FE491F" w:rsidP="00FE491F">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3D148000" wp14:editId="567F58B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19-10383  (F)    220719    220719</w:t>
    </w:r>
    <w:r>
      <w:rPr>
        <w:sz w:val="20"/>
      </w:rPr>
      <w:br/>
    </w:r>
    <w:r w:rsidRPr="00FE491F">
      <w:rPr>
        <w:rFonts w:ascii="C39T30Lfz" w:hAnsi="C39T30Lfz"/>
        <w:sz w:val="56"/>
      </w:rPr>
      <w:t></w:t>
    </w:r>
    <w:r w:rsidRPr="00FE491F">
      <w:rPr>
        <w:rFonts w:ascii="C39T30Lfz" w:hAnsi="C39T30Lfz"/>
        <w:sz w:val="56"/>
      </w:rPr>
      <w:t></w:t>
    </w:r>
    <w:r w:rsidRPr="00FE491F">
      <w:rPr>
        <w:rFonts w:ascii="C39T30Lfz" w:hAnsi="C39T30Lfz"/>
        <w:sz w:val="56"/>
      </w:rPr>
      <w:t></w:t>
    </w:r>
    <w:r w:rsidRPr="00FE491F">
      <w:rPr>
        <w:rFonts w:ascii="C39T30Lfz" w:hAnsi="C39T30Lfz"/>
        <w:sz w:val="56"/>
      </w:rPr>
      <w:t></w:t>
    </w:r>
    <w:r w:rsidRPr="00FE491F">
      <w:rPr>
        <w:rFonts w:ascii="C39T30Lfz" w:hAnsi="C39T30Lfz"/>
        <w:sz w:val="56"/>
      </w:rPr>
      <w:t></w:t>
    </w:r>
    <w:r w:rsidRPr="00FE491F">
      <w:rPr>
        <w:rFonts w:ascii="C39T30Lfz" w:hAnsi="C39T30Lfz"/>
        <w:sz w:val="56"/>
      </w:rPr>
      <w:t></w:t>
    </w:r>
    <w:r w:rsidRPr="00FE491F">
      <w:rPr>
        <w:rFonts w:ascii="C39T30Lfz" w:hAnsi="C39T30Lfz"/>
        <w:sz w:val="56"/>
      </w:rPr>
      <w:t></w:t>
    </w:r>
    <w:r w:rsidRPr="00FE491F">
      <w:rPr>
        <w:rFonts w:ascii="C39T30Lfz" w:hAnsi="C39T30Lfz"/>
        <w:sz w:val="56"/>
      </w:rPr>
      <w:t></w:t>
    </w:r>
    <w:r w:rsidRPr="00FE491F">
      <w:rPr>
        <w:rFonts w:ascii="C39T30Lfz" w:hAnsi="C39T30Lfz"/>
        <w:sz w:val="56"/>
      </w:rPr>
      <w:t></w:t>
    </w:r>
    <w:r>
      <w:rPr>
        <w:noProof/>
        <w:sz w:val="20"/>
      </w:rPr>
      <w:drawing>
        <wp:anchor distT="0" distB="0" distL="114300" distR="114300" simplePos="0" relativeHeight="251654144" behindDoc="0" locked="0" layoutInCell="1" allowOverlap="1" wp14:anchorId="6E7B40B7" wp14:editId="096E9D53">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3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3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8023C" w14:textId="77777777" w:rsidR="00A05EA5" w:rsidRPr="00AC3823" w:rsidRDefault="00A05EA5" w:rsidP="00AC3823">
      <w:pPr>
        <w:pStyle w:val="Footer"/>
        <w:tabs>
          <w:tab w:val="right" w:pos="2155"/>
        </w:tabs>
        <w:spacing w:after="80" w:line="240" w:lineRule="atLeast"/>
        <w:ind w:left="680"/>
        <w:rPr>
          <w:u w:val="single"/>
        </w:rPr>
      </w:pPr>
      <w:r>
        <w:rPr>
          <w:u w:val="single"/>
        </w:rPr>
        <w:tab/>
      </w:r>
    </w:p>
  </w:footnote>
  <w:footnote w:type="continuationSeparator" w:id="0">
    <w:p w14:paraId="58ECEABD" w14:textId="77777777" w:rsidR="00A05EA5" w:rsidRPr="00AC3823" w:rsidRDefault="00A05EA5" w:rsidP="00AC3823">
      <w:pPr>
        <w:pStyle w:val="Footer"/>
        <w:tabs>
          <w:tab w:val="right" w:pos="2155"/>
        </w:tabs>
        <w:spacing w:after="80" w:line="240" w:lineRule="atLeast"/>
        <w:ind w:left="680"/>
        <w:rPr>
          <w:u w:val="single"/>
        </w:rPr>
      </w:pPr>
      <w:r>
        <w:rPr>
          <w:u w:val="single"/>
        </w:rPr>
        <w:tab/>
      </w:r>
    </w:p>
  </w:footnote>
  <w:footnote w:type="continuationNotice" w:id="1">
    <w:p w14:paraId="6782293D" w14:textId="77777777" w:rsidR="00A05EA5" w:rsidRPr="00AC3823" w:rsidRDefault="00A05EA5">
      <w:pPr>
        <w:spacing w:line="240" w:lineRule="auto"/>
        <w:rPr>
          <w:sz w:val="2"/>
          <w:szCs w:val="2"/>
        </w:rPr>
      </w:pPr>
    </w:p>
  </w:footnote>
  <w:footnote w:id="2">
    <w:p w14:paraId="0462089D" w14:textId="77777777" w:rsidR="002C0F7D" w:rsidRPr="00C34225" w:rsidRDefault="007C56E7" w:rsidP="007C56E7">
      <w:pPr>
        <w:pStyle w:val="FootnoteText"/>
        <w:rPr>
          <w:sz w:val="20"/>
        </w:rPr>
      </w:pPr>
      <w:r>
        <w:rPr>
          <w:sz w:val="20"/>
        </w:rPr>
        <w:tab/>
      </w:r>
      <w:r w:rsidR="002C0F7D" w:rsidRPr="00BC0DAC">
        <w:rPr>
          <w:rStyle w:val="FootnoteReference"/>
          <w:sz w:val="20"/>
          <w:vertAlign w:val="baseline"/>
        </w:rPr>
        <w:t>*</w:t>
      </w:r>
      <w:r w:rsidR="002C0F7D" w:rsidRPr="00BC0DAC">
        <w:rPr>
          <w:sz w:val="20"/>
        </w:rPr>
        <w:tab/>
      </w:r>
      <w:r w:rsidR="002C0F7D" w:rsidRPr="00621F44">
        <w:rPr>
          <w:spacing w:val="-1"/>
        </w:rPr>
        <w:t>Conformément au programme de travail du Comité des transports intérieurs pour la période 2018-2019</w:t>
      </w:r>
      <w:r w:rsidR="002C0F7D" w:rsidRPr="00C34225">
        <w:t xml:space="preserve"> (ECE/TRANS/2018/21/Add.1, </w:t>
      </w:r>
      <w:r w:rsidR="002C0F7D">
        <w:t>module</w:t>
      </w:r>
      <w:r w:rsidR="002C0F7D" w:rsidRPr="00C34225">
        <w:t xml:space="preserve"> 9 (9.2)).</w:t>
      </w:r>
    </w:p>
  </w:footnote>
  <w:footnote w:id="3">
    <w:p w14:paraId="3FF11519" w14:textId="77777777" w:rsidR="002C0F7D" w:rsidRPr="00C34225" w:rsidRDefault="007C56E7" w:rsidP="007C56E7">
      <w:pPr>
        <w:pStyle w:val="FootnoteText"/>
        <w:rPr>
          <w:sz w:val="20"/>
        </w:rPr>
      </w:pPr>
      <w:r>
        <w:rPr>
          <w:sz w:val="20"/>
        </w:rPr>
        <w:tab/>
      </w:r>
      <w:r w:rsidR="002C0F7D" w:rsidRPr="00BC0DAC">
        <w:rPr>
          <w:rStyle w:val="FootnoteReference"/>
          <w:sz w:val="20"/>
          <w:vertAlign w:val="baseline"/>
        </w:rPr>
        <w:t>**</w:t>
      </w:r>
      <w:r w:rsidR="002C0F7D" w:rsidRPr="00BC0DAC">
        <w:rPr>
          <w:sz w:val="20"/>
        </w:rPr>
        <w:tab/>
      </w:r>
      <w:r w:rsidR="002C0F7D" w:rsidRPr="00C34225">
        <w:t xml:space="preserve">Diffusé par l’Organisation intergouvernementale pour les transports internationaux ferroviaires (OTIF) </w:t>
      </w:r>
      <w:r w:rsidR="002C0F7D">
        <w:t>sous la cote</w:t>
      </w:r>
      <w:r w:rsidR="002C0F7D" w:rsidRPr="00C34225">
        <w:t xml:space="preserve"> OTIF/RID/RC/2019/38.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AE8B7" w14:textId="1F23EF13" w:rsidR="00FE491F" w:rsidRPr="00FE491F" w:rsidRDefault="008F51AC">
    <w:pPr>
      <w:pStyle w:val="Header"/>
    </w:pPr>
    <w:r>
      <w:fldChar w:fldCharType="begin"/>
    </w:r>
    <w:r>
      <w:instrText xml:space="preserve"> TITLE  \* MERGEFORMAT </w:instrText>
    </w:r>
    <w:r>
      <w:fldChar w:fldCharType="separate"/>
    </w:r>
    <w:r w:rsidR="00732965">
      <w:t>ECE/TRANS/WP.15/AC.1/2019/38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7CFA7" w14:textId="0D3AFAFF" w:rsidR="00FE491F" w:rsidRPr="00FE491F" w:rsidRDefault="008F51AC" w:rsidP="00FE491F">
    <w:pPr>
      <w:pStyle w:val="Header"/>
      <w:jc w:val="right"/>
    </w:pPr>
    <w:r>
      <w:fldChar w:fldCharType="begin"/>
    </w:r>
    <w:r>
      <w:instrText xml:space="preserve"> TITLE  \* MERGEFORMAT </w:instrText>
    </w:r>
    <w:r>
      <w:fldChar w:fldCharType="separate"/>
    </w:r>
    <w:r w:rsidR="00732965">
      <w:t>ECE/TRANS/WP.15/AC.1/2019/38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BDE0E86"/>
    <w:multiLevelType w:val="hybridMultilevel"/>
    <w:tmpl w:val="C9344694"/>
    <w:lvl w:ilvl="0" w:tplc="041D0001">
      <w:start w:val="1"/>
      <w:numFmt w:val="bullet"/>
      <w:lvlText w:val=""/>
      <w:lvlJc w:val="left"/>
      <w:pPr>
        <w:ind w:left="1026" w:hanging="360"/>
      </w:pPr>
      <w:rPr>
        <w:rFonts w:ascii="Symbol" w:hAnsi="Symbol" w:hint="default"/>
      </w:rPr>
    </w:lvl>
    <w:lvl w:ilvl="1" w:tplc="041D0003" w:tentative="1">
      <w:start w:val="1"/>
      <w:numFmt w:val="bullet"/>
      <w:lvlText w:val="o"/>
      <w:lvlJc w:val="left"/>
      <w:pPr>
        <w:ind w:left="1746" w:hanging="360"/>
      </w:pPr>
      <w:rPr>
        <w:rFonts w:ascii="Courier New" w:hAnsi="Courier New" w:cs="Courier New" w:hint="default"/>
      </w:rPr>
    </w:lvl>
    <w:lvl w:ilvl="2" w:tplc="041D0005" w:tentative="1">
      <w:start w:val="1"/>
      <w:numFmt w:val="bullet"/>
      <w:lvlText w:val=""/>
      <w:lvlJc w:val="left"/>
      <w:pPr>
        <w:ind w:left="2466" w:hanging="360"/>
      </w:pPr>
      <w:rPr>
        <w:rFonts w:ascii="Wingdings" w:hAnsi="Wingdings" w:hint="default"/>
      </w:rPr>
    </w:lvl>
    <w:lvl w:ilvl="3" w:tplc="041D0001" w:tentative="1">
      <w:start w:val="1"/>
      <w:numFmt w:val="bullet"/>
      <w:lvlText w:val=""/>
      <w:lvlJc w:val="left"/>
      <w:pPr>
        <w:ind w:left="3186" w:hanging="360"/>
      </w:pPr>
      <w:rPr>
        <w:rFonts w:ascii="Symbol" w:hAnsi="Symbol" w:hint="default"/>
      </w:rPr>
    </w:lvl>
    <w:lvl w:ilvl="4" w:tplc="041D0003" w:tentative="1">
      <w:start w:val="1"/>
      <w:numFmt w:val="bullet"/>
      <w:lvlText w:val="o"/>
      <w:lvlJc w:val="left"/>
      <w:pPr>
        <w:ind w:left="3906" w:hanging="360"/>
      </w:pPr>
      <w:rPr>
        <w:rFonts w:ascii="Courier New" w:hAnsi="Courier New" w:cs="Courier New" w:hint="default"/>
      </w:rPr>
    </w:lvl>
    <w:lvl w:ilvl="5" w:tplc="041D0005" w:tentative="1">
      <w:start w:val="1"/>
      <w:numFmt w:val="bullet"/>
      <w:lvlText w:val=""/>
      <w:lvlJc w:val="left"/>
      <w:pPr>
        <w:ind w:left="4626" w:hanging="360"/>
      </w:pPr>
      <w:rPr>
        <w:rFonts w:ascii="Wingdings" w:hAnsi="Wingdings" w:hint="default"/>
      </w:rPr>
    </w:lvl>
    <w:lvl w:ilvl="6" w:tplc="041D0001" w:tentative="1">
      <w:start w:val="1"/>
      <w:numFmt w:val="bullet"/>
      <w:lvlText w:val=""/>
      <w:lvlJc w:val="left"/>
      <w:pPr>
        <w:ind w:left="5346" w:hanging="360"/>
      </w:pPr>
      <w:rPr>
        <w:rFonts w:ascii="Symbol" w:hAnsi="Symbol" w:hint="default"/>
      </w:rPr>
    </w:lvl>
    <w:lvl w:ilvl="7" w:tplc="041D0003" w:tentative="1">
      <w:start w:val="1"/>
      <w:numFmt w:val="bullet"/>
      <w:lvlText w:val="o"/>
      <w:lvlJc w:val="left"/>
      <w:pPr>
        <w:ind w:left="6066" w:hanging="360"/>
      </w:pPr>
      <w:rPr>
        <w:rFonts w:ascii="Courier New" w:hAnsi="Courier New" w:cs="Courier New" w:hint="default"/>
      </w:rPr>
    </w:lvl>
    <w:lvl w:ilvl="8" w:tplc="041D0005" w:tentative="1">
      <w:start w:val="1"/>
      <w:numFmt w:val="bullet"/>
      <w:lvlText w:val=""/>
      <w:lvlJc w:val="left"/>
      <w:pPr>
        <w:ind w:left="6786"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5E33404"/>
    <w:multiLevelType w:val="hybridMultilevel"/>
    <w:tmpl w:val="75B64D64"/>
    <w:lvl w:ilvl="0" w:tplc="041D0001">
      <w:start w:val="1"/>
      <w:numFmt w:val="bullet"/>
      <w:lvlText w:val=""/>
      <w:lvlJc w:val="left"/>
      <w:pPr>
        <w:ind w:left="1026" w:hanging="360"/>
      </w:pPr>
      <w:rPr>
        <w:rFonts w:ascii="Symbol" w:hAnsi="Symbol" w:hint="default"/>
      </w:rPr>
    </w:lvl>
    <w:lvl w:ilvl="1" w:tplc="041D0003" w:tentative="1">
      <w:start w:val="1"/>
      <w:numFmt w:val="bullet"/>
      <w:lvlText w:val="o"/>
      <w:lvlJc w:val="left"/>
      <w:pPr>
        <w:ind w:left="1746" w:hanging="360"/>
      </w:pPr>
      <w:rPr>
        <w:rFonts w:ascii="Courier New" w:hAnsi="Courier New" w:cs="Courier New" w:hint="default"/>
      </w:rPr>
    </w:lvl>
    <w:lvl w:ilvl="2" w:tplc="041D0005" w:tentative="1">
      <w:start w:val="1"/>
      <w:numFmt w:val="bullet"/>
      <w:lvlText w:val=""/>
      <w:lvlJc w:val="left"/>
      <w:pPr>
        <w:ind w:left="2466" w:hanging="360"/>
      </w:pPr>
      <w:rPr>
        <w:rFonts w:ascii="Wingdings" w:hAnsi="Wingdings" w:hint="default"/>
      </w:rPr>
    </w:lvl>
    <w:lvl w:ilvl="3" w:tplc="041D0001" w:tentative="1">
      <w:start w:val="1"/>
      <w:numFmt w:val="bullet"/>
      <w:lvlText w:val=""/>
      <w:lvlJc w:val="left"/>
      <w:pPr>
        <w:ind w:left="3186" w:hanging="360"/>
      </w:pPr>
      <w:rPr>
        <w:rFonts w:ascii="Symbol" w:hAnsi="Symbol" w:hint="default"/>
      </w:rPr>
    </w:lvl>
    <w:lvl w:ilvl="4" w:tplc="041D0003" w:tentative="1">
      <w:start w:val="1"/>
      <w:numFmt w:val="bullet"/>
      <w:lvlText w:val="o"/>
      <w:lvlJc w:val="left"/>
      <w:pPr>
        <w:ind w:left="3906" w:hanging="360"/>
      </w:pPr>
      <w:rPr>
        <w:rFonts w:ascii="Courier New" w:hAnsi="Courier New" w:cs="Courier New" w:hint="default"/>
      </w:rPr>
    </w:lvl>
    <w:lvl w:ilvl="5" w:tplc="041D0005" w:tentative="1">
      <w:start w:val="1"/>
      <w:numFmt w:val="bullet"/>
      <w:lvlText w:val=""/>
      <w:lvlJc w:val="left"/>
      <w:pPr>
        <w:ind w:left="4626" w:hanging="360"/>
      </w:pPr>
      <w:rPr>
        <w:rFonts w:ascii="Wingdings" w:hAnsi="Wingdings" w:hint="default"/>
      </w:rPr>
    </w:lvl>
    <w:lvl w:ilvl="6" w:tplc="041D0001" w:tentative="1">
      <w:start w:val="1"/>
      <w:numFmt w:val="bullet"/>
      <w:lvlText w:val=""/>
      <w:lvlJc w:val="left"/>
      <w:pPr>
        <w:ind w:left="5346" w:hanging="360"/>
      </w:pPr>
      <w:rPr>
        <w:rFonts w:ascii="Symbol" w:hAnsi="Symbol" w:hint="default"/>
      </w:rPr>
    </w:lvl>
    <w:lvl w:ilvl="7" w:tplc="041D0003" w:tentative="1">
      <w:start w:val="1"/>
      <w:numFmt w:val="bullet"/>
      <w:lvlText w:val="o"/>
      <w:lvlJc w:val="left"/>
      <w:pPr>
        <w:ind w:left="6066" w:hanging="360"/>
      </w:pPr>
      <w:rPr>
        <w:rFonts w:ascii="Courier New" w:hAnsi="Courier New" w:cs="Courier New" w:hint="default"/>
      </w:rPr>
    </w:lvl>
    <w:lvl w:ilvl="8" w:tplc="041D0005" w:tentative="1">
      <w:start w:val="1"/>
      <w:numFmt w:val="bullet"/>
      <w:lvlText w:val=""/>
      <w:lvlJc w:val="left"/>
      <w:pPr>
        <w:ind w:left="6786"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3"/>
    <w:lvlOverride w:ilvl="0">
      <w:lvl w:ilvl="0" w:tplc="041D0001">
        <w:start w:val="1"/>
        <w:numFmt w:val="bullet"/>
        <w:lvlText w:val=""/>
        <w:lvlJc w:val="left"/>
        <w:pPr>
          <w:ind w:left="1026" w:hanging="360"/>
        </w:pPr>
        <w:rPr>
          <w:rFonts w:ascii="Symbol" w:hAnsi="Symbol" w:hint="default"/>
        </w:rPr>
      </w:lvl>
    </w:lvlOverride>
  </w:num>
  <w:num w:numId="18">
    <w:abstractNumId w:val="11"/>
    <w:lvlOverride w:ilvl="0">
      <w:lvl w:ilvl="0" w:tplc="041D0001">
        <w:start w:val="1"/>
        <w:numFmt w:val="bullet"/>
        <w:lvlText w:val=""/>
        <w:lvlJc w:val="left"/>
        <w:pPr>
          <w:ind w:left="1026" w:hanging="360"/>
        </w:pPr>
        <w:rPr>
          <w:rFonts w:ascii="Symbol" w:hAnsi="Symbol" w:hint="default"/>
        </w:rPr>
      </w:lvl>
    </w:lvlOverride>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A5"/>
    <w:rsid w:val="00010B21"/>
    <w:rsid w:val="00017F94"/>
    <w:rsid w:val="00023842"/>
    <w:rsid w:val="00032837"/>
    <w:rsid w:val="000334F9"/>
    <w:rsid w:val="00045FEB"/>
    <w:rsid w:val="0006395C"/>
    <w:rsid w:val="0006483F"/>
    <w:rsid w:val="0007796D"/>
    <w:rsid w:val="000B7790"/>
    <w:rsid w:val="00111F2F"/>
    <w:rsid w:val="0014365E"/>
    <w:rsid w:val="00143C66"/>
    <w:rsid w:val="00170F66"/>
    <w:rsid w:val="00172632"/>
    <w:rsid w:val="00176178"/>
    <w:rsid w:val="001B04EB"/>
    <w:rsid w:val="001B7079"/>
    <w:rsid w:val="001C4E86"/>
    <w:rsid w:val="001F525A"/>
    <w:rsid w:val="00223272"/>
    <w:rsid w:val="0024779E"/>
    <w:rsid w:val="00254957"/>
    <w:rsid w:val="00257168"/>
    <w:rsid w:val="00267862"/>
    <w:rsid w:val="002744B8"/>
    <w:rsid w:val="002832AC"/>
    <w:rsid w:val="00286ABB"/>
    <w:rsid w:val="002C0F7D"/>
    <w:rsid w:val="002C619D"/>
    <w:rsid w:val="002C7002"/>
    <w:rsid w:val="002D7C93"/>
    <w:rsid w:val="00305801"/>
    <w:rsid w:val="003530B6"/>
    <w:rsid w:val="00355ACF"/>
    <w:rsid w:val="003916DE"/>
    <w:rsid w:val="003A33E3"/>
    <w:rsid w:val="003B3421"/>
    <w:rsid w:val="003C13EA"/>
    <w:rsid w:val="003D1EDB"/>
    <w:rsid w:val="003E13A7"/>
    <w:rsid w:val="003E416D"/>
    <w:rsid w:val="004157DC"/>
    <w:rsid w:val="00421996"/>
    <w:rsid w:val="00441C3B"/>
    <w:rsid w:val="00446FE5"/>
    <w:rsid w:val="00452396"/>
    <w:rsid w:val="004837D8"/>
    <w:rsid w:val="004E11E4"/>
    <w:rsid w:val="004E2EED"/>
    <w:rsid w:val="004E3F04"/>
    <w:rsid w:val="004E468C"/>
    <w:rsid w:val="00517AD7"/>
    <w:rsid w:val="005505B7"/>
    <w:rsid w:val="00573BE5"/>
    <w:rsid w:val="00586821"/>
    <w:rsid w:val="00586ED3"/>
    <w:rsid w:val="00596AA9"/>
    <w:rsid w:val="005F30BE"/>
    <w:rsid w:val="00621F44"/>
    <w:rsid w:val="00640002"/>
    <w:rsid w:val="00656D6E"/>
    <w:rsid w:val="00662943"/>
    <w:rsid w:val="006744A6"/>
    <w:rsid w:val="006C2672"/>
    <w:rsid w:val="0071601D"/>
    <w:rsid w:val="00726032"/>
    <w:rsid w:val="00732965"/>
    <w:rsid w:val="00753352"/>
    <w:rsid w:val="00757EDE"/>
    <w:rsid w:val="00763B4C"/>
    <w:rsid w:val="007A62E6"/>
    <w:rsid w:val="007C56E7"/>
    <w:rsid w:val="007F20FA"/>
    <w:rsid w:val="0080684C"/>
    <w:rsid w:val="00871C75"/>
    <w:rsid w:val="008776DC"/>
    <w:rsid w:val="00884146"/>
    <w:rsid w:val="0089674C"/>
    <w:rsid w:val="008F51AC"/>
    <w:rsid w:val="009446C0"/>
    <w:rsid w:val="009705C8"/>
    <w:rsid w:val="00991C5B"/>
    <w:rsid w:val="009C1CF4"/>
    <w:rsid w:val="009C24F5"/>
    <w:rsid w:val="009F6B74"/>
    <w:rsid w:val="00A0336E"/>
    <w:rsid w:val="00A05EA5"/>
    <w:rsid w:val="00A17CC2"/>
    <w:rsid w:val="00A3029F"/>
    <w:rsid w:val="00A30353"/>
    <w:rsid w:val="00A31A4E"/>
    <w:rsid w:val="00A31F2C"/>
    <w:rsid w:val="00A42A88"/>
    <w:rsid w:val="00A52B00"/>
    <w:rsid w:val="00AC3823"/>
    <w:rsid w:val="00AE323C"/>
    <w:rsid w:val="00AF0CB5"/>
    <w:rsid w:val="00AF4A5D"/>
    <w:rsid w:val="00AF66DC"/>
    <w:rsid w:val="00B00181"/>
    <w:rsid w:val="00B00B0D"/>
    <w:rsid w:val="00B25C0D"/>
    <w:rsid w:val="00B45F2E"/>
    <w:rsid w:val="00B51E7C"/>
    <w:rsid w:val="00B60CEF"/>
    <w:rsid w:val="00B765F7"/>
    <w:rsid w:val="00BA0CA9"/>
    <w:rsid w:val="00BC0DAC"/>
    <w:rsid w:val="00BC7E73"/>
    <w:rsid w:val="00BD33DA"/>
    <w:rsid w:val="00BE7620"/>
    <w:rsid w:val="00C02897"/>
    <w:rsid w:val="00C40DAA"/>
    <w:rsid w:val="00C97039"/>
    <w:rsid w:val="00D3439C"/>
    <w:rsid w:val="00D4152E"/>
    <w:rsid w:val="00D471C1"/>
    <w:rsid w:val="00D73A4C"/>
    <w:rsid w:val="00D80089"/>
    <w:rsid w:val="00DB1831"/>
    <w:rsid w:val="00DC61DA"/>
    <w:rsid w:val="00DD3BFD"/>
    <w:rsid w:val="00DF289A"/>
    <w:rsid w:val="00DF6678"/>
    <w:rsid w:val="00E0299A"/>
    <w:rsid w:val="00E029E3"/>
    <w:rsid w:val="00E85C74"/>
    <w:rsid w:val="00EA51A8"/>
    <w:rsid w:val="00EA6547"/>
    <w:rsid w:val="00EF2E22"/>
    <w:rsid w:val="00F151DC"/>
    <w:rsid w:val="00F35BAF"/>
    <w:rsid w:val="00F660DF"/>
    <w:rsid w:val="00F855C3"/>
    <w:rsid w:val="00F94664"/>
    <w:rsid w:val="00F9573C"/>
    <w:rsid w:val="00F95C08"/>
    <w:rsid w:val="00FB0F5A"/>
    <w:rsid w:val="00FC2B69"/>
    <w:rsid w:val="00FC7942"/>
    <w:rsid w:val="00FC79DF"/>
    <w:rsid w:val="00FE491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5A0BC"/>
  <w15:docId w15:val="{DDB32DA9-DFEE-494E-84E7-EC9A2C9C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2C0F7D"/>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586821"/>
    <w:rPr>
      <w:color w:val="605E5C"/>
      <w:shd w:val="clear" w:color="auto" w:fill="E1DFDD"/>
    </w:rPr>
  </w:style>
  <w:style w:type="paragraph" w:styleId="ListParagraph">
    <w:name w:val="List Paragraph"/>
    <w:basedOn w:val="Normal"/>
    <w:uiPriority w:val="34"/>
    <w:qFormat/>
    <w:rsid w:val="00A31F2C"/>
    <w:pPr>
      <w:suppressAutoHyphens w:val="0"/>
      <w:kinsoku/>
      <w:overflowPunct/>
      <w:autoSpaceDE/>
      <w:autoSpaceDN/>
      <w:adjustRightInd/>
      <w:snapToGrid/>
      <w:spacing w:after="200" w:line="276" w:lineRule="auto"/>
      <w:ind w:left="720"/>
      <w:contextualSpacing/>
    </w:pPr>
    <w:rPr>
      <w:rFonts w:ascii="Calibri" w:eastAsia="Times New Roman" w:hAnsi="Calibri"/>
      <w:sz w:val="22"/>
      <w:szCs w:val="22"/>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fileadmin/DAM/trans/doc/2019/dgwp15/ECE-TRANS-WP15-2019-07e.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nece.org/fileadmin/DAM/trans/doc/2019/dgwp15/ECE-TRANS-WP15-106-GE-inf7e.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8469</Characters>
  <Application>Microsoft Office Word</Application>
  <DocSecurity>0</DocSecurity>
  <Lines>196</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ECE/TRANS/WP.15/AC.1/2019/38</vt:lpstr>
      <vt:lpstr>ECE/TRANS/WP.15/AC.1/2019/38</vt:lpstr>
    </vt:vector>
  </TitlesOfParts>
  <Company>DCM</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ECE/TRANS/WP.15/AC.1/2019/38</dc:title>
  <dc:subject/>
  <dc:creator>Corinne ROBERT</dc:creator>
  <cp:keywords/>
  <cp:lastModifiedBy>Christine Barrio-Champeau</cp:lastModifiedBy>
  <cp:revision>2</cp:revision>
  <cp:lastPrinted>2019-07-22T12:33:00Z</cp:lastPrinted>
  <dcterms:created xsi:type="dcterms:W3CDTF">2019-08-05T14:18:00Z</dcterms:created>
  <dcterms:modified xsi:type="dcterms:W3CDTF">2019-08-05T14:18:00Z</dcterms:modified>
</cp:coreProperties>
</file>