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9A03B2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9A03B2">
              <w:t>9</w:t>
            </w:r>
            <w:r>
              <w:t>/</w:t>
            </w:r>
            <w:r w:rsidR="00445026" w:rsidRPr="00445026">
              <w:t>49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A52B16" w:rsidP="00B11BB4">
            <w:pPr>
              <w:spacing w:before="120"/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14375" cy="590550"/>
                  <wp:effectExtent l="1905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Pr="00445026" w:rsidRDefault="009D2A5B" w:rsidP="00B11BB4">
            <w:pPr>
              <w:suppressAutoHyphens w:val="0"/>
              <w:spacing w:before="240" w:line="240" w:lineRule="exact"/>
            </w:pPr>
            <w:r w:rsidRPr="00445026">
              <w:t>Distr.: General</w:t>
            </w:r>
          </w:p>
          <w:p w:rsidR="009D2A5B" w:rsidRPr="00445026" w:rsidRDefault="00445026" w:rsidP="00B11BB4">
            <w:pPr>
              <w:suppressAutoHyphens w:val="0"/>
            </w:pPr>
            <w:r>
              <w:t>2 July</w:t>
            </w:r>
            <w:r w:rsidR="007E4C3D" w:rsidRPr="00445026">
              <w:t xml:space="preserve"> </w:t>
            </w:r>
            <w:r w:rsidR="001B13A5" w:rsidRPr="00445026">
              <w:t>201</w:t>
            </w:r>
            <w:r w:rsidR="009A03B2" w:rsidRPr="00445026">
              <w:t>9</w:t>
            </w:r>
          </w:p>
          <w:p w:rsidR="009D2A5B" w:rsidRPr="00445026" w:rsidRDefault="009D2A5B" w:rsidP="00B11BB4">
            <w:pPr>
              <w:suppressAutoHyphens w:val="0"/>
            </w:pPr>
          </w:p>
          <w:p w:rsidR="00B56E9C" w:rsidRPr="00445026" w:rsidRDefault="009D2A5B" w:rsidP="00B11BB4">
            <w:pPr>
              <w:suppressAutoHyphens w:val="0"/>
            </w:pPr>
            <w:r w:rsidRPr="00445026">
              <w:t xml:space="preserve">Original: </w:t>
            </w:r>
            <w:r w:rsidR="0094558F" w:rsidRPr="00445026">
              <w:t xml:space="preserve"> English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7E4C3D" w:rsidP="00BB7CD1">
      <w:r>
        <w:t>Geneva</w:t>
      </w:r>
      <w:r w:rsidR="00BB7CD1">
        <w:t xml:space="preserve">, </w:t>
      </w:r>
      <w:r w:rsidR="00AE08DA">
        <w:t>1</w:t>
      </w:r>
      <w:r>
        <w:t>7</w:t>
      </w:r>
      <w:r w:rsidR="00BB7CD1">
        <w:t>–</w:t>
      </w:r>
      <w:r w:rsidR="00A11D2E">
        <w:t>2</w:t>
      </w:r>
      <w:r w:rsidR="009A03B2">
        <w:t>7</w:t>
      </w:r>
      <w:r>
        <w:t xml:space="preserve"> September </w:t>
      </w:r>
      <w:r w:rsidR="00BB7CD1">
        <w:t>201</w:t>
      </w:r>
      <w:r w:rsidR="009A03B2">
        <w:t>9</w:t>
      </w:r>
    </w:p>
    <w:p w:rsidR="00B175D8" w:rsidRDefault="00B175D8" w:rsidP="00B175D8">
      <w:r>
        <w:t xml:space="preserve">Item </w:t>
      </w:r>
      <w:r w:rsidR="00795C2B">
        <w:t>2</w:t>
      </w:r>
      <w:r>
        <w:t xml:space="preserve"> of the provisional agenda</w:t>
      </w:r>
    </w:p>
    <w:p w:rsidR="00FA6DA6" w:rsidRPr="00FA6DA6" w:rsidRDefault="00795C2B" w:rsidP="00B175D8">
      <w:pPr>
        <w:rPr>
          <w:b/>
        </w:rPr>
      </w:pPr>
      <w:r>
        <w:rPr>
          <w:b/>
        </w:rPr>
        <w:t>Tanks</w:t>
      </w:r>
    </w:p>
    <w:p w:rsidR="00B175D8" w:rsidRDefault="009B1518" w:rsidP="00FA6DA6">
      <w:pPr>
        <w:pStyle w:val="HChG"/>
        <w:rPr>
          <w:b w:val="0"/>
          <w:sz w:val="18"/>
          <w:szCs w:val="18"/>
        </w:rPr>
      </w:pPr>
      <w:r>
        <w:tab/>
      </w:r>
      <w:r w:rsidR="009A03B2">
        <w:tab/>
        <w:t xml:space="preserve">Heating elements on </w:t>
      </w:r>
      <w:proofErr w:type="spellStart"/>
      <w:r w:rsidR="007E4C3D" w:rsidRPr="0050636F">
        <w:rPr>
          <w:lang w:val="en-US"/>
        </w:rPr>
        <w:t>Fibr</w:t>
      </w:r>
      <w:r w:rsidR="009678E0">
        <w:rPr>
          <w:lang w:val="en-US"/>
        </w:rPr>
        <w:t>e</w:t>
      </w:r>
      <w:proofErr w:type="spellEnd"/>
      <w:r w:rsidR="00BD10B1">
        <w:rPr>
          <w:lang w:val="en-US"/>
        </w:rPr>
        <w:t>-</w:t>
      </w:r>
      <w:r w:rsidR="007E4C3D">
        <w:rPr>
          <w:lang w:val="en-US"/>
        </w:rPr>
        <w:t>R</w:t>
      </w:r>
      <w:r w:rsidR="007E4C3D" w:rsidRPr="0050636F">
        <w:rPr>
          <w:lang w:val="en-US"/>
        </w:rPr>
        <w:t xml:space="preserve">einforced </w:t>
      </w:r>
      <w:bookmarkStart w:id="0" w:name="_GoBack"/>
      <w:bookmarkEnd w:id="0"/>
      <w:r w:rsidR="007E4C3D">
        <w:rPr>
          <w:lang w:val="en-US"/>
        </w:rPr>
        <w:t>P</w:t>
      </w:r>
      <w:r w:rsidR="007E4C3D" w:rsidRPr="0050636F">
        <w:rPr>
          <w:lang w:val="en-US"/>
        </w:rPr>
        <w:t>lastic</w:t>
      </w:r>
      <w:r w:rsidR="00BD10B1">
        <w:rPr>
          <w:lang w:val="en-US"/>
        </w:rPr>
        <w:t>s</w:t>
      </w:r>
      <w:r w:rsidR="007E4C3D" w:rsidRPr="0050636F">
        <w:rPr>
          <w:lang w:val="en-US"/>
        </w:rPr>
        <w:t xml:space="preserve"> </w:t>
      </w:r>
      <w:r w:rsidR="007E4C3D">
        <w:rPr>
          <w:lang w:val="en-US"/>
        </w:rPr>
        <w:t xml:space="preserve">(FRP) </w:t>
      </w:r>
      <w:r w:rsidR="009A03B2">
        <w:rPr>
          <w:lang w:val="en-US"/>
        </w:rPr>
        <w:t>t</w:t>
      </w:r>
      <w:r w:rsidR="003A39EA">
        <w:rPr>
          <w:lang w:val="en-US"/>
        </w:rPr>
        <w:t xml:space="preserve">anks </w:t>
      </w:r>
      <w:r w:rsidR="007E4C3D" w:rsidRPr="00B16685">
        <w:rPr>
          <w:lang w:val="en-US"/>
        </w:rPr>
        <w:t xml:space="preserve"> </w:t>
      </w:r>
    </w:p>
    <w:p w:rsidR="00445026" w:rsidRDefault="00881C0C" w:rsidP="00445026">
      <w:pPr>
        <w:suppressAutoHyphens w:val="0"/>
        <w:spacing w:before="120" w:after="120" w:line="240" w:lineRule="auto"/>
        <w:rPr>
          <w:sz w:val="24"/>
          <w:szCs w:val="24"/>
          <w:lang w:eastAsia="zh-CN"/>
        </w:rPr>
      </w:pPr>
      <w:r>
        <w:tab/>
      </w:r>
      <w:r>
        <w:tab/>
      </w:r>
      <w:r w:rsidR="00795C2B" w:rsidRPr="00445026">
        <w:rPr>
          <w:rStyle w:val="H1GChar"/>
        </w:rPr>
        <w:t>Transmitted by the Government of the Netherlands</w:t>
      </w:r>
      <w:r w:rsidR="00445026">
        <w:rPr>
          <w:rStyle w:val="FootnoteReference"/>
        </w:rPr>
        <w:footnoteReference w:id="2"/>
      </w:r>
      <w:r w:rsidR="00445026">
        <w:rPr>
          <w:vertAlign w:val="superscript"/>
        </w:rPr>
        <w:t>,</w:t>
      </w:r>
      <w:r w:rsidR="00445026">
        <w:rPr>
          <w:sz w:val="18"/>
          <w:szCs w:val="18"/>
          <w:vertAlign w:val="superscript"/>
        </w:rPr>
        <w:t xml:space="preserve"> </w:t>
      </w:r>
      <w:r w:rsidR="00445026">
        <w:rPr>
          <w:rStyle w:val="FootnoteReference"/>
        </w:rPr>
        <w:footnoteReference w:customMarkFollows="1" w:id="3"/>
        <w:t>**</w:t>
      </w:r>
      <w:r w:rsidR="00445026">
        <w:rPr>
          <w:sz w:val="24"/>
          <w:szCs w:val="24"/>
          <w:lang w:eastAsia="zh-C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150CF1" w:rsidRPr="007C7BC4" w:rsidTr="007E4C3D">
        <w:trPr>
          <w:jc w:val="center"/>
        </w:trPr>
        <w:tc>
          <w:tcPr>
            <w:tcW w:w="9082" w:type="dxa"/>
            <w:shd w:val="clear" w:color="auto" w:fill="auto"/>
          </w:tcPr>
          <w:p w:rsidR="00150CF1" w:rsidRPr="003A39EA" w:rsidRDefault="00150CF1" w:rsidP="007E4C3D">
            <w:pPr>
              <w:spacing w:before="240" w:after="120"/>
              <w:ind w:left="255"/>
              <w:rPr>
                <w:i/>
              </w:rPr>
            </w:pPr>
            <w:r w:rsidRPr="003A39EA">
              <w:rPr>
                <w:i/>
              </w:rPr>
              <w:t>Summary</w:t>
            </w:r>
          </w:p>
        </w:tc>
      </w:tr>
      <w:tr w:rsidR="00150CF1" w:rsidRPr="00585E7B" w:rsidTr="007E4C3D">
        <w:trPr>
          <w:jc w:val="center"/>
        </w:trPr>
        <w:tc>
          <w:tcPr>
            <w:tcW w:w="9082" w:type="dxa"/>
            <w:shd w:val="clear" w:color="auto" w:fill="auto"/>
          </w:tcPr>
          <w:p w:rsidR="00150CF1" w:rsidRPr="003A6D8B" w:rsidRDefault="00150CF1" w:rsidP="007931E9">
            <w:pPr>
              <w:tabs>
                <w:tab w:val="left" w:pos="3260"/>
              </w:tabs>
              <w:spacing w:after="120"/>
              <w:ind w:left="3260" w:right="1134" w:hanging="2126"/>
              <w:jc w:val="both"/>
              <w:rPr>
                <w:highlight w:val="yellow"/>
              </w:rPr>
            </w:pPr>
            <w:r w:rsidRPr="00693B00">
              <w:rPr>
                <w:b/>
              </w:rPr>
              <w:t xml:space="preserve">Executive summary: </w:t>
            </w:r>
            <w:r w:rsidRPr="00693B00">
              <w:tab/>
            </w:r>
            <w:r w:rsidR="007931E9" w:rsidRPr="00891DD6">
              <w:rPr>
                <w:lang w:val="en-US"/>
              </w:rPr>
              <w:t>The purpose of this document is to clarify the wording</w:t>
            </w:r>
            <w:r w:rsidR="007931E9">
              <w:rPr>
                <w:lang w:val="en-US"/>
              </w:rPr>
              <w:t>s in sub-section 6.9.1.3 of ADR/RID</w:t>
            </w:r>
            <w:r w:rsidR="007931E9" w:rsidRPr="00891DD6">
              <w:rPr>
                <w:lang w:val="en-US"/>
              </w:rPr>
              <w:t xml:space="preserve"> that heating </w:t>
            </w:r>
            <w:r w:rsidR="00DD2E4D">
              <w:rPr>
                <w:lang w:val="en-US"/>
              </w:rPr>
              <w:t>elements</w:t>
            </w:r>
            <w:r w:rsidR="007931E9">
              <w:rPr>
                <w:lang w:val="en-US"/>
              </w:rPr>
              <w:t xml:space="preserve"> on FRP tanks </w:t>
            </w:r>
            <w:r w:rsidR="007931E9" w:rsidRPr="00891DD6">
              <w:rPr>
                <w:lang w:val="en-US"/>
              </w:rPr>
              <w:t>may be fitted but that the use is restricted to non-dangerous goods</w:t>
            </w:r>
            <w:r w:rsidR="007931E9">
              <w:rPr>
                <w:lang w:val="en-US"/>
              </w:rPr>
              <w:t>.</w:t>
            </w:r>
            <w:r w:rsidR="007931E9">
              <w:t xml:space="preserve"> </w:t>
            </w:r>
            <w:r w:rsidR="001C0FF0" w:rsidRPr="00693B00">
              <w:rPr>
                <w:lang w:val="en-US"/>
              </w:rPr>
              <w:t xml:space="preserve"> </w:t>
            </w:r>
            <w:r w:rsidRPr="003A6D8B">
              <w:rPr>
                <w:highlight w:val="yellow"/>
              </w:rPr>
              <w:t xml:space="preserve">  </w:t>
            </w:r>
          </w:p>
        </w:tc>
      </w:tr>
      <w:tr w:rsidR="00150CF1" w:rsidRPr="00585E7B" w:rsidTr="007E4C3D">
        <w:trPr>
          <w:jc w:val="center"/>
        </w:trPr>
        <w:tc>
          <w:tcPr>
            <w:tcW w:w="9082" w:type="dxa"/>
            <w:shd w:val="clear" w:color="auto" w:fill="auto"/>
          </w:tcPr>
          <w:p w:rsidR="00150CF1" w:rsidRPr="003A6D8B" w:rsidRDefault="00150CF1" w:rsidP="009D1AA3">
            <w:pPr>
              <w:tabs>
                <w:tab w:val="left" w:pos="3260"/>
              </w:tabs>
              <w:spacing w:after="120"/>
              <w:ind w:left="3260" w:right="1134" w:hanging="2126"/>
              <w:jc w:val="both"/>
              <w:rPr>
                <w:highlight w:val="yellow"/>
              </w:rPr>
            </w:pPr>
            <w:r w:rsidRPr="008B5BBD">
              <w:rPr>
                <w:b/>
              </w:rPr>
              <w:t>Action to be taken:</w:t>
            </w:r>
            <w:r w:rsidRPr="008B5BBD">
              <w:rPr>
                <w:b/>
              </w:rPr>
              <w:tab/>
            </w:r>
            <w:r w:rsidR="008B5BBD">
              <w:t xml:space="preserve">Delete the wordings in sub-section 6.9.1.3 of </w:t>
            </w:r>
            <w:r w:rsidR="009D1AA3">
              <w:t>RID/</w:t>
            </w:r>
            <w:r w:rsidR="008B5BBD">
              <w:t>ADR, i</w:t>
            </w:r>
            <w:r w:rsidR="001837B1" w:rsidRPr="008B5BBD">
              <w:t xml:space="preserve">ntroduce </w:t>
            </w:r>
            <w:r w:rsidR="008B5BBD">
              <w:t xml:space="preserve">these wordings in </w:t>
            </w:r>
            <w:r w:rsidR="001837B1" w:rsidRPr="008B5BBD">
              <w:t xml:space="preserve">a new </w:t>
            </w:r>
            <w:r w:rsidR="008B5BBD">
              <w:t xml:space="preserve">sub-section 4.4.2.3 of </w:t>
            </w:r>
            <w:r w:rsidR="009D1AA3">
              <w:t>RID/</w:t>
            </w:r>
            <w:r w:rsidR="008B5BBD">
              <w:t>ADR, renumber the existing sub-section 4.4.2.3 as 4.4.2.4 and modify su</w:t>
            </w:r>
            <w:r w:rsidR="001837B1" w:rsidRPr="008B5BBD">
              <w:t>b</w:t>
            </w:r>
            <w:r w:rsidR="008B5BBD">
              <w:t>-</w:t>
            </w:r>
            <w:r w:rsidR="001837B1" w:rsidRPr="008B5BBD">
              <w:t xml:space="preserve">section </w:t>
            </w:r>
            <w:r w:rsidR="008B5BBD">
              <w:t xml:space="preserve">4.4.2.1 of </w:t>
            </w:r>
            <w:r w:rsidR="009D1AA3">
              <w:t>RID/</w:t>
            </w:r>
            <w:r w:rsidR="008B5BBD">
              <w:t>ADR.</w:t>
            </w:r>
          </w:p>
        </w:tc>
      </w:tr>
      <w:tr w:rsidR="00150CF1" w:rsidRPr="00585E7B" w:rsidTr="007E4C3D">
        <w:trPr>
          <w:jc w:val="center"/>
        </w:trPr>
        <w:tc>
          <w:tcPr>
            <w:tcW w:w="9082" w:type="dxa"/>
            <w:shd w:val="clear" w:color="auto" w:fill="auto"/>
          </w:tcPr>
          <w:p w:rsidR="00150CF1" w:rsidRPr="003A6D8B" w:rsidRDefault="00150CF1" w:rsidP="00917140">
            <w:pPr>
              <w:tabs>
                <w:tab w:val="left" w:pos="3260"/>
              </w:tabs>
              <w:ind w:left="3260" w:right="1134" w:hanging="2126"/>
              <w:rPr>
                <w:b/>
                <w:highlight w:val="yellow"/>
                <w:lang w:val="en-US"/>
              </w:rPr>
            </w:pPr>
            <w:r w:rsidRPr="00917140">
              <w:rPr>
                <w:b/>
              </w:rPr>
              <w:t>Related documents:</w:t>
            </w:r>
            <w:r w:rsidRPr="00917140">
              <w:rPr>
                <w:b/>
              </w:rPr>
              <w:tab/>
            </w:r>
            <w:r w:rsidR="003A39EA" w:rsidRPr="00917140">
              <w:rPr>
                <w:bCs/>
              </w:rPr>
              <w:t>Informal document INF.1</w:t>
            </w:r>
            <w:r w:rsidR="00917140">
              <w:rPr>
                <w:bCs/>
              </w:rPr>
              <w:t>9</w:t>
            </w:r>
            <w:r w:rsidR="003A39EA" w:rsidRPr="00917140">
              <w:rPr>
                <w:bCs/>
              </w:rPr>
              <w:t xml:space="preserve"> (</w:t>
            </w:r>
            <w:r w:rsidR="00917140">
              <w:rPr>
                <w:bCs/>
              </w:rPr>
              <w:t xml:space="preserve">March </w:t>
            </w:r>
            <w:r w:rsidR="003A39EA" w:rsidRPr="00917140">
              <w:rPr>
                <w:bCs/>
              </w:rPr>
              <w:t>201</w:t>
            </w:r>
            <w:r w:rsidR="00917140">
              <w:rPr>
                <w:bCs/>
              </w:rPr>
              <w:t>9</w:t>
            </w:r>
            <w:r w:rsidR="003A39EA" w:rsidRPr="00917140">
              <w:rPr>
                <w:bCs/>
              </w:rPr>
              <w:t xml:space="preserve"> session) </w:t>
            </w:r>
            <w:r w:rsidRPr="00917140">
              <w:t xml:space="preserve">and </w:t>
            </w:r>
            <w:r w:rsidRPr="00917140">
              <w:rPr>
                <w:lang w:val="en-US"/>
              </w:rPr>
              <w:t>ECE/TRANS/WP.15/AC.1/1</w:t>
            </w:r>
            <w:r w:rsidR="00917140">
              <w:rPr>
                <w:lang w:val="en-US"/>
              </w:rPr>
              <w:t>5</w:t>
            </w:r>
            <w:r w:rsidRPr="00917140">
              <w:rPr>
                <w:lang w:val="en-US"/>
              </w:rPr>
              <w:t xml:space="preserve">4 paragraph </w:t>
            </w:r>
            <w:r w:rsidR="00917140">
              <w:rPr>
                <w:lang w:val="en-US"/>
              </w:rPr>
              <w:t>14</w:t>
            </w:r>
            <w:r w:rsidR="008B5BBD">
              <w:rPr>
                <w:lang w:val="en-US"/>
              </w:rPr>
              <w:t>.</w:t>
            </w:r>
          </w:p>
        </w:tc>
      </w:tr>
      <w:tr w:rsidR="00150CF1" w:rsidRPr="00585E7B" w:rsidTr="007E4C3D">
        <w:trPr>
          <w:jc w:val="center"/>
        </w:trPr>
        <w:tc>
          <w:tcPr>
            <w:tcW w:w="9082" w:type="dxa"/>
            <w:shd w:val="clear" w:color="auto" w:fill="auto"/>
          </w:tcPr>
          <w:p w:rsidR="00150CF1" w:rsidRPr="007C7BC4" w:rsidRDefault="00150CF1" w:rsidP="007E4C3D">
            <w:pPr>
              <w:rPr>
                <w:lang w:val="en-US"/>
              </w:rPr>
            </w:pPr>
          </w:p>
        </w:tc>
      </w:tr>
    </w:tbl>
    <w:p w:rsidR="00150CF1" w:rsidRPr="007C7BC4" w:rsidRDefault="00150CF1" w:rsidP="008D6CB9">
      <w:pPr>
        <w:pStyle w:val="HChG"/>
        <w:jc w:val="both"/>
      </w:pPr>
      <w:r>
        <w:rPr>
          <w:lang w:val="en-US"/>
        </w:rPr>
        <w:tab/>
      </w:r>
      <w:r>
        <w:rPr>
          <w:lang w:val="en-US"/>
        </w:rPr>
        <w:tab/>
      </w:r>
      <w:r w:rsidRPr="007C7BC4">
        <w:t>Introduction</w:t>
      </w:r>
    </w:p>
    <w:p w:rsidR="00655979" w:rsidRPr="003F0FF3" w:rsidRDefault="00445026" w:rsidP="00445026">
      <w:pPr>
        <w:pStyle w:val="SingleTxtG"/>
      </w:pPr>
      <w:r>
        <w:t>1.</w:t>
      </w:r>
      <w:r>
        <w:tab/>
      </w:r>
      <w:r w:rsidR="00C26ED9" w:rsidRPr="003F0FF3">
        <w:t>The requirements concerning heating elements on Fib</w:t>
      </w:r>
      <w:r w:rsidR="007764ED">
        <w:t>re</w:t>
      </w:r>
      <w:r w:rsidR="00BD10B1">
        <w:t>-</w:t>
      </w:r>
      <w:r w:rsidR="00C26ED9" w:rsidRPr="003F0FF3">
        <w:t>Reinforced Plastic</w:t>
      </w:r>
      <w:r w:rsidR="00BD10B1">
        <w:t>s</w:t>
      </w:r>
      <w:r w:rsidR="00C26ED9" w:rsidRPr="003F0FF3">
        <w:t xml:space="preserve"> (FRP) </w:t>
      </w:r>
      <w:r w:rsidR="00655979" w:rsidRPr="003F0FF3">
        <w:t xml:space="preserve">tanks allow for different </w:t>
      </w:r>
      <w:r w:rsidR="00C26ED9" w:rsidRPr="003F0FF3">
        <w:t>interpretation</w:t>
      </w:r>
      <w:r w:rsidR="00F60618" w:rsidRPr="003F0FF3">
        <w:t>s</w:t>
      </w:r>
      <w:r w:rsidR="00C26ED9" w:rsidRPr="003F0FF3">
        <w:t xml:space="preserve">. </w:t>
      </w:r>
    </w:p>
    <w:p w:rsidR="00655979" w:rsidRPr="003F0FF3" w:rsidRDefault="00445026" w:rsidP="00445026">
      <w:pPr>
        <w:pStyle w:val="SingleTxtG"/>
      </w:pPr>
      <w:r>
        <w:lastRenderedPageBreak/>
        <w:t>2.</w:t>
      </w:r>
      <w:r>
        <w:tab/>
      </w:r>
      <w:r w:rsidR="00C26ED9" w:rsidRPr="003F0FF3">
        <w:t xml:space="preserve">By placing the requirement in </w:t>
      </w:r>
      <w:r w:rsidR="00655979" w:rsidRPr="003F0FF3">
        <w:t>sub</w:t>
      </w:r>
      <w:r w:rsidR="00AD4B85">
        <w:t>-</w:t>
      </w:r>
      <w:r w:rsidR="00655979" w:rsidRPr="003F0FF3">
        <w:t xml:space="preserve">section </w:t>
      </w:r>
      <w:r w:rsidR="00C26ED9" w:rsidRPr="003F0FF3">
        <w:t xml:space="preserve">6.9.1.3 </w:t>
      </w:r>
      <w:r w:rsidR="00655979" w:rsidRPr="003F0FF3">
        <w:t xml:space="preserve">of </w:t>
      </w:r>
      <w:r w:rsidR="009D1AA3">
        <w:t xml:space="preserve">RID and </w:t>
      </w:r>
      <w:r w:rsidR="00655979" w:rsidRPr="003F0FF3">
        <w:t xml:space="preserve">ADR </w:t>
      </w:r>
      <w:r w:rsidR="00C26ED9" w:rsidRPr="003F0FF3">
        <w:t>it suggest</w:t>
      </w:r>
      <w:r w:rsidR="00655979" w:rsidRPr="003F0FF3">
        <w:t>s</w:t>
      </w:r>
      <w:r w:rsidR="00C26ED9" w:rsidRPr="003F0FF3">
        <w:t xml:space="preserve"> a tank construction requirement that may be explained that fitting of heating elements is not permitted</w:t>
      </w:r>
      <w:r w:rsidR="00AF6C36">
        <w:t>.</w:t>
      </w:r>
      <w:r w:rsidR="00C26ED9" w:rsidRPr="003F0FF3">
        <w:t xml:space="preserve"> </w:t>
      </w:r>
      <w:r w:rsidR="00AF6C36">
        <w:t xml:space="preserve">This </w:t>
      </w:r>
      <w:r w:rsidR="00BD10B1">
        <w:t xml:space="preserve">seems </w:t>
      </w:r>
      <w:r w:rsidR="00AF6C36">
        <w:t>contrary to</w:t>
      </w:r>
      <w:r w:rsidR="00AF6C36" w:rsidRPr="003F0FF3">
        <w:t xml:space="preserve"> </w:t>
      </w:r>
      <w:r w:rsidR="00C26ED9" w:rsidRPr="003F0FF3">
        <w:t xml:space="preserve">the choice of the word “used” in the English version and “utiliser” in the French version of </w:t>
      </w:r>
      <w:r w:rsidR="009D1AA3">
        <w:t xml:space="preserve">RID and </w:t>
      </w:r>
      <w:r w:rsidR="00C26ED9" w:rsidRPr="003F0FF3">
        <w:t xml:space="preserve">ADR </w:t>
      </w:r>
      <w:r w:rsidR="00BD10B1">
        <w:t xml:space="preserve">that </w:t>
      </w:r>
      <w:r w:rsidR="00C26ED9" w:rsidRPr="003F0FF3">
        <w:t>suggest</w:t>
      </w:r>
      <w:r w:rsidR="00820F57">
        <w:t>s</w:t>
      </w:r>
      <w:r w:rsidR="00C26ED9" w:rsidRPr="003F0FF3">
        <w:t xml:space="preserve"> that fitting </w:t>
      </w:r>
      <w:r w:rsidR="00820F57">
        <w:t xml:space="preserve">of the heating elements </w:t>
      </w:r>
      <w:r w:rsidR="00C26ED9" w:rsidRPr="003F0FF3">
        <w:t xml:space="preserve">is allowed but </w:t>
      </w:r>
      <w:r w:rsidR="00F60618" w:rsidRPr="003F0FF3">
        <w:t>it is not allowed to use the</w:t>
      </w:r>
      <w:r w:rsidR="00820F57">
        <w:t>se</w:t>
      </w:r>
      <w:r w:rsidR="00F60618" w:rsidRPr="003F0FF3">
        <w:t xml:space="preserve"> </w:t>
      </w:r>
      <w:r w:rsidR="00C3376A" w:rsidRPr="003F0FF3">
        <w:t>heating elements</w:t>
      </w:r>
      <w:r w:rsidR="00655979" w:rsidRPr="003F0FF3">
        <w:t>.</w:t>
      </w:r>
    </w:p>
    <w:p w:rsidR="00C26ED9" w:rsidRPr="003F0FF3" w:rsidRDefault="00445026" w:rsidP="00445026">
      <w:pPr>
        <w:pStyle w:val="SingleTxtG"/>
      </w:pPr>
      <w:r>
        <w:t>3.</w:t>
      </w:r>
      <w:r>
        <w:tab/>
      </w:r>
      <w:r w:rsidR="00C26ED9" w:rsidRPr="003F0FF3">
        <w:t>To clarify the situation the following amendments are proposed.</w:t>
      </w:r>
    </w:p>
    <w:p w:rsidR="00150CF1" w:rsidRPr="00E57344" w:rsidRDefault="00150CF1" w:rsidP="003A39EA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57344">
        <w:rPr>
          <w:lang w:val="en-US"/>
        </w:rPr>
        <w:t>Proposal</w:t>
      </w:r>
      <w:r w:rsidR="000B642F">
        <w:rPr>
          <w:lang w:val="en-US"/>
        </w:rPr>
        <w:t>s</w:t>
      </w:r>
    </w:p>
    <w:p w:rsidR="00C3376A" w:rsidRPr="00F15AFE" w:rsidRDefault="008039B7" w:rsidP="00445026">
      <w:pPr>
        <w:pStyle w:val="SingleTxtG"/>
        <w:spacing w:before="120"/>
        <w:rPr>
          <w:rStyle w:val="H1GChar"/>
          <w:b w:val="0"/>
          <w:szCs w:val="24"/>
        </w:rPr>
      </w:pPr>
      <w:r w:rsidRPr="00F15AFE">
        <w:rPr>
          <w:rStyle w:val="H1GChar"/>
          <w:szCs w:val="24"/>
        </w:rPr>
        <w:t>Proposal 1</w:t>
      </w:r>
      <w:r w:rsidR="00FF069D" w:rsidRPr="00F15AFE">
        <w:rPr>
          <w:rStyle w:val="H1GChar"/>
          <w:b w:val="0"/>
          <w:szCs w:val="24"/>
        </w:rPr>
        <w:t xml:space="preserve"> </w:t>
      </w:r>
      <w:r w:rsidR="00FF069D" w:rsidRPr="00F15AFE">
        <w:rPr>
          <w:lang w:val="en-US"/>
        </w:rPr>
        <w:t>(new wording in</w:t>
      </w:r>
      <w:r w:rsidR="00FF069D" w:rsidRPr="00F15AFE">
        <w:rPr>
          <w:i/>
          <w:lang w:val="en-US"/>
        </w:rPr>
        <w:t xml:space="preserve"> </w:t>
      </w:r>
      <w:r w:rsidR="00FF069D" w:rsidRPr="00F15AFE">
        <w:rPr>
          <w:i/>
          <w:u w:val="single"/>
          <w:lang w:val="en-US"/>
        </w:rPr>
        <w:t>italic</w:t>
      </w:r>
      <w:r w:rsidR="00FF069D" w:rsidRPr="00F15AFE">
        <w:rPr>
          <w:u w:val="single"/>
          <w:lang w:val="en-US"/>
        </w:rPr>
        <w:t xml:space="preserve"> </w:t>
      </w:r>
      <w:r w:rsidR="00FF069D" w:rsidRPr="00F15AFE">
        <w:rPr>
          <w:i/>
          <w:u w:val="single"/>
          <w:lang w:val="en-US"/>
        </w:rPr>
        <w:t>script/underlined</w:t>
      </w:r>
      <w:r w:rsidR="00FF069D" w:rsidRPr="00F15AFE">
        <w:rPr>
          <w:lang w:val="en-US"/>
        </w:rPr>
        <w:t>):</w:t>
      </w:r>
    </w:p>
    <w:p w:rsidR="00C3376A" w:rsidRPr="00445026" w:rsidRDefault="00967941" w:rsidP="00445026">
      <w:pPr>
        <w:pStyle w:val="H1G"/>
        <w:spacing w:before="120" w:after="120"/>
        <w:ind w:left="1710" w:firstLine="0"/>
        <w:rPr>
          <w:sz w:val="20"/>
        </w:rPr>
      </w:pPr>
      <w:r w:rsidRPr="00445026">
        <w:rPr>
          <w:b w:val="0"/>
          <w:sz w:val="20"/>
        </w:rPr>
        <w:t>In sub</w:t>
      </w:r>
      <w:r w:rsidR="008B7F5F" w:rsidRPr="00445026">
        <w:rPr>
          <w:b w:val="0"/>
          <w:sz w:val="20"/>
        </w:rPr>
        <w:t>-</w:t>
      </w:r>
      <w:r w:rsidRPr="00445026">
        <w:rPr>
          <w:b w:val="0"/>
          <w:sz w:val="20"/>
        </w:rPr>
        <w:t>section 6.9.1.3 of ADR d</w:t>
      </w:r>
      <w:r w:rsidR="00C3376A" w:rsidRPr="00445026">
        <w:rPr>
          <w:b w:val="0"/>
          <w:sz w:val="20"/>
        </w:rPr>
        <w:t>elete the wording</w:t>
      </w:r>
      <w:r w:rsidR="00537B1D" w:rsidRPr="00445026">
        <w:rPr>
          <w:b w:val="0"/>
          <w:sz w:val="20"/>
        </w:rPr>
        <w:t>s</w:t>
      </w:r>
      <w:r w:rsidR="00C3376A" w:rsidRPr="00445026">
        <w:rPr>
          <w:sz w:val="20"/>
        </w:rPr>
        <w:t xml:space="preserve"> </w:t>
      </w:r>
      <w:r w:rsidR="001038C0" w:rsidRPr="00445026">
        <w:rPr>
          <w:sz w:val="20"/>
        </w:rPr>
        <w:t>“heating elements shall not be used”</w:t>
      </w:r>
      <w:r w:rsidR="00CA508C" w:rsidRPr="00445026">
        <w:rPr>
          <w:b w:val="0"/>
          <w:sz w:val="20"/>
        </w:rPr>
        <w:t xml:space="preserve"> </w:t>
      </w:r>
      <w:r w:rsidR="00C3376A" w:rsidRPr="00445026">
        <w:rPr>
          <w:b w:val="0"/>
          <w:sz w:val="20"/>
        </w:rPr>
        <w:t xml:space="preserve">and introduce </w:t>
      </w:r>
      <w:r w:rsidR="00C3376A" w:rsidRPr="00445026">
        <w:rPr>
          <w:i/>
          <w:sz w:val="20"/>
        </w:rPr>
        <w:t>“</w:t>
      </w:r>
      <w:r w:rsidR="00C3376A" w:rsidRPr="00445026">
        <w:rPr>
          <w:b w:val="0"/>
          <w:i/>
          <w:sz w:val="20"/>
          <w:u w:val="single"/>
        </w:rPr>
        <w:t>Deleted</w:t>
      </w:r>
      <w:r w:rsidR="00C3376A" w:rsidRPr="00445026">
        <w:rPr>
          <w:sz w:val="20"/>
        </w:rPr>
        <w:t>”</w:t>
      </w:r>
      <w:r w:rsidR="00820F57" w:rsidRPr="00445026">
        <w:rPr>
          <w:sz w:val="20"/>
        </w:rPr>
        <w:t>.</w:t>
      </w:r>
    </w:p>
    <w:p w:rsidR="00537B1D" w:rsidRPr="00445026" w:rsidRDefault="00967941" w:rsidP="00445026">
      <w:pPr>
        <w:spacing w:before="120" w:after="120"/>
        <w:ind w:left="1701" w:right="1134" w:firstLine="3"/>
        <w:rPr>
          <w:b/>
        </w:rPr>
      </w:pPr>
      <w:r w:rsidRPr="00445026">
        <w:t>In sub</w:t>
      </w:r>
      <w:r w:rsidR="008B7F5F" w:rsidRPr="00445026">
        <w:t>-</w:t>
      </w:r>
      <w:r w:rsidRPr="00445026">
        <w:t>section 6.9.1.3 of RID d</w:t>
      </w:r>
      <w:r w:rsidR="00537B1D" w:rsidRPr="00445026">
        <w:t>elet</w:t>
      </w:r>
      <w:r w:rsidR="00030C87" w:rsidRPr="00445026">
        <w:t>e</w:t>
      </w:r>
      <w:r w:rsidR="00537B1D" w:rsidRPr="00445026">
        <w:t xml:space="preserve"> the wordings </w:t>
      </w:r>
      <w:r w:rsidR="00537B1D" w:rsidRPr="00445026">
        <w:rPr>
          <w:b/>
        </w:rPr>
        <w:t xml:space="preserve">“Heating elements shall not be used for FRP tank-containers including tank swap bodies” </w:t>
      </w:r>
      <w:r w:rsidR="00537B1D" w:rsidRPr="00445026">
        <w:t xml:space="preserve">and introduce </w:t>
      </w:r>
      <w:r w:rsidR="00537B1D" w:rsidRPr="00445026">
        <w:rPr>
          <w:b/>
        </w:rPr>
        <w:t>“</w:t>
      </w:r>
      <w:r w:rsidR="00537B1D" w:rsidRPr="00445026">
        <w:rPr>
          <w:i/>
          <w:u w:val="single"/>
        </w:rPr>
        <w:t>Deleted</w:t>
      </w:r>
      <w:r w:rsidR="00537B1D" w:rsidRPr="00445026">
        <w:rPr>
          <w:b/>
        </w:rPr>
        <w:t>”</w:t>
      </w:r>
      <w:r w:rsidR="00820F57" w:rsidRPr="00445026">
        <w:rPr>
          <w:b/>
        </w:rPr>
        <w:t>.</w:t>
      </w:r>
    </w:p>
    <w:p w:rsidR="00C3376A" w:rsidRPr="00445026" w:rsidRDefault="00C3376A" w:rsidP="004450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870"/>
        </w:tabs>
        <w:spacing w:before="120" w:after="120"/>
        <w:ind w:left="1134"/>
        <w:rPr>
          <w:sz w:val="24"/>
          <w:szCs w:val="24"/>
          <w:lang w:val="en-US"/>
        </w:rPr>
      </w:pPr>
      <w:r w:rsidRPr="00445026">
        <w:rPr>
          <w:b/>
          <w:sz w:val="24"/>
          <w:szCs w:val="24"/>
          <w:lang w:val="en-US"/>
        </w:rPr>
        <w:t>Proposal 2</w:t>
      </w:r>
      <w:r w:rsidR="00FF069D" w:rsidRPr="00445026">
        <w:rPr>
          <w:szCs w:val="24"/>
          <w:lang w:val="en-US"/>
        </w:rPr>
        <w:t xml:space="preserve"> </w:t>
      </w:r>
      <w:r w:rsidR="00FF069D" w:rsidRPr="00445026">
        <w:rPr>
          <w:sz w:val="24"/>
          <w:szCs w:val="24"/>
          <w:lang w:val="en-US"/>
        </w:rPr>
        <w:t>(new wording in</w:t>
      </w:r>
      <w:r w:rsidR="00FF069D" w:rsidRPr="00445026">
        <w:rPr>
          <w:i/>
          <w:sz w:val="24"/>
          <w:szCs w:val="24"/>
          <w:lang w:val="en-US"/>
        </w:rPr>
        <w:t xml:space="preserve"> </w:t>
      </w:r>
      <w:r w:rsidR="00FF069D" w:rsidRPr="00445026">
        <w:rPr>
          <w:i/>
          <w:sz w:val="24"/>
          <w:szCs w:val="24"/>
          <w:u w:val="single"/>
          <w:lang w:val="en-US"/>
        </w:rPr>
        <w:t>italic</w:t>
      </w:r>
      <w:r w:rsidR="00FF069D" w:rsidRPr="00445026">
        <w:rPr>
          <w:sz w:val="24"/>
          <w:szCs w:val="24"/>
          <w:u w:val="single"/>
          <w:lang w:val="en-US"/>
        </w:rPr>
        <w:t xml:space="preserve"> </w:t>
      </w:r>
      <w:r w:rsidR="00FF069D" w:rsidRPr="00445026">
        <w:rPr>
          <w:i/>
          <w:sz w:val="24"/>
          <w:szCs w:val="24"/>
          <w:u w:val="single"/>
          <w:lang w:val="en-US"/>
        </w:rPr>
        <w:t>script/underlined</w:t>
      </w:r>
      <w:r w:rsidR="00FF069D" w:rsidRPr="00445026">
        <w:rPr>
          <w:sz w:val="24"/>
          <w:szCs w:val="24"/>
          <w:lang w:val="en-US"/>
        </w:rPr>
        <w:t>)</w:t>
      </w:r>
      <w:r w:rsidR="00F60618" w:rsidRPr="00445026">
        <w:rPr>
          <w:sz w:val="24"/>
          <w:szCs w:val="24"/>
          <w:lang w:val="en-US"/>
        </w:rPr>
        <w:t>:</w:t>
      </w:r>
    </w:p>
    <w:p w:rsidR="00537B1D" w:rsidRPr="00445026" w:rsidRDefault="00C3376A" w:rsidP="004450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870"/>
        </w:tabs>
        <w:spacing w:before="120" w:after="120"/>
        <w:ind w:left="1710"/>
      </w:pPr>
      <w:r w:rsidRPr="00445026">
        <w:t xml:space="preserve">Introduce </w:t>
      </w:r>
      <w:r w:rsidR="000C6E1A" w:rsidRPr="00445026">
        <w:t xml:space="preserve">in ADR </w:t>
      </w:r>
      <w:r w:rsidRPr="00445026">
        <w:t xml:space="preserve">a new </w:t>
      </w:r>
      <w:r w:rsidR="00537B1D" w:rsidRPr="00445026">
        <w:t>sub</w:t>
      </w:r>
      <w:r w:rsidR="00AD4B85" w:rsidRPr="00445026">
        <w:t>-</w:t>
      </w:r>
      <w:r w:rsidR="00537B1D" w:rsidRPr="00445026">
        <w:t xml:space="preserve">section </w:t>
      </w:r>
      <w:r w:rsidRPr="00445026">
        <w:rPr>
          <w:b/>
          <w:i/>
          <w:u w:val="single"/>
        </w:rPr>
        <w:t>4.4.2.3</w:t>
      </w:r>
      <w:r w:rsidRPr="00445026">
        <w:t xml:space="preserve"> to read</w:t>
      </w:r>
      <w:r w:rsidR="00ED1977" w:rsidRPr="00445026">
        <w:t xml:space="preserve"> (new wording in</w:t>
      </w:r>
      <w:r w:rsidR="00ED1977" w:rsidRPr="00445026">
        <w:rPr>
          <w:i/>
        </w:rPr>
        <w:t xml:space="preserve"> </w:t>
      </w:r>
      <w:r w:rsidR="00ED1977" w:rsidRPr="00445026">
        <w:rPr>
          <w:i/>
          <w:u w:val="single"/>
        </w:rPr>
        <w:t>italic</w:t>
      </w:r>
      <w:r w:rsidR="00ED1977" w:rsidRPr="00445026">
        <w:rPr>
          <w:u w:val="single"/>
        </w:rPr>
        <w:t xml:space="preserve"> </w:t>
      </w:r>
      <w:r w:rsidR="00ED1977" w:rsidRPr="00445026">
        <w:rPr>
          <w:i/>
          <w:u w:val="single"/>
        </w:rPr>
        <w:t>script</w:t>
      </w:r>
      <w:r w:rsidR="00AD4B85" w:rsidRPr="00445026">
        <w:rPr>
          <w:i/>
          <w:u w:val="single"/>
        </w:rPr>
        <w:t>/underlined</w:t>
      </w:r>
      <w:r w:rsidR="00ED1977" w:rsidRPr="00445026">
        <w:t>)</w:t>
      </w:r>
      <w:r w:rsidR="00537B1D" w:rsidRPr="00445026">
        <w:t>:</w:t>
      </w:r>
    </w:p>
    <w:p w:rsidR="00C3376A" w:rsidRPr="00445026" w:rsidRDefault="00C3376A" w:rsidP="004450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870"/>
        </w:tabs>
        <w:spacing w:before="120" w:after="120"/>
        <w:ind w:left="1710"/>
        <w:rPr>
          <w:b/>
          <w:i/>
        </w:rPr>
      </w:pPr>
      <w:r w:rsidRPr="00445026">
        <w:rPr>
          <w:b/>
          <w:i/>
        </w:rPr>
        <w:t>“</w:t>
      </w:r>
      <w:r w:rsidRPr="00445026">
        <w:rPr>
          <w:i/>
          <w:u w:val="single"/>
        </w:rPr>
        <w:t>Heating elements shall not be used</w:t>
      </w:r>
      <w:r w:rsidRPr="00445026">
        <w:rPr>
          <w:b/>
          <w:i/>
        </w:rPr>
        <w:t>”</w:t>
      </w:r>
    </w:p>
    <w:p w:rsidR="00CA508C" w:rsidRPr="00445026" w:rsidRDefault="00CA508C" w:rsidP="00445026">
      <w:pPr>
        <w:pStyle w:val="H23G"/>
        <w:spacing w:before="120"/>
        <w:ind w:left="1701" w:right="-88"/>
        <w:rPr>
          <w:b w:val="0"/>
          <w:lang w:val="en-US"/>
        </w:rPr>
      </w:pPr>
      <w:r w:rsidRPr="00445026">
        <w:tab/>
      </w:r>
      <w:r w:rsidRPr="00445026">
        <w:tab/>
      </w:r>
      <w:r w:rsidR="00537B1D" w:rsidRPr="00445026">
        <w:rPr>
          <w:b w:val="0"/>
        </w:rPr>
        <w:t xml:space="preserve">Introduce </w:t>
      </w:r>
      <w:r w:rsidR="000C6E1A" w:rsidRPr="00445026">
        <w:rPr>
          <w:b w:val="0"/>
        </w:rPr>
        <w:t xml:space="preserve">in RID </w:t>
      </w:r>
      <w:r w:rsidR="00537B1D" w:rsidRPr="00445026">
        <w:rPr>
          <w:b w:val="0"/>
        </w:rPr>
        <w:t>a new sub</w:t>
      </w:r>
      <w:r w:rsidR="00AD4B85" w:rsidRPr="00445026">
        <w:rPr>
          <w:b w:val="0"/>
        </w:rPr>
        <w:t>-</w:t>
      </w:r>
      <w:r w:rsidR="00537B1D" w:rsidRPr="00445026">
        <w:rPr>
          <w:b w:val="0"/>
        </w:rPr>
        <w:t xml:space="preserve">section </w:t>
      </w:r>
      <w:r w:rsidR="00537B1D" w:rsidRPr="00445026">
        <w:rPr>
          <w:i/>
          <w:u w:val="single"/>
        </w:rPr>
        <w:t>4.4.2.3</w:t>
      </w:r>
      <w:r w:rsidR="00537B1D" w:rsidRPr="00445026">
        <w:rPr>
          <w:b w:val="0"/>
        </w:rPr>
        <w:t xml:space="preserve"> to read</w:t>
      </w:r>
      <w:r w:rsidRPr="00445026">
        <w:rPr>
          <w:b w:val="0"/>
        </w:rPr>
        <w:t xml:space="preserve"> </w:t>
      </w:r>
      <w:r w:rsidRPr="00445026">
        <w:rPr>
          <w:b w:val="0"/>
          <w:lang w:val="en-US"/>
        </w:rPr>
        <w:t>(ne</w:t>
      </w:r>
      <w:r w:rsidR="00ED1977" w:rsidRPr="00445026">
        <w:rPr>
          <w:b w:val="0"/>
          <w:lang w:val="en-US"/>
        </w:rPr>
        <w:t>w w</w:t>
      </w:r>
      <w:r w:rsidRPr="00445026">
        <w:rPr>
          <w:b w:val="0"/>
          <w:lang w:val="en-US"/>
        </w:rPr>
        <w:t xml:space="preserve">ording in </w:t>
      </w:r>
      <w:r w:rsidRPr="00445026">
        <w:rPr>
          <w:b w:val="0"/>
          <w:i/>
          <w:u w:val="single"/>
          <w:lang w:val="en-US"/>
        </w:rPr>
        <w:t>italic</w:t>
      </w:r>
      <w:r w:rsidRPr="00445026">
        <w:rPr>
          <w:b w:val="0"/>
          <w:i/>
          <w:lang w:val="en-US"/>
        </w:rPr>
        <w:t xml:space="preserve"> </w:t>
      </w:r>
      <w:r w:rsidRPr="00445026">
        <w:rPr>
          <w:b w:val="0"/>
          <w:i/>
          <w:u w:val="single"/>
          <w:lang w:val="en-US"/>
        </w:rPr>
        <w:t>script</w:t>
      </w:r>
      <w:r w:rsidR="00AD4B85" w:rsidRPr="00445026">
        <w:rPr>
          <w:b w:val="0"/>
          <w:i/>
          <w:u w:val="single"/>
          <w:lang w:val="en-US"/>
        </w:rPr>
        <w:t>/underlined</w:t>
      </w:r>
      <w:r w:rsidRPr="00445026">
        <w:rPr>
          <w:b w:val="0"/>
          <w:lang w:val="en-US"/>
        </w:rPr>
        <w:t>):</w:t>
      </w:r>
    </w:p>
    <w:p w:rsidR="00CA508C" w:rsidRPr="00445026" w:rsidRDefault="00537B1D" w:rsidP="004450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870"/>
        </w:tabs>
        <w:spacing w:before="120" w:after="120"/>
        <w:ind w:left="1710"/>
        <w:rPr>
          <w:b/>
        </w:rPr>
      </w:pPr>
      <w:r w:rsidRPr="00445026">
        <w:rPr>
          <w:b/>
        </w:rPr>
        <w:t>“</w:t>
      </w:r>
      <w:r w:rsidRPr="00445026">
        <w:rPr>
          <w:i/>
          <w:u w:val="single"/>
        </w:rPr>
        <w:t>Heating elements shall not be used for FRP tank-containers including tank swap bodies</w:t>
      </w:r>
      <w:r w:rsidRPr="00445026">
        <w:rPr>
          <w:b/>
        </w:rPr>
        <w:t xml:space="preserve">” </w:t>
      </w:r>
    </w:p>
    <w:p w:rsidR="0065190A" w:rsidRPr="00445026" w:rsidRDefault="00C3376A" w:rsidP="004450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870"/>
        </w:tabs>
        <w:spacing w:before="120" w:after="120"/>
        <w:ind w:left="1134"/>
        <w:rPr>
          <w:b/>
          <w:sz w:val="24"/>
          <w:szCs w:val="24"/>
        </w:rPr>
      </w:pPr>
      <w:r w:rsidRPr="00445026">
        <w:rPr>
          <w:b/>
          <w:sz w:val="24"/>
          <w:szCs w:val="24"/>
        </w:rPr>
        <w:t>Proposal 3</w:t>
      </w:r>
    </w:p>
    <w:p w:rsidR="00C3376A" w:rsidRPr="00445026" w:rsidRDefault="00F60618" w:rsidP="00445026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870"/>
        </w:tabs>
        <w:spacing w:before="120" w:after="120"/>
        <w:ind w:left="1710"/>
        <w:rPr>
          <w:rFonts w:ascii="Times New Roman" w:hAnsi="Times New Roman"/>
          <w:sz w:val="20"/>
          <w:szCs w:val="20"/>
          <w:lang w:val="en-US"/>
        </w:rPr>
      </w:pPr>
      <w:r w:rsidRPr="00445026">
        <w:rPr>
          <w:rFonts w:ascii="Times New Roman" w:hAnsi="Times New Roman"/>
          <w:sz w:val="20"/>
          <w:szCs w:val="20"/>
          <w:lang w:val="en-US"/>
        </w:rPr>
        <w:t>R</w:t>
      </w:r>
      <w:r w:rsidR="00C3376A" w:rsidRPr="00445026">
        <w:rPr>
          <w:rFonts w:ascii="Times New Roman" w:hAnsi="Times New Roman"/>
          <w:sz w:val="20"/>
          <w:szCs w:val="20"/>
          <w:lang w:val="en-US"/>
        </w:rPr>
        <w:t xml:space="preserve">enumber the existing 4.4.2.3 as </w:t>
      </w:r>
      <w:r w:rsidR="00C3376A" w:rsidRPr="00445026">
        <w:rPr>
          <w:rFonts w:ascii="Times New Roman" w:hAnsi="Times New Roman"/>
          <w:b/>
          <w:i/>
          <w:sz w:val="20"/>
          <w:szCs w:val="20"/>
          <w:u w:val="single"/>
          <w:lang w:val="en-US"/>
        </w:rPr>
        <w:t>4.4.2.4</w:t>
      </w:r>
      <w:r w:rsidR="00CA508C" w:rsidRPr="00445026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A6D8B" w:rsidRPr="00445026">
        <w:rPr>
          <w:rFonts w:ascii="Times New Roman" w:hAnsi="Times New Roman"/>
          <w:sz w:val="20"/>
          <w:szCs w:val="20"/>
          <w:lang w:val="en-US"/>
        </w:rPr>
        <w:t xml:space="preserve">in </w:t>
      </w:r>
      <w:r w:rsidR="009D1AA3" w:rsidRPr="00445026">
        <w:rPr>
          <w:rFonts w:ascii="Times New Roman" w:hAnsi="Times New Roman"/>
          <w:sz w:val="20"/>
          <w:szCs w:val="20"/>
          <w:lang w:val="en-US"/>
        </w:rPr>
        <w:t>RID/</w:t>
      </w:r>
      <w:r w:rsidR="00CA508C" w:rsidRPr="00445026">
        <w:rPr>
          <w:rFonts w:ascii="Times New Roman" w:hAnsi="Times New Roman"/>
          <w:sz w:val="20"/>
          <w:szCs w:val="20"/>
          <w:lang w:val="en-US"/>
        </w:rPr>
        <w:t>ADR</w:t>
      </w:r>
      <w:r w:rsidR="00C3376A" w:rsidRPr="00445026">
        <w:rPr>
          <w:rFonts w:ascii="Times New Roman" w:hAnsi="Times New Roman"/>
          <w:sz w:val="20"/>
          <w:szCs w:val="20"/>
          <w:lang w:val="en-US"/>
        </w:rPr>
        <w:t>.</w:t>
      </w:r>
    </w:p>
    <w:p w:rsidR="00C3376A" w:rsidRPr="00D02E08" w:rsidRDefault="00C3376A" w:rsidP="00445026">
      <w:pPr>
        <w:pStyle w:val="H1G"/>
        <w:spacing w:before="120" w:after="120"/>
        <w:ind w:firstLine="0"/>
        <w:rPr>
          <w:szCs w:val="24"/>
        </w:rPr>
      </w:pPr>
      <w:r w:rsidRPr="00D02E08">
        <w:rPr>
          <w:szCs w:val="24"/>
        </w:rPr>
        <w:t>Proposal 4</w:t>
      </w:r>
    </w:p>
    <w:p w:rsidR="00C3376A" w:rsidRPr="00445026" w:rsidRDefault="00E16B22" w:rsidP="004450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870"/>
        </w:tabs>
        <w:spacing w:before="120" w:after="120"/>
        <w:ind w:left="1710"/>
      </w:pPr>
      <w:r w:rsidRPr="00445026">
        <w:t>Modify 4.4.2.1 of RID/ADR to read</w:t>
      </w:r>
      <w:r w:rsidRPr="00445026">
        <w:rPr>
          <w:b/>
        </w:rPr>
        <w:t xml:space="preserve"> </w:t>
      </w:r>
      <w:r w:rsidRPr="00445026">
        <w:t>(new wording in</w:t>
      </w:r>
      <w:r w:rsidRPr="00445026">
        <w:rPr>
          <w:i/>
        </w:rPr>
        <w:t xml:space="preserve"> </w:t>
      </w:r>
      <w:r w:rsidRPr="00445026">
        <w:rPr>
          <w:i/>
          <w:u w:val="single"/>
        </w:rPr>
        <w:t>italic</w:t>
      </w:r>
      <w:r w:rsidRPr="00445026">
        <w:rPr>
          <w:u w:val="single"/>
        </w:rPr>
        <w:t xml:space="preserve"> </w:t>
      </w:r>
      <w:r w:rsidRPr="00445026">
        <w:rPr>
          <w:i/>
          <w:u w:val="single"/>
        </w:rPr>
        <w:t>script/underlined</w:t>
      </w:r>
      <w:r w:rsidRPr="00445026">
        <w:t>):</w:t>
      </w:r>
    </w:p>
    <w:p w:rsidR="00C3376A" w:rsidRPr="00445026" w:rsidRDefault="00C3376A" w:rsidP="00445026">
      <w:pPr>
        <w:pStyle w:val="H1G"/>
        <w:spacing w:before="120" w:after="120"/>
        <w:ind w:left="1701"/>
        <w:rPr>
          <w:sz w:val="20"/>
        </w:rPr>
      </w:pPr>
      <w:r w:rsidRPr="00445026">
        <w:rPr>
          <w:sz w:val="20"/>
        </w:rPr>
        <w:tab/>
      </w:r>
      <w:r w:rsidRPr="00445026">
        <w:rPr>
          <w:sz w:val="20"/>
        </w:rPr>
        <w:tab/>
      </w:r>
      <w:r w:rsidR="003F0FF3" w:rsidRPr="00445026">
        <w:rPr>
          <w:sz w:val="20"/>
        </w:rPr>
        <w:t>“</w:t>
      </w:r>
      <w:r w:rsidRPr="00445026">
        <w:rPr>
          <w:b w:val="0"/>
          <w:sz w:val="20"/>
        </w:rPr>
        <w:t>The provisions of 4.3.2.1.5 to</w:t>
      </w:r>
      <w:r w:rsidRPr="00445026">
        <w:rPr>
          <w:b w:val="0"/>
          <w:i/>
          <w:sz w:val="20"/>
        </w:rPr>
        <w:t xml:space="preserve"> </w:t>
      </w:r>
      <w:r w:rsidRPr="00445026">
        <w:rPr>
          <w:bCs/>
          <w:i/>
          <w:sz w:val="20"/>
          <w:u w:val="single"/>
        </w:rPr>
        <w:t>4.3.2.2.2</w:t>
      </w:r>
      <w:r w:rsidRPr="00445026">
        <w:rPr>
          <w:b w:val="0"/>
          <w:bCs/>
          <w:i/>
          <w:sz w:val="20"/>
        </w:rPr>
        <w:t>,</w:t>
      </w:r>
      <w:r w:rsidRPr="00445026">
        <w:rPr>
          <w:b w:val="0"/>
          <w:i/>
          <w:sz w:val="20"/>
          <w:u w:val="single"/>
        </w:rPr>
        <w:t xml:space="preserve"> </w:t>
      </w:r>
      <w:r w:rsidRPr="00445026">
        <w:rPr>
          <w:b w:val="0"/>
          <w:sz w:val="20"/>
        </w:rPr>
        <w:t>4.3.2.2.4, 4.3.2.3.3 to 4.3.2.3.6, 4.3.2.4.1, 4.3.2.4.2, 4.3.4.1 and 4.3.4.2 shall apply</w:t>
      </w:r>
      <w:r w:rsidRPr="00445026">
        <w:rPr>
          <w:b w:val="0"/>
          <w:i/>
          <w:sz w:val="20"/>
          <w:u w:val="single"/>
        </w:rPr>
        <w:t>.</w:t>
      </w:r>
      <w:r w:rsidR="003F0FF3" w:rsidRPr="00445026">
        <w:rPr>
          <w:sz w:val="20"/>
        </w:rPr>
        <w:t>”</w:t>
      </w:r>
    </w:p>
    <w:p w:rsidR="00150CF1" w:rsidRDefault="003A39EA" w:rsidP="003F0FF3">
      <w:pPr>
        <w:pStyle w:val="H23G"/>
        <w:rPr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50CF1" w:rsidRPr="003F0FF3">
        <w:rPr>
          <w:sz w:val="28"/>
          <w:szCs w:val="28"/>
          <w:lang w:val="en-US"/>
        </w:rPr>
        <w:t>Justification</w:t>
      </w:r>
    </w:p>
    <w:p w:rsidR="003F0FF3" w:rsidRPr="00891DD6" w:rsidRDefault="00445026" w:rsidP="00445026">
      <w:pPr>
        <w:pStyle w:val="SingleTxtG"/>
        <w:spacing w:before="120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C26ED9" w:rsidRPr="00891DD6">
        <w:rPr>
          <w:lang w:val="en-US"/>
        </w:rPr>
        <w:t>The purpose of this document is to clarify the wording</w:t>
      </w:r>
      <w:r w:rsidR="00C91006">
        <w:rPr>
          <w:lang w:val="en-US"/>
        </w:rPr>
        <w:t>s in sub</w:t>
      </w:r>
      <w:r w:rsidR="00AD4B85">
        <w:rPr>
          <w:lang w:val="en-US"/>
        </w:rPr>
        <w:t>-</w:t>
      </w:r>
      <w:r w:rsidR="00C91006">
        <w:rPr>
          <w:lang w:val="en-US"/>
        </w:rPr>
        <w:t xml:space="preserve">section 6.9.1.3 of </w:t>
      </w:r>
      <w:r w:rsidR="00967941">
        <w:rPr>
          <w:lang w:val="en-US"/>
        </w:rPr>
        <w:t>RID/</w:t>
      </w:r>
      <w:r w:rsidR="00C91006">
        <w:rPr>
          <w:lang w:val="en-US"/>
        </w:rPr>
        <w:t>ADR</w:t>
      </w:r>
      <w:r w:rsidR="00C26ED9" w:rsidRPr="00891DD6">
        <w:rPr>
          <w:lang w:val="en-US"/>
        </w:rPr>
        <w:t xml:space="preserve"> that heating systems may be fitted but that the use is restricted to non-dangerous goods. </w:t>
      </w:r>
      <w:r w:rsidR="003F0FF3" w:rsidRPr="00891DD6">
        <w:rPr>
          <w:lang w:val="en-US"/>
        </w:rPr>
        <w:t xml:space="preserve"> </w:t>
      </w:r>
    </w:p>
    <w:p w:rsidR="003F0FF3" w:rsidRPr="00891DD6" w:rsidRDefault="00445026" w:rsidP="00445026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C26ED9" w:rsidRPr="00891DD6">
        <w:rPr>
          <w:lang w:val="en-US"/>
        </w:rPr>
        <w:t xml:space="preserve">The outcome of the informal working group on FRP </w:t>
      </w:r>
      <w:r w:rsidR="00845C05">
        <w:rPr>
          <w:lang w:val="en-US"/>
        </w:rPr>
        <w:t>p</w:t>
      </w:r>
      <w:r w:rsidR="00C91006">
        <w:rPr>
          <w:lang w:val="en-US"/>
        </w:rPr>
        <w:t xml:space="preserve">ortable </w:t>
      </w:r>
      <w:r w:rsidR="00C26ED9" w:rsidRPr="00891DD6">
        <w:rPr>
          <w:lang w:val="en-US"/>
        </w:rPr>
        <w:t xml:space="preserve">tanks under the </w:t>
      </w:r>
      <w:r w:rsidR="00845C05">
        <w:rPr>
          <w:lang w:val="en-US"/>
        </w:rPr>
        <w:t xml:space="preserve">UN </w:t>
      </w:r>
      <w:r w:rsidR="00C91006">
        <w:rPr>
          <w:lang w:val="en-US"/>
        </w:rPr>
        <w:t>Sub-Committee of the Expert</w:t>
      </w:r>
      <w:r w:rsidR="00845C05">
        <w:rPr>
          <w:lang w:val="en-US"/>
        </w:rPr>
        <w:t>s</w:t>
      </w:r>
      <w:r w:rsidR="00C91006">
        <w:rPr>
          <w:lang w:val="en-US"/>
        </w:rPr>
        <w:t xml:space="preserve"> on </w:t>
      </w:r>
      <w:r w:rsidR="00845C05">
        <w:rPr>
          <w:lang w:val="en-US"/>
        </w:rPr>
        <w:t xml:space="preserve">the Transport of Dangerous Goods (UN SCE TDG) </w:t>
      </w:r>
      <w:r w:rsidR="00C26ED9" w:rsidRPr="00891DD6">
        <w:rPr>
          <w:lang w:val="en-US"/>
        </w:rPr>
        <w:t xml:space="preserve">should be awaited to make a further decision if use should be allowed. </w:t>
      </w:r>
      <w:r w:rsidR="003F0FF3" w:rsidRPr="00891DD6">
        <w:rPr>
          <w:lang w:val="en-US"/>
        </w:rPr>
        <w:t xml:space="preserve"> </w:t>
      </w:r>
    </w:p>
    <w:p w:rsidR="00C26ED9" w:rsidRDefault="00445026" w:rsidP="00445026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C26ED9" w:rsidRPr="00891DD6">
        <w:rPr>
          <w:lang w:val="en-US"/>
        </w:rPr>
        <w:t xml:space="preserve">Refusal </w:t>
      </w:r>
      <w:r w:rsidR="00DC44BE">
        <w:rPr>
          <w:lang w:val="en-US"/>
        </w:rPr>
        <w:t xml:space="preserve">by </w:t>
      </w:r>
      <w:proofErr w:type="gramStart"/>
      <w:r w:rsidR="00DC44BE">
        <w:rPr>
          <w:lang w:val="en-US"/>
        </w:rPr>
        <w:t>particular inspection</w:t>
      </w:r>
      <w:proofErr w:type="gramEnd"/>
      <w:r w:rsidR="00DC44BE">
        <w:rPr>
          <w:lang w:val="en-US"/>
        </w:rPr>
        <w:t xml:space="preserve"> bodies </w:t>
      </w:r>
      <w:r w:rsidR="00C26ED9" w:rsidRPr="00891DD6">
        <w:rPr>
          <w:lang w:val="en-US"/>
        </w:rPr>
        <w:t xml:space="preserve">to perform periodic inspections of FRP </w:t>
      </w:r>
      <w:r w:rsidR="00DD2E4D">
        <w:rPr>
          <w:lang w:val="en-US"/>
        </w:rPr>
        <w:t>portable</w:t>
      </w:r>
      <w:r w:rsidR="00845C05">
        <w:rPr>
          <w:lang w:val="en-US"/>
        </w:rPr>
        <w:t xml:space="preserve"> </w:t>
      </w:r>
      <w:r w:rsidR="00C26ED9" w:rsidRPr="00891DD6">
        <w:rPr>
          <w:lang w:val="en-US"/>
        </w:rPr>
        <w:t>tanks equipped with heating systems (but not used)</w:t>
      </w:r>
      <w:r w:rsidR="00DC44BE">
        <w:rPr>
          <w:lang w:val="en-US"/>
        </w:rPr>
        <w:t>,</w:t>
      </w:r>
      <w:r w:rsidR="00C26ED9" w:rsidRPr="00891DD6">
        <w:rPr>
          <w:lang w:val="en-US"/>
        </w:rPr>
        <w:t xml:space="preserve"> based on the interpretation that fitting is not allowed, requires an earlier amendment than the outcome of the </w:t>
      </w:r>
      <w:r w:rsidR="00845C05">
        <w:rPr>
          <w:lang w:val="en-US"/>
        </w:rPr>
        <w:t xml:space="preserve">informal working group on </w:t>
      </w:r>
      <w:r w:rsidR="00C26ED9" w:rsidRPr="00891DD6">
        <w:rPr>
          <w:lang w:val="en-US"/>
        </w:rPr>
        <w:t xml:space="preserve">FRP </w:t>
      </w:r>
      <w:r w:rsidR="00DD2E4D">
        <w:rPr>
          <w:lang w:val="en-US"/>
        </w:rPr>
        <w:t>portable</w:t>
      </w:r>
      <w:r w:rsidR="00845C05">
        <w:rPr>
          <w:lang w:val="en-US"/>
        </w:rPr>
        <w:t xml:space="preserve"> tanks of the UN SCE </w:t>
      </w:r>
      <w:r w:rsidR="00C26ED9" w:rsidRPr="00891DD6">
        <w:rPr>
          <w:lang w:val="en-US"/>
        </w:rPr>
        <w:t>TDG is expected.</w:t>
      </w:r>
    </w:p>
    <w:p w:rsidR="00445026" w:rsidRPr="00445026" w:rsidRDefault="00445026" w:rsidP="00445026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45026" w:rsidRPr="00445026" w:rsidSect="00445026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3B2" w:rsidRDefault="009A03B2"/>
  </w:endnote>
  <w:endnote w:type="continuationSeparator" w:id="0">
    <w:p w:rsidR="009A03B2" w:rsidRDefault="009A03B2"/>
  </w:endnote>
  <w:endnote w:type="continuationNotice" w:id="1">
    <w:p w:rsidR="009A03B2" w:rsidRDefault="009A03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B2" w:rsidRPr="009D2A5B" w:rsidRDefault="009A03B2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364023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B2" w:rsidRPr="009D2A5B" w:rsidRDefault="009A03B2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364023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3B2" w:rsidRPr="000B175B" w:rsidRDefault="009A03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A03B2" w:rsidRPr="00FC68B7" w:rsidRDefault="009A03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A03B2" w:rsidRDefault="009A03B2"/>
  </w:footnote>
  <w:footnote w:id="2">
    <w:p w:rsidR="00445026" w:rsidRDefault="00445026" w:rsidP="00445026">
      <w:pPr>
        <w:pStyle w:val="FootnoteText"/>
        <w:ind w:left="1418" w:right="1532" w:hanging="284"/>
        <w:jc w:val="both"/>
      </w:pPr>
      <w:r>
        <w:rPr>
          <w:rStyle w:val="FootnoteReference"/>
          <w:sz w:val="20"/>
        </w:rPr>
        <w:footnoteRef/>
      </w:r>
      <w:r>
        <w:tab/>
        <w:t>In accordance with the programme of work of the Inland Transport Committee for 2018-2019, (ECE/TRANS/2018/21/Add.1, Cluster 9, (9.2)).</w:t>
      </w:r>
    </w:p>
  </w:footnote>
  <w:footnote w:id="3">
    <w:p w:rsidR="00445026" w:rsidRDefault="00445026" w:rsidP="00445026">
      <w:pPr>
        <w:pStyle w:val="FootnoteText"/>
        <w:ind w:left="1418" w:right="1532" w:hanging="284"/>
        <w:jc w:val="both"/>
        <w:rPr>
          <w:lang w:val="fr-CH"/>
        </w:rPr>
      </w:pPr>
      <w:r>
        <w:rPr>
          <w:rStyle w:val="FootnoteReference"/>
          <w:sz w:val="20"/>
        </w:rPr>
        <w:t>**</w:t>
      </w:r>
      <w:r>
        <w:tab/>
        <w:t>Circulated by the Intergovernmental Organisation for International Carriage by Rail (OTIF) under the symbol OTIF/RID/RC/2019/</w:t>
      </w:r>
      <w:r>
        <w:t>49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B2" w:rsidRPr="009D2A5B" w:rsidRDefault="009A03B2" w:rsidP="008D6CB9">
    <w:pPr>
      <w:pStyle w:val="Header"/>
      <w:tabs>
        <w:tab w:val="right" w:pos="9126"/>
      </w:tabs>
    </w:pPr>
    <w:r w:rsidRPr="009D2A5B">
      <w:t>ECE/TRANS/WP.15/AC.1/201</w:t>
    </w:r>
    <w:r w:rsidR="00B54695">
      <w:t>9</w:t>
    </w:r>
    <w:r w:rsidRPr="009D2A5B">
      <w:t>/</w:t>
    </w:r>
    <w:r w:rsidR="00445026">
      <w:t>49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B2" w:rsidRPr="009D2A5B" w:rsidRDefault="009A03B2" w:rsidP="009D2A5B">
    <w:pPr>
      <w:pStyle w:val="Header"/>
      <w:jc w:val="right"/>
    </w:pPr>
    <w:r w:rsidRPr="009D2A5B">
      <w:t>ECE/TRANS/WP.15/AC.1/201</w:t>
    </w:r>
    <w:r w:rsidR="00B54695">
      <w:t>9</w:t>
    </w:r>
    <w:r w:rsidRPr="009D2A5B">
      <w:t>/</w:t>
    </w:r>
    <w:r w:rsidR="00445026"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2550077"/>
    <w:multiLevelType w:val="hybridMultilevel"/>
    <w:tmpl w:val="E2D0FBE6"/>
    <w:lvl w:ilvl="0" w:tplc="0E6E174A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2241F"/>
    <w:multiLevelType w:val="hybridMultilevel"/>
    <w:tmpl w:val="08ACF434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3C27158"/>
    <w:multiLevelType w:val="hybridMultilevel"/>
    <w:tmpl w:val="153E5AAC"/>
    <w:lvl w:ilvl="0" w:tplc="0E6E174A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6CE59F1"/>
    <w:multiLevelType w:val="hybridMultilevel"/>
    <w:tmpl w:val="FD32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C74C4"/>
    <w:multiLevelType w:val="hybridMultilevel"/>
    <w:tmpl w:val="2C761E3C"/>
    <w:lvl w:ilvl="0" w:tplc="E30CCFBE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A79D0"/>
    <w:multiLevelType w:val="hybridMultilevel"/>
    <w:tmpl w:val="C6AADDAE"/>
    <w:lvl w:ilvl="0" w:tplc="0413000F">
      <w:start w:val="1"/>
      <w:numFmt w:val="decimal"/>
      <w:lvlText w:val="%1."/>
      <w:lvlJc w:val="left"/>
      <w:pPr>
        <w:ind w:left="2421" w:hanging="360"/>
      </w:pPr>
    </w:lvl>
    <w:lvl w:ilvl="1" w:tplc="04130019" w:tentative="1">
      <w:start w:val="1"/>
      <w:numFmt w:val="lowerLetter"/>
      <w:lvlText w:val="%2."/>
      <w:lvlJc w:val="left"/>
      <w:pPr>
        <w:ind w:left="3141" w:hanging="360"/>
      </w:pPr>
    </w:lvl>
    <w:lvl w:ilvl="2" w:tplc="0413001B" w:tentative="1">
      <w:start w:val="1"/>
      <w:numFmt w:val="lowerRoman"/>
      <w:lvlText w:val="%3."/>
      <w:lvlJc w:val="right"/>
      <w:pPr>
        <w:ind w:left="3861" w:hanging="180"/>
      </w:pPr>
    </w:lvl>
    <w:lvl w:ilvl="3" w:tplc="0413000F" w:tentative="1">
      <w:start w:val="1"/>
      <w:numFmt w:val="decimal"/>
      <w:lvlText w:val="%4."/>
      <w:lvlJc w:val="left"/>
      <w:pPr>
        <w:ind w:left="4581" w:hanging="360"/>
      </w:pPr>
    </w:lvl>
    <w:lvl w:ilvl="4" w:tplc="04130019" w:tentative="1">
      <w:start w:val="1"/>
      <w:numFmt w:val="lowerLetter"/>
      <w:lvlText w:val="%5."/>
      <w:lvlJc w:val="left"/>
      <w:pPr>
        <w:ind w:left="5301" w:hanging="360"/>
      </w:pPr>
    </w:lvl>
    <w:lvl w:ilvl="5" w:tplc="0413001B" w:tentative="1">
      <w:start w:val="1"/>
      <w:numFmt w:val="lowerRoman"/>
      <w:lvlText w:val="%6."/>
      <w:lvlJc w:val="right"/>
      <w:pPr>
        <w:ind w:left="6021" w:hanging="180"/>
      </w:pPr>
    </w:lvl>
    <w:lvl w:ilvl="6" w:tplc="0413000F" w:tentative="1">
      <w:start w:val="1"/>
      <w:numFmt w:val="decimal"/>
      <w:lvlText w:val="%7."/>
      <w:lvlJc w:val="left"/>
      <w:pPr>
        <w:ind w:left="6741" w:hanging="360"/>
      </w:pPr>
    </w:lvl>
    <w:lvl w:ilvl="7" w:tplc="04130019" w:tentative="1">
      <w:start w:val="1"/>
      <w:numFmt w:val="lowerLetter"/>
      <w:lvlText w:val="%8."/>
      <w:lvlJc w:val="left"/>
      <w:pPr>
        <w:ind w:left="7461" w:hanging="360"/>
      </w:pPr>
    </w:lvl>
    <w:lvl w:ilvl="8" w:tplc="0413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83116FF"/>
    <w:multiLevelType w:val="hybridMultilevel"/>
    <w:tmpl w:val="C9347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2823E78"/>
    <w:multiLevelType w:val="hybridMultilevel"/>
    <w:tmpl w:val="29446582"/>
    <w:lvl w:ilvl="0" w:tplc="0DD89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DB2A51"/>
    <w:multiLevelType w:val="hybridMultilevel"/>
    <w:tmpl w:val="4F1097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6"/>
  </w:num>
  <w:num w:numId="13">
    <w:abstractNumId w:val="10"/>
  </w:num>
  <w:num w:numId="14">
    <w:abstractNumId w:val="25"/>
  </w:num>
  <w:num w:numId="15">
    <w:abstractNumId w:val="14"/>
  </w:num>
  <w:num w:numId="16">
    <w:abstractNumId w:val="11"/>
  </w:num>
  <w:num w:numId="17">
    <w:abstractNumId w:val="23"/>
  </w:num>
  <w:num w:numId="18">
    <w:abstractNumId w:val="29"/>
  </w:num>
  <w:num w:numId="19">
    <w:abstractNumId w:val="26"/>
  </w:num>
  <w:num w:numId="20">
    <w:abstractNumId w:val="12"/>
  </w:num>
  <w:num w:numId="21">
    <w:abstractNumId w:val="15"/>
  </w:num>
  <w:num w:numId="22">
    <w:abstractNumId w:val="19"/>
  </w:num>
  <w:num w:numId="23">
    <w:abstractNumId w:val="27"/>
  </w:num>
  <w:num w:numId="24">
    <w:abstractNumId w:val="20"/>
  </w:num>
  <w:num w:numId="25">
    <w:abstractNumId w:val="22"/>
  </w:num>
  <w:num w:numId="26">
    <w:abstractNumId w:val="24"/>
  </w:num>
  <w:num w:numId="27">
    <w:abstractNumId w:val="28"/>
  </w:num>
  <w:num w:numId="28">
    <w:abstractNumId w:val="18"/>
  </w:num>
  <w:num w:numId="29">
    <w:abstractNumId w:val="17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70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30C87"/>
    <w:rsid w:val="00034A36"/>
    <w:rsid w:val="00037F90"/>
    <w:rsid w:val="000423C8"/>
    <w:rsid w:val="00046B1F"/>
    <w:rsid w:val="000509A7"/>
    <w:rsid w:val="00050F6B"/>
    <w:rsid w:val="0005583C"/>
    <w:rsid w:val="00057E97"/>
    <w:rsid w:val="00060E4C"/>
    <w:rsid w:val="00072C8C"/>
    <w:rsid w:val="000733B5"/>
    <w:rsid w:val="00080491"/>
    <w:rsid w:val="0008179C"/>
    <w:rsid w:val="00081815"/>
    <w:rsid w:val="00085B9E"/>
    <w:rsid w:val="000931C0"/>
    <w:rsid w:val="000B0595"/>
    <w:rsid w:val="000B1333"/>
    <w:rsid w:val="000B175B"/>
    <w:rsid w:val="000B3A0F"/>
    <w:rsid w:val="000B4EF7"/>
    <w:rsid w:val="000B642F"/>
    <w:rsid w:val="000C03FF"/>
    <w:rsid w:val="000C2C03"/>
    <w:rsid w:val="000C2D2E"/>
    <w:rsid w:val="000C4D51"/>
    <w:rsid w:val="000C6E1A"/>
    <w:rsid w:val="000E0415"/>
    <w:rsid w:val="001038C0"/>
    <w:rsid w:val="001103AA"/>
    <w:rsid w:val="0011666B"/>
    <w:rsid w:val="001338CE"/>
    <w:rsid w:val="00150CF1"/>
    <w:rsid w:val="00155068"/>
    <w:rsid w:val="0015746D"/>
    <w:rsid w:val="00165F3A"/>
    <w:rsid w:val="0017587F"/>
    <w:rsid w:val="001837B1"/>
    <w:rsid w:val="001966E8"/>
    <w:rsid w:val="001A713B"/>
    <w:rsid w:val="001B13A5"/>
    <w:rsid w:val="001B4B04"/>
    <w:rsid w:val="001C0FF0"/>
    <w:rsid w:val="001C6663"/>
    <w:rsid w:val="001C7895"/>
    <w:rsid w:val="001D0C8C"/>
    <w:rsid w:val="001D1419"/>
    <w:rsid w:val="001D26DF"/>
    <w:rsid w:val="001D3A03"/>
    <w:rsid w:val="001D7F46"/>
    <w:rsid w:val="001E0B9E"/>
    <w:rsid w:val="001E6236"/>
    <w:rsid w:val="001E7B67"/>
    <w:rsid w:val="001F7435"/>
    <w:rsid w:val="00202DA8"/>
    <w:rsid w:val="0021157B"/>
    <w:rsid w:val="00211E0B"/>
    <w:rsid w:val="00217CC1"/>
    <w:rsid w:val="00256C0A"/>
    <w:rsid w:val="00267F5F"/>
    <w:rsid w:val="00277C12"/>
    <w:rsid w:val="0028148A"/>
    <w:rsid w:val="00286B4D"/>
    <w:rsid w:val="002A603B"/>
    <w:rsid w:val="002C69C0"/>
    <w:rsid w:val="002D4643"/>
    <w:rsid w:val="002D4B6C"/>
    <w:rsid w:val="002E5764"/>
    <w:rsid w:val="002F175C"/>
    <w:rsid w:val="00302E18"/>
    <w:rsid w:val="00312506"/>
    <w:rsid w:val="003229D8"/>
    <w:rsid w:val="00351974"/>
    <w:rsid w:val="00352709"/>
    <w:rsid w:val="00364023"/>
    <w:rsid w:val="00371178"/>
    <w:rsid w:val="00381475"/>
    <w:rsid w:val="00392D7D"/>
    <w:rsid w:val="003A39EA"/>
    <w:rsid w:val="003A6810"/>
    <w:rsid w:val="003A6D8B"/>
    <w:rsid w:val="003C2CC4"/>
    <w:rsid w:val="003D4B23"/>
    <w:rsid w:val="003D5E89"/>
    <w:rsid w:val="003F0FF3"/>
    <w:rsid w:val="003F78E2"/>
    <w:rsid w:val="004059B4"/>
    <w:rsid w:val="00410C89"/>
    <w:rsid w:val="0042056A"/>
    <w:rsid w:val="00422E03"/>
    <w:rsid w:val="00426B9B"/>
    <w:rsid w:val="00430EFE"/>
    <w:rsid w:val="004325CB"/>
    <w:rsid w:val="00441896"/>
    <w:rsid w:val="00442A83"/>
    <w:rsid w:val="00443AB5"/>
    <w:rsid w:val="00445026"/>
    <w:rsid w:val="00452A4C"/>
    <w:rsid w:val="0045495B"/>
    <w:rsid w:val="0048397A"/>
    <w:rsid w:val="004937E8"/>
    <w:rsid w:val="00494398"/>
    <w:rsid w:val="004A12F2"/>
    <w:rsid w:val="004C2461"/>
    <w:rsid w:val="004C7462"/>
    <w:rsid w:val="004D4E04"/>
    <w:rsid w:val="004D5426"/>
    <w:rsid w:val="004E0C05"/>
    <w:rsid w:val="004E77B2"/>
    <w:rsid w:val="00503DEB"/>
    <w:rsid w:val="00504B2D"/>
    <w:rsid w:val="00511A9B"/>
    <w:rsid w:val="00513C8C"/>
    <w:rsid w:val="0052136D"/>
    <w:rsid w:val="00522B58"/>
    <w:rsid w:val="0052775E"/>
    <w:rsid w:val="00535C90"/>
    <w:rsid w:val="00536489"/>
    <w:rsid w:val="00537B1D"/>
    <w:rsid w:val="005420F2"/>
    <w:rsid w:val="00543785"/>
    <w:rsid w:val="00545927"/>
    <w:rsid w:val="00546993"/>
    <w:rsid w:val="00546AD4"/>
    <w:rsid w:val="005628B6"/>
    <w:rsid w:val="00593C0C"/>
    <w:rsid w:val="00597EDC"/>
    <w:rsid w:val="005A575C"/>
    <w:rsid w:val="005B3DB3"/>
    <w:rsid w:val="005B4E13"/>
    <w:rsid w:val="005E6A77"/>
    <w:rsid w:val="005F58C6"/>
    <w:rsid w:val="005F7B75"/>
    <w:rsid w:val="006001EE"/>
    <w:rsid w:val="00605042"/>
    <w:rsid w:val="00611FC4"/>
    <w:rsid w:val="006176FB"/>
    <w:rsid w:val="00630417"/>
    <w:rsid w:val="00640B26"/>
    <w:rsid w:val="0065190A"/>
    <w:rsid w:val="00652D0A"/>
    <w:rsid w:val="00655979"/>
    <w:rsid w:val="00656B98"/>
    <w:rsid w:val="006623D5"/>
    <w:rsid w:val="00662BB6"/>
    <w:rsid w:val="00667F8F"/>
    <w:rsid w:val="00684C21"/>
    <w:rsid w:val="0069232B"/>
    <w:rsid w:val="00693B00"/>
    <w:rsid w:val="006A2530"/>
    <w:rsid w:val="006C3589"/>
    <w:rsid w:val="006D37AF"/>
    <w:rsid w:val="006D51D0"/>
    <w:rsid w:val="006E5117"/>
    <w:rsid w:val="006E564B"/>
    <w:rsid w:val="006E7191"/>
    <w:rsid w:val="00703577"/>
    <w:rsid w:val="00705894"/>
    <w:rsid w:val="007106C3"/>
    <w:rsid w:val="0071569F"/>
    <w:rsid w:val="00716C3D"/>
    <w:rsid w:val="0072632A"/>
    <w:rsid w:val="00731FF0"/>
    <w:rsid w:val="007327D5"/>
    <w:rsid w:val="007611CF"/>
    <w:rsid w:val="007629C8"/>
    <w:rsid w:val="0077047D"/>
    <w:rsid w:val="007764ED"/>
    <w:rsid w:val="007931E9"/>
    <w:rsid w:val="00795C2B"/>
    <w:rsid w:val="007B6BA5"/>
    <w:rsid w:val="007C24DA"/>
    <w:rsid w:val="007C3390"/>
    <w:rsid w:val="007C4F4B"/>
    <w:rsid w:val="007D46D5"/>
    <w:rsid w:val="007E01E9"/>
    <w:rsid w:val="007E4C3D"/>
    <w:rsid w:val="007E63F3"/>
    <w:rsid w:val="007F6611"/>
    <w:rsid w:val="007F7106"/>
    <w:rsid w:val="008039B7"/>
    <w:rsid w:val="0080612A"/>
    <w:rsid w:val="00811920"/>
    <w:rsid w:val="00815AD0"/>
    <w:rsid w:val="00820F57"/>
    <w:rsid w:val="008242D7"/>
    <w:rsid w:val="00824B23"/>
    <w:rsid w:val="008257B1"/>
    <w:rsid w:val="008426D9"/>
    <w:rsid w:val="00843767"/>
    <w:rsid w:val="00845C05"/>
    <w:rsid w:val="008521A5"/>
    <w:rsid w:val="008679D9"/>
    <w:rsid w:val="00871389"/>
    <w:rsid w:val="00874CB6"/>
    <w:rsid w:val="00881C0C"/>
    <w:rsid w:val="00883999"/>
    <w:rsid w:val="008878DE"/>
    <w:rsid w:val="00891DD6"/>
    <w:rsid w:val="008979B1"/>
    <w:rsid w:val="008A6B25"/>
    <w:rsid w:val="008A6C4F"/>
    <w:rsid w:val="008B2335"/>
    <w:rsid w:val="008B44AB"/>
    <w:rsid w:val="008B5BBD"/>
    <w:rsid w:val="008B717B"/>
    <w:rsid w:val="008B7D57"/>
    <w:rsid w:val="008B7F5F"/>
    <w:rsid w:val="008D6CB9"/>
    <w:rsid w:val="008E0678"/>
    <w:rsid w:val="008E7526"/>
    <w:rsid w:val="008F6783"/>
    <w:rsid w:val="009001A0"/>
    <w:rsid w:val="00901B81"/>
    <w:rsid w:val="00917140"/>
    <w:rsid w:val="0092212D"/>
    <w:rsid w:val="009223CA"/>
    <w:rsid w:val="00940F93"/>
    <w:rsid w:val="0094558F"/>
    <w:rsid w:val="00961690"/>
    <w:rsid w:val="00966FD5"/>
    <w:rsid w:val="009678E0"/>
    <w:rsid w:val="00967941"/>
    <w:rsid w:val="0097204D"/>
    <w:rsid w:val="009760F3"/>
    <w:rsid w:val="0098011E"/>
    <w:rsid w:val="0098016D"/>
    <w:rsid w:val="009A03B2"/>
    <w:rsid w:val="009A0E8D"/>
    <w:rsid w:val="009B1518"/>
    <w:rsid w:val="009B26E7"/>
    <w:rsid w:val="009B6669"/>
    <w:rsid w:val="009C3EED"/>
    <w:rsid w:val="009C454F"/>
    <w:rsid w:val="009D1AA3"/>
    <w:rsid w:val="009D2027"/>
    <w:rsid w:val="009D2A5B"/>
    <w:rsid w:val="009E5F33"/>
    <w:rsid w:val="00A00A3F"/>
    <w:rsid w:val="00A01489"/>
    <w:rsid w:val="00A11B59"/>
    <w:rsid w:val="00A11D2E"/>
    <w:rsid w:val="00A3009E"/>
    <w:rsid w:val="00A3026E"/>
    <w:rsid w:val="00A32E6D"/>
    <w:rsid w:val="00A338F1"/>
    <w:rsid w:val="00A52B16"/>
    <w:rsid w:val="00A72F22"/>
    <w:rsid w:val="00A7360F"/>
    <w:rsid w:val="00A748A6"/>
    <w:rsid w:val="00A769F4"/>
    <w:rsid w:val="00A776B4"/>
    <w:rsid w:val="00A81407"/>
    <w:rsid w:val="00A9093D"/>
    <w:rsid w:val="00A9142D"/>
    <w:rsid w:val="00A94361"/>
    <w:rsid w:val="00AA293C"/>
    <w:rsid w:val="00AD4B85"/>
    <w:rsid w:val="00AD5A18"/>
    <w:rsid w:val="00AE08DA"/>
    <w:rsid w:val="00AE6935"/>
    <w:rsid w:val="00AF3993"/>
    <w:rsid w:val="00AF6C36"/>
    <w:rsid w:val="00B11BB4"/>
    <w:rsid w:val="00B14F23"/>
    <w:rsid w:val="00B175D8"/>
    <w:rsid w:val="00B22BC2"/>
    <w:rsid w:val="00B30179"/>
    <w:rsid w:val="00B36283"/>
    <w:rsid w:val="00B421C1"/>
    <w:rsid w:val="00B42658"/>
    <w:rsid w:val="00B54695"/>
    <w:rsid w:val="00B55C71"/>
    <w:rsid w:val="00B56E4A"/>
    <w:rsid w:val="00B56E9C"/>
    <w:rsid w:val="00B61320"/>
    <w:rsid w:val="00B63647"/>
    <w:rsid w:val="00B64B1F"/>
    <w:rsid w:val="00B6553F"/>
    <w:rsid w:val="00B70F1E"/>
    <w:rsid w:val="00B77D05"/>
    <w:rsid w:val="00B81206"/>
    <w:rsid w:val="00B81E12"/>
    <w:rsid w:val="00B857E8"/>
    <w:rsid w:val="00BB7CD1"/>
    <w:rsid w:val="00BC3FA0"/>
    <w:rsid w:val="00BC74E9"/>
    <w:rsid w:val="00BD10B1"/>
    <w:rsid w:val="00BD4443"/>
    <w:rsid w:val="00BF68A8"/>
    <w:rsid w:val="00C10584"/>
    <w:rsid w:val="00C10FE6"/>
    <w:rsid w:val="00C11A03"/>
    <w:rsid w:val="00C22C0C"/>
    <w:rsid w:val="00C22E7F"/>
    <w:rsid w:val="00C255AF"/>
    <w:rsid w:val="00C26ED9"/>
    <w:rsid w:val="00C30C61"/>
    <w:rsid w:val="00C3376A"/>
    <w:rsid w:val="00C35502"/>
    <w:rsid w:val="00C40B11"/>
    <w:rsid w:val="00C4527F"/>
    <w:rsid w:val="00C463DD"/>
    <w:rsid w:val="00C4724C"/>
    <w:rsid w:val="00C629A0"/>
    <w:rsid w:val="00C64629"/>
    <w:rsid w:val="00C745C3"/>
    <w:rsid w:val="00C76F8B"/>
    <w:rsid w:val="00C80139"/>
    <w:rsid w:val="00C91006"/>
    <w:rsid w:val="00C92461"/>
    <w:rsid w:val="00CA508C"/>
    <w:rsid w:val="00CB3E03"/>
    <w:rsid w:val="00CE4A8F"/>
    <w:rsid w:val="00D02E08"/>
    <w:rsid w:val="00D2031B"/>
    <w:rsid w:val="00D25FE2"/>
    <w:rsid w:val="00D43252"/>
    <w:rsid w:val="00D47EEA"/>
    <w:rsid w:val="00D550D4"/>
    <w:rsid w:val="00D719DF"/>
    <w:rsid w:val="00D773DF"/>
    <w:rsid w:val="00D872AC"/>
    <w:rsid w:val="00D9255F"/>
    <w:rsid w:val="00D95303"/>
    <w:rsid w:val="00D978C6"/>
    <w:rsid w:val="00DA19FE"/>
    <w:rsid w:val="00DA3C1C"/>
    <w:rsid w:val="00DA3C83"/>
    <w:rsid w:val="00DC44BE"/>
    <w:rsid w:val="00DD29BD"/>
    <w:rsid w:val="00DD2E4D"/>
    <w:rsid w:val="00DE1D53"/>
    <w:rsid w:val="00DF0F1A"/>
    <w:rsid w:val="00E046DF"/>
    <w:rsid w:val="00E15557"/>
    <w:rsid w:val="00E16B22"/>
    <w:rsid w:val="00E22613"/>
    <w:rsid w:val="00E240D2"/>
    <w:rsid w:val="00E27346"/>
    <w:rsid w:val="00E32D7C"/>
    <w:rsid w:val="00E71610"/>
    <w:rsid w:val="00E71BC8"/>
    <w:rsid w:val="00E7260F"/>
    <w:rsid w:val="00E73F5D"/>
    <w:rsid w:val="00E77E4E"/>
    <w:rsid w:val="00E804F1"/>
    <w:rsid w:val="00E8771C"/>
    <w:rsid w:val="00E902CF"/>
    <w:rsid w:val="00E96630"/>
    <w:rsid w:val="00E97AFF"/>
    <w:rsid w:val="00EA63D6"/>
    <w:rsid w:val="00EB67CF"/>
    <w:rsid w:val="00EC106A"/>
    <w:rsid w:val="00EC1E8A"/>
    <w:rsid w:val="00EC61CF"/>
    <w:rsid w:val="00ED1611"/>
    <w:rsid w:val="00ED1977"/>
    <w:rsid w:val="00ED3F68"/>
    <w:rsid w:val="00ED7A2A"/>
    <w:rsid w:val="00EE6B3A"/>
    <w:rsid w:val="00EF0973"/>
    <w:rsid w:val="00EF1D7F"/>
    <w:rsid w:val="00F15AFE"/>
    <w:rsid w:val="00F31E5F"/>
    <w:rsid w:val="00F32BB7"/>
    <w:rsid w:val="00F47EDC"/>
    <w:rsid w:val="00F60618"/>
    <w:rsid w:val="00F60772"/>
    <w:rsid w:val="00F6100A"/>
    <w:rsid w:val="00F63C9D"/>
    <w:rsid w:val="00F66565"/>
    <w:rsid w:val="00F75A16"/>
    <w:rsid w:val="00F90522"/>
    <w:rsid w:val="00F92A22"/>
    <w:rsid w:val="00F93781"/>
    <w:rsid w:val="00FA6DA6"/>
    <w:rsid w:val="00FB57FC"/>
    <w:rsid w:val="00FB613B"/>
    <w:rsid w:val="00FC3058"/>
    <w:rsid w:val="00FC68B7"/>
    <w:rsid w:val="00FE106A"/>
    <w:rsid w:val="00FF069D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7ACA86BC"/>
  <w15:docId w15:val="{25BAE2F1-37B9-426E-8178-0F8FB369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15746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15746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15746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15746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15746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15746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15746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15746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15746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15746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15746D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rsid w:val="0015746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5746D"/>
    <w:rPr>
      <w:rFonts w:cs="Courier New"/>
    </w:rPr>
  </w:style>
  <w:style w:type="paragraph" w:styleId="BodyText">
    <w:name w:val="Body Text"/>
    <w:basedOn w:val="Normal"/>
    <w:next w:val="Normal"/>
    <w:semiHidden/>
    <w:rsid w:val="0015746D"/>
  </w:style>
  <w:style w:type="paragraph" w:styleId="BodyTextIndent">
    <w:name w:val="Body Text Indent"/>
    <w:basedOn w:val="Normal"/>
    <w:semiHidden/>
    <w:rsid w:val="0015746D"/>
    <w:pPr>
      <w:spacing w:after="120"/>
      <w:ind w:left="283"/>
    </w:pPr>
  </w:style>
  <w:style w:type="paragraph" w:styleId="BlockText">
    <w:name w:val="Block Text"/>
    <w:basedOn w:val="Normal"/>
    <w:semiHidden/>
    <w:rsid w:val="0015746D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15746D"/>
    <w:rPr>
      <w:sz w:val="6"/>
    </w:rPr>
  </w:style>
  <w:style w:type="paragraph" w:styleId="CommentText">
    <w:name w:val="annotation text"/>
    <w:basedOn w:val="Normal"/>
    <w:link w:val="CommentTextChar"/>
    <w:semiHidden/>
    <w:rsid w:val="0015746D"/>
  </w:style>
  <w:style w:type="character" w:styleId="LineNumber">
    <w:name w:val="line number"/>
    <w:semiHidden/>
    <w:rsid w:val="0015746D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15746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5_GR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5C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paragraph" w:styleId="NoSpacing">
    <w:name w:val="No Spacing"/>
    <w:uiPriority w:val="1"/>
    <w:qFormat/>
    <w:rsid w:val="000B642F"/>
    <w:rPr>
      <w:rFonts w:asciiTheme="minorHAnsi" w:eastAsiaTheme="minorEastAsia" w:hAnsiTheme="minorHAnsi" w:cstheme="minorBidi"/>
      <w:sz w:val="22"/>
      <w:szCs w:val="22"/>
      <w:lang w:val="nl-NL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5764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E5764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E5764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CADC-3447-4245-9CA3-15DD02F7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2018-06-25T12:54:00Z</cp:lastPrinted>
  <dcterms:created xsi:type="dcterms:W3CDTF">2019-07-02T07:16:00Z</dcterms:created>
  <dcterms:modified xsi:type="dcterms:W3CDTF">2019-07-02T07:24:00Z</dcterms:modified>
</cp:coreProperties>
</file>