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B035C7">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B035C7" w:rsidP="00B035C7">
            <w:pPr>
              <w:jc w:val="right"/>
            </w:pPr>
            <w:r w:rsidRPr="00B035C7">
              <w:rPr>
                <w:sz w:val="40"/>
              </w:rPr>
              <w:t>ECE</w:t>
            </w:r>
            <w:r>
              <w:t>/TRANS/WP.15/AC.1/2019/49</w:t>
            </w:r>
          </w:p>
        </w:tc>
      </w:tr>
      <w:tr w:rsidR="002D5AAC" w:rsidRPr="008A54BD"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B035C7" w:rsidP="00387CD4">
            <w:pPr>
              <w:spacing w:before="240"/>
              <w:rPr>
                <w:lang w:val="en-US"/>
              </w:rPr>
            </w:pPr>
            <w:r>
              <w:rPr>
                <w:lang w:val="en-US"/>
              </w:rPr>
              <w:t>Distr.: General</w:t>
            </w:r>
          </w:p>
          <w:p w:rsidR="00B035C7" w:rsidRDefault="00B035C7" w:rsidP="00B035C7">
            <w:pPr>
              <w:spacing w:line="240" w:lineRule="exact"/>
              <w:rPr>
                <w:lang w:val="en-US"/>
              </w:rPr>
            </w:pPr>
            <w:r>
              <w:rPr>
                <w:lang w:val="en-US"/>
              </w:rPr>
              <w:t>2 July 2019</w:t>
            </w:r>
          </w:p>
          <w:p w:rsidR="00B035C7" w:rsidRDefault="00B035C7" w:rsidP="00B035C7">
            <w:pPr>
              <w:spacing w:line="240" w:lineRule="exact"/>
              <w:rPr>
                <w:lang w:val="en-US"/>
              </w:rPr>
            </w:pPr>
            <w:r>
              <w:rPr>
                <w:lang w:val="en-US"/>
              </w:rPr>
              <w:t>Russian</w:t>
            </w:r>
          </w:p>
          <w:p w:rsidR="00B035C7" w:rsidRPr="008D53B6" w:rsidRDefault="00B035C7" w:rsidP="00B035C7">
            <w:pPr>
              <w:spacing w:line="240" w:lineRule="exact"/>
              <w:rPr>
                <w:lang w:val="en-US"/>
              </w:rPr>
            </w:pPr>
            <w:r>
              <w:rPr>
                <w:lang w:val="en-US"/>
              </w:rPr>
              <w:t>Original: English</w:t>
            </w:r>
          </w:p>
        </w:tc>
      </w:tr>
    </w:tbl>
    <w:p w:rsidR="00B035C7" w:rsidRDefault="008A37C8" w:rsidP="00255343">
      <w:pPr>
        <w:spacing w:before="120"/>
        <w:rPr>
          <w:b/>
          <w:sz w:val="28"/>
          <w:szCs w:val="28"/>
        </w:rPr>
      </w:pPr>
      <w:r w:rsidRPr="00245892">
        <w:rPr>
          <w:b/>
          <w:sz w:val="28"/>
          <w:szCs w:val="28"/>
        </w:rPr>
        <w:t>Европейская экономическая комиссия</w:t>
      </w:r>
    </w:p>
    <w:p w:rsidR="00B035C7" w:rsidRPr="008B1DCB" w:rsidRDefault="00B035C7" w:rsidP="00B035C7">
      <w:pPr>
        <w:spacing w:before="120"/>
        <w:rPr>
          <w:sz w:val="28"/>
          <w:szCs w:val="28"/>
        </w:rPr>
      </w:pPr>
      <w:r w:rsidRPr="008B1DCB">
        <w:rPr>
          <w:sz w:val="28"/>
          <w:szCs w:val="28"/>
        </w:rPr>
        <w:t>Комитет по внутреннему транспорту</w:t>
      </w:r>
    </w:p>
    <w:p w:rsidR="00B035C7" w:rsidRPr="008B1DCB" w:rsidRDefault="00B035C7" w:rsidP="00B035C7">
      <w:pPr>
        <w:spacing w:before="120" w:after="120"/>
        <w:rPr>
          <w:b/>
          <w:sz w:val="24"/>
          <w:szCs w:val="24"/>
        </w:rPr>
      </w:pPr>
      <w:r w:rsidRPr="008B1DCB">
        <w:rPr>
          <w:b/>
          <w:bCs/>
          <w:sz w:val="24"/>
          <w:szCs w:val="24"/>
        </w:rPr>
        <w:t>Рабочая группа по перевозкам опасных грузов</w:t>
      </w:r>
    </w:p>
    <w:p w:rsidR="00B035C7" w:rsidRPr="008B1DCB" w:rsidRDefault="00B035C7" w:rsidP="00B035C7">
      <w:pPr>
        <w:rPr>
          <w:b/>
        </w:rPr>
      </w:pPr>
      <w:r>
        <w:rPr>
          <w:b/>
          <w:bCs/>
        </w:rPr>
        <w:t>Совместное со</w:t>
      </w:r>
      <w:r w:rsidR="004E6069">
        <w:rPr>
          <w:b/>
          <w:bCs/>
        </w:rPr>
        <w:t>вещание Комиссии экспертов МПОГ</w:t>
      </w:r>
      <w:r w:rsidR="004E6069">
        <w:rPr>
          <w:b/>
          <w:bCs/>
        </w:rPr>
        <w:br/>
      </w:r>
      <w:r>
        <w:rPr>
          <w:b/>
          <w:bCs/>
        </w:rPr>
        <w:t>и</w:t>
      </w:r>
      <w:r w:rsidR="004E6069">
        <w:rPr>
          <w:b/>
        </w:rPr>
        <w:t xml:space="preserve"> </w:t>
      </w:r>
      <w:r>
        <w:rPr>
          <w:b/>
          <w:bCs/>
        </w:rPr>
        <w:t>Рабочей группы по перевозкам опасных грузов</w:t>
      </w:r>
    </w:p>
    <w:p w:rsidR="00B035C7" w:rsidRPr="008B1DCB" w:rsidRDefault="00B035C7" w:rsidP="00B035C7">
      <w:r>
        <w:t>Женева, 17–27 сентября 2019 года</w:t>
      </w:r>
    </w:p>
    <w:p w:rsidR="00B035C7" w:rsidRPr="008B1DCB" w:rsidRDefault="00B035C7" w:rsidP="00B035C7">
      <w:r>
        <w:t>Пункт 2 предварительной повестки дня</w:t>
      </w:r>
    </w:p>
    <w:p w:rsidR="00B035C7" w:rsidRPr="008B1DCB" w:rsidRDefault="00B035C7" w:rsidP="00B035C7">
      <w:pPr>
        <w:rPr>
          <w:b/>
        </w:rPr>
      </w:pPr>
      <w:r>
        <w:rPr>
          <w:b/>
          <w:bCs/>
        </w:rPr>
        <w:t>Цистерны</w:t>
      </w:r>
    </w:p>
    <w:p w:rsidR="00B035C7" w:rsidRPr="008B1DCB" w:rsidRDefault="00B035C7" w:rsidP="00B035C7">
      <w:pPr>
        <w:pStyle w:val="HChG"/>
        <w:rPr>
          <w:b w:val="0"/>
          <w:sz w:val="18"/>
          <w:szCs w:val="18"/>
        </w:rPr>
      </w:pPr>
      <w:r>
        <w:tab/>
      </w:r>
      <w:r>
        <w:tab/>
      </w:r>
      <w:r>
        <w:rPr>
          <w:bCs/>
        </w:rPr>
        <w:t>Нагревательные элементы на цистернах из армированных волокном пластмасс (волокнита)</w:t>
      </w:r>
    </w:p>
    <w:p w:rsidR="00B035C7" w:rsidRDefault="00B035C7" w:rsidP="00B035C7">
      <w:pPr>
        <w:pStyle w:val="H1G"/>
      </w:pPr>
      <w:r>
        <w:tab/>
      </w:r>
      <w:r>
        <w:tab/>
        <w:t>Передано правительством Нидерландов</w:t>
      </w:r>
      <w:r w:rsidRPr="00B035C7">
        <w:rPr>
          <w:rStyle w:val="FootnoteReference"/>
          <w:b w:val="0"/>
          <w:sz w:val="20"/>
          <w:vertAlign w:val="baseline"/>
        </w:rPr>
        <w:footnoteReference w:customMarkFollows="1" w:id="1"/>
        <w:t>*</w:t>
      </w:r>
      <w:r w:rsidRPr="00B035C7">
        <w:rPr>
          <w:b w:val="0"/>
          <w:sz w:val="20"/>
          <w:lang w:val="en-US"/>
        </w:rPr>
        <w:t xml:space="preserve"> </w:t>
      </w:r>
      <w:r w:rsidRPr="00B035C7">
        <w:rPr>
          <w:rStyle w:val="FootnoteReference"/>
          <w:b w:val="0"/>
          <w:sz w:val="20"/>
          <w:vertAlign w:val="baseline"/>
          <w:lang w:val="en-US"/>
        </w:rPr>
        <w:footnoteReference w:customMarkFollows="1" w:id="2"/>
        <w:t>**</w:t>
      </w:r>
    </w:p>
    <w:tbl>
      <w:tblPr>
        <w:tblStyle w:val="TableGrid"/>
        <w:tblW w:w="0" w:type="auto"/>
        <w:jc w:val="center"/>
        <w:tblLook w:val="05E0" w:firstRow="1" w:lastRow="1" w:firstColumn="1" w:lastColumn="1" w:noHBand="0" w:noVBand="1"/>
      </w:tblPr>
      <w:tblGrid>
        <w:gridCol w:w="9628"/>
      </w:tblGrid>
      <w:tr w:rsidR="00B035C7" w:rsidRPr="00B035C7" w:rsidTr="00850215">
        <w:trPr>
          <w:jc w:val="center"/>
        </w:trPr>
        <w:tc>
          <w:tcPr>
            <w:tcW w:w="9637" w:type="dxa"/>
            <w:tcBorders>
              <w:bottom w:val="nil"/>
            </w:tcBorders>
          </w:tcPr>
          <w:p w:rsidR="00B035C7" w:rsidRPr="00B035C7" w:rsidRDefault="00B035C7" w:rsidP="00850215">
            <w:pPr>
              <w:tabs>
                <w:tab w:val="left" w:pos="255"/>
              </w:tabs>
              <w:spacing w:before="240" w:after="120"/>
              <w:rPr>
                <w:rFonts w:cs="Times New Roman"/>
                <w:sz w:val="24"/>
              </w:rPr>
            </w:pPr>
            <w:r w:rsidRPr="00B035C7">
              <w:rPr>
                <w:rFonts w:cs="Times New Roman"/>
              </w:rPr>
              <w:tab/>
            </w:r>
            <w:r w:rsidRPr="00B035C7">
              <w:rPr>
                <w:rFonts w:cs="Times New Roman"/>
                <w:i/>
                <w:sz w:val="24"/>
              </w:rPr>
              <w:t>Резюме</w:t>
            </w:r>
          </w:p>
        </w:tc>
      </w:tr>
      <w:tr w:rsidR="00B035C7" w:rsidRPr="00B035C7" w:rsidTr="00850215">
        <w:trPr>
          <w:jc w:val="center"/>
        </w:trPr>
        <w:tc>
          <w:tcPr>
            <w:tcW w:w="9637" w:type="dxa"/>
            <w:tcBorders>
              <w:top w:val="nil"/>
              <w:bottom w:val="nil"/>
            </w:tcBorders>
            <w:shd w:val="clear" w:color="auto" w:fill="auto"/>
          </w:tcPr>
          <w:p w:rsidR="00B035C7" w:rsidRPr="00B035C7" w:rsidRDefault="00B035C7" w:rsidP="00B035C7">
            <w:pPr>
              <w:pStyle w:val="SingleTxtG"/>
              <w:tabs>
                <w:tab w:val="left" w:pos="3677"/>
              </w:tabs>
              <w:ind w:left="3677" w:hanging="2543"/>
            </w:pPr>
            <w:r w:rsidRPr="00B035C7">
              <w:rPr>
                <w:b/>
                <w:bCs/>
              </w:rPr>
              <w:t>Существо предложения:</w:t>
            </w:r>
            <w:r w:rsidRPr="00B035C7">
              <w:t xml:space="preserve"> </w:t>
            </w:r>
            <w:r w:rsidRPr="00B035C7">
              <w:tab/>
              <w:t>Цель настоящего документа состоит в том, чтобы уточнить формулировки в пункте 6.9.1.3 ДОПОГ/</w:t>
            </w:r>
            <w:r>
              <w:br/>
            </w:r>
            <w:r w:rsidRPr="00B035C7">
              <w:t>МПОГ, согласно которым цистерны из волокнита могут быть оснащены нагревательными элементами, однако последние могут использоваться только для неопасных грузов.</w:t>
            </w:r>
          </w:p>
        </w:tc>
      </w:tr>
      <w:tr w:rsidR="00B035C7" w:rsidRPr="00B035C7" w:rsidTr="00850215">
        <w:trPr>
          <w:jc w:val="center"/>
        </w:trPr>
        <w:tc>
          <w:tcPr>
            <w:tcW w:w="9637" w:type="dxa"/>
            <w:tcBorders>
              <w:top w:val="nil"/>
              <w:bottom w:val="nil"/>
            </w:tcBorders>
            <w:shd w:val="clear" w:color="auto" w:fill="auto"/>
          </w:tcPr>
          <w:p w:rsidR="00B035C7" w:rsidRPr="00B035C7" w:rsidRDefault="00B035C7" w:rsidP="00B035C7">
            <w:pPr>
              <w:pStyle w:val="SingleTxtG"/>
              <w:tabs>
                <w:tab w:val="left" w:pos="3677"/>
              </w:tabs>
              <w:ind w:left="3677" w:hanging="2543"/>
            </w:pPr>
            <w:r w:rsidRPr="00B035C7">
              <w:rPr>
                <w:b/>
                <w:bCs/>
              </w:rPr>
              <w:t>Предлагаемое решение:</w:t>
            </w:r>
            <w:r w:rsidRPr="00B035C7">
              <w:tab/>
              <w:t>Исключить соответ</w:t>
            </w:r>
            <w:r w:rsidR="00A953E0">
              <w:t>ствующие формулировки из пункта </w:t>
            </w:r>
            <w:r w:rsidRPr="00B035C7">
              <w:t>6.9.1.3 МПОГ/ДОПОГ, включить эти формулировки в новый пункт 4.4.2.3 МПОГ/ДОПОГ, пронумеровать существующий пункт 4.4.2.3 как 4.4.2.4 и изменить пункт 4.4.2.1 МПОГ/ДОПОГ.</w:t>
            </w:r>
          </w:p>
        </w:tc>
      </w:tr>
      <w:tr w:rsidR="00B035C7" w:rsidRPr="00B035C7" w:rsidTr="00850215">
        <w:trPr>
          <w:jc w:val="center"/>
        </w:trPr>
        <w:tc>
          <w:tcPr>
            <w:tcW w:w="9637" w:type="dxa"/>
            <w:tcBorders>
              <w:top w:val="nil"/>
              <w:bottom w:val="nil"/>
            </w:tcBorders>
            <w:shd w:val="clear" w:color="auto" w:fill="auto"/>
          </w:tcPr>
          <w:p w:rsidR="00B035C7" w:rsidRPr="00B035C7" w:rsidRDefault="00B035C7" w:rsidP="00B035C7">
            <w:pPr>
              <w:pStyle w:val="SingleTxtG"/>
              <w:tabs>
                <w:tab w:val="left" w:pos="3677"/>
              </w:tabs>
              <w:ind w:left="3677" w:hanging="2543"/>
            </w:pPr>
            <w:r w:rsidRPr="00B035C7">
              <w:rPr>
                <w:b/>
                <w:bCs/>
              </w:rPr>
              <w:t>Справочные документы:</w:t>
            </w:r>
            <w:r w:rsidRPr="00B035C7">
              <w:tab/>
              <w:t>Неофициальный документ INF.19 (мартовская сессия 2019 года) и документ ECE/TRANS/WP.15/AC.1/154, пункт 14.</w:t>
            </w:r>
          </w:p>
        </w:tc>
      </w:tr>
      <w:tr w:rsidR="00B035C7" w:rsidRPr="00B035C7" w:rsidTr="00850215">
        <w:trPr>
          <w:jc w:val="center"/>
        </w:trPr>
        <w:tc>
          <w:tcPr>
            <w:tcW w:w="9637" w:type="dxa"/>
            <w:tcBorders>
              <w:top w:val="nil"/>
            </w:tcBorders>
          </w:tcPr>
          <w:p w:rsidR="00B035C7" w:rsidRPr="00B035C7" w:rsidRDefault="00B035C7" w:rsidP="00850215">
            <w:pPr>
              <w:rPr>
                <w:rFonts w:cs="Times New Roman"/>
              </w:rPr>
            </w:pPr>
          </w:p>
        </w:tc>
      </w:tr>
    </w:tbl>
    <w:p w:rsidR="00B035C7" w:rsidRPr="008B1DCB" w:rsidRDefault="00B035C7" w:rsidP="00B035C7">
      <w:pPr>
        <w:pStyle w:val="HChG"/>
        <w:jc w:val="both"/>
      </w:pPr>
      <w:r>
        <w:lastRenderedPageBreak/>
        <w:tab/>
      </w:r>
      <w:r>
        <w:tab/>
      </w:r>
      <w:r>
        <w:rPr>
          <w:bCs/>
        </w:rPr>
        <w:t>Введение</w:t>
      </w:r>
    </w:p>
    <w:p w:rsidR="00B035C7" w:rsidRPr="008B1DCB" w:rsidRDefault="00B035C7" w:rsidP="00B035C7">
      <w:pPr>
        <w:pStyle w:val="SingleTxtG"/>
      </w:pPr>
      <w:r>
        <w:t>1.</w:t>
      </w:r>
      <w:r>
        <w:tab/>
        <w:t xml:space="preserve">Требования, касающиеся нагревательных элементов на цистернах из армированных волокном пластмасс (волокнита), допускают различные толкования. </w:t>
      </w:r>
    </w:p>
    <w:p w:rsidR="00B035C7" w:rsidRPr="008B1DCB" w:rsidRDefault="00B035C7" w:rsidP="00B035C7">
      <w:pPr>
        <w:pStyle w:val="SingleTxtG"/>
      </w:pPr>
      <w:r>
        <w:t>2.</w:t>
      </w:r>
      <w:r>
        <w:tab/>
        <w:t>Включение данного требования в пункт 6.9.1.3 МПОГ и ДОПОГ предполагает, что речь идет о требовании к изготовлению цистерн, которое можно истолковать таким образом, что установка нагревательны</w:t>
      </w:r>
      <w:r w:rsidR="00704488">
        <w:t>х элементов не разрешается. Как </w:t>
      </w:r>
      <w:r>
        <w:t>представляется, это противоречит выбору слова «used» в варианте на английском языке и слова «utiliser» в варианте на французском языке МПОГ и ДОПОГ («использоваться» в варианте на русском языке), что наводит на мысль о том, что установка нагревательных элементов разрешается, но использовать эти нагревательные элементы</w:t>
      </w:r>
      <w:r w:rsidRPr="00985BA7">
        <w:t xml:space="preserve"> </w:t>
      </w:r>
      <w:r>
        <w:t>не разрешается.</w:t>
      </w:r>
    </w:p>
    <w:p w:rsidR="00B035C7" w:rsidRPr="008B1DCB" w:rsidRDefault="00B035C7" w:rsidP="00B035C7">
      <w:pPr>
        <w:pStyle w:val="SingleTxtG"/>
      </w:pPr>
      <w:r>
        <w:t>3.</w:t>
      </w:r>
      <w:r>
        <w:tab/>
        <w:t>Для прояснения ситуации предлагаются следующие поправки:</w:t>
      </w:r>
    </w:p>
    <w:p w:rsidR="00B035C7" w:rsidRPr="008B1DCB" w:rsidRDefault="00B035C7" w:rsidP="00B035C7">
      <w:pPr>
        <w:pStyle w:val="HChG"/>
      </w:pPr>
      <w:r>
        <w:tab/>
      </w:r>
      <w:r>
        <w:tab/>
      </w:r>
      <w:r>
        <w:rPr>
          <w:bCs/>
        </w:rPr>
        <w:t>Предложения</w:t>
      </w:r>
    </w:p>
    <w:p w:rsidR="00B035C7" w:rsidRPr="008B1DCB" w:rsidRDefault="00B035C7" w:rsidP="00B035C7">
      <w:pPr>
        <w:pStyle w:val="SingleTxtG"/>
        <w:spacing w:before="120"/>
        <w:rPr>
          <w:rStyle w:val="H1GChar"/>
          <w:b w:val="0"/>
          <w:szCs w:val="24"/>
        </w:rPr>
      </w:pPr>
      <w:r w:rsidRPr="008B1DCB">
        <w:rPr>
          <w:b/>
          <w:bCs/>
          <w:sz w:val="24"/>
          <w:szCs w:val="24"/>
        </w:rPr>
        <w:t>Предложение 1</w:t>
      </w:r>
      <w:r>
        <w:t xml:space="preserve"> (новый текст напечатан </w:t>
      </w:r>
      <w:r>
        <w:rPr>
          <w:i/>
          <w:iCs/>
          <w:u w:val="single"/>
        </w:rPr>
        <w:t>курсивом/подчеркнут</w:t>
      </w:r>
      <w:r>
        <w:t>):</w:t>
      </w:r>
    </w:p>
    <w:p w:rsidR="00B035C7" w:rsidRPr="008B1DCB" w:rsidRDefault="00B035C7" w:rsidP="00B035C7">
      <w:pPr>
        <w:pStyle w:val="H1G"/>
        <w:spacing w:before="120" w:after="120"/>
        <w:ind w:left="1710" w:firstLine="0"/>
        <w:rPr>
          <w:sz w:val="20"/>
        </w:rPr>
      </w:pPr>
      <w:r w:rsidRPr="008B1DCB">
        <w:rPr>
          <w:b w:val="0"/>
          <w:bCs/>
          <w:sz w:val="20"/>
        </w:rPr>
        <w:t>В пункте 6.9.1.3 ДОПОГ исключить слова</w:t>
      </w:r>
      <w:r w:rsidRPr="008B1DCB">
        <w:rPr>
          <w:sz w:val="20"/>
        </w:rPr>
        <w:t xml:space="preserve"> «</w:t>
      </w:r>
      <w:r w:rsidRPr="008B1DCB">
        <w:rPr>
          <w:bCs/>
          <w:sz w:val="20"/>
        </w:rPr>
        <w:t>не должны использоваться нагревательные элементы</w:t>
      </w:r>
      <w:r w:rsidRPr="008B1DCB">
        <w:rPr>
          <w:sz w:val="20"/>
        </w:rPr>
        <w:t xml:space="preserve">» </w:t>
      </w:r>
      <w:r w:rsidRPr="008B1DCB">
        <w:rPr>
          <w:b w:val="0"/>
          <w:bCs/>
          <w:sz w:val="20"/>
        </w:rPr>
        <w:t>и включить слово «</w:t>
      </w:r>
      <w:r w:rsidRPr="008B1DCB">
        <w:rPr>
          <w:b w:val="0"/>
          <w:bCs/>
          <w:i/>
          <w:iCs/>
          <w:sz w:val="20"/>
          <w:u w:val="single"/>
        </w:rPr>
        <w:t>Исключен</w:t>
      </w:r>
      <w:r w:rsidRPr="008A54BD">
        <w:rPr>
          <w:b w:val="0"/>
          <w:bCs/>
          <w:i/>
          <w:iCs/>
          <w:sz w:val="20"/>
        </w:rPr>
        <w:t>»</w:t>
      </w:r>
      <w:r w:rsidRPr="008B1DCB">
        <w:rPr>
          <w:b w:val="0"/>
          <w:bCs/>
          <w:sz w:val="20"/>
        </w:rPr>
        <w:t>.</w:t>
      </w:r>
    </w:p>
    <w:p w:rsidR="00B035C7" w:rsidRPr="008B1DCB" w:rsidRDefault="00B035C7" w:rsidP="00B035C7">
      <w:pPr>
        <w:spacing w:before="120" w:after="120"/>
        <w:ind w:left="1701" w:right="1134" w:firstLine="3"/>
        <w:rPr>
          <w:b/>
        </w:rPr>
      </w:pPr>
      <w:r>
        <w:t>В пункте 6.9.1.3 МПОГ исключить слова «</w:t>
      </w:r>
      <w:r>
        <w:rPr>
          <w:b/>
          <w:bCs/>
        </w:rPr>
        <w:t>Для контейнеров-цистерн из волокнита, в том числе съемных кузовов-цистерн из волокнита, не должны использоваться нагревательные элементы</w:t>
      </w:r>
      <w:r w:rsidRPr="008B1DCB">
        <w:t>»</w:t>
      </w:r>
      <w:r>
        <w:t xml:space="preserve"> и включить слово «</w:t>
      </w:r>
      <w:r>
        <w:rPr>
          <w:i/>
          <w:iCs/>
          <w:u w:val="single"/>
        </w:rPr>
        <w:t>Исключен</w:t>
      </w:r>
      <w:r>
        <w:t>».</w:t>
      </w:r>
    </w:p>
    <w:p w:rsidR="00B035C7" w:rsidRPr="008B1DCB" w:rsidRDefault="00B035C7" w:rsidP="00B035C7">
      <w:pPr>
        <w:tabs>
          <w:tab w:val="left" w:pos="567"/>
          <w:tab w:val="left" w:pos="1134"/>
          <w:tab w:val="left" w:pos="1701"/>
          <w:tab w:val="left" w:pos="2268"/>
          <w:tab w:val="left" w:pos="2835"/>
          <w:tab w:val="left" w:pos="3402"/>
          <w:tab w:val="left" w:pos="3969"/>
          <w:tab w:val="left" w:pos="4870"/>
        </w:tabs>
        <w:spacing w:before="120" w:after="120"/>
        <w:ind w:left="1134"/>
        <w:rPr>
          <w:sz w:val="24"/>
          <w:szCs w:val="24"/>
        </w:rPr>
      </w:pPr>
      <w:r w:rsidRPr="008B1DCB">
        <w:rPr>
          <w:b/>
          <w:bCs/>
          <w:sz w:val="24"/>
          <w:szCs w:val="24"/>
        </w:rPr>
        <w:t>Предложение 2</w:t>
      </w:r>
      <w:r>
        <w:t xml:space="preserve"> (новый текст напечатан </w:t>
      </w:r>
      <w:r>
        <w:rPr>
          <w:i/>
          <w:iCs/>
          <w:u w:val="single"/>
        </w:rPr>
        <w:t>курсивом/подчеркнут</w:t>
      </w:r>
      <w:r>
        <w:t>):</w:t>
      </w:r>
    </w:p>
    <w:p w:rsidR="00B035C7" w:rsidRPr="008B1DCB" w:rsidRDefault="00B035C7" w:rsidP="00B035C7">
      <w:pPr>
        <w:tabs>
          <w:tab w:val="left" w:pos="567"/>
          <w:tab w:val="left" w:pos="1134"/>
          <w:tab w:val="left" w:pos="1701"/>
          <w:tab w:val="left" w:pos="2268"/>
          <w:tab w:val="left" w:pos="2835"/>
          <w:tab w:val="left" w:pos="3402"/>
          <w:tab w:val="left" w:pos="3969"/>
          <w:tab w:val="left" w:pos="4870"/>
        </w:tabs>
        <w:spacing w:before="120" w:after="120"/>
        <w:ind w:left="1710"/>
      </w:pPr>
      <w:r>
        <w:t xml:space="preserve">Включить в ДОПОГ новый пункт </w:t>
      </w:r>
      <w:r>
        <w:rPr>
          <w:b/>
          <w:bCs/>
          <w:i/>
          <w:iCs/>
          <w:u w:val="single"/>
        </w:rPr>
        <w:t>4.4.2.3</w:t>
      </w:r>
      <w:r>
        <w:t xml:space="preserve"> следующего содержания (новый текст напечатан </w:t>
      </w:r>
      <w:r>
        <w:rPr>
          <w:i/>
          <w:iCs/>
          <w:u w:val="single"/>
        </w:rPr>
        <w:t>курсивом/подчеркнут</w:t>
      </w:r>
      <w:r>
        <w:t>):</w:t>
      </w:r>
    </w:p>
    <w:p w:rsidR="00B035C7" w:rsidRPr="008B1DCB" w:rsidRDefault="00B035C7" w:rsidP="00B035C7">
      <w:pPr>
        <w:tabs>
          <w:tab w:val="left" w:pos="567"/>
          <w:tab w:val="left" w:pos="1134"/>
          <w:tab w:val="left" w:pos="1701"/>
          <w:tab w:val="left" w:pos="2268"/>
          <w:tab w:val="left" w:pos="2835"/>
          <w:tab w:val="left" w:pos="3402"/>
          <w:tab w:val="left" w:pos="3969"/>
          <w:tab w:val="left" w:pos="4870"/>
        </w:tabs>
        <w:spacing w:before="120" w:after="120"/>
        <w:ind w:left="1710"/>
        <w:rPr>
          <w:b/>
          <w:i/>
        </w:rPr>
      </w:pPr>
      <w:r>
        <w:t>«</w:t>
      </w:r>
      <w:r>
        <w:rPr>
          <w:i/>
          <w:iCs/>
          <w:u w:val="single"/>
        </w:rPr>
        <w:t>Не должны использоваться нагревательные элементы.</w:t>
      </w:r>
      <w:r>
        <w:t>».</w:t>
      </w:r>
    </w:p>
    <w:p w:rsidR="00B035C7" w:rsidRPr="00F74C0D" w:rsidRDefault="00B035C7" w:rsidP="00B035C7">
      <w:pPr>
        <w:pStyle w:val="H23G"/>
        <w:spacing w:before="120"/>
        <w:ind w:left="1701" w:right="-88"/>
        <w:rPr>
          <w:rFonts w:asciiTheme="majorBidi" w:hAnsiTheme="majorBidi" w:cstheme="majorBidi"/>
          <w:b w:val="0"/>
          <w:bCs/>
        </w:rPr>
      </w:pPr>
      <w:r>
        <w:tab/>
      </w:r>
      <w:r>
        <w:tab/>
      </w:r>
      <w:r w:rsidRPr="008B1DCB">
        <w:rPr>
          <w:b w:val="0"/>
          <w:bCs/>
        </w:rPr>
        <w:t xml:space="preserve">Включить в МПОГ новый </w:t>
      </w:r>
      <w:r w:rsidRPr="00F74C0D">
        <w:rPr>
          <w:b w:val="0"/>
          <w:bCs/>
        </w:rPr>
        <w:t>пункт</w:t>
      </w:r>
      <w:r w:rsidRPr="008B1DCB">
        <w:rPr>
          <w:b w:val="0"/>
          <w:bCs/>
        </w:rPr>
        <w:t xml:space="preserve"> </w:t>
      </w:r>
      <w:r w:rsidRPr="00704488">
        <w:rPr>
          <w:bCs/>
          <w:i/>
          <w:iCs/>
          <w:u w:val="single"/>
        </w:rPr>
        <w:t>4.4.2.3</w:t>
      </w:r>
      <w:r w:rsidRPr="008B1DCB">
        <w:rPr>
          <w:b w:val="0"/>
          <w:bCs/>
        </w:rPr>
        <w:t xml:space="preserve"> следующего содержания (новый текст напечатан </w:t>
      </w:r>
      <w:r w:rsidRPr="00F74C0D">
        <w:rPr>
          <w:rFonts w:asciiTheme="majorBidi" w:hAnsiTheme="majorBidi" w:cstheme="majorBidi"/>
          <w:b w:val="0"/>
          <w:bCs/>
          <w:i/>
          <w:iCs/>
          <w:u w:val="single"/>
        </w:rPr>
        <w:t>курсивом/подчеркнут</w:t>
      </w:r>
      <w:r w:rsidRPr="00F74C0D">
        <w:rPr>
          <w:rFonts w:asciiTheme="majorBidi" w:hAnsiTheme="majorBidi" w:cstheme="majorBidi"/>
          <w:b w:val="0"/>
          <w:bCs/>
        </w:rPr>
        <w:t>):</w:t>
      </w:r>
    </w:p>
    <w:p w:rsidR="00B035C7" w:rsidRPr="00F74C0D" w:rsidRDefault="00B035C7" w:rsidP="00B035C7">
      <w:pPr>
        <w:tabs>
          <w:tab w:val="left" w:pos="567"/>
          <w:tab w:val="left" w:pos="1134"/>
          <w:tab w:val="left" w:pos="1701"/>
          <w:tab w:val="left" w:pos="2268"/>
          <w:tab w:val="left" w:pos="2835"/>
          <w:tab w:val="left" w:pos="3402"/>
          <w:tab w:val="left" w:pos="3969"/>
          <w:tab w:val="left" w:pos="4870"/>
        </w:tabs>
        <w:spacing w:before="120" w:after="120"/>
        <w:ind w:left="1710"/>
        <w:rPr>
          <w:rFonts w:asciiTheme="majorBidi" w:hAnsiTheme="majorBidi" w:cstheme="majorBidi"/>
          <w:b/>
        </w:rPr>
      </w:pPr>
      <w:r w:rsidRPr="00F74C0D">
        <w:rPr>
          <w:rFonts w:asciiTheme="majorBidi" w:hAnsiTheme="majorBidi" w:cstheme="majorBidi"/>
        </w:rPr>
        <w:t>«</w:t>
      </w:r>
      <w:r w:rsidRPr="00F74C0D">
        <w:rPr>
          <w:rFonts w:asciiTheme="majorBidi" w:hAnsiTheme="majorBidi" w:cstheme="majorBidi"/>
          <w:i/>
          <w:iCs/>
          <w:u w:val="single"/>
        </w:rPr>
        <w:t>Для контейнеров-цистерн из волокнита, в том числе съемных кузовов-цистерн из волокнита, не должны использоваться нагревательные элементы.</w:t>
      </w:r>
      <w:r w:rsidRPr="00F74C0D">
        <w:rPr>
          <w:rFonts w:asciiTheme="majorBidi" w:hAnsiTheme="majorBidi" w:cstheme="majorBidi"/>
        </w:rPr>
        <w:t xml:space="preserve">». </w:t>
      </w:r>
    </w:p>
    <w:p w:rsidR="00B035C7" w:rsidRPr="00F74C0D" w:rsidRDefault="00B035C7" w:rsidP="00B035C7">
      <w:pPr>
        <w:tabs>
          <w:tab w:val="left" w:pos="567"/>
          <w:tab w:val="left" w:pos="1134"/>
          <w:tab w:val="left" w:pos="1701"/>
          <w:tab w:val="left" w:pos="2268"/>
          <w:tab w:val="left" w:pos="2835"/>
          <w:tab w:val="left" w:pos="3402"/>
          <w:tab w:val="left" w:pos="3969"/>
          <w:tab w:val="left" w:pos="4870"/>
        </w:tabs>
        <w:spacing w:before="120" w:after="120"/>
        <w:ind w:left="1134"/>
        <w:rPr>
          <w:rFonts w:asciiTheme="majorBidi" w:hAnsiTheme="majorBidi" w:cstheme="majorBidi"/>
          <w:b/>
          <w:sz w:val="24"/>
          <w:szCs w:val="24"/>
        </w:rPr>
      </w:pPr>
      <w:r w:rsidRPr="00F74C0D">
        <w:rPr>
          <w:rFonts w:asciiTheme="majorBidi" w:hAnsiTheme="majorBidi" w:cstheme="majorBidi"/>
          <w:b/>
          <w:bCs/>
          <w:sz w:val="24"/>
          <w:szCs w:val="24"/>
        </w:rPr>
        <w:t>Предложение 3</w:t>
      </w:r>
    </w:p>
    <w:p w:rsidR="00B035C7" w:rsidRPr="00F74C0D" w:rsidRDefault="00B035C7" w:rsidP="00B035C7">
      <w:pPr>
        <w:pStyle w:val="ListParagraph"/>
        <w:tabs>
          <w:tab w:val="left" w:pos="567"/>
          <w:tab w:val="left" w:pos="1134"/>
          <w:tab w:val="left" w:pos="1701"/>
          <w:tab w:val="left" w:pos="2268"/>
          <w:tab w:val="left" w:pos="2835"/>
          <w:tab w:val="left" w:pos="3402"/>
          <w:tab w:val="left" w:pos="3969"/>
          <w:tab w:val="left" w:pos="4870"/>
        </w:tabs>
        <w:spacing w:before="120" w:after="120"/>
        <w:ind w:left="1710"/>
        <w:rPr>
          <w:rFonts w:asciiTheme="majorBidi" w:hAnsiTheme="majorBidi" w:cstheme="majorBidi"/>
          <w:sz w:val="20"/>
          <w:szCs w:val="20"/>
        </w:rPr>
      </w:pPr>
      <w:r w:rsidRPr="00F74C0D">
        <w:rPr>
          <w:rFonts w:asciiTheme="majorBidi" w:hAnsiTheme="majorBidi" w:cstheme="majorBidi"/>
          <w:sz w:val="20"/>
          <w:szCs w:val="20"/>
          <w:lang w:val="ru-RU"/>
        </w:rPr>
        <w:t xml:space="preserve">Изменить нумерацию существующего пункта 4.4.2.3 на </w:t>
      </w:r>
      <w:r w:rsidRPr="00F74C0D">
        <w:rPr>
          <w:rFonts w:asciiTheme="majorBidi" w:hAnsiTheme="majorBidi" w:cstheme="majorBidi"/>
          <w:b/>
          <w:bCs/>
          <w:i/>
          <w:iCs/>
          <w:sz w:val="20"/>
          <w:szCs w:val="20"/>
          <w:u w:val="single"/>
          <w:lang w:val="ru-RU"/>
        </w:rPr>
        <w:t>4.4.2.4</w:t>
      </w:r>
      <w:r w:rsidRPr="00F74C0D">
        <w:rPr>
          <w:rFonts w:asciiTheme="majorBidi" w:hAnsiTheme="majorBidi" w:cstheme="majorBidi"/>
          <w:sz w:val="20"/>
          <w:szCs w:val="20"/>
          <w:lang w:val="ru-RU"/>
        </w:rPr>
        <w:t xml:space="preserve"> в МПОГ/ДОПОГ.</w:t>
      </w:r>
    </w:p>
    <w:p w:rsidR="00B035C7" w:rsidRPr="00F74C0D" w:rsidRDefault="00B035C7" w:rsidP="00B035C7">
      <w:pPr>
        <w:pStyle w:val="H1G"/>
        <w:spacing w:before="120" w:after="120"/>
        <w:ind w:firstLine="0"/>
        <w:rPr>
          <w:rFonts w:asciiTheme="majorBidi" w:hAnsiTheme="majorBidi" w:cstheme="majorBidi"/>
          <w:szCs w:val="24"/>
        </w:rPr>
      </w:pPr>
      <w:r w:rsidRPr="00F74C0D">
        <w:rPr>
          <w:rFonts w:asciiTheme="majorBidi" w:hAnsiTheme="majorBidi" w:cstheme="majorBidi"/>
          <w:bCs/>
        </w:rPr>
        <w:t>Предложение 4</w:t>
      </w:r>
    </w:p>
    <w:p w:rsidR="00B035C7" w:rsidRPr="008B1DCB" w:rsidRDefault="00B035C7" w:rsidP="00B035C7">
      <w:pPr>
        <w:tabs>
          <w:tab w:val="left" w:pos="567"/>
          <w:tab w:val="left" w:pos="1134"/>
          <w:tab w:val="left" w:pos="1701"/>
          <w:tab w:val="left" w:pos="2268"/>
          <w:tab w:val="left" w:pos="2835"/>
          <w:tab w:val="left" w:pos="3402"/>
          <w:tab w:val="left" w:pos="3969"/>
          <w:tab w:val="left" w:pos="4870"/>
        </w:tabs>
        <w:spacing w:before="120" w:after="120"/>
        <w:ind w:left="1710"/>
      </w:pPr>
      <w:r>
        <w:t xml:space="preserve">Изменить пункт 4.4.2.1 МПОГ/ДОПОГ следующим образом (новый текст напечатан </w:t>
      </w:r>
      <w:r>
        <w:rPr>
          <w:i/>
          <w:iCs/>
          <w:u w:val="single"/>
        </w:rPr>
        <w:t>курсивом/подчеркнут</w:t>
      </w:r>
      <w:r>
        <w:t>):</w:t>
      </w:r>
    </w:p>
    <w:p w:rsidR="00B035C7" w:rsidRPr="00F74C0D" w:rsidRDefault="00B035C7" w:rsidP="00B035C7">
      <w:pPr>
        <w:pStyle w:val="H1G"/>
        <w:spacing w:before="120" w:after="120"/>
        <w:ind w:left="1701"/>
        <w:rPr>
          <w:b w:val="0"/>
          <w:bCs/>
          <w:sz w:val="20"/>
        </w:rPr>
      </w:pPr>
      <w:r>
        <w:tab/>
      </w:r>
      <w:r>
        <w:tab/>
      </w:r>
      <w:r w:rsidRPr="00F74C0D">
        <w:rPr>
          <w:b w:val="0"/>
          <w:bCs/>
          <w:sz w:val="20"/>
        </w:rPr>
        <w:t>«Применяются положения пунктов 4.3.2.1.5–</w:t>
      </w:r>
      <w:r w:rsidRPr="00F74C0D">
        <w:rPr>
          <w:i/>
          <w:iCs/>
          <w:sz w:val="20"/>
          <w:u w:val="single"/>
        </w:rPr>
        <w:t>4.3.2.2.2</w:t>
      </w:r>
      <w:r w:rsidRPr="00F74C0D">
        <w:rPr>
          <w:b w:val="0"/>
          <w:bCs/>
          <w:sz w:val="20"/>
        </w:rPr>
        <w:t>, 4.3.2.2.4, 4.3.2.3.3–4.3.2.3.6, 4.3.2.4.1</w:t>
      </w:r>
      <w:r>
        <w:rPr>
          <w:b w:val="0"/>
          <w:bCs/>
          <w:sz w:val="20"/>
        </w:rPr>
        <w:t>, 4.3.2.4.2, 4.3.4.1 и 4.3.4.2.»</w:t>
      </w:r>
      <w:r w:rsidRPr="00F74C0D">
        <w:rPr>
          <w:b w:val="0"/>
          <w:bCs/>
          <w:sz w:val="20"/>
        </w:rPr>
        <w:t>.</w:t>
      </w:r>
    </w:p>
    <w:p w:rsidR="00B035C7" w:rsidRPr="00F74C0D" w:rsidRDefault="00B035C7" w:rsidP="00B035C7">
      <w:pPr>
        <w:pStyle w:val="HChG"/>
      </w:pPr>
      <w:r>
        <w:tab/>
      </w:r>
      <w:r>
        <w:tab/>
      </w:r>
      <w:r w:rsidRPr="00F74C0D">
        <w:t>Обоснование</w:t>
      </w:r>
    </w:p>
    <w:p w:rsidR="00B035C7" w:rsidRPr="008B1DCB" w:rsidRDefault="00B035C7" w:rsidP="00B035C7">
      <w:pPr>
        <w:pStyle w:val="SingleTxtG"/>
        <w:spacing w:before="120"/>
      </w:pPr>
      <w:r>
        <w:t>4.</w:t>
      </w:r>
      <w:r>
        <w:tab/>
        <w:t xml:space="preserve">Цель настоящего документа состоит в том, чтобы уточнить формулировки в пункте 6.9.1.3 МПОГ/ДОПОГ, согласно которым нагревательные системы могут устанавливаться, но их можно использовать только для неопасных грузов. </w:t>
      </w:r>
    </w:p>
    <w:p w:rsidR="00B035C7" w:rsidRPr="008B1DCB" w:rsidRDefault="00B035C7" w:rsidP="00B035C7">
      <w:pPr>
        <w:pStyle w:val="SingleTxtG"/>
      </w:pPr>
      <w:r>
        <w:t>5.</w:t>
      </w:r>
      <w:r>
        <w:tab/>
        <w:t>Для того чтобы принять дальнейшее решение о том, следует ли разрешить использование нагревательных элементов, необходимо дождаться результатов работы неофициальной рабочей группы по переносным цистернам из волокнита Подкомитета экспертов ООН по перевозке опасных грузов (ПКЭПОГ ООН).</w:t>
      </w:r>
    </w:p>
    <w:p w:rsidR="00B035C7" w:rsidRPr="0043429F" w:rsidRDefault="00B035C7" w:rsidP="00B035C7">
      <w:pPr>
        <w:pStyle w:val="SingleTxtG"/>
      </w:pPr>
      <w:r>
        <w:lastRenderedPageBreak/>
        <w:t>6.</w:t>
      </w:r>
      <w:r>
        <w:tab/>
        <w:t>Отказ отдельных инспекционных органов проводить периодические проверки переносных цистерн из волокнита, оборудованных нагревательными системами (которые, однако, не используются), на основании того толкования, что их установка не допускается, требует внесения поправки раньше, чем, как ожидается, будут получены итоги работы неофициальной рабочей группы по переносным цистернам из волокнита ПКЭПОГ ООН.</w:t>
      </w:r>
    </w:p>
    <w:p w:rsidR="00B035C7" w:rsidRPr="0043429F" w:rsidRDefault="00B035C7" w:rsidP="00B035C7">
      <w:pPr>
        <w:spacing w:before="240"/>
        <w:jc w:val="center"/>
        <w:rPr>
          <w:u w:val="single"/>
        </w:rPr>
      </w:pPr>
      <w:r w:rsidRPr="0043429F">
        <w:rPr>
          <w:u w:val="single"/>
        </w:rPr>
        <w:tab/>
      </w:r>
      <w:r w:rsidRPr="0043429F">
        <w:rPr>
          <w:u w:val="single"/>
        </w:rPr>
        <w:tab/>
      </w:r>
      <w:r w:rsidRPr="0043429F">
        <w:rPr>
          <w:u w:val="single"/>
        </w:rPr>
        <w:tab/>
      </w:r>
    </w:p>
    <w:p w:rsidR="00E12C5F" w:rsidRPr="008D53B6" w:rsidRDefault="00E12C5F" w:rsidP="00D9145B"/>
    <w:sectPr w:rsidR="00E12C5F" w:rsidRPr="008D53B6" w:rsidSect="00B035C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153" w:rsidRPr="00A312BC" w:rsidRDefault="00235153" w:rsidP="00A312BC"/>
  </w:endnote>
  <w:endnote w:type="continuationSeparator" w:id="0">
    <w:p w:rsidR="00235153" w:rsidRPr="00A312BC" w:rsidRDefault="0023515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5C7" w:rsidRPr="00B035C7" w:rsidRDefault="00B035C7">
    <w:pPr>
      <w:pStyle w:val="Footer"/>
    </w:pPr>
    <w:r w:rsidRPr="00B035C7">
      <w:rPr>
        <w:b/>
        <w:sz w:val="18"/>
      </w:rPr>
      <w:fldChar w:fldCharType="begin"/>
    </w:r>
    <w:r w:rsidRPr="00B035C7">
      <w:rPr>
        <w:b/>
        <w:sz w:val="18"/>
      </w:rPr>
      <w:instrText xml:space="preserve"> PAGE  \* MERGEFORMAT </w:instrText>
    </w:r>
    <w:r w:rsidRPr="00B035C7">
      <w:rPr>
        <w:b/>
        <w:sz w:val="18"/>
      </w:rPr>
      <w:fldChar w:fldCharType="separate"/>
    </w:r>
    <w:r w:rsidR="00E56AA5">
      <w:rPr>
        <w:b/>
        <w:noProof/>
        <w:sz w:val="18"/>
      </w:rPr>
      <w:t>2</w:t>
    </w:r>
    <w:r w:rsidRPr="00B035C7">
      <w:rPr>
        <w:b/>
        <w:sz w:val="18"/>
      </w:rPr>
      <w:fldChar w:fldCharType="end"/>
    </w:r>
    <w:r>
      <w:rPr>
        <w:b/>
        <w:sz w:val="18"/>
      </w:rPr>
      <w:tab/>
    </w:r>
    <w:r>
      <w:t>GE.19-11167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5C7" w:rsidRPr="00B035C7" w:rsidRDefault="00B035C7" w:rsidP="00B035C7">
    <w:pPr>
      <w:pStyle w:val="Footer"/>
      <w:tabs>
        <w:tab w:val="clear" w:pos="9639"/>
        <w:tab w:val="right" w:pos="9638"/>
      </w:tabs>
      <w:rPr>
        <w:b/>
        <w:sz w:val="18"/>
      </w:rPr>
    </w:pPr>
    <w:r>
      <w:t>GE.19-11167</w:t>
    </w:r>
    <w:r>
      <w:tab/>
    </w:r>
    <w:r w:rsidRPr="00B035C7">
      <w:rPr>
        <w:b/>
        <w:sz w:val="18"/>
      </w:rPr>
      <w:fldChar w:fldCharType="begin"/>
    </w:r>
    <w:r w:rsidRPr="00B035C7">
      <w:rPr>
        <w:b/>
        <w:sz w:val="18"/>
      </w:rPr>
      <w:instrText xml:space="preserve"> PAGE  \* MERGEFORMAT </w:instrText>
    </w:r>
    <w:r w:rsidRPr="00B035C7">
      <w:rPr>
        <w:b/>
        <w:sz w:val="18"/>
      </w:rPr>
      <w:fldChar w:fldCharType="separate"/>
    </w:r>
    <w:r w:rsidR="00E56AA5">
      <w:rPr>
        <w:b/>
        <w:noProof/>
        <w:sz w:val="18"/>
      </w:rPr>
      <w:t>3</w:t>
    </w:r>
    <w:r w:rsidRPr="00B035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B035C7" w:rsidRDefault="00B035C7" w:rsidP="00B035C7">
    <w:pPr>
      <w:spacing w:before="120" w:line="240" w:lineRule="auto"/>
    </w:pPr>
    <w:r>
      <w:t>GE.</w:t>
    </w:r>
    <w:r w:rsidR="00DF71B9">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11167  (</w:t>
    </w:r>
    <w:proofErr w:type="gramEnd"/>
    <w:r>
      <w:t>R)</w:t>
    </w:r>
    <w:r w:rsidR="008A54BD">
      <w:rPr>
        <w:lang w:val="en-US"/>
      </w:rPr>
      <w:t xml:space="preserve">   050719   080719</w:t>
    </w:r>
    <w:r>
      <w:br/>
    </w:r>
    <w:r w:rsidRPr="00B035C7">
      <w:rPr>
        <w:rFonts w:ascii="C39T30Lfz" w:hAnsi="C39T30Lfz"/>
        <w:kern w:val="14"/>
        <w:sz w:val="56"/>
      </w:rPr>
      <w:t></w:t>
    </w:r>
    <w:r w:rsidRPr="00B035C7">
      <w:rPr>
        <w:rFonts w:ascii="C39T30Lfz" w:hAnsi="C39T30Lfz"/>
        <w:kern w:val="14"/>
        <w:sz w:val="56"/>
      </w:rPr>
      <w:t></w:t>
    </w:r>
    <w:r w:rsidRPr="00B035C7">
      <w:rPr>
        <w:rFonts w:ascii="C39T30Lfz" w:hAnsi="C39T30Lfz"/>
        <w:kern w:val="14"/>
        <w:sz w:val="56"/>
      </w:rPr>
      <w:t></w:t>
    </w:r>
    <w:r w:rsidRPr="00B035C7">
      <w:rPr>
        <w:rFonts w:ascii="C39T30Lfz" w:hAnsi="C39T30Lfz"/>
        <w:kern w:val="14"/>
        <w:sz w:val="56"/>
      </w:rPr>
      <w:t></w:t>
    </w:r>
    <w:r w:rsidRPr="00B035C7">
      <w:rPr>
        <w:rFonts w:ascii="C39T30Lfz" w:hAnsi="C39T30Lfz"/>
        <w:kern w:val="14"/>
        <w:sz w:val="56"/>
      </w:rPr>
      <w:t></w:t>
    </w:r>
    <w:r w:rsidRPr="00B035C7">
      <w:rPr>
        <w:rFonts w:ascii="C39T30Lfz" w:hAnsi="C39T30Lfz"/>
        <w:kern w:val="14"/>
        <w:sz w:val="56"/>
      </w:rPr>
      <w:t></w:t>
    </w:r>
    <w:r w:rsidRPr="00B035C7">
      <w:rPr>
        <w:rFonts w:ascii="C39T30Lfz" w:hAnsi="C39T30Lfz"/>
        <w:kern w:val="14"/>
        <w:sz w:val="56"/>
      </w:rPr>
      <w:t></w:t>
    </w:r>
    <w:r w:rsidRPr="00B035C7">
      <w:rPr>
        <w:rFonts w:ascii="C39T30Lfz" w:hAnsi="C39T30Lfz"/>
        <w:kern w:val="14"/>
        <w:sz w:val="56"/>
      </w:rPr>
      <w:t></w:t>
    </w:r>
    <w:r w:rsidRPr="00B035C7">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1/2019/4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4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153" w:rsidRPr="001075E9" w:rsidRDefault="00235153" w:rsidP="001075E9">
      <w:pPr>
        <w:tabs>
          <w:tab w:val="right" w:pos="2155"/>
        </w:tabs>
        <w:spacing w:after="80" w:line="240" w:lineRule="auto"/>
        <w:ind w:left="680"/>
        <w:rPr>
          <w:u w:val="single"/>
        </w:rPr>
      </w:pPr>
      <w:r>
        <w:rPr>
          <w:u w:val="single"/>
        </w:rPr>
        <w:tab/>
      </w:r>
    </w:p>
  </w:footnote>
  <w:footnote w:type="continuationSeparator" w:id="0">
    <w:p w:rsidR="00235153" w:rsidRDefault="00235153" w:rsidP="00407B78">
      <w:pPr>
        <w:tabs>
          <w:tab w:val="right" w:pos="2155"/>
        </w:tabs>
        <w:spacing w:after="80"/>
        <w:ind w:left="680"/>
        <w:rPr>
          <w:u w:val="single"/>
        </w:rPr>
      </w:pPr>
      <w:r>
        <w:rPr>
          <w:u w:val="single"/>
        </w:rPr>
        <w:tab/>
      </w:r>
    </w:p>
  </w:footnote>
  <w:footnote w:id="1">
    <w:p w:rsidR="00B035C7" w:rsidRPr="00B035C7" w:rsidRDefault="00B035C7">
      <w:pPr>
        <w:pStyle w:val="FootnoteText"/>
        <w:rPr>
          <w:sz w:val="20"/>
        </w:rPr>
      </w:pPr>
      <w:r>
        <w:tab/>
      </w:r>
      <w:r w:rsidRPr="00B035C7">
        <w:rPr>
          <w:rStyle w:val="FootnoteReference"/>
          <w:sz w:val="20"/>
          <w:vertAlign w:val="baseline"/>
        </w:rPr>
        <w:t>*</w:t>
      </w:r>
      <w:r w:rsidRPr="00B035C7">
        <w:rPr>
          <w:rStyle w:val="FootnoteReference"/>
          <w:vertAlign w:val="baseline"/>
        </w:rPr>
        <w:tab/>
      </w:r>
      <w:r w:rsidRPr="00B035C7">
        <w:t>В соответствии с программой работы Комитета по внутреннему транспорту на 2018–2019 годы (ECE/TRANS/2018/21/Add.1, направление деятельности 9 (9.2)).</w:t>
      </w:r>
    </w:p>
  </w:footnote>
  <w:footnote w:id="2">
    <w:p w:rsidR="00B035C7" w:rsidRPr="00B035C7" w:rsidRDefault="00B035C7">
      <w:pPr>
        <w:pStyle w:val="FootnoteText"/>
        <w:rPr>
          <w:sz w:val="20"/>
        </w:rPr>
      </w:pPr>
      <w:r>
        <w:tab/>
      </w:r>
      <w:r w:rsidRPr="00B035C7">
        <w:rPr>
          <w:rStyle w:val="FootnoteReference"/>
          <w:sz w:val="20"/>
          <w:vertAlign w:val="baseline"/>
        </w:rPr>
        <w:t>**</w:t>
      </w:r>
      <w:r w:rsidRPr="00B035C7">
        <w:rPr>
          <w:rStyle w:val="FootnoteReference"/>
          <w:vertAlign w:val="baseline"/>
        </w:rPr>
        <w:tab/>
      </w:r>
      <w:r w:rsidRPr="00B035C7">
        <w:t>Распространено Межправительственной организацией по международным железнодорожным перевозкам (ОТИФ) под условным обозначением OTIF/RID/RC/2019/49.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5C7" w:rsidRPr="00B035C7" w:rsidRDefault="002B6A38">
    <w:pPr>
      <w:pStyle w:val="Header"/>
    </w:pPr>
    <w:r>
      <w:fldChar w:fldCharType="begin"/>
    </w:r>
    <w:r>
      <w:instrText xml:space="preserve"> TITLE  \* MERGEFORMAT </w:instrText>
    </w:r>
    <w:r>
      <w:fldChar w:fldCharType="separate"/>
    </w:r>
    <w:r w:rsidR="00E56AA5">
      <w:t>ECE/TRANS/WP.15/AC.1/2019/49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5C7" w:rsidRPr="00B035C7" w:rsidRDefault="002B6A38" w:rsidP="00B035C7">
    <w:pPr>
      <w:pStyle w:val="Header"/>
      <w:jc w:val="right"/>
    </w:pPr>
    <w:r>
      <w:fldChar w:fldCharType="begin"/>
    </w:r>
    <w:r>
      <w:instrText xml:space="preserve"> TITLE  \* MERGEFORMAT </w:instrText>
    </w:r>
    <w:r>
      <w:fldChar w:fldCharType="separate"/>
    </w:r>
    <w:r w:rsidR="00E56AA5">
      <w:t>ECE/TRANS/WP.15/AC.1/2019/49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153"/>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35153"/>
    <w:rsid w:val="00255343"/>
    <w:rsid w:val="0027151D"/>
    <w:rsid w:val="002A2EFC"/>
    <w:rsid w:val="002B0106"/>
    <w:rsid w:val="002B6A38"/>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57413"/>
    <w:rsid w:val="00472C5C"/>
    <w:rsid w:val="004E05B7"/>
    <w:rsid w:val="004E6069"/>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04488"/>
    <w:rsid w:val="00712895"/>
    <w:rsid w:val="00734ACB"/>
    <w:rsid w:val="00757357"/>
    <w:rsid w:val="00792497"/>
    <w:rsid w:val="00806737"/>
    <w:rsid w:val="00825F8D"/>
    <w:rsid w:val="00834B71"/>
    <w:rsid w:val="0086445C"/>
    <w:rsid w:val="00894693"/>
    <w:rsid w:val="008A08D7"/>
    <w:rsid w:val="008A37C8"/>
    <w:rsid w:val="008A54BD"/>
    <w:rsid w:val="008B6909"/>
    <w:rsid w:val="008D53B6"/>
    <w:rsid w:val="008E3147"/>
    <w:rsid w:val="008F7609"/>
    <w:rsid w:val="00906890"/>
    <w:rsid w:val="00911BE4"/>
    <w:rsid w:val="00951972"/>
    <w:rsid w:val="009608F3"/>
    <w:rsid w:val="009A24AC"/>
    <w:rsid w:val="009C59D7"/>
    <w:rsid w:val="009C6FE6"/>
    <w:rsid w:val="009D7E7D"/>
    <w:rsid w:val="00A14DA8"/>
    <w:rsid w:val="00A270A0"/>
    <w:rsid w:val="00A312BC"/>
    <w:rsid w:val="00A84021"/>
    <w:rsid w:val="00A84D35"/>
    <w:rsid w:val="00A917B3"/>
    <w:rsid w:val="00A953E0"/>
    <w:rsid w:val="00AB4B51"/>
    <w:rsid w:val="00B035C7"/>
    <w:rsid w:val="00B10CC7"/>
    <w:rsid w:val="00B36DF7"/>
    <w:rsid w:val="00B539E7"/>
    <w:rsid w:val="00B62458"/>
    <w:rsid w:val="00B844CF"/>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56AA5"/>
    <w:rsid w:val="00E73F76"/>
    <w:rsid w:val="00EA2C9F"/>
    <w:rsid w:val="00EA420E"/>
    <w:rsid w:val="00ED0BDA"/>
    <w:rsid w:val="00EE142A"/>
    <w:rsid w:val="00EF1360"/>
    <w:rsid w:val="00EF3220"/>
    <w:rsid w:val="00F2523A"/>
    <w:rsid w:val="00F43903"/>
    <w:rsid w:val="00F67F9F"/>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C5E1171-7E14-4262-9A70-DD26E834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1GChar">
    <w:name w:val="_ H_1_G Char"/>
    <w:link w:val="H1G"/>
    <w:rsid w:val="00B035C7"/>
    <w:rPr>
      <w:b/>
      <w:sz w:val="24"/>
      <w:lang w:val="ru-RU" w:eastAsia="ru-RU"/>
    </w:rPr>
  </w:style>
  <w:style w:type="character" w:customStyle="1" w:styleId="HChGChar">
    <w:name w:val="_ H _Ch_G Char"/>
    <w:link w:val="HChG"/>
    <w:rsid w:val="00B035C7"/>
    <w:rPr>
      <w:b/>
      <w:sz w:val="28"/>
      <w:lang w:val="ru-RU" w:eastAsia="ru-RU"/>
    </w:rPr>
  </w:style>
  <w:style w:type="character" w:customStyle="1" w:styleId="SingleTxtGChar">
    <w:name w:val="_ Single Txt_G Char"/>
    <w:link w:val="SingleTxtG"/>
    <w:qFormat/>
    <w:rsid w:val="00B035C7"/>
    <w:rPr>
      <w:lang w:val="ru-RU" w:eastAsia="en-US"/>
    </w:rPr>
  </w:style>
  <w:style w:type="paragraph" w:styleId="ListParagraph">
    <w:name w:val="List Paragraph"/>
    <w:basedOn w:val="Normal"/>
    <w:uiPriority w:val="34"/>
    <w:qFormat/>
    <w:rsid w:val="00B035C7"/>
    <w:pPr>
      <w:suppressAutoHyphens w:val="0"/>
      <w:spacing w:after="200" w:line="276" w:lineRule="auto"/>
      <w:ind w:left="720"/>
      <w:contextualSpacing/>
    </w:pPr>
    <w:rPr>
      <w:rFonts w:ascii="Calibri" w:eastAsia="Times New Roman" w:hAnsi="Calibri" w:cs="Times New Roman"/>
      <w:sz w:val="22"/>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3506</Characters>
  <Application>Microsoft Office Word</Application>
  <DocSecurity>0</DocSecurity>
  <Lines>29</Lines>
  <Paragraphs>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ECE/TRANS/WP.15/AC.1/2019/49</vt:lpstr>
      <vt:lpstr>ECE/TRANS/WP.15/AC.1/2019/49</vt:lpstr>
      <vt:lpstr>A/</vt:lpstr>
    </vt:vector>
  </TitlesOfParts>
  <Company>DCM</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ECE/TRANS/WP.15/AC.1/2019/49</dc:title>
  <dc:subject/>
  <dc:creator>Uliana ANTIPOVA</dc:creator>
  <cp:keywords/>
  <cp:lastModifiedBy>Christine Barrio-Champeau</cp:lastModifiedBy>
  <cp:revision>2</cp:revision>
  <cp:lastPrinted>2019-07-08T09:09:00Z</cp:lastPrinted>
  <dcterms:created xsi:type="dcterms:W3CDTF">2019-07-25T08:10:00Z</dcterms:created>
  <dcterms:modified xsi:type="dcterms:W3CDTF">2019-07-25T08:10:00Z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