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6D4AC" w14:textId="77777777" w:rsidR="00EC106A" w:rsidRPr="00C33EB9" w:rsidRDefault="00EC106A">
      <w:pPr>
        <w:spacing w:before="120"/>
        <w:rPr>
          <w:b/>
          <w:sz w:val="28"/>
          <w:szCs w:val="28"/>
        </w:rPr>
      </w:pPr>
      <w:r w:rsidRPr="00C33EB9">
        <w:rPr>
          <w:b/>
          <w:sz w:val="28"/>
          <w:szCs w:val="28"/>
        </w:rPr>
        <w:t>Economic Commission for Europe</w:t>
      </w:r>
    </w:p>
    <w:p w14:paraId="2789B136" w14:textId="77777777" w:rsidR="00EC106A" w:rsidRPr="00C33EB9" w:rsidRDefault="00EC106A">
      <w:pPr>
        <w:spacing w:before="120"/>
        <w:rPr>
          <w:sz w:val="28"/>
          <w:szCs w:val="28"/>
        </w:rPr>
      </w:pPr>
      <w:r w:rsidRPr="00C33EB9">
        <w:rPr>
          <w:sz w:val="28"/>
          <w:szCs w:val="28"/>
        </w:rPr>
        <w:t>Inland Transport Committee</w:t>
      </w:r>
    </w:p>
    <w:p w14:paraId="68603F94" w14:textId="77777777" w:rsidR="00EC106A" w:rsidRPr="00C33EB9" w:rsidRDefault="00EC106A" w:rsidP="00EC106A">
      <w:pPr>
        <w:spacing w:before="120" w:after="120"/>
        <w:rPr>
          <w:b/>
          <w:sz w:val="24"/>
          <w:szCs w:val="24"/>
        </w:rPr>
      </w:pPr>
      <w:r w:rsidRPr="00C33EB9">
        <w:rPr>
          <w:b/>
          <w:sz w:val="24"/>
          <w:szCs w:val="24"/>
        </w:rPr>
        <w:t>Working Party on the Transport of Dangerous Goods</w:t>
      </w:r>
    </w:p>
    <w:p w14:paraId="4F73FE3C" w14:textId="0F44469E" w:rsidR="009D2A5B" w:rsidRPr="00C33EB9" w:rsidRDefault="009D2A5B" w:rsidP="009D2A5B">
      <w:pPr>
        <w:rPr>
          <w:b/>
        </w:rPr>
      </w:pPr>
      <w:r w:rsidRPr="00C33EB9">
        <w:rPr>
          <w:b/>
        </w:rPr>
        <w:t>Joint Meeting of the RID Committee of Experts and the</w:t>
      </w:r>
      <w:r w:rsidR="00A20053">
        <w:rPr>
          <w:b/>
        </w:rPr>
        <w:tab/>
      </w:r>
      <w:r w:rsidR="00A20053">
        <w:rPr>
          <w:b/>
        </w:rPr>
        <w:tab/>
      </w:r>
      <w:r w:rsidR="00A20053">
        <w:rPr>
          <w:b/>
        </w:rPr>
        <w:tab/>
        <w:t>12 September 2019</w:t>
      </w:r>
    </w:p>
    <w:p w14:paraId="2FED2C19" w14:textId="77777777" w:rsidR="009D2A5B" w:rsidRPr="00C33EB9" w:rsidRDefault="009D2A5B" w:rsidP="009D2A5B">
      <w:pPr>
        <w:rPr>
          <w:b/>
        </w:rPr>
      </w:pPr>
      <w:r w:rsidRPr="00C33EB9">
        <w:rPr>
          <w:b/>
        </w:rPr>
        <w:t>Working Party on the Transport of Dangerous Goods</w:t>
      </w:r>
    </w:p>
    <w:p w14:paraId="38C18EED" w14:textId="4C76B550" w:rsidR="009D2A5B" w:rsidRPr="00C33EB9" w:rsidRDefault="0072474C" w:rsidP="00BB7CD1">
      <w:r>
        <w:t>Geneva</w:t>
      </w:r>
      <w:r w:rsidR="00BB7CD1" w:rsidRPr="00C33EB9">
        <w:t xml:space="preserve">, </w:t>
      </w:r>
      <w:r w:rsidR="00DC518F" w:rsidRPr="0040748F">
        <w:t>1</w:t>
      </w:r>
      <w:r>
        <w:t>7</w:t>
      </w:r>
      <w:r w:rsidR="00BB7CD1" w:rsidRPr="0040748F">
        <w:t>–</w:t>
      </w:r>
      <w:r w:rsidR="009C3453" w:rsidRPr="0040748F">
        <w:t>2</w:t>
      </w:r>
      <w:r>
        <w:t>7</w:t>
      </w:r>
      <w:r w:rsidR="00B4432D" w:rsidRPr="00C33EB9">
        <w:t xml:space="preserve"> </w:t>
      </w:r>
      <w:r>
        <w:t>September</w:t>
      </w:r>
      <w:r w:rsidR="003C03F6">
        <w:t xml:space="preserve"> </w:t>
      </w:r>
      <w:r w:rsidR="00BB7CD1" w:rsidRPr="00C33EB9">
        <w:t>201</w:t>
      </w:r>
      <w:r w:rsidR="003C03F6">
        <w:t>9</w:t>
      </w:r>
    </w:p>
    <w:p w14:paraId="7494FDC0" w14:textId="2E8CB1D9" w:rsidR="00BF42CB" w:rsidRPr="00C33EB9" w:rsidRDefault="00BF42CB" w:rsidP="00BF42CB">
      <w:pPr>
        <w:rPr>
          <w:lang w:val="en-US"/>
        </w:rPr>
      </w:pPr>
      <w:r w:rsidRPr="0040748F">
        <w:rPr>
          <w:lang w:val="en-US"/>
        </w:rPr>
        <w:t xml:space="preserve">Item </w:t>
      </w:r>
      <w:r w:rsidR="00311A67" w:rsidRPr="0040748F">
        <w:rPr>
          <w:lang w:val="en-US"/>
        </w:rPr>
        <w:t>3</w:t>
      </w:r>
      <w:r w:rsidRPr="00C33EB9">
        <w:rPr>
          <w:lang w:val="en-US"/>
        </w:rPr>
        <w:t xml:space="preserve"> of the provisional agenda</w:t>
      </w:r>
    </w:p>
    <w:p w14:paraId="12D79EEC" w14:textId="0EA84E49" w:rsidR="00BB7CD1" w:rsidRPr="00C33EB9" w:rsidRDefault="00BF42CB" w:rsidP="00BF42CB">
      <w:pPr>
        <w:rPr>
          <w:b/>
        </w:rPr>
      </w:pPr>
      <w:r w:rsidRPr="00C33EB9">
        <w:rPr>
          <w:b/>
        </w:rPr>
        <w:t>Standards</w:t>
      </w:r>
    </w:p>
    <w:p w14:paraId="74F8740F" w14:textId="460BA026" w:rsidR="00BF42CB" w:rsidRPr="00C33EB9" w:rsidRDefault="009B1518" w:rsidP="00BF42CB">
      <w:pPr>
        <w:pStyle w:val="HChG"/>
        <w:outlineLvl w:val="0"/>
      </w:pPr>
      <w:r w:rsidRPr="00C33EB9">
        <w:tab/>
      </w:r>
      <w:r w:rsidRPr="00C33EB9">
        <w:tab/>
      </w:r>
      <w:r w:rsidR="00BF42CB" w:rsidRPr="00C33EB9">
        <w:t xml:space="preserve">Information on work </w:t>
      </w:r>
      <w:r w:rsidR="00A70580">
        <w:t>of the Working Group on Standards</w:t>
      </w:r>
    </w:p>
    <w:p w14:paraId="7A8969B8" w14:textId="737883E7" w:rsidR="00BF42CB" w:rsidRPr="00C33EB9" w:rsidRDefault="00BF42CB" w:rsidP="00BF42CB">
      <w:pPr>
        <w:pStyle w:val="H1G"/>
        <w:rPr>
          <w:b w:val="0"/>
          <w:sz w:val="18"/>
          <w:szCs w:val="18"/>
        </w:rPr>
      </w:pPr>
      <w:r w:rsidRPr="00C33EB9">
        <w:tab/>
      </w:r>
      <w:r w:rsidRPr="00C33EB9">
        <w:tab/>
        <w:t>Transmitted by the European Committee for Standardisation (CEN)</w:t>
      </w:r>
    </w:p>
    <w:p w14:paraId="5B32DA7B" w14:textId="327924AC" w:rsidR="00F753B9" w:rsidRDefault="00C84264" w:rsidP="00F753B9">
      <w:pPr>
        <w:pStyle w:val="HChG"/>
        <w:outlineLvl w:val="0"/>
      </w:pPr>
      <w:r w:rsidRPr="00C33EB9">
        <w:tab/>
      </w:r>
      <w:r w:rsidRPr="00C33EB9">
        <w:tab/>
      </w:r>
      <w:r w:rsidRPr="00F753B9">
        <w:t>Introduction</w:t>
      </w:r>
    </w:p>
    <w:p w14:paraId="040B747A" w14:textId="6BEBE6B1" w:rsidR="00217646" w:rsidRPr="00F753B9" w:rsidRDefault="00BF42CB" w:rsidP="00E8675E">
      <w:pPr>
        <w:pStyle w:val="SingleTxtG"/>
        <w:numPr>
          <w:ilvl w:val="0"/>
          <w:numId w:val="36"/>
        </w:numPr>
        <w:ind w:left="1134" w:firstLine="0"/>
      </w:pPr>
      <w:r w:rsidRPr="00F753B9">
        <w:t>Following the cooperation agreement between CE</w:t>
      </w:r>
      <w:r w:rsidR="003848FB" w:rsidRPr="00F753B9">
        <w:t xml:space="preserve">N/CENELEC and the Joint Meeting </w:t>
      </w:r>
      <w:r w:rsidRPr="00F753B9">
        <w:t>(</w:t>
      </w:r>
      <w:r w:rsidRPr="00C33EB9">
        <w:t>see ECE/TRANS/WP.15/AC.1/122/Add.2, as amended by ECE/</w:t>
      </w:r>
      <w:r w:rsidR="00217646">
        <w:t>TRANS/WP.15/AC.1/130</w:t>
      </w:r>
      <w:r w:rsidR="003D6455">
        <w:t>,</w:t>
      </w:r>
      <w:r w:rsidR="009E461F">
        <w:t xml:space="preserve"> </w:t>
      </w:r>
      <w:r w:rsidR="00217646">
        <w:t>Annex III</w:t>
      </w:r>
      <w:r w:rsidR="00217646" w:rsidRPr="00217646">
        <w:t>)</w:t>
      </w:r>
      <w:r w:rsidR="00217646">
        <w:t xml:space="preserve">, </w:t>
      </w:r>
      <w:r w:rsidR="009E461F">
        <w:t>the CEN-CENELEC Management Centre (</w:t>
      </w:r>
      <w:r w:rsidR="00217646">
        <w:t>CCMC</w:t>
      </w:r>
      <w:r w:rsidR="009E461F">
        <w:t>)</w:t>
      </w:r>
      <w:bookmarkStart w:id="0" w:name="_GoBack"/>
      <w:bookmarkEnd w:id="0"/>
      <w:r w:rsidR="00217646">
        <w:t xml:space="preserve"> proposed standards for referencing in the RID/ADR</w:t>
      </w:r>
      <w:r w:rsidRPr="00217646">
        <w:t xml:space="preserve">. </w:t>
      </w:r>
      <w:r w:rsidR="009C3453" w:rsidRPr="00217646">
        <w:t xml:space="preserve">As mentioned during the last Joint Meeting, the </w:t>
      </w:r>
      <w:r w:rsidR="00701DB7" w:rsidRPr="00217646">
        <w:t>European Commission</w:t>
      </w:r>
      <w:r w:rsidR="009C3453" w:rsidRPr="00217646">
        <w:t xml:space="preserve"> decided </w:t>
      </w:r>
      <w:r w:rsidR="009152D4" w:rsidRPr="00217646">
        <w:t xml:space="preserve">to </w:t>
      </w:r>
      <w:r w:rsidR="00217646" w:rsidRPr="00217646">
        <w:t xml:space="preserve">close the Mandate M/086. Consequently, </w:t>
      </w:r>
      <w:r w:rsidR="00217646">
        <w:t>there is no</w:t>
      </w:r>
      <w:r w:rsidR="00217646" w:rsidRPr="00217646">
        <w:t xml:space="preserve"> HAS Consultant for TDG</w:t>
      </w:r>
      <w:r w:rsidR="00217646">
        <w:t xml:space="preserve"> anymore</w:t>
      </w:r>
      <w:r w:rsidR="00217646" w:rsidRPr="00217646">
        <w:t xml:space="preserve">. The industries </w:t>
      </w:r>
      <w:r w:rsidR="00834879">
        <w:t>are</w:t>
      </w:r>
      <w:r w:rsidR="00834879" w:rsidRPr="00217646">
        <w:t xml:space="preserve"> </w:t>
      </w:r>
      <w:r w:rsidR="00217646" w:rsidRPr="00217646">
        <w:t>seeking funding</w:t>
      </w:r>
      <w:r w:rsidR="00834879">
        <w:t xml:space="preserve"> for</w:t>
      </w:r>
      <w:r w:rsidR="00217646" w:rsidRPr="00217646">
        <w:t xml:space="preserve"> an independent advisor.</w:t>
      </w:r>
    </w:p>
    <w:p w14:paraId="48EEBB08" w14:textId="77777777" w:rsidR="00BF42CB" w:rsidRPr="00C33EB9" w:rsidRDefault="00BF42CB" w:rsidP="009F6796">
      <w:pPr>
        <w:pStyle w:val="HChG"/>
      </w:pPr>
      <w:r w:rsidRPr="00C33EB9">
        <w:tab/>
      </w:r>
      <w:r w:rsidRPr="00C33EB9">
        <w:tab/>
      </w:r>
      <w:r w:rsidR="002528A2" w:rsidRPr="00C33EB9">
        <w:t>Activities during the last semester</w:t>
      </w:r>
    </w:p>
    <w:p w14:paraId="098A0869" w14:textId="379CF580" w:rsidR="00BF42CB" w:rsidRDefault="00151A06" w:rsidP="00BF42CB">
      <w:pPr>
        <w:pStyle w:val="SingleTxtG"/>
      </w:pPr>
      <w:r>
        <w:t>2</w:t>
      </w:r>
      <w:r w:rsidR="00BF42CB" w:rsidRPr="00C33EB9">
        <w:t>.</w:t>
      </w:r>
      <w:r w:rsidR="00BF42CB" w:rsidRPr="00C33EB9">
        <w:tab/>
        <w:t>CEN ha</w:t>
      </w:r>
      <w:r w:rsidR="002528A2" w:rsidRPr="00C33EB9">
        <w:t xml:space="preserve">d </w:t>
      </w:r>
      <w:r w:rsidR="00BF42CB" w:rsidRPr="00C33EB9">
        <w:t xml:space="preserve">prepared </w:t>
      </w:r>
      <w:r w:rsidR="009152D4" w:rsidRPr="00C33EB9">
        <w:t>1</w:t>
      </w:r>
      <w:r w:rsidR="00BF42CB" w:rsidRPr="00C33EB9">
        <w:t xml:space="preserve"> dispatch</w:t>
      </w:r>
      <w:r w:rsidR="002528A2" w:rsidRPr="00C33EB9">
        <w:t xml:space="preserve"> </w:t>
      </w:r>
      <w:r w:rsidR="00DC60C6">
        <w:t>on 25 May 2019</w:t>
      </w:r>
      <w:r w:rsidR="003058BA">
        <w:t xml:space="preserve"> for consideration by the Working Group</w:t>
      </w:r>
      <w:r w:rsidR="00BF42CB" w:rsidRPr="00C33EB9">
        <w:t>.</w:t>
      </w:r>
      <w:r w:rsidR="003058BA">
        <w:t xml:space="preserve">  No independent assessment was provided.</w:t>
      </w:r>
    </w:p>
    <w:p w14:paraId="51786821" w14:textId="62B65FE2" w:rsidR="002D4C86" w:rsidRDefault="00151A06" w:rsidP="002D4C86">
      <w:pPr>
        <w:pStyle w:val="SingleTxtG"/>
      </w:pPr>
      <w:r>
        <w:t>3</w:t>
      </w:r>
      <w:r w:rsidR="002D4C86">
        <w:t>.</w:t>
      </w:r>
      <w:r w:rsidR="002D4C86">
        <w:tab/>
        <w:t xml:space="preserve">The Chair of the Working Group of Standards </w:t>
      </w:r>
      <w:r w:rsidR="004D01A7">
        <w:t xml:space="preserve">had </w:t>
      </w:r>
      <w:r w:rsidR="002D4C86">
        <w:t>reviewed the table in 4.1.6.15 of RID/ADR and found an inconsistent approach to the referencing of ISO standards.  Some were accompanied by a note reading “The EN version of this ISO standard fulfils the requirements and may also be used.”  However, this note is applied inconsistently, in one case it is present when the reference is to an EN ISO standard and sometimes it is not used when the standard referenced is an ISO standard which is also published as an EN ISO.  The Chair ask</w:t>
      </w:r>
      <w:r w:rsidR="004D01A7">
        <w:t>ed</w:t>
      </w:r>
      <w:r w:rsidR="002D4C86">
        <w:t xml:space="preserve"> the Working Group </w:t>
      </w:r>
      <w:r w:rsidR="004D01A7">
        <w:t xml:space="preserve">on Standards </w:t>
      </w:r>
      <w:r w:rsidR="002D4C86">
        <w:t xml:space="preserve">to agree </w:t>
      </w:r>
      <w:r w:rsidR="00A074AB">
        <w:t xml:space="preserve">to amend these references so that </w:t>
      </w:r>
      <w:r w:rsidR="003058BA">
        <w:t xml:space="preserve">EN ISO standards are referenced </w:t>
      </w:r>
      <w:r w:rsidR="00A074AB">
        <w:t>consi</w:t>
      </w:r>
      <w:r w:rsidR="00834879">
        <w:t>s</w:t>
      </w:r>
      <w:r w:rsidR="00A074AB">
        <w:t>tently</w:t>
      </w:r>
      <w:r w:rsidR="002D4C86">
        <w:t xml:space="preserve">.  </w:t>
      </w:r>
    </w:p>
    <w:p w14:paraId="0F7570E9" w14:textId="73E43097" w:rsidR="00151A06" w:rsidRDefault="003058BA" w:rsidP="002D4C86">
      <w:pPr>
        <w:pStyle w:val="SingleTxtG"/>
      </w:pPr>
      <w:r>
        <w:t>4</w:t>
      </w:r>
      <w:r w:rsidR="00151A06">
        <w:t>.</w:t>
      </w:r>
      <w:r w:rsidR="00151A06">
        <w:tab/>
        <w:t xml:space="preserve">Proposals for amendment of 4.1.6.15 are given at the end of the Annex of this paper </w:t>
      </w:r>
      <w:r>
        <w:t>as agreed</w:t>
      </w:r>
      <w:r w:rsidR="00151A06">
        <w:t xml:space="preserve"> by the Working Group on Standards.</w:t>
      </w:r>
      <w:r>
        <w:t xml:space="preserve">  The principle adopted is to reference the EN ISO version wherever </w:t>
      </w:r>
      <w:r w:rsidR="00A70580">
        <w:t>one</w:t>
      </w:r>
      <w:r>
        <w:t xml:space="preserve"> exists.</w:t>
      </w:r>
    </w:p>
    <w:p w14:paraId="74FCC5C2" w14:textId="13B6E0DC" w:rsidR="00A70580" w:rsidRPr="00C33EB9" w:rsidRDefault="00A70580" w:rsidP="002D4C86">
      <w:pPr>
        <w:pStyle w:val="SingleTxtG"/>
      </w:pPr>
      <w:r>
        <w:t>5.</w:t>
      </w:r>
      <w:r>
        <w:tab/>
        <w:t>The Annex shows the results of the teleconference of the Working Group on Standards held on 3 September 2019</w:t>
      </w:r>
      <w:r w:rsidR="004D01A7">
        <w:t>.</w:t>
      </w:r>
    </w:p>
    <w:p w14:paraId="0F716A35" w14:textId="77777777" w:rsidR="00BF42CB" w:rsidRPr="00C33EB9" w:rsidRDefault="00BF42CB" w:rsidP="009F6796">
      <w:pPr>
        <w:pStyle w:val="HChG"/>
      </w:pPr>
      <w:r w:rsidRPr="00C33EB9">
        <w:tab/>
      </w:r>
      <w:r w:rsidRPr="00C33EB9">
        <w:tab/>
        <w:t>New work items</w:t>
      </w:r>
    </w:p>
    <w:p w14:paraId="0D04205D" w14:textId="27D1CDC4" w:rsidR="00BF42CB" w:rsidRPr="00C33EB9" w:rsidRDefault="00151A06" w:rsidP="00BF42CB">
      <w:pPr>
        <w:pStyle w:val="SingleTxtG"/>
      </w:pPr>
      <w:r>
        <w:t>6</w:t>
      </w:r>
      <w:r w:rsidR="00BF42CB" w:rsidRPr="00C33EB9">
        <w:t>.</w:t>
      </w:r>
      <w:r w:rsidR="00BF42CB" w:rsidRPr="00C33EB9">
        <w:tab/>
        <w:t xml:space="preserve">With respect to CEN’s work programme the Joint Meeting is invited to take note that the following new work items related to the transport of dangerous goods have been added to the programme of CEN/TC’s 23, </w:t>
      </w:r>
      <w:r w:rsidR="002528A2" w:rsidRPr="00C33EB9">
        <w:t xml:space="preserve">268, </w:t>
      </w:r>
      <w:r w:rsidR="00BF42CB" w:rsidRPr="00C33EB9">
        <w:t xml:space="preserve">286 and 296. </w:t>
      </w:r>
      <w:r w:rsidR="007C5B41" w:rsidRPr="00C33EB9">
        <w:t>It has been decided to review a</w:t>
      </w:r>
      <w:r w:rsidR="00BF42CB" w:rsidRPr="00C33EB9">
        <w:t xml:space="preserve">dditional CEN standards which are already referenced in RID/ADR/ADN. </w:t>
      </w:r>
    </w:p>
    <w:p w14:paraId="725A5098" w14:textId="36CFAA40" w:rsidR="00BF42CB" w:rsidRPr="00C33EB9" w:rsidRDefault="00151A06" w:rsidP="00BF42CB">
      <w:pPr>
        <w:pStyle w:val="SingleTxtG"/>
      </w:pPr>
      <w:r>
        <w:t>7</w:t>
      </w:r>
      <w:r w:rsidR="00BF42CB" w:rsidRPr="00C33EB9">
        <w:t>.</w:t>
      </w:r>
      <w:r w:rsidR="00BF42CB" w:rsidRPr="00C33EB9">
        <w:tab/>
        <w:t xml:space="preserve">The </w:t>
      </w:r>
      <w:r w:rsidR="009F6796" w:rsidRPr="00C33EB9">
        <w:t>m</w:t>
      </w:r>
      <w:r w:rsidR="00BF42CB" w:rsidRPr="00C33EB9">
        <w:t xml:space="preserve">embers of the Joint Meeting are invited to </w:t>
      </w:r>
      <w:r w:rsidR="007C5B41" w:rsidRPr="00C33EB9">
        <w:t xml:space="preserve">advise </w:t>
      </w:r>
      <w:r w:rsidR="00BF42CB" w:rsidRPr="00C33EB9">
        <w:t>their experts to take part in the drafting and revision process of these work items via their national standardization bodies.</w:t>
      </w:r>
    </w:p>
    <w:p w14:paraId="0DD2DBFF" w14:textId="77777777" w:rsidR="00BF42CB" w:rsidRPr="00C33EB9" w:rsidRDefault="00BF42CB" w:rsidP="00BF42CB">
      <w:pPr>
        <w:keepNext/>
        <w:tabs>
          <w:tab w:val="left" w:pos="900"/>
        </w:tabs>
        <w:autoSpaceDE w:val="0"/>
        <w:autoSpaceDN w:val="0"/>
        <w:adjustRightInd w:val="0"/>
        <w:spacing w:after="120"/>
        <w:jc w:val="both"/>
        <w:rPr>
          <w:b/>
        </w:rPr>
      </w:pPr>
      <w:r w:rsidRPr="00C33EB9">
        <w:rPr>
          <w:b/>
        </w:rPr>
        <w:lastRenderedPageBreak/>
        <w:tab/>
      </w:r>
      <w:r w:rsidRPr="00C33EB9">
        <w:rPr>
          <w:b/>
        </w:rPr>
        <w:tab/>
        <w:t xml:space="preserve">Table of new CEN work items related to provisions of RID/ADR/ADN </w:t>
      </w:r>
    </w:p>
    <w:p w14:paraId="6D4E7404" w14:textId="77777777" w:rsidR="00555DAA" w:rsidRPr="00C33EB9" w:rsidRDefault="00555DAA" w:rsidP="00BF42CB">
      <w:pPr>
        <w:keepNext/>
        <w:tabs>
          <w:tab w:val="left" w:pos="900"/>
        </w:tabs>
        <w:autoSpaceDE w:val="0"/>
        <w:autoSpaceDN w:val="0"/>
        <w:adjustRightInd w:val="0"/>
        <w:spacing w:after="120"/>
        <w:jc w:val="both"/>
        <w:rPr>
          <w:b/>
        </w:rPr>
      </w:pPr>
    </w:p>
    <w:tbl>
      <w:tblPr>
        <w:tblW w:w="913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843"/>
        <w:gridCol w:w="1134"/>
        <w:gridCol w:w="2047"/>
        <w:gridCol w:w="4110"/>
      </w:tblGrid>
      <w:tr w:rsidR="00BF42CB" w:rsidRPr="00C33EB9" w14:paraId="185EA583" w14:textId="77777777" w:rsidTr="00E958B8">
        <w:tc>
          <w:tcPr>
            <w:tcW w:w="1843" w:type="dxa"/>
            <w:shd w:val="clear" w:color="auto" w:fill="F2F2F2"/>
            <w:vAlign w:val="bottom"/>
          </w:tcPr>
          <w:p w14:paraId="75C5A800" w14:textId="77777777" w:rsidR="00BF42CB" w:rsidRPr="00C33EB9" w:rsidRDefault="00BF42CB" w:rsidP="00BF42CB">
            <w:pPr>
              <w:keepNext/>
              <w:spacing w:before="80" w:after="80" w:line="200" w:lineRule="exact"/>
              <w:ind w:right="113"/>
              <w:jc w:val="center"/>
              <w:rPr>
                <w:b/>
                <w:sz w:val="18"/>
                <w:szCs w:val="18"/>
              </w:rPr>
            </w:pPr>
            <w:r w:rsidRPr="00C33EB9">
              <w:rPr>
                <w:b/>
                <w:iCs/>
                <w:sz w:val="18"/>
                <w:szCs w:val="18"/>
              </w:rPr>
              <w:t>Responsible standardizing body</w:t>
            </w:r>
          </w:p>
        </w:tc>
        <w:tc>
          <w:tcPr>
            <w:tcW w:w="1134" w:type="dxa"/>
            <w:shd w:val="clear" w:color="auto" w:fill="F2F2F2"/>
          </w:tcPr>
          <w:p w14:paraId="3ACAED3B" w14:textId="77777777" w:rsidR="00BF42CB" w:rsidRPr="00C33EB9" w:rsidRDefault="00BF42CB" w:rsidP="00BF42CB">
            <w:pPr>
              <w:keepNext/>
              <w:spacing w:before="80" w:after="80" w:line="200" w:lineRule="exact"/>
              <w:ind w:right="113"/>
              <w:jc w:val="center"/>
              <w:rPr>
                <w:b/>
                <w:iCs/>
                <w:sz w:val="18"/>
                <w:szCs w:val="18"/>
              </w:rPr>
            </w:pPr>
            <w:r w:rsidRPr="00C33EB9">
              <w:rPr>
                <w:b/>
                <w:iCs/>
                <w:sz w:val="18"/>
                <w:szCs w:val="18"/>
              </w:rPr>
              <w:t>Work item No.</w:t>
            </w:r>
          </w:p>
        </w:tc>
        <w:tc>
          <w:tcPr>
            <w:tcW w:w="2047" w:type="dxa"/>
            <w:shd w:val="clear" w:color="auto" w:fill="F2F2F2"/>
          </w:tcPr>
          <w:p w14:paraId="15FBB333" w14:textId="77777777" w:rsidR="00BF42CB" w:rsidRPr="00C33EB9" w:rsidRDefault="00BF42CB" w:rsidP="00BF42CB">
            <w:pPr>
              <w:keepNext/>
              <w:spacing w:before="80" w:after="80" w:line="200" w:lineRule="exact"/>
              <w:ind w:right="113"/>
              <w:jc w:val="center"/>
              <w:rPr>
                <w:b/>
                <w:iCs/>
                <w:sz w:val="18"/>
                <w:szCs w:val="18"/>
              </w:rPr>
            </w:pPr>
            <w:r w:rsidRPr="00C33EB9">
              <w:rPr>
                <w:b/>
                <w:iCs/>
                <w:sz w:val="18"/>
                <w:szCs w:val="18"/>
              </w:rPr>
              <w:t>Reference</w:t>
            </w:r>
          </w:p>
        </w:tc>
        <w:tc>
          <w:tcPr>
            <w:tcW w:w="4110" w:type="dxa"/>
            <w:shd w:val="clear" w:color="auto" w:fill="F2F2F2"/>
          </w:tcPr>
          <w:p w14:paraId="741658EE" w14:textId="77777777" w:rsidR="00BF42CB" w:rsidRPr="00C33EB9" w:rsidRDefault="00BF42CB" w:rsidP="00BF42CB">
            <w:pPr>
              <w:keepNext/>
              <w:spacing w:before="80" w:after="80" w:line="200" w:lineRule="exact"/>
              <w:ind w:right="113"/>
              <w:jc w:val="center"/>
              <w:rPr>
                <w:b/>
                <w:iCs/>
                <w:sz w:val="18"/>
                <w:szCs w:val="18"/>
              </w:rPr>
            </w:pPr>
            <w:r w:rsidRPr="00C33EB9">
              <w:rPr>
                <w:b/>
                <w:iCs/>
                <w:sz w:val="18"/>
                <w:szCs w:val="18"/>
              </w:rPr>
              <w:t>Title</w:t>
            </w:r>
          </w:p>
        </w:tc>
      </w:tr>
      <w:tr w:rsidR="0043524A" w:rsidRPr="00C33EB9" w14:paraId="0495BFAE" w14:textId="77777777" w:rsidTr="00E958B8">
        <w:trPr>
          <w:trHeight w:val="420"/>
        </w:trPr>
        <w:tc>
          <w:tcPr>
            <w:tcW w:w="1843" w:type="dxa"/>
            <w:shd w:val="clear" w:color="auto" w:fill="auto"/>
          </w:tcPr>
          <w:p w14:paraId="40F376ED" w14:textId="1056208D" w:rsidR="0043524A" w:rsidRDefault="0043524A" w:rsidP="0043524A">
            <w:r>
              <w:t>CEN/TC 23</w:t>
            </w:r>
          </w:p>
        </w:tc>
        <w:tc>
          <w:tcPr>
            <w:tcW w:w="1134" w:type="dxa"/>
            <w:shd w:val="clear" w:color="auto" w:fill="auto"/>
          </w:tcPr>
          <w:p w14:paraId="57262755" w14:textId="77E4D5D5" w:rsidR="0043524A" w:rsidRDefault="00403CCD" w:rsidP="0043524A">
            <w:pPr>
              <w:rPr>
                <w:color w:val="000000"/>
              </w:rPr>
            </w:pPr>
            <w:r>
              <w:rPr>
                <w:color w:val="000000"/>
              </w:rPr>
              <w:t>00023214</w:t>
            </w:r>
          </w:p>
        </w:tc>
        <w:tc>
          <w:tcPr>
            <w:tcW w:w="2047" w:type="dxa"/>
            <w:shd w:val="clear" w:color="auto" w:fill="auto"/>
          </w:tcPr>
          <w:p w14:paraId="6DBFBB6C" w14:textId="0119D669" w:rsidR="0043524A" w:rsidRPr="00B17B1A" w:rsidRDefault="00403CCD" w:rsidP="0043524A">
            <w:pPr>
              <w:rPr>
                <w:color w:val="000000"/>
                <w:lang w:val="en-US"/>
              </w:rPr>
            </w:pPr>
            <w:proofErr w:type="spellStart"/>
            <w:r w:rsidRPr="00403CCD">
              <w:rPr>
                <w:color w:val="000000"/>
              </w:rPr>
              <w:t>prEN</w:t>
            </w:r>
            <w:proofErr w:type="spellEnd"/>
            <w:r w:rsidRPr="00403CCD">
              <w:rPr>
                <w:color w:val="000000"/>
              </w:rPr>
              <w:t xml:space="preserve"> 12245 rev</w:t>
            </w:r>
          </w:p>
        </w:tc>
        <w:tc>
          <w:tcPr>
            <w:tcW w:w="4110" w:type="dxa"/>
            <w:shd w:val="clear" w:color="auto" w:fill="auto"/>
          </w:tcPr>
          <w:p w14:paraId="6F860C60" w14:textId="2FA3C76A" w:rsidR="0043524A" w:rsidRPr="00B17B1A" w:rsidRDefault="00403CCD" w:rsidP="0043524A">
            <w:pPr>
              <w:rPr>
                <w:color w:val="000000"/>
                <w:lang w:val="en-US"/>
              </w:rPr>
            </w:pPr>
            <w:r w:rsidRPr="00403CCD">
              <w:rPr>
                <w:color w:val="000000"/>
                <w:lang w:val="en-US"/>
              </w:rPr>
              <w:t>Transportable gas cylinders Fully wrapped composite cylinders</w:t>
            </w:r>
          </w:p>
        </w:tc>
      </w:tr>
      <w:tr w:rsidR="0043524A" w:rsidRPr="00C33EB9" w14:paraId="5554E36D" w14:textId="77777777" w:rsidTr="00E958B8">
        <w:trPr>
          <w:trHeight w:val="420"/>
        </w:trPr>
        <w:tc>
          <w:tcPr>
            <w:tcW w:w="1843" w:type="dxa"/>
            <w:shd w:val="clear" w:color="auto" w:fill="auto"/>
          </w:tcPr>
          <w:p w14:paraId="61F85A64" w14:textId="23591880" w:rsidR="0043524A" w:rsidRDefault="0043524A" w:rsidP="0043524A">
            <w:r>
              <w:t>CEN/TC 23</w:t>
            </w:r>
          </w:p>
        </w:tc>
        <w:tc>
          <w:tcPr>
            <w:tcW w:w="1134" w:type="dxa"/>
            <w:shd w:val="clear" w:color="auto" w:fill="auto"/>
          </w:tcPr>
          <w:p w14:paraId="0FB0A851" w14:textId="0027DF73" w:rsidR="0043524A" w:rsidRPr="00134194" w:rsidRDefault="00403CCD" w:rsidP="0043524A">
            <w:pPr>
              <w:rPr>
                <w:color w:val="000000"/>
              </w:rPr>
            </w:pPr>
            <w:r>
              <w:rPr>
                <w:color w:val="000000"/>
              </w:rPr>
              <w:t>00023215</w:t>
            </w:r>
          </w:p>
        </w:tc>
        <w:tc>
          <w:tcPr>
            <w:tcW w:w="2047" w:type="dxa"/>
            <w:shd w:val="clear" w:color="auto" w:fill="auto"/>
          </w:tcPr>
          <w:p w14:paraId="0735D3D1" w14:textId="08D3EC74" w:rsidR="0043524A" w:rsidRPr="00134194" w:rsidRDefault="00403CCD" w:rsidP="0043524A">
            <w:pPr>
              <w:rPr>
                <w:color w:val="000000"/>
                <w:lang w:val="en-US"/>
              </w:rPr>
            </w:pPr>
            <w:proofErr w:type="spellStart"/>
            <w:r w:rsidRPr="00403CCD">
              <w:rPr>
                <w:color w:val="000000"/>
                <w:lang w:val="en-US"/>
              </w:rPr>
              <w:t>prEN</w:t>
            </w:r>
            <w:proofErr w:type="spellEnd"/>
            <w:r w:rsidRPr="00403CCD">
              <w:rPr>
                <w:color w:val="000000"/>
                <w:lang w:val="en-US"/>
              </w:rPr>
              <w:t xml:space="preserve"> ISO 11114-2 rev</w:t>
            </w:r>
          </w:p>
        </w:tc>
        <w:tc>
          <w:tcPr>
            <w:tcW w:w="4110" w:type="dxa"/>
            <w:shd w:val="clear" w:color="auto" w:fill="auto"/>
          </w:tcPr>
          <w:p w14:paraId="370BA8BB" w14:textId="5953D2A3" w:rsidR="0043524A" w:rsidRPr="00134194" w:rsidRDefault="00403CCD" w:rsidP="0043524A">
            <w:pPr>
              <w:rPr>
                <w:color w:val="000000"/>
                <w:lang w:val="en-US"/>
              </w:rPr>
            </w:pPr>
            <w:r w:rsidRPr="00403CCD">
              <w:rPr>
                <w:color w:val="000000"/>
                <w:lang w:val="en-US"/>
              </w:rPr>
              <w:t>Gas cylinders - Compatibility of cylinder and valve materials with gas contents - Part 2: Non-metallic materials</w:t>
            </w:r>
          </w:p>
        </w:tc>
      </w:tr>
      <w:tr w:rsidR="00E958B8" w:rsidRPr="00C33EB9" w14:paraId="734638CC" w14:textId="77777777" w:rsidTr="00E958B8">
        <w:trPr>
          <w:trHeight w:val="420"/>
        </w:trPr>
        <w:tc>
          <w:tcPr>
            <w:tcW w:w="1843" w:type="dxa"/>
            <w:shd w:val="clear" w:color="auto" w:fill="auto"/>
          </w:tcPr>
          <w:p w14:paraId="29458E8D" w14:textId="6179D32A" w:rsidR="00E958B8" w:rsidRDefault="00E958B8" w:rsidP="0043524A">
            <w:r>
              <w:t>CEN/TC 286</w:t>
            </w:r>
          </w:p>
        </w:tc>
        <w:tc>
          <w:tcPr>
            <w:tcW w:w="1134" w:type="dxa"/>
            <w:shd w:val="clear" w:color="auto" w:fill="auto"/>
          </w:tcPr>
          <w:p w14:paraId="6C7A7676" w14:textId="2A6CB250" w:rsidR="00E958B8" w:rsidRPr="00E958B8" w:rsidRDefault="00E958B8" w:rsidP="00F753B9">
            <w:pPr>
              <w:rPr>
                <w:color w:val="000000"/>
              </w:rPr>
            </w:pPr>
            <w:r w:rsidRPr="00E958B8">
              <w:rPr>
                <w:color w:val="000000"/>
              </w:rPr>
              <w:t>00286197</w:t>
            </w:r>
          </w:p>
        </w:tc>
        <w:tc>
          <w:tcPr>
            <w:tcW w:w="2047" w:type="dxa"/>
            <w:shd w:val="clear" w:color="auto" w:fill="auto"/>
          </w:tcPr>
          <w:p w14:paraId="311F7265" w14:textId="5464FB72" w:rsidR="00E958B8" w:rsidRPr="00E958B8" w:rsidRDefault="00E958B8" w:rsidP="0043524A">
            <w:pPr>
              <w:rPr>
                <w:color w:val="000000"/>
                <w:lang w:val="en-US"/>
              </w:rPr>
            </w:pPr>
            <w:r w:rsidRPr="00E958B8">
              <w:rPr>
                <w:color w:val="000000"/>
                <w:lang w:val="en-US"/>
              </w:rPr>
              <w:t>EN 14071:2015+A1:2019</w:t>
            </w:r>
          </w:p>
        </w:tc>
        <w:tc>
          <w:tcPr>
            <w:tcW w:w="4110" w:type="dxa"/>
            <w:shd w:val="clear" w:color="auto" w:fill="auto"/>
          </w:tcPr>
          <w:p w14:paraId="1E746B54" w14:textId="1BB29805" w:rsidR="00E958B8" w:rsidRPr="00E958B8" w:rsidRDefault="00E958B8" w:rsidP="00F753B9">
            <w:pPr>
              <w:rPr>
                <w:color w:val="000000"/>
                <w:lang w:val="en-US"/>
              </w:rPr>
            </w:pPr>
            <w:r w:rsidRPr="00E958B8">
              <w:rPr>
                <w:color w:val="000000"/>
                <w:lang w:val="en-US"/>
              </w:rPr>
              <w:t>LPG equipment and accessories - Pressure relief valves for LPG pressure vessels - Ancillary equipment</w:t>
            </w:r>
          </w:p>
        </w:tc>
      </w:tr>
      <w:tr w:rsidR="00E958B8" w:rsidRPr="00C33EB9" w14:paraId="0CDB2439" w14:textId="77777777" w:rsidTr="00E958B8">
        <w:trPr>
          <w:trHeight w:val="420"/>
        </w:trPr>
        <w:tc>
          <w:tcPr>
            <w:tcW w:w="1843" w:type="dxa"/>
            <w:shd w:val="clear" w:color="auto" w:fill="auto"/>
          </w:tcPr>
          <w:p w14:paraId="24EA0D20" w14:textId="195C7276" w:rsidR="00E958B8" w:rsidRDefault="00E958B8" w:rsidP="00E958B8">
            <w:r>
              <w:t>CEN/TC 286</w:t>
            </w:r>
          </w:p>
        </w:tc>
        <w:tc>
          <w:tcPr>
            <w:tcW w:w="1134" w:type="dxa"/>
            <w:shd w:val="clear" w:color="auto" w:fill="auto"/>
          </w:tcPr>
          <w:p w14:paraId="42065B9E" w14:textId="0A9FCDEC" w:rsidR="00E958B8" w:rsidRPr="00E958B8" w:rsidRDefault="00E958B8" w:rsidP="00E958B8">
            <w:pPr>
              <w:rPr>
                <w:color w:val="000000"/>
              </w:rPr>
            </w:pPr>
            <w:r w:rsidRPr="00E958B8">
              <w:rPr>
                <w:color w:val="000000"/>
              </w:rPr>
              <w:t>00286198</w:t>
            </w:r>
          </w:p>
        </w:tc>
        <w:tc>
          <w:tcPr>
            <w:tcW w:w="2047" w:type="dxa"/>
            <w:shd w:val="clear" w:color="auto" w:fill="auto"/>
          </w:tcPr>
          <w:p w14:paraId="08F591D2" w14:textId="2FAB7AED" w:rsidR="00E958B8" w:rsidRPr="00E958B8" w:rsidRDefault="00E958B8" w:rsidP="00E958B8">
            <w:pPr>
              <w:rPr>
                <w:color w:val="000000"/>
                <w:lang w:val="en-US"/>
              </w:rPr>
            </w:pPr>
            <w:proofErr w:type="spellStart"/>
            <w:r w:rsidRPr="00E958B8">
              <w:rPr>
                <w:color w:val="000000"/>
                <w:lang w:val="en-US"/>
              </w:rPr>
              <w:t>prEN</w:t>
            </w:r>
            <w:proofErr w:type="spellEnd"/>
            <w:r w:rsidRPr="00E958B8">
              <w:rPr>
                <w:color w:val="000000"/>
                <w:lang w:val="en-US"/>
              </w:rPr>
              <w:t xml:space="preserve"> 14427 rev</w:t>
            </w:r>
          </w:p>
        </w:tc>
        <w:tc>
          <w:tcPr>
            <w:tcW w:w="4110" w:type="dxa"/>
            <w:shd w:val="clear" w:color="auto" w:fill="auto"/>
          </w:tcPr>
          <w:p w14:paraId="4FE7DB76" w14:textId="6097A5AB" w:rsidR="00E958B8" w:rsidRPr="00E958B8" w:rsidRDefault="00E958B8" w:rsidP="00E958B8">
            <w:pPr>
              <w:rPr>
                <w:color w:val="000000"/>
                <w:lang w:val="en-US"/>
              </w:rPr>
            </w:pPr>
            <w:r w:rsidRPr="00E958B8">
              <w:rPr>
                <w:color w:val="000000"/>
                <w:lang w:val="en-US"/>
              </w:rPr>
              <w:t>LPG equipment and accessories - Transportable refillable fully wrapped composite cylinders for LPG - Design and construction</w:t>
            </w:r>
          </w:p>
        </w:tc>
      </w:tr>
    </w:tbl>
    <w:p w14:paraId="197B29BF" w14:textId="77777777" w:rsidR="00BF42CB" w:rsidRPr="00C33EB9" w:rsidRDefault="00BF42CB" w:rsidP="009F6796">
      <w:pPr>
        <w:pStyle w:val="HChG"/>
      </w:pPr>
      <w:r w:rsidRPr="00C33EB9">
        <w:tab/>
      </w:r>
      <w:r w:rsidRPr="00C33EB9">
        <w:tab/>
        <w:t>New and amended references to standards</w:t>
      </w:r>
    </w:p>
    <w:p w14:paraId="24FD47F9" w14:textId="57C32F1E" w:rsidR="00BF42CB" w:rsidRPr="00C33EB9" w:rsidRDefault="00151A06" w:rsidP="006336F1">
      <w:pPr>
        <w:pStyle w:val="SingleTxtG"/>
        <w:rPr>
          <w:snapToGrid w:val="0"/>
          <w:lang w:val="en-US"/>
        </w:rPr>
      </w:pPr>
      <w:r>
        <w:rPr>
          <w:snapToGrid w:val="0"/>
          <w:lang w:val="en-US"/>
        </w:rPr>
        <w:t>8</w:t>
      </w:r>
      <w:r w:rsidR="00BF42CB" w:rsidRPr="00C33EB9">
        <w:rPr>
          <w:snapToGrid w:val="0"/>
          <w:lang w:val="en-US"/>
        </w:rPr>
        <w:t>.</w:t>
      </w:r>
      <w:r w:rsidR="00BF42CB" w:rsidRPr="00C33EB9">
        <w:rPr>
          <w:snapToGrid w:val="0"/>
          <w:lang w:val="en-US"/>
        </w:rPr>
        <w:tab/>
        <w:t xml:space="preserve">Since the session of </w:t>
      </w:r>
      <w:r w:rsidR="0072474C">
        <w:rPr>
          <w:snapToGrid w:val="0"/>
          <w:lang w:val="en-US"/>
        </w:rPr>
        <w:t>March</w:t>
      </w:r>
      <w:r w:rsidR="00F051B8" w:rsidRPr="00C33EB9">
        <w:rPr>
          <w:snapToGrid w:val="0"/>
          <w:lang w:val="en-US"/>
        </w:rPr>
        <w:t xml:space="preserve"> </w:t>
      </w:r>
      <w:r w:rsidR="00BF42CB" w:rsidRPr="00C33EB9">
        <w:rPr>
          <w:snapToGrid w:val="0"/>
          <w:lang w:val="en-US"/>
        </w:rPr>
        <w:t>201</w:t>
      </w:r>
      <w:r w:rsidR="0072474C">
        <w:rPr>
          <w:snapToGrid w:val="0"/>
          <w:lang w:val="en-US"/>
        </w:rPr>
        <w:t>9</w:t>
      </w:r>
      <w:r w:rsidR="00BF42CB" w:rsidRPr="00C33EB9">
        <w:rPr>
          <w:snapToGrid w:val="0"/>
          <w:lang w:val="en-US"/>
        </w:rPr>
        <w:t xml:space="preserve">, draft standards have reached the enquiry and </w:t>
      </w:r>
      <w:r w:rsidR="009654CE" w:rsidRPr="00C33EB9">
        <w:rPr>
          <w:snapToGrid w:val="0"/>
          <w:lang w:val="en-US"/>
        </w:rPr>
        <w:t>F</w:t>
      </w:r>
      <w:r w:rsidR="00BF42CB" w:rsidRPr="00C33EB9">
        <w:rPr>
          <w:snapToGrid w:val="0"/>
          <w:lang w:val="en-US"/>
        </w:rPr>
        <w:t>ormal vote stage</w:t>
      </w:r>
      <w:r w:rsidR="0040748F">
        <w:rPr>
          <w:snapToGrid w:val="0"/>
          <w:lang w:val="en-US"/>
        </w:rPr>
        <w:t>s</w:t>
      </w:r>
      <w:r w:rsidR="00BF42CB" w:rsidRPr="00C33EB9">
        <w:rPr>
          <w:snapToGrid w:val="0"/>
          <w:lang w:val="en-US"/>
        </w:rPr>
        <w:t>. They have been made available for consultation by members of the Joint Meeting on the dedicated CEN webpage (Dispatch 1).</w:t>
      </w:r>
    </w:p>
    <w:p w14:paraId="67115191" w14:textId="1104CC35" w:rsidR="00031AED" w:rsidRPr="00C33EB9" w:rsidRDefault="00151A06" w:rsidP="00031AED">
      <w:pPr>
        <w:ind w:left="1134" w:right="1134"/>
        <w:jc w:val="both"/>
        <w:rPr>
          <w:snapToGrid w:val="0"/>
          <w:lang w:val="en-US"/>
        </w:rPr>
      </w:pPr>
      <w:r>
        <w:rPr>
          <w:snapToGrid w:val="0"/>
          <w:lang w:val="en-US"/>
        </w:rPr>
        <w:t>9</w:t>
      </w:r>
      <w:r w:rsidR="00BF42CB" w:rsidRPr="00C33EB9">
        <w:rPr>
          <w:snapToGrid w:val="0"/>
          <w:lang w:val="en-US"/>
        </w:rPr>
        <w:t>.</w:t>
      </w:r>
      <w:r w:rsidR="00BF42CB" w:rsidRPr="00C33EB9">
        <w:rPr>
          <w:snapToGrid w:val="0"/>
          <w:lang w:val="en-US"/>
        </w:rPr>
        <w:tab/>
      </w:r>
      <w:r w:rsidR="00031AED" w:rsidRPr="00C33EB9">
        <w:rPr>
          <w:snapToGrid w:val="0"/>
          <w:lang w:val="en-US"/>
        </w:rPr>
        <w:t>Members of the Joint Meeting have already been invited to provide their comments on the documents listed in Dispatch 1. They still have the time to provide their comments to CCMC (</w:t>
      </w:r>
      <w:hyperlink r:id="rId8" w:history="1">
        <w:r w:rsidR="00031AED" w:rsidRPr="003B07DC">
          <w:rPr>
            <w:rStyle w:val="Hyperlink"/>
            <w:snapToGrid w:val="0"/>
            <w:lang w:val="en-US"/>
          </w:rPr>
          <w:t>macarreira@cencenelec.eu</w:t>
        </w:r>
      </w:hyperlink>
      <w:r w:rsidR="00031AED" w:rsidRPr="00C33EB9">
        <w:rPr>
          <w:snapToGrid w:val="0"/>
          <w:lang w:val="en-US"/>
        </w:rPr>
        <w:t xml:space="preserve">) </w:t>
      </w:r>
      <w:r w:rsidR="00031AED">
        <w:rPr>
          <w:snapToGrid w:val="0"/>
          <w:lang w:val="en-US"/>
        </w:rPr>
        <w:t xml:space="preserve">– </w:t>
      </w:r>
      <w:r w:rsidR="00031AED" w:rsidRPr="0040748F">
        <w:rPr>
          <w:b/>
          <w:snapToGrid w:val="0"/>
          <w:lang w:val="en-US"/>
        </w:rPr>
        <w:t>till</w:t>
      </w:r>
      <w:r w:rsidR="003E16DD">
        <w:rPr>
          <w:b/>
          <w:snapToGrid w:val="0"/>
          <w:lang w:val="en-US"/>
        </w:rPr>
        <w:t xml:space="preserve"> 15</w:t>
      </w:r>
      <w:r w:rsidR="00031AED" w:rsidRPr="0040748F">
        <w:rPr>
          <w:b/>
          <w:snapToGrid w:val="0"/>
          <w:vertAlign w:val="superscript"/>
          <w:lang w:val="en-US"/>
        </w:rPr>
        <w:t>st</w:t>
      </w:r>
      <w:r w:rsidR="00031AED" w:rsidRPr="0040748F">
        <w:rPr>
          <w:b/>
          <w:snapToGrid w:val="0"/>
          <w:lang w:val="en-US"/>
        </w:rPr>
        <w:t xml:space="preserve"> </w:t>
      </w:r>
      <w:r w:rsidR="00031AED">
        <w:rPr>
          <w:b/>
          <w:snapToGrid w:val="0"/>
          <w:lang w:val="en-US"/>
        </w:rPr>
        <w:t>June</w:t>
      </w:r>
      <w:r w:rsidR="00031AED" w:rsidRPr="0040748F">
        <w:rPr>
          <w:b/>
          <w:snapToGrid w:val="0"/>
          <w:lang w:val="en-US"/>
        </w:rPr>
        <w:t xml:space="preserve"> 2019</w:t>
      </w:r>
      <w:r w:rsidR="00031AED">
        <w:rPr>
          <w:snapToGrid w:val="0"/>
          <w:lang w:val="en-US"/>
        </w:rPr>
        <w:t>.</w:t>
      </w:r>
      <w:r w:rsidR="00031AED" w:rsidRPr="00C33EB9">
        <w:rPr>
          <w:snapToGrid w:val="0"/>
          <w:lang w:val="en-US"/>
        </w:rPr>
        <w:t xml:space="preserve"> It is foreseen to organize ad hoc web-conferences in order to review those comments second </w:t>
      </w:r>
      <w:r w:rsidR="00031AED">
        <w:rPr>
          <w:snapToGrid w:val="0"/>
          <w:lang w:val="en-US"/>
        </w:rPr>
        <w:t>beginning September 2019</w:t>
      </w:r>
      <w:r w:rsidR="00031AED" w:rsidRPr="00C33EB9">
        <w:rPr>
          <w:snapToGrid w:val="0"/>
          <w:lang w:val="en-US"/>
        </w:rPr>
        <w:t xml:space="preserve"> (calendar of dates still to be defined with JM Working Group on Standards). All comments will be consolidated in a separate document and be provided to the Joint Meeting. </w:t>
      </w:r>
    </w:p>
    <w:p w14:paraId="0ECA6BEB" w14:textId="15198CEB" w:rsidR="00BF42CB" w:rsidRPr="00C33EB9" w:rsidRDefault="00BF42CB" w:rsidP="006336F1">
      <w:pPr>
        <w:ind w:left="1134" w:right="1134"/>
        <w:jc w:val="both"/>
        <w:rPr>
          <w:snapToGrid w:val="0"/>
          <w:lang w:val="en-US"/>
        </w:rPr>
      </w:pPr>
    </w:p>
    <w:p w14:paraId="3BF42A49" w14:textId="77777777" w:rsidR="006336F1" w:rsidRPr="00C33EB9" w:rsidRDefault="006336F1" w:rsidP="006336F1">
      <w:pPr>
        <w:ind w:left="1134" w:right="1134"/>
        <w:jc w:val="both"/>
        <w:sectPr w:rsidR="006336F1" w:rsidRPr="00C33EB9" w:rsidSect="00A20053">
          <w:headerReference w:type="even" r:id="rId9"/>
          <w:headerReference w:type="default" r:id="rId10"/>
          <w:footerReference w:type="even" r:id="rId11"/>
          <w:footerReference w:type="default" r:id="rId12"/>
          <w:headerReference w:type="first" r:id="rId13"/>
          <w:footnotePr>
            <w:numFmt w:val="chicago"/>
          </w:footnotePr>
          <w:endnotePr>
            <w:numFmt w:val="decimal"/>
          </w:endnotePr>
          <w:type w:val="continuous"/>
          <w:pgSz w:w="11907" w:h="16840" w:code="9"/>
          <w:pgMar w:top="1418" w:right="1134" w:bottom="1134" w:left="1134" w:header="851" w:footer="567" w:gutter="0"/>
          <w:cols w:space="720"/>
          <w:titlePg/>
          <w:docGrid w:linePitch="272"/>
        </w:sectPr>
      </w:pPr>
    </w:p>
    <w:p w14:paraId="069ACFD8" w14:textId="77777777" w:rsidR="00BF42CB" w:rsidRPr="00C33EB9" w:rsidRDefault="00BF42CB" w:rsidP="00BF42CB">
      <w:pPr>
        <w:pStyle w:val="HChG"/>
        <w:outlineLvl w:val="0"/>
      </w:pPr>
      <w:r w:rsidRPr="00C33EB9">
        <w:lastRenderedPageBreak/>
        <w:t>Annex</w:t>
      </w:r>
      <w:r w:rsidR="009F6796" w:rsidRPr="00C33EB9">
        <w:tab/>
      </w:r>
      <w:r w:rsidR="009F6796" w:rsidRPr="00C33EB9">
        <w:tab/>
      </w:r>
      <w:r w:rsidR="009F6796" w:rsidRPr="00C33EB9">
        <w:tab/>
      </w:r>
      <w:r w:rsidR="009F6796" w:rsidRPr="00C33EB9">
        <w:tab/>
      </w:r>
      <w:r w:rsidR="009F6796" w:rsidRPr="00C33EB9">
        <w:tab/>
      </w:r>
      <w:r w:rsidR="009F6796" w:rsidRPr="00C33EB9">
        <w:tab/>
      </w:r>
      <w:r w:rsidR="009F6796" w:rsidRPr="00C33EB9">
        <w:tab/>
      </w:r>
      <w:r w:rsidR="009F6796" w:rsidRPr="00C33EB9">
        <w:tab/>
      </w:r>
      <w:r w:rsidR="009F6796" w:rsidRPr="00C33EB9">
        <w:tab/>
      </w:r>
      <w:r w:rsidR="009F6796" w:rsidRPr="00C33EB9">
        <w:tab/>
      </w:r>
      <w:r w:rsidR="009F6796" w:rsidRPr="00C33EB9">
        <w:tab/>
      </w:r>
      <w:r w:rsidR="009F6796" w:rsidRPr="00C33EB9">
        <w:tab/>
      </w:r>
      <w:r w:rsidR="009F6796" w:rsidRPr="00C33EB9">
        <w:tab/>
      </w:r>
      <w:r w:rsidR="009F6796" w:rsidRPr="00C33EB9">
        <w:tab/>
      </w:r>
      <w:r w:rsidR="009F6796" w:rsidRPr="00C33EB9">
        <w:tab/>
      </w:r>
      <w:r w:rsidR="009F6796" w:rsidRPr="00C33EB9">
        <w:tab/>
      </w:r>
      <w:r w:rsidR="009F6796" w:rsidRPr="00C33EB9">
        <w:tab/>
        <w:t>[English only]</w:t>
      </w:r>
    </w:p>
    <w:p w14:paraId="7C245128" w14:textId="77777777" w:rsidR="00BF42CB" w:rsidRPr="00C33EB9" w:rsidRDefault="00BF42CB" w:rsidP="00BF42CB">
      <w:pPr>
        <w:spacing w:after="240"/>
        <w:outlineLvl w:val="0"/>
        <w:rPr>
          <w:b/>
          <w:sz w:val="22"/>
          <w:szCs w:val="22"/>
        </w:rPr>
      </w:pPr>
      <w:r w:rsidRPr="00C33EB9">
        <w:rPr>
          <w:b/>
          <w:sz w:val="22"/>
          <w:szCs w:val="22"/>
        </w:rPr>
        <w:t>A. Standards at Stage 2: Submitted for Public Enquiry</w:t>
      </w:r>
    </w:p>
    <w:p w14:paraId="184A5482" w14:textId="77777777" w:rsidR="00BF42CB" w:rsidRPr="00C33EB9" w:rsidRDefault="00BF42CB" w:rsidP="00BF42CB">
      <w:pPr>
        <w:pStyle w:val="Title"/>
        <w:spacing w:before="120"/>
        <w:jc w:val="left"/>
        <w:rPr>
          <w:sz w:val="20"/>
        </w:rPr>
      </w:pPr>
      <w:r w:rsidRPr="00C33EB9">
        <w:rPr>
          <w:rFonts w:ascii="Times New Roman" w:hAnsi="Times New Roman"/>
          <w:b w:val="0"/>
          <w:iCs/>
          <w:sz w:val="20"/>
          <w:lang w:val="en-US"/>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2"/>
        <w:gridCol w:w="1008"/>
        <w:gridCol w:w="15"/>
        <w:gridCol w:w="1013"/>
        <w:gridCol w:w="3467"/>
        <w:gridCol w:w="13"/>
        <w:gridCol w:w="1911"/>
        <w:gridCol w:w="13"/>
        <w:gridCol w:w="1918"/>
        <w:gridCol w:w="2456"/>
        <w:gridCol w:w="30"/>
      </w:tblGrid>
      <w:tr w:rsidR="004C4325" w:rsidRPr="00C33EB9" w14:paraId="67A5F807" w14:textId="77777777" w:rsidTr="00662FF4">
        <w:trPr>
          <w:gridAfter w:val="1"/>
          <w:wAfter w:w="12" w:type="pct"/>
          <w:trHeight w:val="350"/>
        </w:trPr>
        <w:tc>
          <w:tcPr>
            <w:tcW w:w="712"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05781C2B" w14:textId="1BAAF93A" w:rsidR="004C4325" w:rsidRPr="00C33EB9" w:rsidRDefault="009106DC" w:rsidP="00E442A4">
            <w:pPr>
              <w:jc w:val="center"/>
              <w:rPr>
                <w:b/>
                <w:spacing w:val="-3"/>
              </w:rPr>
            </w:pPr>
            <w:r w:rsidRPr="009106DC">
              <w:rPr>
                <w:b/>
                <w:spacing w:val="-3"/>
              </w:rPr>
              <w:t>EN 16728:2016+A1:2018/prA2:2019</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6BDD57C3" w14:textId="6A1AA950" w:rsidR="004C4325" w:rsidRPr="004922C1" w:rsidRDefault="009106DC" w:rsidP="004922C1">
            <w:pPr>
              <w:pStyle w:val="Pa0"/>
              <w:spacing w:line="240" w:lineRule="auto"/>
              <w:jc w:val="center"/>
              <w:rPr>
                <w:rFonts w:ascii="Times New Roman" w:hAnsi="Times New Roman"/>
                <w:b/>
                <w:spacing w:val="-3"/>
                <w:sz w:val="20"/>
                <w:szCs w:val="20"/>
              </w:rPr>
            </w:pPr>
            <w:r w:rsidRPr="009106DC">
              <w:rPr>
                <w:rFonts w:ascii="Times New Roman" w:hAnsi="Times New Roman"/>
                <w:b/>
                <w:spacing w:val="-3"/>
                <w:sz w:val="20"/>
                <w:szCs w:val="20"/>
              </w:rPr>
              <w:t>LPG equipment and accessories - Transportable refillable LPG cylinders other than traditional welded and brazed steel cylinders - Periodic inspection</w:t>
            </w:r>
          </w:p>
        </w:tc>
        <w:tc>
          <w:tcPr>
            <w:tcW w:w="761"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257CD23F" w14:textId="77777777" w:rsidR="004C4325" w:rsidRPr="00C33EB9" w:rsidRDefault="004C4325" w:rsidP="00BF42CB">
            <w:pPr>
              <w:pStyle w:val="NoteHead"/>
              <w:spacing w:before="0" w:after="0"/>
              <w:rPr>
                <w:bCs/>
                <w:smallCaps w:val="0"/>
                <w:sz w:val="20"/>
              </w:rPr>
            </w:pPr>
            <w:r w:rsidRPr="00C33EB9">
              <w:rPr>
                <w:bCs/>
                <w:smallCaps w:val="0"/>
                <w:sz w:val="20"/>
              </w:rPr>
              <w:t>Where to refer in RID/ADR:</w:t>
            </w:r>
          </w:p>
          <w:p w14:paraId="6B24BBF9" w14:textId="0752AEEC" w:rsidR="008B191E" w:rsidRPr="0061459D" w:rsidRDefault="00151A06" w:rsidP="00961D15">
            <w:pPr>
              <w:pStyle w:val="NoteHead"/>
              <w:spacing w:before="0" w:after="0"/>
              <w:rPr>
                <w:sz w:val="20"/>
              </w:rPr>
            </w:pPr>
            <w:r w:rsidRPr="0061459D">
              <w:rPr>
                <w:sz w:val="20"/>
              </w:rPr>
              <w:t>6.2.4.2</w:t>
            </w:r>
          </w:p>
          <w:p w14:paraId="409A7ED9" w14:textId="0683C580" w:rsidR="00DE1C92" w:rsidRPr="00961D15" w:rsidRDefault="00DE1C92" w:rsidP="00DE1C92">
            <w:pPr>
              <w:jc w:val="center"/>
            </w:pPr>
          </w:p>
        </w:tc>
        <w:tc>
          <w:tcPr>
            <w:tcW w:w="1736"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02011B02" w14:textId="77777777" w:rsidR="004C4325" w:rsidRPr="00C33EB9" w:rsidRDefault="004C4325" w:rsidP="00BF42CB">
            <w:pPr>
              <w:pStyle w:val="NoteHead"/>
              <w:spacing w:before="0" w:after="0"/>
              <w:rPr>
                <w:bCs/>
                <w:smallCaps w:val="0"/>
                <w:sz w:val="20"/>
              </w:rPr>
            </w:pPr>
            <w:r w:rsidRPr="00C33EB9">
              <w:rPr>
                <w:bCs/>
                <w:smallCaps w:val="0"/>
                <w:sz w:val="20"/>
              </w:rPr>
              <w:t>Applicable sub-sections and paragraphs:</w:t>
            </w:r>
          </w:p>
          <w:p w14:paraId="45029B2E" w14:textId="0A0D4B43" w:rsidR="00F9750D" w:rsidRPr="0061459D" w:rsidRDefault="0061459D" w:rsidP="00D91CEF">
            <w:pPr>
              <w:jc w:val="center"/>
              <w:rPr>
                <w:b/>
              </w:rPr>
            </w:pPr>
            <w:r w:rsidRPr="0061459D">
              <w:rPr>
                <w:b/>
              </w:rPr>
              <w:t>N</w:t>
            </w:r>
            <w:r w:rsidR="00F15AC9" w:rsidRPr="0061459D">
              <w:rPr>
                <w:b/>
              </w:rPr>
              <w:t>ot required</w:t>
            </w:r>
          </w:p>
          <w:p w14:paraId="7F75DCD6" w14:textId="384E3ADF" w:rsidR="00DE1C92" w:rsidRPr="00C33EB9" w:rsidRDefault="00DE1C92" w:rsidP="00D91CEF">
            <w:pPr>
              <w:jc w:val="center"/>
            </w:pPr>
          </w:p>
        </w:tc>
      </w:tr>
      <w:tr w:rsidR="004C4325" w:rsidRPr="00C33EB9" w14:paraId="66F91DF4" w14:textId="77777777" w:rsidTr="00662FF4">
        <w:trPr>
          <w:gridAfter w:val="1"/>
          <w:wAfter w:w="12" w:type="pct"/>
          <w:trHeight w:val="350"/>
        </w:trPr>
        <w:tc>
          <w:tcPr>
            <w:tcW w:w="712"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6528FFE1" w14:textId="4CC2EC1F" w:rsidR="004C4325" w:rsidRPr="00C33EB9" w:rsidRDefault="009106DC" w:rsidP="00E442A4">
            <w:pPr>
              <w:jc w:val="center"/>
              <w:rPr>
                <w:spacing w:val="-3"/>
              </w:rPr>
            </w:pPr>
            <w:r w:rsidRPr="009106DC">
              <w:rPr>
                <w:spacing w:val="-3"/>
              </w:rPr>
              <w:t>00286191</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70ED44AF" w14:textId="77777777" w:rsidR="004C4325" w:rsidRPr="00C33EB9" w:rsidRDefault="004C4325" w:rsidP="00BF42CB">
            <w:pPr>
              <w:ind w:right="16"/>
              <w:jc w:val="center"/>
              <w:rPr>
                <w:b/>
                <w:spacing w:val="-3"/>
              </w:rPr>
            </w:pPr>
          </w:p>
        </w:tc>
        <w:tc>
          <w:tcPr>
            <w:tcW w:w="761" w:type="pct"/>
            <w:gridSpan w:val="2"/>
            <w:vMerge/>
            <w:tcBorders>
              <w:left w:val="single" w:sz="6" w:space="0" w:color="auto"/>
              <w:right w:val="single" w:sz="6" w:space="0" w:color="auto"/>
            </w:tcBorders>
            <w:shd w:val="clear" w:color="auto" w:fill="F3F3F3"/>
            <w:tcMar>
              <w:top w:w="28" w:type="dxa"/>
              <w:bottom w:w="28" w:type="dxa"/>
            </w:tcMar>
          </w:tcPr>
          <w:p w14:paraId="5970E7A2" w14:textId="77777777" w:rsidR="004C4325" w:rsidRPr="00C33EB9" w:rsidRDefault="004C4325" w:rsidP="00BF42CB">
            <w:pPr>
              <w:pStyle w:val="NoteHead"/>
              <w:spacing w:before="0" w:after="0"/>
              <w:rPr>
                <w:bCs/>
                <w:smallCaps w:val="0"/>
                <w:sz w:val="20"/>
              </w:rPr>
            </w:pPr>
          </w:p>
        </w:tc>
        <w:tc>
          <w:tcPr>
            <w:tcW w:w="1736" w:type="pct"/>
            <w:gridSpan w:val="3"/>
            <w:vMerge/>
            <w:tcBorders>
              <w:left w:val="single" w:sz="6" w:space="0" w:color="auto"/>
              <w:right w:val="single" w:sz="12" w:space="0" w:color="auto"/>
            </w:tcBorders>
            <w:shd w:val="clear" w:color="auto" w:fill="F3F3F3"/>
            <w:tcMar>
              <w:top w:w="28" w:type="dxa"/>
              <w:bottom w:w="28" w:type="dxa"/>
            </w:tcMar>
          </w:tcPr>
          <w:p w14:paraId="5B7307A5" w14:textId="77777777" w:rsidR="004C4325" w:rsidRPr="00C33EB9" w:rsidRDefault="004C4325" w:rsidP="00BF42CB">
            <w:pPr>
              <w:pStyle w:val="NoteHead"/>
              <w:spacing w:before="0" w:after="0"/>
              <w:rPr>
                <w:bCs/>
                <w:smallCaps w:val="0"/>
                <w:sz w:val="20"/>
              </w:rPr>
            </w:pPr>
          </w:p>
        </w:tc>
      </w:tr>
      <w:tr w:rsidR="004C4325" w:rsidRPr="00C33EB9" w14:paraId="13A7A36E" w14:textId="77777777" w:rsidTr="00662FF4">
        <w:trPr>
          <w:gridAfter w:val="1"/>
          <w:wAfter w:w="12" w:type="pct"/>
        </w:trPr>
        <w:tc>
          <w:tcPr>
            <w:tcW w:w="4988" w:type="pct"/>
            <w:gridSpan w:val="10"/>
          </w:tcPr>
          <w:p w14:paraId="7DFF11BF" w14:textId="3B0CED4E" w:rsidR="004C4325" w:rsidRPr="00C33EB9" w:rsidRDefault="0040748F" w:rsidP="00BF42CB">
            <w:pPr>
              <w:tabs>
                <w:tab w:val="num" w:pos="1134"/>
              </w:tabs>
              <w:jc w:val="both"/>
            </w:pPr>
            <w:r>
              <w:t>A</w:t>
            </w:r>
            <w:r w:rsidR="004C4325" w:rsidRPr="00C33EB9">
              <w:t xml:space="preserve">ssessment by </w:t>
            </w:r>
            <w:r w:rsidR="00F753B9">
              <w:t>Advisor</w:t>
            </w:r>
            <w:r w:rsidR="004C4325" w:rsidRPr="00C33EB9">
              <w:t xml:space="preserve"> </w:t>
            </w:r>
            <w:r>
              <w:t>awaited</w:t>
            </w:r>
          </w:p>
          <w:p w14:paraId="3D58D31C" w14:textId="77777777" w:rsidR="004C4325" w:rsidRPr="00C33EB9" w:rsidRDefault="004C4325" w:rsidP="00BF42CB">
            <w:pPr>
              <w:tabs>
                <w:tab w:val="num" w:pos="1134"/>
              </w:tabs>
              <w:ind w:left="567"/>
              <w:jc w:val="both"/>
              <w:rPr>
                <w:i/>
              </w:rPr>
            </w:pPr>
          </w:p>
        </w:tc>
      </w:tr>
      <w:tr w:rsidR="004C4325" w:rsidRPr="00C33EB9" w14:paraId="18B047F9" w14:textId="77777777" w:rsidTr="00662FF4">
        <w:trPr>
          <w:gridAfter w:val="1"/>
          <w:wAfter w:w="12" w:type="pct"/>
        </w:trPr>
        <w:tc>
          <w:tcPr>
            <w:tcW w:w="4988" w:type="pct"/>
            <w:gridSpan w:val="10"/>
          </w:tcPr>
          <w:p w14:paraId="213566AA" w14:textId="77777777" w:rsidR="004C4325" w:rsidRPr="00C33EB9" w:rsidRDefault="004C4325" w:rsidP="00BF42CB">
            <w:r w:rsidRPr="00C33EB9">
              <w:rPr>
                <w:b/>
                <w:iCs/>
              </w:rPr>
              <w:t>Comments from members of the Joint Meeting</w:t>
            </w:r>
            <w:r w:rsidRPr="00C33EB9">
              <w:rPr>
                <w:b/>
              </w:rPr>
              <w:t>:</w:t>
            </w:r>
          </w:p>
        </w:tc>
      </w:tr>
      <w:tr w:rsidR="004C4325" w:rsidRPr="00C33EB9" w14:paraId="14AD2F9C" w14:textId="77777777" w:rsidTr="00662FF4">
        <w:trPr>
          <w:gridAfter w:val="1"/>
          <w:wAfter w:w="12" w:type="pct"/>
        </w:trPr>
        <w:tc>
          <w:tcPr>
            <w:tcW w:w="313" w:type="pct"/>
            <w:tcMar>
              <w:top w:w="57" w:type="dxa"/>
              <w:bottom w:w="57" w:type="dxa"/>
            </w:tcMar>
          </w:tcPr>
          <w:p w14:paraId="3DC5E87C" w14:textId="77777777" w:rsidR="004C4325" w:rsidRPr="00C33EB9" w:rsidRDefault="004C4325" w:rsidP="00BF42CB">
            <w:pPr>
              <w:jc w:val="center"/>
            </w:pPr>
            <w:r w:rsidRPr="00C33EB9">
              <w:t>Country</w:t>
            </w:r>
          </w:p>
        </w:tc>
        <w:tc>
          <w:tcPr>
            <w:tcW w:w="405" w:type="pct"/>
            <w:gridSpan w:val="2"/>
            <w:tcMar>
              <w:top w:w="57" w:type="dxa"/>
              <w:bottom w:w="57" w:type="dxa"/>
            </w:tcMar>
          </w:tcPr>
          <w:p w14:paraId="6C74AC65" w14:textId="77777777" w:rsidR="004C4325" w:rsidRPr="00C33EB9" w:rsidRDefault="004C4325" w:rsidP="00BF42CB">
            <w:pPr>
              <w:jc w:val="center"/>
            </w:pPr>
            <w:r w:rsidRPr="00C33EB9">
              <w:t>Clause No.</w:t>
            </w:r>
          </w:p>
        </w:tc>
        <w:tc>
          <w:tcPr>
            <w:tcW w:w="1778" w:type="pct"/>
            <w:gridSpan w:val="3"/>
            <w:tcMar>
              <w:top w:w="57" w:type="dxa"/>
              <w:bottom w:w="57" w:type="dxa"/>
            </w:tcMar>
          </w:tcPr>
          <w:p w14:paraId="5306863E" w14:textId="77777777" w:rsidR="004C4325" w:rsidRPr="00C33EB9" w:rsidRDefault="004C4325" w:rsidP="00BF42CB">
            <w:pPr>
              <w:jc w:val="center"/>
            </w:pPr>
            <w:r w:rsidRPr="00C33EB9">
              <w:t xml:space="preserve">Comment (justification for change) </w:t>
            </w:r>
          </w:p>
        </w:tc>
        <w:tc>
          <w:tcPr>
            <w:tcW w:w="761" w:type="pct"/>
            <w:gridSpan w:val="2"/>
            <w:tcMar>
              <w:top w:w="57" w:type="dxa"/>
              <w:bottom w:w="57" w:type="dxa"/>
            </w:tcMar>
          </w:tcPr>
          <w:p w14:paraId="3C58D390" w14:textId="77777777" w:rsidR="004C4325" w:rsidRPr="00C33EB9" w:rsidRDefault="004C4325" w:rsidP="00BF42CB">
            <w:pPr>
              <w:jc w:val="center"/>
            </w:pPr>
            <w:r w:rsidRPr="00C33EB9">
              <w:t xml:space="preserve">Proposed change </w:t>
            </w:r>
          </w:p>
        </w:tc>
        <w:tc>
          <w:tcPr>
            <w:tcW w:w="759" w:type="pct"/>
            <w:tcMar>
              <w:top w:w="57" w:type="dxa"/>
              <w:bottom w:w="57" w:type="dxa"/>
            </w:tcMar>
          </w:tcPr>
          <w:p w14:paraId="36B90964" w14:textId="77777777" w:rsidR="004C4325" w:rsidRPr="00C33EB9" w:rsidRDefault="004C4325" w:rsidP="00BF42CB">
            <w:pPr>
              <w:jc w:val="center"/>
            </w:pPr>
            <w:r w:rsidRPr="00C33EB9">
              <w:t>Comment from</w:t>
            </w:r>
          </w:p>
          <w:p w14:paraId="73A9FF24" w14:textId="77777777" w:rsidR="004C4325" w:rsidRPr="00C33EB9" w:rsidRDefault="004C4325" w:rsidP="00BF42CB">
            <w:pPr>
              <w:jc w:val="center"/>
            </w:pPr>
            <w:r w:rsidRPr="00C33EB9">
              <w:t>CEN Consultant</w:t>
            </w:r>
          </w:p>
        </w:tc>
        <w:tc>
          <w:tcPr>
            <w:tcW w:w="972" w:type="pct"/>
            <w:tcMar>
              <w:top w:w="57" w:type="dxa"/>
              <w:bottom w:w="57" w:type="dxa"/>
            </w:tcMar>
          </w:tcPr>
          <w:p w14:paraId="5BAE02A9" w14:textId="77777777" w:rsidR="004C4325" w:rsidRPr="00C33EB9" w:rsidRDefault="004C4325" w:rsidP="00BF42CB">
            <w:pPr>
              <w:jc w:val="center"/>
            </w:pPr>
            <w:r w:rsidRPr="00C33EB9">
              <w:t xml:space="preserve">Comment from </w:t>
            </w:r>
          </w:p>
          <w:p w14:paraId="3DA8ED87" w14:textId="77777777" w:rsidR="004C4325" w:rsidRPr="00C33EB9" w:rsidRDefault="004C4325" w:rsidP="00BF42CB">
            <w:pPr>
              <w:jc w:val="center"/>
            </w:pPr>
            <w:r w:rsidRPr="00C33EB9">
              <w:t>WG Standards</w:t>
            </w:r>
          </w:p>
        </w:tc>
      </w:tr>
      <w:tr w:rsidR="002C07C3" w:rsidRPr="00C33EB9" w14:paraId="0DD98DFE" w14:textId="2BAD22C4" w:rsidTr="00662FF4">
        <w:trPr>
          <w:gridAfter w:val="1"/>
          <w:wAfter w:w="12" w:type="pct"/>
        </w:trPr>
        <w:tc>
          <w:tcPr>
            <w:tcW w:w="313" w:type="pct"/>
            <w:tcMar>
              <w:top w:w="0" w:type="dxa"/>
              <w:bottom w:w="0" w:type="dxa"/>
            </w:tcMar>
          </w:tcPr>
          <w:p w14:paraId="4EF62223" w14:textId="0D6D2AB4" w:rsidR="002C07C3" w:rsidRPr="00B4762D" w:rsidRDefault="002C07C3" w:rsidP="002C07C3">
            <w:pPr>
              <w:jc w:val="center"/>
              <w:rPr>
                <w:sz w:val="22"/>
                <w:szCs w:val="22"/>
              </w:rPr>
            </w:pPr>
          </w:p>
        </w:tc>
        <w:tc>
          <w:tcPr>
            <w:tcW w:w="405" w:type="pct"/>
            <w:gridSpan w:val="2"/>
            <w:tcBorders>
              <w:top w:val="single" w:sz="6" w:space="0" w:color="auto"/>
              <w:bottom w:val="single" w:sz="6" w:space="0" w:color="auto"/>
            </w:tcBorders>
            <w:tcMar>
              <w:top w:w="0" w:type="dxa"/>
              <w:bottom w:w="0" w:type="dxa"/>
            </w:tcMar>
          </w:tcPr>
          <w:p w14:paraId="53887E51" w14:textId="0BE10866" w:rsidR="002C07C3" w:rsidRPr="00B4762D" w:rsidRDefault="002C07C3" w:rsidP="002C07C3">
            <w:pPr>
              <w:pStyle w:val="ISOClause"/>
              <w:spacing w:before="60" w:after="60" w:line="240" w:lineRule="auto"/>
              <w:rPr>
                <w:rFonts w:ascii="Times New Roman" w:hAnsi="Times New Roman"/>
                <w:sz w:val="22"/>
                <w:szCs w:val="22"/>
                <w:lang w:eastAsia="en-GB"/>
              </w:rPr>
            </w:pPr>
          </w:p>
        </w:tc>
        <w:tc>
          <w:tcPr>
            <w:tcW w:w="1778" w:type="pct"/>
            <w:gridSpan w:val="3"/>
            <w:tcBorders>
              <w:top w:val="single" w:sz="6" w:space="0" w:color="auto"/>
              <w:bottom w:val="single" w:sz="6" w:space="0" w:color="auto"/>
            </w:tcBorders>
            <w:tcMar>
              <w:top w:w="0" w:type="dxa"/>
              <w:bottom w:w="0" w:type="dxa"/>
            </w:tcMar>
          </w:tcPr>
          <w:p w14:paraId="32350B90" w14:textId="5AD9129C" w:rsidR="002C07C3" w:rsidRPr="00B4762D" w:rsidRDefault="002C07C3" w:rsidP="002C07C3">
            <w:pPr>
              <w:pStyle w:val="ISOComments"/>
              <w:spacing w:before="60" w:after="60" w:line="240" w:lineRule="auto"/>
              <w:rPr>
                <w:rFonts w:ascii="Times New Roman" w:hAnsi="Times New Roman"/>
                <w:sz w:val="22"/>
                <w:szCs w:val="22"/>
                <w:lang w:eastAsia="en-GB"/>
              </w:rPr>
            </w:pPr>
          </w:p>
        </w:tc>
        <w:tc>
          <w:tcPr>
            <w:tcW w:w="761" w:type="pct"/>
            <w:gridSpan w:val="2"/>
            <w:tcBorders>
              <w:left w:val="single" w:sz="4" w:space="0" w:color="auto"/>
            </w:tcBorders>
            <w:tcMar>
              <w:top w:w="0" w:type="dxa"/>
              <w:bottom w:w="0" w:type="dxa"/>
            </w:tcMar>
          </w:tcPr>
          <w:p w14:paraId="380952C7" w14:textId="6E4DB860" w:rsidR="002C07C3" w:rsidRPr="00C33EB9" w:rsidRDefault="002C07C3" w:rsidP="002C07C3">
            <w:pPr>
              <w:pStyle w:val="ISOChange"/>
              <w:spacing w:before="60" w:after="60" w:line="240" w:lineRule="auto"/>
              <w:rPr>
                <w:rFonts w:ascii="Times New Roman" w:hAnsi="Times New Roman"/>
                <w:sz w:val="20"/>
              </w:rPr>
            </w:pPr>
          </w:p>
        </w:tc>
        <w:tc>
          <w:tcPr>
            <w:tcW w:w="759" w:type="pct"/>
            <w:tcBorders>
              <w:left w:val="single" w:sz="4" w:space="0" w:color="auto"/>
            </w:tcBorders>
            <w:tcMar>
              <w:top w:w="0" w:type="dxa"/>
              <w:bottom w:w="0" w:type="dxa"/>
            </w:tcMar>
          </w:tcPr>
          <w:p w14:paraId="58B9705D" w14:textId="4F4B2451" w:rsidR="002C07C3" w:rsidRPr="00C33EB9" w:rsidRDefault="002C07C3" w:rsidP="002C07C3">
            <w:pPr>
              <w:rPr>
                <w:bCs/>
              </w:rPr>
            </w:pPr>
          </w:p>
        </w:tc>
        <w:tc>
          <w:tcPr>
            <w:tcW w:w="972" w:type="pct"/>
            <w:tcMar>
              <w:top w:w="0" w:type="dxa"/>
              <w:bottom w:w="0" w:type="dxa"/>
            </w:tcMar>
          </w:tcPr>
          <w:p w14:paraId="5D1871FB" w14:textId="7855D52D" w:rsidR="002C07C3" w:rsidRPr="00C33EB9" w:rsidRDefault="002C07C3" w:rsidP="002C07C3">
            <w:pPr>
              <w:keepLines/>
              <w:rPr>
                <w:bCs/>
              </w:rPr>
            </w:pPr>
          </w:p>
        </w:tc>
      </w:tr>
      <w:tr w:rsidR="002C07C3" w:rsidRPr="00C33EB9" w14:paraId="3C210311" w14:textId="77777777" w:rsidTr="00662FF4">
        <w:trPr>
          <w:gridAfter w:val="1"/>
          <w:wAfter w:w="12" w:type="pct"/>
        </w:trPr>
        <w:tc>
          <w:tcPr>
            <w:tcW w:w="313" w:type="pct"/>
            <w:tcBorders>
              <w:top w:val="single" w:sz="6" w:space="0" w:color="auto"/>
              <w:bottom w:val="single" w:sz="6" w:space="0" w:color="auto"/>
            </w:tcBorders>
            <w:tcMar>
              <w:top w:w="0" w:type="dxa"/>
              <w:bottom w:w="0" w:type="dxa"/>
            </w:tcMar>
          </w:tcPr>
          <w:p w14:paraId="0C55D8AC" w14:textId="59DCBED6" w:rsidR="002C07C3" w:rsidRPr="00C33EB9" w:rsidRDefault="002C07C3" w:rsidP="002C07C3">
            <w:pPr>
              <w:jc w:val="center"/>
              <w:rPr>
                <w:bCs/>
              </w:rPr>
            </w:pPr>
          </w:p>
        </w:tc>
        <w:tc>
          <w:tcPr>
            <w:tcW w:w="405" w:type="pct"/>
            <w:gridSpan w:val="2"/>
            <w:tcBorders>
              <w:top w:val="single" w:sz="6" w:space="0" w:color="auto"/>
              <w:bottom w:val="single" w:sz="6" w:space="0" w:color="auto"/>
            </w:tcBorders>
            <w:tcMar>
              <w:top w:w="0" w:type="dxa"/>
              <w:bottom w:w="0" w:type="dxa"/>
            </w:tcMar>
          </w:tcPr>
          <w:p w14:paraId="5466001F" w14:textId="3C31B440" w:rsidR="002C07C3" w:rsidRPr="00C33EB9" w:rsidRDefault="002C07C3" w:rsidP="002C07C3">
            <w:pPr>
              <w:pStyle w:val="ISOParagraph"/>
              <w:spacing w:before="60" w:after="60" w:line="240" w:lineRule="auto"/>
              <w:rPr>
                <w:rFonts w:ascii="Times New Roman" w:hAnsi="Times New Roman"/>
                <w:sz w:val="20"/>
              </w:rPr>
            </w:pPr>
          </w:p>
        </w:tc>
        <w:tc>
          <w:tcPr>
            <w:tcW w:w="1778" w:type="pct"/>
            <w:gridSpan w:val="3"/>
            <w:tcBorders>
              <w:top w:val="single" w:sz="6" w:space="0" w:color="auto"/>
              <w:bottom w:val="single" w:sz="6" w:space="0" w:color="auto"/>
            </w:tcBorders>
            <w:tcMar>
              <w:top w:w="0" w:type="dxa"/>
              <w:bottom w:w="0" w:type="dxa"/>
            </w:tcMar>
          </w:tcPr>
          <w:p w14:paraId="681F8398" w14:textId="728FE89E" w:rsidR="002C07C3" w:rsidRPr="00C33EB9" w:rsidRDefault="002C07C3" w:rsidP="002C07C3">
            <w:pPr>
              <w:pStyle w:val="ISOComments"/>
              <w:spacing w:before="60" w:after="60" w:line="240" w:lineRule="auto"/>
              <w:rPr>
                <w:rFonts w:ascii="Times New Roman" w:hAnsi="Times New Roman"/>
                <w:sz w:val="20"/>
              </w:rPr>
            </w:pPr>
          </w:p>
        </w:tc>
        <w:tc>
          <w:tcPr>
            <w:tcW w:w="761" w:type="pct"/>
            <w:gridSpan w:val="2"/>
            <w:tcBorders>
              <w:top w:val="single" w:sz="6" w:space="0" w:color="auto"/>
              <w:bottom w:val="single" w:sz="6" w:space="0" w:color="auto"/>
            </w:tcBorders>
            <w:tcMar>
              <w:top w:w="0" w:type="dxa"/>
              <w:bottom w:w="0" w:type="dxa"/>
            </w:tcMar>
          </w:tcPr>
          <w:p w14:paraId="1C08525C" w14:textId="77777777" w:rsidR="002C07C3" w:rsidRPr="00C33EB9" w:rsidRDefault="002C07C3" w:rsidP="002C07C3"/>
        </w:tc>
        <w:tc>
          <w:tcPr>
            <w:tcW w:w="759" w:type="pct"/>
            <w:tcBorders>
              <w:left w:val="single" w:sz="4" w:space="0" w:color="auto"/>
            </w:tcBorders>
            <w:tcMar>
              <w:top w:w="0" w:type="dxa"/>
              <w:bottom w:w="0" w:type="dxa"/>
            </w:tcMar>
          </w:tcPr>
          <w:p w14:paraId="064C5BBB" w14:textId="77777777" w:rsidR="002C07C3" w:rsidRPr="00C33EB9" w:rsidRDefault="002C07C3" w:rsidP="002C07C3">
            <w:pPr>
              <w:rPr>
                <w:bCs/>
              </w:rPr>
            </w:pPr>
          </w:p>
        </w:tc>
        <w:tc>
          <w:tcPr>
            <w:tcW w:w="972" w:type="pct"/>
            <w:tcMar>
              <w:top w:w="0" w:type="dxa"/>
              <w:bottom w:w="0" w:type="dxa"/>
            </w:tcMar>
          </w:tcPr>
          <w:p w14:paraId="3A67D346" w14:textId="64D3A3ED" w:rsidR="002C07C3" w:rsidRPr="00C33EB9" w:rsidRDefault="002C07C3" w:rsidP="002C07C3">
            <w:pPr>
              <w:keepLines/>
              <w:rPr>
                <w:bCs/>
              </w:rPr>
            </w:pPr>
          </w:p>
        </w:tc>
      </w:tr>
      <w:tr w:rsidR="002C07C3" w:rsidRPr="00C33EB9" w14:paraId="2EA7035A" w14:textId="77777777" w:rsidTr="00731E8D">
        <w:trPr>
          <w:trHeight w:val="818"/>
        </w:trPr>
        <w:tc>
          <w:tcPr>
            <w:tcW w:w="712" w:type="pct"/>
            <w:gridSpan w:val="2"/>
            <w:tcBorders>
              <w:top w:val="single" w:sz="12" w:space="0" w:color="auto"/>
              <w:bottom w:val="single" w:sz="12" w:space="0" w:color="auto"/>
            </w:tcBorders>
            <w:shd w:val="clear" w:color="auto" w:fill="F2F2F2"/>
            <w:tcMar>
              <w:top w:w="0" w:type="dxa"/>
              <w:bottom w:w="0" w:type="dxa"/>
            </w:tcMar>
          </w:tcPr>
          <w:p w14:paraId="54FE4194" w14:textId="77777777" w:rsidR="002C07C3" w:rsidRPr="00C33EB9" w:rsidRDefault="002C07C3" w:rsidP="002C07C3">
            <w:pPr>
              <w:rPr>
                <w:b/>
                <w:bCs/>
              </w:rPr>
            </w:pPr>
            <w:r w:rsidRPr="00C33EB9">
              <w:rPr>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3926A0B6" w14:textId="77777777" w:rsidR="002C07C3" w:rsidRPr="006E47F2" w:rsidRDefault="002C07C3" w:rsidP="002C07C3">
            <w:pPr>
              <w:keepLines/>
              <w:jc w:val="center"/>
              <w:rPr>
                <w:bCs/>
              </w:rPr>
            </w:pPr>
            <w:r w:rsidRPr="00745D60">
              <w:rPr>
                <w:bCs/>
                <w:highlight w:val="yellow"/>
              </w:rPr>
              <w:t>Accepted</w:t>
            </w:r>
          </w:p>
          <w:p w14:paraId="19F026B5" w14:textId="77777777" w:rsidR="002C07C3" w:rsidRPr="00C33EB9" w:rsidRDefault="002C07C3" w:rsidP="002C07C3">
            <w:pPr>
              <w:keepLines/>
              <w:jc w:val="center"/>
              <w:rPr>
                <w:bCs/>
              </w:rPr>
            </w:pPr>
            <w:r w:rsidRPr="00C33EB9">
              <w:rPr>
                <w:bCs/>
              </w:rPr>
              <w:t>Refused</w:t>
            </w:r>
          </w:p>
          <w:p w14:paraId="2D09B743" w14:textId="77777777" w:rsidR="002C07C3" w:rsidRPr="00C33EB9" w:rsidRDefault="002C07C3" w:rsidP="002C07C3">
            <w:pPr>
              <w:keepLines/>
              <w:jc w:val="center"/>
              <w:rPr>
                <w:bCs/>
              </w:rPr>
            </w:pPr>
            <w:r w:rsidRPr="00C33EB9">
              <w:rPr>
                <w:bCs/>
              </w:rPr>
              <w:t>Postponed</w:t>
            </w:r>
          </w:p>
        </w:tc>
        <w:tc>
          <w:tcPr>
            <w:tcW w:w="1372" w:type="pct"/>
            <w:tcBorders>
              <w:top w:val="single" w:sz="12" w:space="0" w:color="auto"/>
              <w:bottom w:val="single" w:sz="12" w:space="0" w:color="auto"/>
            </w:tcBorders>
            <w:shd w:val="clear" w:color="auto" w:fill="F2F2F2"/>
          </w:tcPr>
          <w:p w14:paraId="68C84015" w14:textId="77777777" w:rsidR="002C07C3" w:rsidRPr="00C33EB9" w:rsidRDefault="002C07C3" w:rsidP="002C07C3">
            <w:pPr>
              <w:keepLines/>
              <w:tabs>
                <w:tab w:val="left" w:pos="6663"/>
              </w:tabs>
              <w:jc w:val="center"/>
              <w:rPr>
                <w:bCs/>
              </w:rPr>
            </w:pPr>
            <w:r w:rsidRPr="00C33EB9">
              <w:rPr>
                <w:bCs/>
              </w:rPr>
              <w:t>Comments</w:t>
            </w:r>
          </w:p>
          <w:p w14:paraId="654F4F0D" w14:textId="77777777" w:rsidR="002C07C3" w:rsidRPr="00C33EB9" w:rsidRDefault="002C07C3" w:rsidP="002C07C3">
            <w:pPr>
              <w:keepLines/>
              <w:tabs>
                <w:tab w:val="left" w:pos="6663"/>
              </w:tabs>
              <w:rPr>
                <w:bCs/>
              </w:rPr>
            </w:pPr>
          </w:p>
        </w:tc>
        <w:tc>
          <w:tcPr>
            <w:tcW w:w="2509" w:type="pct"/>
            <w:gridSpan w:val="6"/>
            <w:tcBorders>
              <w:top w:val="single" w:sz="12" w:space="0" w:color="auto"/>
              <w:bottom w:val="single" w:sz="12" w:space="0" w:color="auto"/>
            </w:tcBorders>
            <w:shd w:val="clear" w:color="auto" w:fill="F2F2F2"/>
            <w:tcMar>
              <w:top w:w="0" w:type="dxa"/>
              <w:bottom w:w="0" w:type="dxa"/>
            </w:tcMar>
          </w:tcPr>
          <w:p w14:paraId="2E98955E" w14:textId="77777777" w:rsidR="002C07C3" w:rsidRPr="00C33EB9" w:rsidRDefault="002C07C3" w:rsidP="002C07C3">
            <w:pPr>
              <w:keepLines/>
              <w:tabs>
                <w:tab w:val="left" w:pos="6663"/>
              </w:tabs>
              <w:rPr>
                <w:bCs/>
              </w:rPr>
            </w:pPr>
          </w:p>
        </w:tc>
      </w:tr>
    </w:tbl>
    <w:p w14:paraId="46D69EA6" w14:textId="77777777" w:rsidR="00662FF4" w:rsidRPr="00C33EB9" w:rsidRDefault="00662FF4" w:rsidP="00BE1D12">
      <w:pPr>
        <w:pStyle w:val="Title"/>
        <w:spacing w:before="120"/>
        <w:jc w:val="left"/>
        <w:rPr>
          <w:rFonts w:ascii="Times New Roman" w:hAnsi="Times New Roman"/>
          <w:b w:val="0"/>
          <w:iCs/>
          <w:sz w:val="20"/>
          <w:lang w:val="en-US"/>
        </w:rPr>
      </w:pPr>
    </w:p>
    <w:p w14:paraId="1F11D325" w14:textId="22A248FC" w:rsidR="00BE1D12" w:rsidRPr="00C33EB9" w:rsidRDefault="00BE1D12" w:rsidP="00BE1D12">
      <w:pPr>
        <w:pStyle w:val="Title"/>
        <w:spacing w:before="120"/>
        <w:jc w:val="left"/>
        <w:rPr>
          <w:sz w:val="20"/>
        </w:rPr>
      </w:pPr>
      <w:r w:rsidRPr="00C33EB9">
        <w:rPr>
          <w:rFonts w:ascii="Times New Roman" w:hAnsi="Times New Roman"/>
          <w:b w:val="0"/>
          <w:iCs/>
          <w:sz w:val="20"/>
          <w:lang w:val="en-US"/>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2"/>
        <w:gridCol w:w="1008"/>
        <w:gridCol w:w="15"/>
        <w:gridCol w:w="1013"/>
        <w:gridCol w:w="3467"/>
        <w:gridCol w:w="13"/>
        <w:gridCol w:w="1911"/>
        <w:gridCol w:w="13"/>
        <w:gridCol w:w="1918"/>
        <w:gridCol w:w="2456"/>
        <w:gridCol w:w="30"/>
      </w:tblGrid>
      <w:tr w:rsidR="00BE1D12" w:rsidRPr="00C33EB9" w14:paraId="16D158D6" w14:textId="77777777" w:rsidTr="00662FF4">
        <w:trPr>
          <w:gridAfter w:val="1"/>
          <w:wAfter w:w="12" w:type="pct"/>
          <w:trHeight w:val="350"/>
        </w:trPr>
        <w:tc>
          <w:tcPr>
            <w:tcW w:w="712"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09DDFB93" w14:textId="386817FA" w:rsidR="00BE1D12" w:rsidRPr="00C33EB9" w:rsidRDefault="006D05FE" w:rsidP="00E442A4">
            <w:pPr>
              <w:jc w:val="center"/>
              <w:rPr>
                <w:b/>
                <w:spacing w:val="-3"/>
              </w:rPr>
            </w:pPr>
            <w:proofErr w:type="spellStart"/>
            <w:r w:rsidRPr="006D05FE">
              <w:rPr>
                <w:b/>
                <w:spacing w:val="-3"/>
              </w:rPr>
              <w:t>prEN</w:t>
            </w:r>
            <w:proofErr w:type="spellEnd"/>
            <w:r w:rsidRPr="006D05FE">
              <w:rPr>
                <w:b/>
                <w:spacing w:val="-3"/>
              </w:rPr>
              <w:t xml:space="preserve"> 12493 rev</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2408F4AB" w14:textId="1D7C9FB4" w:rsidR="00BE1D12" w:rsidRPr="0010268D" w:rsidRDefault="006D05FE" w:rsidP="00E442A4">
            <w:pPr>
              <w:ind w:right="16"/>
              <w:jc w:val="center"/>
              <w:rPr>
                <w:b/>
                <w:spacing w:val="-3"/>
              </w:rPr>
            </w:pPr>
            <w:r w:rsidRPr="006D05FE">
              <w:rPr>
                <w:b/>
                <w:spacing w:val="-3"/>
                <w:lang w:val="en-US"/>
              </w:rPr>
              <w:t>LPG equipment and accessories - Welded steel pressure vessels for LPG road tankers - Design and manufacture</w:t>
            </w:r>
          </w:p>
        </w:tc>
        <w:tc>
          <w:tcPr>
            <w:tcW w:w="761"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069F1BCB" w14:textId="3C344228" w:rsidR="00BE1D12" w:rsidRDefault="00BE1D12" w:rsidP="00526044">
            <w:pPr>
              <w:pStyle w:val="NoteHead"/>
              <w:spacing w:before="0" w:after="0"/>
              <w:rPr>
                <w:bCs/>
                <w:smallCaps w:val="0"/>
                <w:sz w:val="20"/>
              </w:rPr>
            </w:pPr>
            <w:r w:rsidRPr="00C33EB9">
              <w:rPr>
                <w:bCs/>
                <w:smallCaps w:val="0"/>
                <w:sz w:val="20"/>
              </w:rPr>
              <w:t>Where to refer in RID/ADR:</w:t>
            </w:r>
          </w:p>
          <w:p w14:paraId="3BDAD0B9" w14:textId="03E73E96" w:rsidR="00632536" w:rsidRPr="0061459D" w:rsidRDefault="00C25CBA" w:rsidP="00632536">
            <w:pPr>
              <w:jc w:val="center"/>
              <w:rPr>
                <w:b/>
              </w:rPr>
            </w:pPr>
            <w:r>
              <w:rPr>
                <w:b/>
              </w:rPr>
              <w:t>6.8.2.6.1 (ADR)</w:t>
            </w:r>
          </w:p>
          <w:p w14:paraId="20F9DBCB" w14:textId="03952FFE" w:rsidR="008B191E" w:rsidRPr="00C33EB9" w:rsidRDefault="008B191E" w:rsidP="00632536">
            <w:pPr>
              <w:jc w:val="center"/>
            </w:pPr>
          </w:p>
        </w:tc>
        <w:tc>
          <w:tcPr>
            <w:tcW w:w="1736"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2C71B232" w14:textId="77777777" w:rsidR="00BE1D12" w:rsidRPr="00C33EB9" w:rsidRDefault="00BE1D12" w:rsidP="00526044">
            <w:pPr>
              <w:pStyle w:val="NoteHead"/>
              <w:spacing w:before="0" w:after="0"/>
              <w:rPr>
                <w:bCs/>
                <w:smallCaps w:val="0"/>
                <w:sz w:val="20"/>
              </w:rPr>
            </w:pPr>
            <w:r w:rsidRPr="00C33EB9">
              <w:rPr>
                <w:bCs/>
                <w:smallCaps w:val="0"/>
                <w:sz w:val="20"/>
              </w:rPr>
              <w:t>Applicable sub-sections and paragraphs:</w:t>
            </w:r>
          </w:p>
          <w:p w14:paraId="5ABD71EA" w14:textId="09A4AFC5" w:rsidR="00411266" w:rsidRPr="0061459D" w:rsidRDefault="00C25CBA" w:rsidP="00411266">
            <w:pPr>
              <w:jc w:val="center"/>
              <w:rPr>
                <w:b/>
              </w:rPr>
            </w:pPr>
            <w:r>
              <w:rPr>
                <w:b/>
              </w:rPr>
              <w:t xml:space="preserve">6.8.2.1, </w:t>
            </w:r>
            <w:r w:rsidR="000F7E8C">
              <w:rPr>
                <w:b/>
              </w:rPr>
              <w:t xml:space="preserve">6.8.2.5, </w:t>
            </w:r>
            <w:r w:rsidR="00C850B6">
              <w:rPr>
                <w:b/>
              </w:rPr>
              <w:t>6.8.3.1, 6.8.3.5, 6.8.5.1</w:t>
            </w:r>
            <w:r>
              <w:rPr>
                <w:b/>
              </w:rPr>
              <w:t xml:space="preserve">-6.8.5.3 </w:t>
            </w:r>
          </w:p>
          <w:p w14:paraId="6E79CE8B" w14:textId="5111B005" w:rsidR="00BE1D12" w:rsidRPr="00C33EB9" w:rsidRDefault="00BE1D12" w:rsidP="00526044">
            <w:pPr>
              <w:jc w:val="center"/>
            </w:pPr>
          </w:p>
          <w:p w14:paraId="20CDEB87" w14:textId="3489F803" w:rsidR="008B191E" w:rsidRPr="00C33EB9" w:rsidRDefault="008B191E" w:rsidP="00D91CEF">
            <w:pPr>
              <w:jc w:val="center"/>
            </w:pPr>
          </w:p>
        </w:tc>
      </w:tr>
      <w:tr w:rsidR="00BE1D12" w:rsidRPr="00C33EB9" w14:paraId="5BC5DC01" w14:textId="77777777" w:rsidTr="00662FF4">
        <w:trPr>
          <w:gridAfter w:val="1"/>
          <w:wAfter w:w="12" w:type="pct"/>
          <w:trHeight w:val="350"/>
        </w:trPr>
        <w:tc>
          <w:tcPr>
            <w:tcW w:w="712"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7849C575" w14:textId="27A3C7A6" w:rsidR="00BE1D12" w:rsidRPr="00C33EB9" w:rsidRDefault="006D05FE" w:rsidP="00E442A4">
            <w:pPr>
              <w:jc w:val="center"/>
              <w:rPr>
                <w:spacing w:val="-3"/>
              </w:rPr>
            </w:pPr>
            <w:r w:rsidRPr="006D05FE">
              <w:rPr>
                <w:spacing w:val="-3"/>
              </w:rPr>
              <w:t>00286194</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412910CA" w14:textId="77777777" w:rsidR="00BE1D12" w:rsidRPr="00C33EB9" w:rsidRDefault="00BE1D12" w:rsidP="00526044">
            <w:pPr>
              <w:ind w:right="16"/>
              <w:jc w:val="center"/>
              <w:rPr>
                <w:b/>
                <w:spacing w:val="-3"/>
              </w:rPr>
            </w:pPr>
          </w:p>
        </w:tc>
        <w:tc>
          <w:tcPr>
            <w:tcW w:w="761" w:type="pct"/>
            <w:gridSpan w:val="2"/>
            <w:vMerge/>
            <w:tcBorders>
              <w:left w:val="single" w:sz="6" w:space="0" w:color="auto"/>
              <w:right w:val="single" w:sz="6" w:space="0" w:color="auto"/>
            </w:tcBorders>
            <w:shd w:val="clear" w:color="auto" w:fill="F3F3F3"/>
            <w:tcMar>
              <w:top w:w="28" w:type="dxa"/>
              <w:bottom w:w="28" w:type="dxa"/>
            </w:tcMar>
          </w:tcPr>
          <w:p w14:paraId="5F75F5D0" w14:textId="77777777" w:rsidR="00BE1D12" w:rsidRPr="00C33EB9" w:rsidRDefault="00BE1D12" w:rsidP="00526044">
            <w:pPr>
              <w:pStyle w:val="NoteHead"/>
              <w:spacing w:before="0" w:after="0"/>
              <w:rPr>
                <w:bCs/>
                <w:smallCaps w:val="0"/>
                <w:sz w:val="20"/>
              </w:rPr>
            </w:pPr>
          </w:p>
        </w:tc>
        <w:tc>
          <w:tcPr>
            <w:tcW w:w="1736" w:type="pct"/>
            <w:gridSpan w:val="3"/>
            <w:vMerge/>
            <w:tcBorders>
              <w:left w:val="single" w:sz="6" w:space="0" w:color="auto"/>
              <w:right w:val="single" w:sz="12" w:space="0" w:color="auto"/>
            </w:tcBorders>
            <w:shd w:val="clear" w:color="auto" w:fill="F3F3F3"/>
            <w:tcMar>
              <w:top w:w="28" w:type="dxa"/>
              <w:bottom w:w="28" w:type="dxa"/>
            </w:tcMar>
          </w:tcPr>
          <w:p w14:paraId="4B6423FF" w14:textId="77777777" w:rsidR="00BE1D12" w:rsidRPr="00C33EB9" w:rsidRDefault="00BE1D12" w:rsidP="00526044">
            <w:pPr>
              <w:pStyle w:val="NoteHead"/>
              <w:spacing w:before="0" w:after="0"/>
              <w:rPr>
                <w:bCs/>
                <w:smallCaps w:val="0"/>
                <w:sz w:val="20"/>
              </w:rPr>
            </w:pPr>
          </w:p>
        </w:tc>
      </w:tr>
      <w:tr w:rsidR="00BE1D12" w:rsidRPr="00C33EB9" w14:paraId="5F4245DD" w14:textId="77777777" w:rsidTr="00662FF4">
        <w:trPr>
          <w:gridAfter w:val="1"/>
          <w:wAfter w:w="12" w:type="pct"/>
        </w:trPr>
        <w:tc>
          <w:tcPr>
            <w:tcW w:w="4988" w:type="pct"/>
            <w:gridSpan w:val="10"/>
          </w:tcPr>
          <w:p w14:paraId="1AD22495" w14:textId="247F99DD" w:rsidR="0040748F" w:rsidRPr="00C33EB9" w:rsidRDefault="0040748F" w:rsidP="0040748F">
            <w:pPr>
              <w:tabs>
                <w:tab w:val="num" w:pos="1134"/>
              </w:tabs>
              <w:jc w:val="both"/>
            </w:pPr>
            <w:r>
              <w:t>A</w:t>
            </w:r>
            <w:r w:rsidRPr="00C33EB9">
              <w:t xml:space="preserve">ssessment by </w:t>
            </w:r>
            <w:r w:rsidR="00F753B9">
              <w:t>Advisor</w:t>
            </w:r>
            <w:r w:rsidRPr="00C33EB9">
              <w:t xml:space="preserve"> </w:t>
            </w:r>
            <w:r>
              <w:t>awaited</w:t>
            </w:r>
          </w:p>
          <w:p w14:paraId="68A6BA34" w14:textId="3B037FBD" w:rsidR="00BE1D12" w:rsidRPr="00C33EB9" w:rsidRDefault="00BE1D12" w:rsidP="00E442A4">
            <w:pPr>
              <w:rPr>
                <w:iCs/>
              </w:rPr>
            </w:pPr>
          </w:p>
        </w:tc>
      </w:tr>
      <w:tr w:rsidR="00BE1D12" w:rsidRPr="00C33EB9" w14:paraId="25C693B5" w14:textId="77777777" w:rsidTr="00662FF4">
        <w:trPr>
          <w:gridAfter w:val="1"/>
          <w:wAfter w:w="12" w:type="pct"/>
        </w:trPr>
        <w:tc>
          <w:tcPr>
            <w:tcW w:w="4988" w:type="pct"/>
            <w:gridSpan w:val="10"/>
          </w:tcPr>
          <w:p w14:paraId="5096018E" w14:textId="77777777" w:rsidR="00BE1D12" w:rsidRPr="00C33EB9" w:rsidRDefault="00BE1D12" w:rsidP="00526044">
            <w:r w:rsidRPr="00C33EB9">
              <w:rPr>
                <w:b/>
                <w:iCs/>
              </w:rPr>
              <w:t>Comments from members of the Joint Meeting</w:t>
            </w:r>
            <w:r w:rsidRPr="00C33EB9">
              <w:rPr>
                <w:b/>
              </w:rPr>
              <w:t>:</w:t>
            </w:r>
          </w:p>
        </w:tc>
      </w:tr>
      <w:tr w:rsidR="00C37440" w:rsidRPr="00C33EB9" w14:paraId="443C1CE9" w14:textId="77777777" w:rsidTr="00662FF4">
        <w:trPr>
          <w:gridAfter w:val="1"/>
          <w:wAfter w:w="12" w:type="pct"/>
        </w:trPr>
        <w:tc>
          <w:tcPr>
            <w:tcW w:w="4988" w:type="pct"/>
            <w:gridSpan w:val="10"/>
          </w:tcPr>
          <w:p w14:paraId="06A35D3A" w14:textId="6B24DB03" w:rsidR="00C37440" w:rsidRPr="00C33EB9" w:rsidRDefault="00C37440" w:rsidP="00526044">
            <w:pPr>
              <w:rPr>
                <w:iCs/>
              </w:rPr>
            </w:pPr>
          </w:p>
        </w:tc>
      </w:tr>
      <w:tr w:rsidR="00BE1D12" w:rsidRPr="00C33EB9" w14:paraId="4EF93F52" w14:textId="77777777" w:rsidTr="00662FF4">
        <w:trPr>
          <w:gridAfter w:val="1"/>
          <w:wAfter w:w="12" w:type="pct"/>
        </w:trPr>
        <w:tc>
          <w:tcPr>
            <w:tcW w:w="313" w:type="pct"/>
            <w:tcMar>
              <w:top w:w="57" w:type="dxa"/>
              <w:bottom w:w="57" w:type="dxa"/>
            </w:tcMar>
          </w:tcPr>
          <w:p w14:paraId="4E1D488A" w14:textId="124DFD6D" w:rsidR="00BE1D12" w:rsidRPr="00C33EB9" w:rsidRDefault="00BE1D12" w:rsidP="00526044">
            <w:pPr>
              <w:jc w:val="center"/>
            </w:pPr>
          </w:p>
        </w:tc>
        <w:tc>
          <w:tcPr>
            <w:tcW w:w="405" w:type="pct"/>
            <w:gridSpan w:val="2"/>
            <w:tcMar>
              <w:top w:w="57" w:type="dxa"/>
              <w:bottom w:w="57" w:type="dxa"/>
            </w:tcMar>
          </w:tcPr>
          <w:p w14:paraId="5474C267" w14:textId="14B8D848" w:rsidR="00BE1D12" w:rsidRPr="00C33EB9" w:rsidRDefault="00BE1D12" w:rsidP="00526044">
            <w:pPr>
              <w:jc w:val="center"/>
            </w:pPr>
          </w:p>
        </w:tc>
        <w:tc>
          <w:tcPr>
            <w:tcW w:w="1778" w:type="pct"/>
            <w:gridSpan w:val="3"/>
            <w:tcMar>
              <w:top w:w="57" w:type="dxa"/>
              <w:bottom w:w="57" w:type="dxa"/>
            </w:tcMar>
          </w:tcPr>
          <w:p w14:paraId="1E52D551" w14:textId="7B6CB717" w:rsidR="00BE1D12" w:rsidRPr="00C33EB9" w:rsidRDefault="00BE1D12" w:rsidP="00526044">
            <w:pPr>
              <w:jc w:val="center"/>
            </w:pPr>
          </w:p>
        </w:tc>
        <w:tc>
          <w:tcPr>
            <w:tcW w:w="761" w:type="pct"/>
            <w:gridSpan w:val="2"/>
            <w:tcMar>
              <w:top w:w="57" w:type="dxa"/>
              <w:bottom w:w="57" w:type="dxa"/>
            </w:tcMar>
          </w:tcPr>
          <w:p w14:paraId="6ACE4D7B" w14:textId="7D3528D7" w:rsidR="00BE1D12" w:rsidRPr="00C33EB9" w:rsidRDefault="00BE1D12" w:rsidP="00526044">
            <w:pPr>
              <w:jc w:val="center"/>
            </w:pPr>
          </w:p>
        </w:tc>
        <w:tc>
          <w:tcPr>
            <w:tcW w:w="759" w:type="pct"/>
            <w:tcMar>
              <w:top w:w="57" w:type="dxa"/>
              <w:bottom w:w="57" w:type="dxa"/>
            </w:tcMar>
          </w:tcPr>
          <w:p w14:paraId="38941CE8" w14:textId="135D4BE4" w:rsidR="00BE1D12" w:rsidRPr="00C33EB9" w:rsidRDefault="00BE1D12" w:rsidP="00526044">
            <w:pPr>
              <w:jc w:val="center"/>
            </w:pPr>
          </w:p>
        </w:tc>
        <w:tc>
          <w:tcPr>
            <w:tcW w:w="972" w:type="pct"/>
            <w:tcMar>
              <w:top w:w="57" w:type="dxa"/>
              <w:bottom w:w="57" w:type="dxa"/>
            </w:tcMar>
          </w:tcPr>
          <w:p w14:paraId="2525C540" w14:textId="77777777" w:rsidR="00BE1D12" w:rsidRPr="00C33EB9" w:rsidRDefault="00BE1D12" w:rsidP="00526044">
            <w:pPr>
              <w:jc w:val="center"/>
            </w:pPr>
            <w:r w:rsidRPr="00C33EB9">
              <w:t xml:space="preserve">Comment from </w:t>
            </w:r>
          </w:p>
          <w:p w14:paraId="350D0157" w14:textId="77777777" w:rsidR="00BE1D12" w:rsidRPr="00C33EB9" w:rsidRDefault="00BE1D12" w:rsidP="00526044">
            <w:pPr>
              <w:jc w:val="center"/>
            </w:pPr>
            <w:r w:rsidRPr="00C33EB9">
              <w:t>WG Standards</w:t>
            </w:r>
          </w:p>
        </w:tc>
      </w:tr>
      <w:tr w:rsidR="002C07C3" w:rsidRPr="00C33EB9" w14:paraId="545D62C8" w14:textId="77777777" w:rsidTr="00662FF4">
        <w:trPr>
          <w:gridAfter w:val="1"/>
          <w:wAfter w:w="12" w:type="pct"/>
          <w:trHeight w:val="257"/>
        </w:trPr>
        <w:tc>
          <w:tcPr>
            <w:tcW w:w="313" w:type="pct"/>
            <w:tcMar>
              <w:top w:w="0" w:type="dxa"/>
              <w:bottom w:w="0" w:type="dxa"/>
            </w:tcMar>
          </w:tcPr>
          <w:p w14:paraId="4AFF0907" w14:textId="7DDC07B2" w:rsidR="002C07C3" w:rsidRPr="00B4762D" w:rsidRDefault="002C07C3" w:rsidP="002C07C3">
            <w:pPr>
              <w:jc w:val="center"/>
              <w:rPr>
                <w:bCs/>
                <w:sz w:val="22"/>
                <w:szCs w:val="22"/>
              </w:rPr>
            </w:pPr>
          </w:p>
        </w:tc>
        <w:tc>
          <w:tcPr>
            <w:tcW w:w="405" w:type="pct"/>
            <w:gridSpan w:val="2"/>
            <w:tcBorders>
              <w:top w:val="single" w:sz="6" w:space="0" w:color="auto"/>
              <w:bottom w:val="single" w:sz="6" w:space="0" w:color="auto"/>
            </w:tcBorders>
            <w:tcMar>
              <w:top w:w="0" w:type="dxa"/>
              <w:bottom w:w="0" w:type="dxa"/>
            </w:tcMar>
          </w:tcPr>
          <w:p w14:paraId="350A1C06" w14:textId="09630E4D" w:rsidR="002C07C3" w:rsidRPr="00B4762D" w:rsidRDefault="002C07C3" w:rsidP="002C07C3">
            <w:pPr>
              <w:pStyle w:val="ISOClause"/>
              <w:spacing w:before="60" w:after="60" w:line="240" w:lineRule="auto"/>
              <w:rPr>
                <w:rFonts w:ascii="Times New Roman" w:hAnsi="Times New Roman"/>
                <w:sz w:val="22"/>
                <w:szCs w:val="22"/>
              </w:rPr>
            </w:pPr>
          </w:p>
        </w:tc>
        <w:tc>
          <w:tcPr>
            <w:tcW w:w="1778" w:type="pct"/>
            <w:gridSpan w:val="3"/>
            <w:tcBorders>
              <w:top w:val="single" w:sz="6" w:space="0" w:color="auto"/>
              <w:bottom w:val="single" w:sz="6" w:space="0" w:color="auto"/>
            </w:tcBorders>
            <w:tcMar>
              <w:top w:w="0" w:type="dxa"/>
              <w:bottom w:w="0" w:type="dxa"/>
            </w:tcMar>
          </w:tcPr>
          <w:p w14:paraId="5FE1DAC9" w14:textId="55000C13" w:rsidR="002C07C3" w:rsidRPr="00B4762D" w:rsidRDefault="002C07C3" w:rsidP="002C07C3">
            <w:pPr>
              <w:pStyle w:val="ISOComments"/>
              <w:spacing w:before="60" w:after="60" w:line="240" w:lineRule="auto"/>
              <w:rPr>
                <w:rFonts w:ascii="Times New Roman" w:hAnsi="Times New Roman"/>
                <w:sz w:val="22"/>
                <w:szCs w:val="22"/>
              </w:rPr>
            </w:pPr>
          </w:p>
        </w:tc>
        <w:tc>
          <w:tcPr>
            <w:tcW w:w="761" w:type="pct"/>
            <w:gridSpan w:val="2"/>
            <w:tcBorders>
              <w:top w:val="single" w:sz="6" w:space="0" w:color="auto"/>
              <w:bottom w:val="single" w:sz="6" w:space="0" w:color="auto"/>
            </w:tcBorders>
            <w:tcMar>
              <w:top w:w="0" w:type="dxa"/>
              <w:bottom w:w="0" w:type="dxa"/>
            </w:tcMar>
          </w:tcPr>
          <w:p w14:paraId="76932B3B" w14:textId="64FEFE25" w:rsidR="002C07C3" w:rsidRPr="00C33EB9" w:rsidRDefault="002C07C3" w:rsidP="002C07C3">
            <w:pPr>
              <w:pStyle w:val="ISOChange"/>
              <w:spacing w:before="60" w:after="60" w:line="240" w:lineRule="auto"/>
            </w:pPr>
          </w:p>
        </w:tc>
        <w:tc>
          <w:tcPr>
            <w:tcW w:w="759" w:type="pct"/>
            <w:tcMar>
              <w:top w:w="0" w:type="dxa"/>
              <w:bottom w:w="0" w:type="dxa"/>
            </w:tcMar>
          </w:tcPr>
          <w:p w14:paraId="06EE6AF3" w14:textId="77777777" w:rsidR="002C07C3" w:rsidRPr="00C33EB9" w:rsidRDefault="002C07C3" w:rsidP="002C07C3">
            <w:pPr>
              <w:rPr>
                <w:bCs/>
              </w:rPr>
            </w:pPr>
          </w:p>
        </w:tc>
        <w:tc>
          <w:tcPr>
            <w:tcW w:w="972" w:type="pct"/>
            <w:tcMar>
              <w:top w:w="0" w:type="dxa"/>
              <w:bottom w:w="0" w:type="dxa"/>
            </w:tcMar>
          </w:tcPr>
          <w:p w14:paraId="0389B124" w14:textId="2568B16D" w:rsidR="002C07C3" w:rsidRPr="00C33EB9" w:rsidRDefault="002C07C3" w:rsidP="002C07C3">
            <w:pPr>
              <w:keepLines/>
              <w:rPr>
                <w:bCs/>
              </w:rPr>
            </w:pPr>
          </w:p>
        </w:tc>
      </w:tr>
      <w:tr w:rsidR="002C07C3" w:rsidRPr="00C33EB9" w14:paraId="4C4875C4" w14:textId="77777777" w:rsidTr="00731E8D">
        <w:trPr>
          <w:trHeight w:val="818"/>
        </w:trPr>
        <w:tc>
          <w:tcPr>
            <w:tcW w:w="712" w:type="pct"/>
            <w:gridSpan w:val="2"/>
            <w:tcBorders>
              <w:top w:val="single" w:sz="12" w:space="0" w:color="auto"/>
              <w:bottom w:val="single" w:sz="12" w:space="0" w:color="auto"/>
            </w:tcBorders>
            <w:shd w:val="clear" w:color="auto" w:fill="F2F2F2"/>
            <w:tcMar>
              <w:top w:w="0" w:type="dxa"/>
              <w:bottom w:w="0" w:type="dxa"/>
            </w:tcMar>
          </w:tcPr>
          <w:p w14:paraId="5DF8C094" w14:textId="77777777" w:rsidR="002C07C3" w:rsidRPr="00C33EB9" w:rsidRDefault="002C07C3" w:rsidP="002C07C3">
            <w:pPr>
              <w:rPr>
                <w:b/>
                <w:bCs/>
              </w:rPr>
            </w:pPr>
            <w:r w:rsidRPr="00C33EB9">
              <w:rPr>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2B00C74E" w14:textId="77777777" w:rsidR="002C07C3" w:rsidRPr="006E47F2" w:rsidRDefault="002C07C3" w:rsidP="002C07C3">
            <w:pPr>
              <w:keepLines/>
              <w:jc w:val="center"/>
              <w:rPr>
                <w:bCs/>
              </w:rPr>
            </w:pPr>
            <w:r w:rsidRPr="008C690B">
              <w:rPr>
                <w:bCs/>
                <w:highlight w:val="yellow"/>
              </w:rPr>
              <w:t>Accepted</w:t>
            </w:r>
          </w:p>
          <w:p w14:paraId="57EAD77F" w14:textId="77777777" w:rsidR="002C07C3" w:rsidRPr="00C33EB9" w:rsidRDefault="002C07C3" w:rsidP="002C07C3">
            <w:pPr>
              <w:keepLines/>
              <w:jc w:val="center"/>
              <w:rPr>
                <w:bCs/>
              </w:rPr>
            </w:pPr>
            <w:r w:rsidRPr="00C33EB9">
              <w:rPr>
                <w:bCs/>
              </w:rPr>
              <w:t>Refused</w:t>
            </w:r>
          </w:p>
          <w:p w14:paraId="675A0D02" w14:textId="77777777" w:rsidR="002C07C3" w:rsidRPr="00C33EB9" w:rsidRDefault="002C07C3" w:rsidP="002C07C3">
            <w:pPr>
              <w:keepLines/>
              <w:jc w:val="center"/>
              <w:rPr>
                <w:bCs/>
              </w:rPr>
            </w:pPr>
            <w:r w:rsidRPr="008979E2">
              <w:rPr>
                <w:bCs/>
              </w:rPr>
              <w:t>Postponed</w:t>
            </w:r>
          </w:p>
        </w:tc>
        <w:tc>
          <w:tcPr>
            <w:tcW w:w="1372" w:type="pct"/>
            <w:tcBorders>
              <w:top w:val="single" w:sz="12" w:space="0" w:color="auto"/>
              <w:bottom w:val="single" w:sz="12" w:space="0" w:color="auto"/>
            </w:tcBorders>
            <w:shd w:val="clear" w:color="auto" w:fill="F2F2F2"/>
          </w:tcPr>
          <w:p w14:paraId="04B1F8D2" w14:textId="77777777" w:rsidR="002C07C3" w:rsidRPr="00C33EB9" w:rsidRDefault="002C07C3" w:rsidP="002C07C3">
            <w:pPr>
              <w:keepLines/>
              <w:tabs>
                <w:tab w:val="left" w:pos="6663"/>
              </w:tabs>
              <w:jc w:val="center"/>
              <w:rPr>
                <w:bCs/>
              </w:rPr>
            </w:pPr>
            <w:r w:rsidRPr="00C33EB9">
              <w:rPr>
                <w:bCs/>
              </w:rPr>
              <w:t>Comments</w:t>
            </w:r>
          </w:p>
          <w:p w14:paraId="3AA343C4" w14:textId="2C8C4416" w:rsidR="002C07C3" w:rsidRPr="00C33EB9" w:rsidRDefault="002C07C3" w:rsidP="002C07C3">
            <w:pPr>
              <w:keepLines/>
              <w:tabs>
                <w:tab w:val="left" w:pos="6663"/>
              </w:tabs>
              <w:rPr>
                <w:bCs/>
              </w:rPr>
            </w:pPr>
          </w:p>
        </w:tc>
        <w:tc>
          <w:tcPr>
            <w:tcW w:w="2509" w:type="pct"/>
            <w:gridSpan w:val="6"/>
            <w:tcBorders>
              <w:top w:val="single" w:sz="12" w:space="0" w:color="auto"/>
              <w:bottom w:val="single" w:sz="12" w:space="0" w:color="auto"/>
            </w:tcBorders>
            <w:shd w:val="clear" w:color="auto" w:fill="F2F2F2"/>
            <w:tcMar>
              <w:top w:w="0" w:type="dxa"/>
              <w:bottom w:w="0" w:type="dxa"/>
            </w:tcMar>
          </w:tcPr>
          <w:p w14:paraId="246B87E1" w14:textId="77777777" w:rsidR="002C07C3" w:rsidRPr="00C33EB9" w:rsidRDefault="002C07C3" w:rsidP="002C07C3">
            <w:pPr>
              <w:keepLines/>
              <w:tabs>
                <w:tab w:val="left" w:pos="6663"/>
              </w:tabs>
              <w:rPr>
                <w:bCs/>
              </w:rPr>
            </w:pPr>
          </w:p>
        </w:tc>
      </w:tr>
    </w:tbl>
    <w:p w14:paraId="3A9148FA" w14:textId="77777777" w:rsidR="00662FF4" w:rsidRPr="00C33EB9" w:rsidRDefault="00662FF4" w:rsidP="00E442A4">
      <w:pPr>
        <w:pStyle w:val="Title"/>
        <w:spacing w:before="120"/>
        <w:jc w:val="left"/>
        <w:rPr>
          <w:rFonts w:ascii="Times New Roman" w:hAnsi="Times New Roman"/>
          <w:b w:val="0"/>
          <w:iCs/>
          <w:sz w:val="20"/>
          <w:lang w:val="en-US"/>
        </w:rPr>
      </w:pPr>
    </w:p>
    <w:p w14:paraId="4A7BF706" w14:textId="2D1FDDEB" w:rsidR="00E442A4" w:rsidRPr="00C33EB9" w:rsidRDefault="00E442A4" w:rsidP="00E442A4">
      <w:pPr>
        <w:pStyle w:val="Title"/>
        <w:spacing w:before="120"/>
        <w:jc w:val="left"/>
        <w:rPr>
          <w:sz w:val="20"/>
        </w:rPr>
      </w:pPr>
      <w:r w:rsidRPr="00C33EB9">
        <w:rPr>
          <w:rFonts w:ascii="Times New Roman" w:hAnsi="Times New Roman"/>
          <w:b w:val="0"/>
          <w:iCs/>
          <w:sz w:val="20"/>
          <w:lang w:val="en-US"/>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2"/>
        <w:gridCol w:w="1008"/>
        <w:gridCol w:w="15"/>
        <w:gridCol w:w="1013"/>
        <w:gridCol w:w="3467"/>
        <w:gridCol w:w="13"/>
        <w:gridCol w:w="1911"/>
        <w:gridCol w:w="13"/>
        <w:gridCol w:w="1918"/>
        <w:gridCol w:w="2456"/>
        <w:gridCol w:w="30"/>
      </w:tblGrid>
      <w:tr w:rsidR="00E442A4" w:rsidRPr="00C33EB9" w14:paraId="07A3EDFA" w14:textId="77777777" w:rsidTr="00662FF4">
        <w:trPr>
          <w:gridAfter w:val="1"/>
          <w:wAfter w:w="12" w:type="pct"/>
          <w:trHeight w:val="350"/>
        </w:trPr>
        <w:tc>
          <w:tcPr>
            <w:tcW w:w="712"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10C081B1" w14:textId="14445FAE" w:rsidR="00E442A4" w:rsidRPr="00C33EB9" w:rsidRDefault="006D05FE" w:rsidP="00E442A4">
            <w:pPr>
              <w:jc w:val="center"/>
              <w:rPr>
                <w:b/>
                <w:spacing w:val="-3"/>
              </w:rPr>
            </w:pPr>
            <w:proofErr w:type="spellStart"/>
            <w:r w:rsidRPr="006D05FE">
              <w:rPr>
                <w:b/>
                <w:spacing w:val="-3"/>
              </w:rPr>
              <w:t>prEN</w:t>
            </w:r>
            <w:proofErr w:type="spellEnd"/>
            <w:r w:rsidRPr="006D05FE">
              <w:rPr>
                <w:b/>
                <w:spacing w:val="-3"/>
              </w:rPr>
              <w:t xml:space="preserve"> 13953 rev</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4FFDA511" w14:textId="5E427B10" w:rsidR="00E442A4" w:rsidRPr="003A26E6" w:rsidRDefault="006D05FE" w:rsidP="003A26E6">
            <w:pPr>
              <w:pStyle w:val="Pa0"/>
              <w:spacing w:line="240" w:lineRule="auto"/>
              <w:jc w:val="center"/>
              <w:rPr>
                <w:rFonts w:ascii="Times New Roman" w:hAnsi="Times New Roman"/>
                <w:b/>
                <w:spacing w:val="-3"/>
                <w:sz w:val="20"/>
                <w:szCs w:val="20"/>
              </w:rPr>
            </w:pPr>
            <w:r w:rsidRPr="006D05FE">
              <w:rPr>
                <w:rFonts w:ascii="Times New Roman" w:hAnsi="Times New Roman"/>
                <w:b/>
                <w:spacing w:val="-3"/>
                <w:sz w:val="20"/>
                <w:szCs w:val="20"/>
              </w:rPr>
              <w:t>LPG equipment and accessories - Pressure relief valves for transportable refillable cylinders for Liquefied Petroleum Gas (LPG)</w:t>
            </w:r>
          </w:p>
        </w:tc>
        <w:tc>
          <w:tcPr>
            <w:tcW w:w="761"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50B26CBE" w14:textId="77777777" w:rsidR="00E442A4" w:rsidRPr="00C33EB9" w:rsidRDefault="00E442A4" w:rsidP="004F6829">
            <w:pPr>
              <w:pStyle w:val="NoteHead"/>
              <w:spacing w:before="0" w:after="0"/>
              <w:rPr>
                <w:bCs/>
                <w:smallCaps w:val="0"/>
                <w:sz w:val="20"/>
              </w:rPr>
            </w:pPr>
            <w:r w:rsidRPr="00C33EB9">
              <w:rPr>
                <w:bCs/>
                <w:smallCaps w:val="0"/>
                <w:sz w:val="20"/>
              </w:rPr>
              <w:t>Where to refer in RID/ADR:</w:t>
            </w:r>
          </w:p>
          <w:p w14:paraId="6802A09E" w14:textId="624EF6AD" w:rsidR="00E442A4" w:rsidRPr="0061459D" w:rsidRDefault="00E7136A" w:rsidP="00EB1ACF">
            <w:pPr>
              <w:pStyle w:val="NoteHead"/>
              <w:spacing w:before="0" w:after="0"/>
              <w:rPr>
                <w:bCs/>
                <w:smallCaps w:val="0"/>
                <w:sz w:val="20"/>
              </w:rPr>
            </w:pPr>
            <w:r>
              <w:rPr>
                <w:bCs/>
                <w:smallCaps w:val="0"/>
                <w:sz w:val="20"/>
              </w:rPr>
              <w:t>6.2</w:t>
            </w:r>
            <w:r w:rsidR="00D54770" w:rsidRPr="0061459D">
              <w:rPr>
                <w:bCs/>
                <w:smallCaps w:val="0"/>
                <w:sz w:val="20"/>
              </w:rPr>
              <w:t xml:space="preserve">.4.1 </w:t>
            </w:r>
            <w:r w:rsidR="00D54770" w:rsidRPr="0061459D">
              <w:rPr>
                <w:bCs/>
                <w:i/>
                <w:smallCaps w:val="0"/>
                <w:sz w:val="20"/>
              </w:rPr>
              <w:t>for closures</w:t>
            </w:r>
          </w:p>
        </w:tc>
        <w:tc>
          <w:tcPr>
            <w:tcW w:w="1736"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47D8C74E" w14:textId="77777777" w:rsidR="00E442A4" w:rsidRPr="00C33EB9" w:rsidRDefault="00E442A4" w:rsidP="004F6829">
            <w:pPr>
              <w:pStyle w:val="NoteHead"/>
              <w:spacing w:before="0" w:after="0"/>
              <w:rPr>
                <w:bCs/>
                <w:smallCaps w:val="0"/>
                <w:sz w:val="20"/>
              </w:rPr>
            </w:pPr>
            <w:r w:rsidRPr="00C33EB9">
              <w:rPr>
                <w:bCs/>
                <w:smallCaps w:val="0"/>
                <w:sz w:val="20"/>
              </w:rPr>
              <w:t>Applicable sub-sections and paragraphs:</w:t>
            </w:r>
          </w:p>
          <w:p w14:paraId="3001B631" w14:textId="4AF638A4" w:rsidR="00E442A4" w:rsidRPr="0061459D" w:rsidRDefault="00D54770" w:rsidP="004F6829">
            <w:pPr>
              <w:jc w:val="center"/>
              <w:rPr>
                <w:b/>
              </w:rPr>
            </w:pPr>
            <w:r w:rsidRPr="0061459D">
              <w:rPr>
                <w:b/>
                <w:bCs/>
              </w:rPr>
              <w:t>6.2.3.1, 6.2.3.3 and 6.2.3.4</w:t>
            </w:r>
          </w:p>
          <w:p w14:paraId="6262E97B" w14:textId="161A86AA" w:rsidR="00EB1ACF" w:rsidRPr="00D54770" w:rsidRDefault="00EB1ACF" w:rsidP="00D91CEF">
            <w:pPr>
              <w:jc w:val="center"/>
            </w:pPr>
          </w:p>
        </w:tc>
      </w:tr>
      <w:tr w:rsidR="00E442A4" w:rsidRPr="00C33EB9" w14:paraId="7C06D37F" w14:textId="77777777" w:rsidTr="00662FF4">
        <w:trPr>
          <w:gridAfter w:val="1"/>
          <w:wAfter w:w="12" w:type="pct"/>
          <w:trHeight w:val="350"/>
        </w:trPr>
        <w:tc>
          <w:tcPr>
            <w:tcW w:w="712"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36ED3E94" w14:textId="1E3F5706" w:rsidR="00E442A4" w:rsidRPr="00C33EB9" w:rsidRDefault="006D05FE" w:rsidP="00E442A4">
            <w:pPr>
              <w:jc w:val="center"/>
              <w:rPr>
                <w:spacing w:val="-3"/>
              </w:rPr>
            </w:pPr>
            <w:r w:rsidRPr="006D05FE">
              <w:rPr>
                <w:spacing w:val="-3"/>
              </w:rPr>
              <w:t>00286195</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4686746E" w14:textId="77777777" w:rsidR="00E442A4" w:rsidRPr="00C33EB9" w:rsidRDefault="00E442A4" w:rsidP="004F6829">
            <w:pPr>
              <w:ind w:right="16"/>
              <w:jc w:val="center"/>
              <w:rPr>
                <w:b/>
                <w:spacing w:val="-3"/>
              </w:rPr>
            </w:pPr>
          </w:p>
        </w:tc>
        <w:tc>
          <w:tcPr>
            <w:tcW w:w="761" w:type="pct"/>
            <w:gridSpan w:val="2"/>
            <w:vMerge/>
            <w:tcBorders>
              <w:left w:val="single" w:sz="6" w:space="0" w:color="auto"/>
              <w:right w:val="single" w:sz="6" w:space="0" w:color="auto"/>
            </w:tcBorders>
            <w:shd w:val="clear" w:color="auto" w:fill="F3F3F3"/>
            <w:tcMar>
              <w:top w:w="28" w:type="dxa"/>
              <w:bottom w:w="28" w:type="dxa"/>
            </w:tcMar>
          </w:tcPr>
          <w:p w14:paraId="2F2D706F" w14:textId="77777777" w:rsidR="00E442A4" w:rsidRPr="00C33EB9" w:rsidRDefault="00E442A4" w:rsidP="004F6829">
            <w:pPr>
              <w:pStyle w:val="NoteHead"/>
              <w:spacing w:before="0" w:after="0"/>
              <w:rPr>
                <w:bCs/>
                <w:smallCaps w:val="0"/>
                <w:sz w:val="20"/>
              </w:rPr>
            </w:pPr>
          </w:p>
        </w:tc>
        <w:tc>
          <w:tcPr>
            <w:tcW w:w="1736" w:type="pct"/>
            <w:gridSpan w:val="3"/>
            <w:vMerge/>
            <w:tcBorders>
              <w:left w:val="single" w:sz="6" w:space="0" w:color="auto"/>
              <w:right w:val="single" w:sz="12" w:space="0" w:color="auto"/>
            </w:tcBorders>
            <w:shd w:val="clear" w:color="auto" w:fill="F3F3F3"/>
            <w:tcMar>
              <w:top w:w="28" w:type="dxa"/>
              <w:bottom w:w="28" w:type="dxa"/>
            </w:tcMar>
          </w:tcPr>
          <w:p w14:paraId="7D3F2F4F" w14:textId="77777777" w:rsidR="00E442A4" w:rsidRPr="00C33EB9" w:rsidRDefault="00E442A4" w:rsidP="004F6829">
            <w:pPr>
              <w:pStyle w:val="NoteHead"/>
              <w:spacing w:before="0" w:after="0"/>
              <w:rPr>
                <w:bCs/>
                <w:smallCaps w:val="0"/>
                <w:sz w:val="20"/>
              </w:rPr>
            </w:pPr>
          </w:p>
        </w:tc>
      </w:tr>
      <w:tr w:rsidR="00E442A4" w:rsidRPr="00C33EB9" w14:paraId="0C0D1104" w14:textId="77777777" w:rsidTr="00662FF4">
        <w:trPr>
          <w:gridAfter w:val="1"/>
          <w:wAfter w:w="12" w:type="pct"/>
        </w:trPr>
        <w:tc>
          <w:tcPr>
            <w:tcW w:w="4988" w:type="pct"/>
            <w:gridSpan w:val="10"/>
          </w:tcPr>
          <w:p w14:paraId="2CEC9B42" w14:textId="62E7C916" w:rsidR="00E442A4" w:rsidRPr="00C33EB9" w:rsidRDefault="006E47F2" w:rsidP="00F753B9">
            <w:pPr>
              <w:rPr>
                <w:iCs/>
              </w:rPr>
            </w:pPr>
            <w:r w:rsidRPr="006E47F2">
              <w:rPr>
                <w:iCs/>
              </w:rPr>
              <w:t xml:space="preserve">Assessment by </w:t>
            </w:r>
            <w:r w:rsidR="00F753B9">
              <w:rPr>
                <w:iCs/>
              </w:rPr>
              <w:t>Advisor</w:t>
            </w:r>
            <w:r w:rsidRPr="006E47F2">
              <w:rPr>
                <w:iCs/>
              </w:rPr>
              <w:t xml:space="preserve"> awaited</w:t>
            </w:r>
          </w:p>
        </w:tc>
      </w:tr>
      <w:tr w:rsidR="00E442A4" w:rsidRPr="00C33EB9" w14:paraId="32E013DA" w14:textId="77777777" w:rsidTr="00662FF4">
        <w:trPr>
          <w:gridAfter w:val="1"/>
          <w:wAfter w:w="12" w:type="pct"/>
        </w:trPr>
        <w:tc>
          <w:tcPr>
            <w:tcW w:w="4988" w:type="pct"/>
            <w:gridSpan w:val="10"/>
          </w:tcPr>
          <w:p w14:paraId="6C52785A" w14:textId="77777777" w:rsidR="00E442A4" w:rsidRPr="00C33EB9" w:rsidRDefault="00E442A4" w:rsidP="004F6829">
            <w:r w:rsidRPr="00C33EB9">
              <w:rPr>
                <w:b/>
                <w:iCs/>
              </w:rPr>
              <w:t>Comments from members of the Joint Meeting</w:t>
            </w:r>
            <w:r w:rsidRPr="00C33EB9">
              <w:rPr>
                <w:b/>
              </w:rPr>
              <w:t>:</w:t>
            </w:r>
          </w:p>
        </w:tc>
      </w:tr>
      <w:tr w:rsidR="00E442A4" w:rsidRPr="00C33EB9" w14:paraId="44F5D8DC" w14:textId="77777777" w:rsidTr="00662FF4">
        <w:trPr>
          <w:gridAfter w:val="1"/>
          <w:wAfter w:w="12" w:type="pct"/>
        </w:trPr>
        <w:tc>
          <w:tcPr>
            <w:tcW w:w="4988" w:type="pct"/>
            <w:gridSpan w:val="10"/>
          </w:tcPr>
          <w:p w14:paraId="59664F1C" w14:textId="77777777" w:rsidR="00E442A4" w:rsidRPr="00C33EB9" w:rsidRDefault="00E442A4" w:rsidP="004F6829">
            <w:pPr>
              <w:rPr>
                <w:iCs/>
              </w:rPr>
            </w:pPr>
          </w:p>
        </w:tc>
      </w:tr>
      <w:tr w:rsidR="00E442A4" w:rsidRPr="00C33EB9" w14:paraId="391DF128" w14:textId="77777777" w:rsidTr="00662FF4">
        <w:trPr>
          <w:gridAfter w:val="1"/>
          <w:wAfter w:w="12" w:type="pct"/>
        </w:trPr>
        <w:tc>
          <w:tcPr>
            <w:tcW w:w="313" w:type="pct"/>
            <w:tcMar>
              <w:top w:w="57" w:type="dxa"/>
              <w:bottom w:w="57" w:type="dxa"/>
            </w:tcMar>
          </w:tcPr>
          <w:p w14:paraId="268D5B25" w14:textId="77777777" w:rsidR="00E442A4" w:rsidRPr="00C33EB9" w:rsidRDefault="00E442A4" w:rsidP="004F6829">
            <w:pPr>
              <w:jc w:val="center"/>
            </w:pPr>
            <w:r w:rsidRPr="00C33EB9">
              <w:t>Country</w:t>
            </w:r>
          </w:p>
        </w:tc>
        <w:tc>
          <w:tcPr>
            <w:tcW w:w="405" w:type="pct"/>
            <w:gridSpan w:val="2"/>
            <w:tcMar>
              <w:top w:w="57" w:type="dxa"/>
              <w:bottom w:w="57" w:type="dxa"/>
            </w:tcMar>
          </w:tcPr>
          <w:p w14:paraId="17EE7183" w14:textId="77777777" w:rsidR="00E442A4" w:rsidRPr="00C33EB9" w:rsidRDefault="00E442A4" w:rsidP="004F6829">
            <w:pPr>
              <w:jc w:val="center"/>
            </w:pPr>
            <w:r w:rsidRPr="00C33EB9">
              <w:t>Clause No.</w:t>
            </w:r>
          </w:p>
        </w:tc>
        <w:tc>
          <w:tcPr>
            <w:tcW w:w="1778" w:type="pct"/>
            <w:gridSpan w:val="3"/>
            <w:tcMar>
              <w:top w:w="57" w:type="dxa"/>
              <w:bottom w:w="57" w:type="dxa"/>
            </w:tcMar>
          </w:tcPr>
          <w:p w14:paraId="3185649D" w14:textId="77777777" w:rsidR="00E442A4" w:rsidRPr="00C33EB9" w:rsidRDefault="00E442A4" w:rsidP="004F6829">
            <w:pPr>
              <w:jc w:val="center"/>
            </w:pPr>
            <w:r w:rsidRPr="00C33EB9">
              <w:t xml:space="preserve">Comment (justification for change) </w:t>
            </w:r>
          </w:p>
        </w:tc>
        <w:tc>
          <w:tcPr>
            <w:tcW w:w="761" w:type="pct"/>
            <w:gridSpan w:val="2"/>
            <w:tcMar>
              <w:top w:w="57" w:type="dxa"/>
              <w:bottom w:w="57" w:type="dxa"/>
            </w:tcMar>
          </w:tcPr>
          <w:p w14:paraId="6571B373" w14:textId="77777777" w:rsidR="00E442A4" w:rsidRPr="00C33EB9" w:rsidRDefault="00E442A4" w:rsidP="004F6829">
            <w:pPr>
              <w:jc w:val="center"/>
            </w:pPr>
            <w:r w:rsidRPr="00C33EB9">
              <w:t xml:space="preserve">Proposed change </w:t>
            </w:r>
          </w:p>
        </w:tc>
        <w:tc>
          <w:tcPr>
            <w:tcW w:w="759" w:type="pct"/>
            <w:tcMar>
              <w:top w:w="57" w:type="dxa"/>
              <w:bottom w:w="57" w:type="dxa"/>
            </w:tcMar>
          </w:tcPr>
          <w:p w14:paraId="55FE2981" w14:textId="77777777" w:rsidR="00E442A4" w:rsidRPr="00C33EB9" w:rsidRDefault="00E442A4" w:rsidP="004F6829">
            <w:pPr>
              <w:jc w:val="center"/>
            </w:pPr>
            <w:r w:rsidRPr="00C33EB9">
              <w:t>Comment from</w:t>
            </w:r>
          </w:p>
          <w:p w14:paraId="128B14D4" w14:textId="77777777" w:rsidR="00E442A4" w:rsidRPr="00C33EB9" w:rsidRDefault="00E442A4" w:rsidP="004F6829">
            <w:pPr>
              <w:jc w:val="center"/>
            </w:pPr>
            <w:r w:rsidRPr="00C33EB9">
              <w:t>CEN Consultant</w:t>
            </w:r>
          </w:p>
        </w:tc>
        <w:tc>
          <w:tcPr>
            <w:tcW w:w="972" w:type="pct"/>
            <w:tcMar>
              <w:top w:w="57" w:type="dxa"/>
              <w:bottom w:w="57" w:type="dxa"/>
            </w:tcMar>
          </w:tcPr>
          <w:p w14:paraId="7CAAD01F" w14:textId="77777777" w:rsidR="00E442A4" w:rsidRPr="00C33EB9" w:rsidRDefault="00E442A4" w:rsidP="004F6829">
            <w:pPr>
              <w:jc w:val="center"/>
            </w:pPr>
            <w:r w:rsidRPr="00C33EB9">
              <w:t xml:space="preserve">Comment from </w:t>
            </w:r>
          </w:p>
          <w:p w14:paraId="3FFF1D90" w14:textId="77777777" w:rsidR="00E442A4" w:rsidRPr="00C33EB9" w:rsidRDefault="00E442A4" w:rsidP="004F6829">
            <w:pPr>
              <w:jc w:val="center"/>
            </w:pPr>
            <w:r w:rsidRPr="00C33EB9">
              <w:t>WG Standards</w:t>
            </w:r>
          </w:p>
        </w:tc>
      </w:tr>
      <w:tr w:rsidR="002C07C3" w:rsidRPr="00C33EB9" w14:paraId="6E8F1B7D" w14:textId="77777777" w:rsidTr="00662FF4">
        <w:trPr>
          <w:gridAfter w:val="1"/>
          <w:wAfter w:w="12" w:type="pct"/>
          <w:trHeight w:val="257"/>
        </w:trPr>
        <w:tc>
          <w:tcPr>
            <w:tcW w:w="313" w:type="pct"/>
            <w:tcMar>
              <w:top w:w="0" w:type="dxa"/>
              <w:bottom w:w="0" w:type="dxa"/>
            </w:tcMar>
          </w:tcPr>
          <w:p w14:paraId="59585801" w14:textId="3D657317" w:rsidR="002C07C3" w:rsidRPr="00B4762D" w:rsidRDefault="002C07C3" w:rsidP="002C07C3">
            <w:pPr>
              <w:jc w:val="center"/>
              <w:rPr>
                <w:bCs/>
                <w:sz w:val="22"/>
                <w:szCs w:val="22"/>
              </w:rPr>
            </w:pPr>
          </w:p>
        </w:tc>
        <w:tc>
          <w:tcPr>
            <w:tcW w:w="405" w:type="pct"/>
            <w:gridSpan w:val="2"/>
            <w:tcBorders>
              <w:top w:val="single" w:sz="6" w:space="0" w:color="auto"/>
              <w:bottom w:val="single" w:sz="6" w:space="0" w:color="auto"/>
            </w:tcBorders>
            <w:tcMar>
              <w:top w:w="0" w:type="dxa"/>
              <w:bottom w:w="0" w:type="dxa"/>
            </w:tcMar>
          </w:tcPr>
          <w:p w14:paraId="2D34FFFF" w14:textId="7E948357" w:rsidR="002C07C3" w:rsidRPr="00B4762D" w:rsidRDefault="002C07C3" w:rsidP="002C07C3">
            <w:pPr>
              <w:pStyle w:val="ISOClause"/>
              <w:spacing w:before="60" w:after="60" w:line="240" w:lineRule="auto"/>
              <w:rPr>
                <w:rFonts w:ascii="Times New Roman" w:hAnsi="Times New Roman"/>
                <w:sz w:val="22"/>
                <w:szCs w:val="22"/>
              </w:rPr>
            </w:pPr>
          </w:p>
        </w:tc>
        <w:tc>
          <w:tcPr>
            <w:tcW w:w="1778" w:type="pct"/>
            <w:gridSpan w:val="3"/>
            <w:tcBorders>
              <w:top w:val="single" w:sz="6" w:space="0" w:color="auto"/>
              <w:bottom w:val="single" w:sz="6" w:space="0" w:color="auto"/>
            </w:tcBorders>
            <w:tcMar>
              <w:top w:w="0" w:type="dxa"/>
              <w:bottom w:w="0" w:type="dxa"/>
            </w:tcMar>
          </w:tcPr>
          <w:p w14:paraId="654DA71C" w14:textId="62D56A22" w:rsidR="002C07C3" w:rsidRPr="00B4762D" w:rsidRDefault="002C07C3" w:rsidP="002C07C3">
            <w:pPr>
              <w:pStyle w:val="ISOComments"/>
              <w:spacing w:before="60" w:after="60" w:line="240" w:lineRule="auto"/>
              <w:rPr>
                <w:rFonts w:ascii="Times New Roman" w:hAnsi="Times New Roman"/>
                <w:sz w:val="22"/>
                <w:szCs w:val="22"/>
              </w:rPr>
            </w:pPr>
          </w:p>
        </w:tc>
        <w:tc>
          <w:tcPr>
            <w:tcW w:w="761" w:type="pct"/>
            <w:gridSpan w:val="2"/>
            <w:tcBorders>
              <w:top w:val="single" w:sz="6" w:space="0" w:color="auto"/>
              <w:bottom w:val="single" w:sz="6" w:space="0" w:color="auto"/>
            </w:tcBorders>
            <w:tcMar>
              <w:top w:w="0" w:type="dxa"/>
              <w:bottom w:w="0" w:type="dxa"/>
            </w:tcMar>
          </w:tcPr>
          <w:p w14:paraId="6F10D654" w14:textId="1F6D4604" w:rsidR="002C07C3" w:rsidRPr="00C33EB9" w:rsidRDefault="002C07C3" w:rsidP="002C07C3">
            <w:pPr>
              <w:pStyle w:val="ISOChange"/>
              <w:spacing w:before="60" w:after="60" w:line="240" w:lineRule="auto"/>
            </w:pPr>
          </w:p>
        </w:tc>
        <w:tc>
          <w:tcPr>
            <w:tcW w:w="759" w:type="pct"/>
            <w:tcMar>
              <w:top w:w="0" w:type="dxa"/>
              <w:bottom w:w="0" w:type="dxa"/>
            </w:tcMar>
          </w:tcPr>
          <w:p w14:paraId="73FB49B3" w14:textId="77777777" w:rsidR="002C07C3" w:rsidRPr="00C33EB9" w:rsidRDefault="002C07C3" w:rsidP="002C07C3">
            <w:pPr>
              <w:rPr>
                <w:bCs/>
              </w:rPr>
            </w:pPr>
          </w:p>
        </w:tc>
        <w:tc>
          <w:tcPr>
            <w:tcW w:w="972" w:type="pct"/>
            <w:tcMar>
              <w:top w:w="0" w:type="dxa"/>
              <w:bottom w:w="0" w:type="dxa"/>
            </w:tcMar>
          </w:tcPr>
          <w:p w14:paraId="0A475B88" w14:textId="77777777" w:rsidR="002C07C3" w:rsidRPr="00C33EB9" w:rsidRDefault="002C07C3" w:rsidP="002C07C3">
            <w:pPr>
              <w:keepLines/>
              <w:rPr>
                <w:bCs/>
              </w:rPr>
            </w:pPr>
          </w:p>
        </w:tc>
      </w:tr>
      <w:tr w:rsidR="002C07C3" w:rsidRPr="00C33EB9" w14:paraId="40D98915" w14:textId="77777777" w:rsidTr="00662FF4">
        <w:trPr>
          <w:gridAfter w:val="1"/>
          <w:wAfter w:w="12" w:type="pct"/>
          <w:trHeight w:val="257"/>
        </w:trPr>
        <w:tc>
          <w:tcPr>
            <w:tcW w:w="313" w:type="pct"/>
            <w:tcMar>
              <w:top w:w="0" w:type="dxa"/>
              <w:bottom w:w="0" w:type="dxa"/>
            </w:tcMar>
          </w:tcPr>
          <w:p w14:paraId="2C7535AC" w14:textId="20441BA0" w:rsidR="002C07C3" w:rsidRPr="00B4762D" w:rsidRDefault="002C07C3" w:rsidP="002C07C3">
            <w:pPr>
              <w:jc w:val="center"/>
              <w:rPr>
                <w:bCs/>
                <w:sz w:val="22"/>
                <w:szCs w:val="22"/>
              </w:rPr>
            </w:pPr>
          </w:p>
        </w:tc>
        <w:tc>
          <w:tcPr>
            <w:tcW w:w="405" w:type="pct"/>
            <w:gridSpan w:val="2"/>
            <w:tcBorders>
              <w:top w:val="single" w:sz="6" w:space="0" w:color="auto"/>
              <w:bottom w:val="single" w:sz="6" w:space="0" w:color="auto"/>
            </w:tcBorders>
            <w:tcMar>
              <w:top w:w="0" w:type="dxa"/>
              <w:bottom w:w="0" w:type="dxa"/>
            </w:tcMar>
          </w:tcPr>
          <w:p w14:paraId="2798D796" w14:textId="4C136CDC" w:rsidR="002C07C3" w:rsidRPr="00B4762D" w:rsidRDefault="002C07C3" w:rsidP="002C07C3">
            <w:pPr>
              <w:pStyle w:val="ISOClause"/>
              <w:spacing w:before="60" w:after="60" w:line="240" w:lineRule="auto"/>
              <w:rPr>
                <w:rFonts w:ascii="Times New Roman" w:hAnsi="Times New Roman"/>
                <w:sz w:val="22"/>
                <w:szCs w:val="22"/>
              </w:rPr>
            </w:pPr>
          </w:p>
        </w:tc>
        <w:tc>
          <w:tcPr>
            <w:tcW w:w="1778" w:type="pct"/>
            <w:gridSpan w:val="3"/>
            <w:tcBorders>
              <w:top w:val="single" w:sz="6" w:space="0" w:color="auto"/>
              <w:bottom w:val="single" w:sz="6" w:space="0" w:color="auto"/>
            </w:tcBorders>
            <w:tcMar>
              <w:top w:w="0" w:type="dxa"/>
              <w:bottom w:w="0" w:type="dxa"/>
            </w:tcMar>
          </w:tcPr>
          <w:p w14:paraId="2D934FA3" w14:textId="50C5B73D" w:rsidR="002C07C3" w:rsidRPr="00B4762D" w:rsidRDefault="002C07C3" w:rsidP="002C07C3">
            <w:pPr>
              <w:pStyle w:val="ISOComments"/>
              <w:spacing w:before="60" w:after="60" w:line="240" w:lineRule="auto"/>
              <w:rPr>
                <w:rFonts w:ascii="Times New Roman" w:hAnsi="Times New Roman"/>
                <w:sz w:val="22"/>
                <w:szCs w:val="22"/>
              </w:rPr>
            </w:pPr>
          </w:p>
        </w:tc>
        <w:tc>
          <w:tcPr>
            <w:tcW w:w="761" w:type="pct"/>
            <w:gridSpan w:val="2"/>
            <w:tcBorders>
              <w:top w:val="single" w:sz="6" w:space="0" w:color="auto"/>
              <w:bottom w:val="single" w:sz="6" w:space="0" w:color="auto"/>
            </w:tcBorders>
            <w:tcMar>
              <w:top w:w="0" w:type="dxa"/>
              <w:bottom w:w="0" w:type="dxa"/>
            </w:tcMar>
          </w:tcPr>
          <w:p w14:paraId="0762F842" w14:textId="62040F24" w:rsidR="002C07C3" w:rsidRPr="00C33EB9" w:rsidRDefault="002C07C3" w:rsidP="002C07C3">
            <w:pPr>
              <w:pStyle w:val="ISOChange"/>
              <w:spacing w:before="60" w:after="60" w:line="240" w:lineRule="auto"/>
            </w:pPr>
          </w:p>
        </w:tc>
        <w:tc>
          <w:tcPr>
            <w:tcW w:w="759" w:type="pct"/>
            <w:tcMar>
              <w:top w:w="0" w:type="dxa"/>
              <w:bottom w:w="0" w:type="dxa"/>
            </w:tcMar>
          </w:tcPr>
          <w:p w14:paraId="7ADABFDC" w14:textId="77777777" w:rsidR="002C07C3" w:rsidRPr="00C33EB9" w:rsidRDefault="002C07C3" w:rsidP="002C07C3">
            <w:pPr>
              <w:rPr>
                <w:bCs/>
              </w:rPr>
            </w:pPr>
          </w:p>
        </w:tc>
        <w:tc>
          <w:tcPr>
            <w:tcW w:w="972" w:type="pct"/>
            <w:tcMar>
              <w:top w:w="0" w:type="dxa"/>
              <w:bottom w:w="0" w:type="dxa"/>
            </w:tcMar>
          </w:tcPr>
          <w:p w14:paraId="34FF4A7E" w14:textId="77777777" w:rsidR="002C07C3" w:rsidRPr="00C33EB9" w:rsidRDefault="002C07C3" w:rsidP="002C07C3">
            <w:pPr>
              <w:keepLines/>
              <w:rPr>
                <w:bCs/>
              </w:rPr>
            </w:pPr>
          </w:p>
        </w:tc>
      </w:tr>
      <w:tr w:rsidR="002C07C3" w:rsidRPr="00C33EB9" w14:paraId="0D18D476" w14:textId="77777777" w:rsidTr="00B4762D">
        <w:trPr>
          <w:trHeight w:val="818"/>
        </w:trPr>
        <w:tc>
          <w:tcPr>
            <w:tcW w:w="712" w:type="pct"/>
            <w:gridSpan w:val="2"/>
            <w:tcBorders>
              <w:top w:val="single" w:sz="12" w:space="0" w:color="auto"/>
              <w:bottom w:val="single" w:sz="12" w:space="0" w:color="auto"/>
            </w:tcBorders>
            <w:shd w:val="clear" w:color="auto" w:fill="F2F2F2"/>
            <w:tcMar>
              <w:top w:w="0" w:type="dxa"/>
              <w:bottom w:w="0" w:type="dxa"/>
            </w:tcMar>
          </w:tcPr>
          <w:p w14:paraId="02644308" w14:textId="77777777" w:rsidR="002C07C3" w:rsidRPr="00C33EB9" w:rsidRDefault="002C07C3" w:rsidP="002C07C3">
            <w:pPr>
              <w:rPr>
                <w:b/>
                <w:bCs/>
              </w:rPr>
            </w:pPr>
            <w:r w:rsidRPr="00C33EB9">
              <w:rPr>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5B6C3164" w14:textId="77777777" w:rsidR="002C07C3" w:rsidRPr="006E47F2" w:rsidRDefault="002C07C3" w:rsidP="002C07C3">
            <w:pPr>
              <w:keepLines/>
              <w:jc w:val="center"/>
              <w:rPr>
                <w:bCs/>
              </w:rPr>
            </w:pPr>
            <w:r w:rsidRPr="00E823AA">
              <w:rPr>
                <w:bCs/>
                <w:highlight w:val="yellow"/>
              </w:rPr>
              <w:t>Accepted</w:t>
            </w:r>
          </w:p>
          <w:p w14:paraId="60AFBEF7" w14:textId="77777777" w:rsidR="002C07C3" w:rsidRPr="00C33EB9" w:rsidRDefault="002C07C3" w:rsidP="002C07C3">
            <w:pPr>
              <w:keepLines/>
              <w:jc w:val="center"/>
              <w:rPr>
                <w:bCs/>
              </w:rPr>
            </w:pPr>
            <w:r w:rsidRPr="00C33EB9">
              <w:rPr>
                <w:bCs/>
              </w:rPr>
              <w:t>Refused</w:t>
            </w:r>
          </w:p>
          <w:p w14:paraId="513E0151" w14:textId="77777777" w:rsidR="002C07C3" w:rsidRPr="00C33EB9" w:rsidRDefault="002C07C3" w:rsidP="002C07C3">
            <w:pPr>
              <w:keepLines/>
              <w:jc w:val="center"/>
              <w:rPr>
                <w:bCs/>
              </w:rPr>
            </w:pPr>
            <w:r w:rsidRPr="008979E2">
              <w:rPr>
                <w:bCs/>
              </w:rPr>
              <w:t>Postponed</w:t>
            </w:r>
          </w:p>
        </w:tc>
        <w:tc>
          <w:tcPr>
            <w:tcW w:w="1372" w:type="pct"/>
            <w:tcBorders>
              <w:top w:val="single" w:sz="12" w:space="0" w:color="auto"/>
              <w:bottom w:val="single" w:sz="12" w:space="0" w:color="auto"/>
            </w:tcBorders>
            <w:shd w:val="clear" w:color="auto" w:fill="F2F2F2"/>
          </w:tcPr>
          <w:p w14:paraId="52C5565E" w14:textId="2A6A7444" w:rsidR="002C07C3" w:rsidRDefault="002C07C3" w:rsidP="002C07C3">
            <w:pPr>
              <w:keepLines/>
              <w:tabs>
                <w:tab w:val="left" w:pos="6663"/>
              </w:tabs>
              <w:jc w:val="center"/>
              <w:rPr>
                <w:bCs/>
              </w:rPr>
            </w:pPr>
            <w:r w:rsidRPr="00C33EB9">
              <w:rPr>
                <w:bCs/>
              </w:rPr>
              <w:t>Comments</w:t>
            </w:r>
          </w:p>
          <w:p w14:paraId="778F3B19" w14:textId="77777777" w:rsidR="002C07C3" w:rsidRPr="00C33EB9" w:rsidRDefault="002C07C3" w:rsidP="00F35003">
            <w:pPr>
              <w:keepLines/>
              <w:tabs>
                <w:tab w:val="left" w:pos="6663"/>
              </w:tabs>
              <w:jc w:val="center"/>
              <w:rPr>
                <w:bCs/>
              </w:rPr>
            </w:pPr>
          </w:p>
        </w:tc>
        <w:tc>
          <w:tcPr>
            <w:tcW w:w="2509" w:type="pct"/>
            <w:gridSpan w:val="6"/>
            <w:tcBorders>
              <w:top w:val="single" w:sz="12" w:space="0" w:color="auto"/>
              <w:bottom w:val="single" w:sz="12" w:space="0" w:color="auto"/>
            </w:tcBorders>
            <w:shd w:val="clear" w:color="auto" w:fill="F2F2F2"/>
            <w:tcMar>
              <w:top w:w="0" w:type="dxa"/>
              <w:bottom w:w="0" w:type="dxa"/>
            </w:tcMar>
          </w:tcPr>
          <w:p w14:paraId="4CDB1DF3" w14:textId="77777777" w:rsidR="002C07C3" w:rsidRPr="00C33EB9" w:rsidRDefault="002C07C3" w:rsidP="002C07C3">
            <w:pPr>
              <w:keepLines/>
              <w:tabs>
                <w:tab w:val="left" w:pos="6663"/>
              </w:tabs>
              <w:rPr>
                <w:bCs/>
              </w:rPr>
            </w:pPr>
          </w:p>
        </w:tc>
      </w:tr>
    </w:tbl>
    <w:p w14:paraId="014607C3" w14:textId="60033BB5" w:rsidR="006E47F2" w:rsidRDefault="006E47F2" w:rsidP="007A6A01">
      <w:pPr>
        <w:spacing w:before="120" w:after="60"/>
        <w:outlineLvl w:val="0"/>
        <w:rPr>
          <w:bCs/>
          <w:iCs/>
          <w:kern w:val="28"/>
          <w:szCs w:val="32"/>
          <w:lang w:val="en-US"/>
        </w:rPr>
      </w:pPr>
    </w:p>
    <w:p w14:paraId="771679E6" w14:textId="235E378F" w:rsidR="004B6BD4" w:rsidRDefault="004B6BD4" w:rsidP="007A6A01">
      <w:pPr>
        <w:spacing w:before="120" w:after="60"/>
        <w:outlineLvl w:val="0"/>
        <w:rPr>
          <w:bCs/>
          <w:iCs/>
          <w:kern w:val="28"/>
          <w:szCs w:val="32"/>
          <w:lang w:val="en-US"/>
        </w:rPr>
      </w:pPr>
    </w:p>
    <w:p w14:paraId="70863A8B" w14:textId="1132967C" w:rsidR="004B6BD4" w:rsidRDefault="004B6BD4" w:rsidP="007A6A01">
      <w:pPr>
        <w:spacing w:before="120" w:after="60"/>
        <w:outlineLvl w:val="0"/>
        <w:rPr>
          <w:bCs/>
          <w:iCs/>
          <w:kern w:val="28"/>
          <w:szCs w:val="32"/>
          <w:lang w:val="en-US"/>
        </w:rPr>
      </w:pPr>
    </w:p>
    <w:p w14:paraId="5CC3CF4A" w14:textId="399F0043" w:rsidR="004B6BD4" w:rsidRDefault="004B6BD4" w:rsidP="007A6A01">
      <w:pPr>
        <w:spacing w:before="120" w:after="60"/>
        <w:outlineLvl w:val="0"/>
        <w:rPr>
          <w:bCs/>
          <w:iCs/>
          <w:kern w:val="28"/>
          <w:szCs w:val="32"/>
          <w:lang w:val="en-US"/>
        </w:rPr>
      </w:pPr>
    </w:p>
    <w:p w14:paraId="23D9EEAC" w14:textId="77777777" w:rsidR="004B6BD4" w:rsidRDefault="004B6BD4" w:rsidP="007A6A01">
      <w:pPr>
        <w:spacing w:before="120" w:after="60"/>
        <w:outlineLvl w:val="0"/>
        <w:rPr>
          <w:bCs/>
          <w:iCs/>
          <w:kern w:val="28"/>
          <w:szCs w:val="32"/>
          <w:lang w:val="en-US"/>
        </w:rPr>
      </w:pPr>
    </w:p>
    <w:p w14:paraId="106ADAFA" w14:textId="77777777" w:rsidR="009106DC" w:rsidRPr="00C33EB9" w:rsidRDefault="009106DC" w:rsidP="007A6A01">
      <w:pPr>
        <w:spacing w:before="120" w:after="60"/>
        <w:outlineLvl w:val="0"/>
        <w:rPr>
          <w:bCs/>
          <w:iCs/>
          <w:kern w:val="28"/>
          <w:szCs w:val="32"/>
          <w:lang w:val="en-US"/>
        </w:rPr>
      </w:pPr>
    </w:p>
    <w:p w14:paraId="5557A5CC" w14:textId="7026EB0F" w:rsidR="007A6A01" w:rsidRPr="00C33EB9" w:rsidRDefault="007A6A01" w:rsidP="007A6A01">
      <w:pPr>
        <w:spacing w:before="120" w:after="60"/>
        <w:outlineLvl w:val="0"/>
        <w:rPr>
          <w:bCs/>
          <w:iCs/>
          <w:kern w:val="28"/>
          <w:szCs w:val="32"/>
          <w:lang w:val="en-US"/>
        </w:rPr>
      </w:pPr>
      <w:r w:rsidRPr="00C33EB9">
        <w:rPr>
          <w:bCs/>
          <w:iCs/>
          <w:kern w:val="28"/>
          <w:szCs w:val="32"/>
          <w:lang w:val="en-US"/>
        </w:rPr>
        <w:lastRenderedPageBreak/>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88"/>
        <w:gridCol w:w="1008"/>
        <w:gridCol w:w="18"/>
        <w:gridCol w:w="1011"/>
        <w:gridCol w:w="3467"/>
        <w:gridCol w:w="13"/>
        <w:gridCol w:w="1913"/>
        <w:gridCol w:w="10"/>
        <w:gridCol w:w="1916"/>
        <w:gridCol w:w="2459"/>
        <w:gridCol w:w="33"/>
      </w:tblGrid>
      <w:tr w:rsidR="006D48A1" w:rsidRPr="00C33EB9" w14:paraId="261BD036" w14:textId="77777777" w:rsidTr="00A31F78">
        <w:trPr>
          <w:gridAfter w:val="1"/>
          <w:wAfter w:w="13" w:type="pct"/>
          <w:cantSplit/>
          <w:trHeight w:val="350"/>
        </w:trPr>
        <w:tc>
          <w:tcPr>
            <w:tcW w:w="711"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61DE085E" w14:textId="576216F0" w:rsidR="006D48A1" w:rsidRPr="00C33EB9" w:rsidRDefault="002E0B8C" w:rsidP="00D31F1A">
            <w:pPr>
              <w:jc w:val="center"/>
              <w:rPr>
                <w:b/>
                <w:spacing w:val="-3"/>
              </w:rPr>
            </w:pPr>
            <w:r w:rsidRPr="002E0B8C">
              <w:rPr>
                <w:b/>
                <w:spacing w:val="-3"/>
              </w:rPr>
              <w:t>EN 1440:2016+A1:2018/prA2:2019</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1DF3F417" w14:textId="5950DAE7" w:rsidR="006D48A1" w:rsidRPr="002E0B8C" w:rsidRDefault="002E0B8C" w:rsidP="006E47F2">
            <w:pPr>
              <w:jc w:val="center"/>
              <w:rPr>
                <w:b/>
                <w:spacing w:val="-3"/>
              </w:rPr>
            </w:pPr>
            <w:r w:rsidRPr="002E0B8C">
              <w:rPr>
                <w:b/>
                <w:color w:val="000000"/>
                <w:lang w:val="en-US"/>
              </w:rPr>
              <w:t>LPG equipment and accessories - Transportable refillable traditional welded and brazed steel Liquefied Petroleum Gas (LPG) cylinders - Periodic inspection</w:t>
            </w:r>
          </w:p>
        </w:tc>
        <w:tc>
          <w:tcPr>
            <w:tcW w:w="762"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32E7D479" w14:textId="77777777" w:rsidR="006D48A1" w:rsidRPr="00C33EB9" w:rsidRDefault="006D48A1" w:rsidP="00AE75BE">
            <w:pPr>
              <w:pStyle w:val="NoteHead"/>
              <w:spacing w:before="0" w:after="0"/>
              <w:rPr>
                <w:bCs/>
                <w:smallCaps w:val="0"/>
                <w:sz w:val="20"/>
              </w:rPr>
            </w:pPr>
            <w:r w:rsidRPr="00C33EB9">
              <w:rPr>
                <w:bCs/>
                <w:smallCaps w:val="0"/>
                <w:sz w:val="20"/>
              </w:rPr>
              <w:t>Where to refer in RID/ADR:</w:t>
            </w:r>
          </w:p>
          <w:p w14:paraId="57CE0296" w14:textId="711A4534" w:rsidR="006D48A1" w:rsidRPr="0061459D" w:rsidRDefault="00D54770" w:rsidP="00030E0F">
            <w:pPr>
              <w:pStyle w:val="NoteHead"/>
              <w:spacing w:before="0" w:after="0"/>
              <w:rPr>
                <w:sz w:val="20"/>
              </w:rPr>
            </w:pPr>
            <w:r w:rsidRPr="0061459D">
              <w:rPr>
                <w:sz w:val="20"/>
              </w:rPr>
              <w:t>6.2.4.2</w:t>
            </w:r>
          </w:p>
        </w:tc>
        <w:tc>
          <w:tcPr>
            <w:tcW w:w="1735"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1546118F" w14:textId="77777777" w:rsidR="006D48A1" w:rsidRPr="00C33EB9" w:rsidRDefault="006D48A1" w:rsidP="00AE75BE">
            <w:pPr>
              <w:pStyle w:val="NoteHead"/>
              <w:spacing w:before="0" w:after="0"/>
              <w:rPr>
                <w:bCs/>
                <w:smallCaps w:val="0"/>
                <w:sz w:val="20"/>
              </w:rPr>
            </w:pPr>
            <w:r w:rsidRPr="00C33EB9">
              <w:rPr>
                <w:bCs/>
                <w:smallCaps w:val="0"/>
                <w:sz w:val="20"/>
              </w:rPr>
              <w:t>Applicable sub-sections and paragraphs:</w:t>
            </w:r>
          </w:p>
          <w:p w14:paraId="3C1C55FE" w14:textId="7846A9EC" w:rsidR="006D48A1" w:rsidRPr="00264ED1" w:rsidRDefault="00D54770" w:rsidP="006E47F2">
            <w:pPr>
              <w:jc w:val="center"/>
              <w:rPr>
                <w:b/>
              </w:rPr>
            </w:pPr>
            <w:r w:rsidRPr="00264ED1">
              <w:rPr>
                <w:b/>
              </w:rPr>
              <w:t>Not required</w:t>
            </w:r>
          </w:p>
        </w:tc>
      </w:tr>
      <w:tr w:rsidR="006D48A1" w:rsidRPr="00C33EB9" w14:paraId="34201091" w14:textId="77777777" w:rsidTr="00A31F78">
        <w:trPr>
          <w:gridAfter w:val="1"/>
          <w:wAfter w:w="13" w:type="pct"/>
          <w:cantSplit/>
          <w:trHeight w:val="350"/>
        </w:trPr>
        <w:tc>
          <w:tcPr>
            <w:tcW w:w="711"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140F606A" w14:textId="37E78AFF" w:rsidR="006D48A1" w:rsidRPr="00C33EB9" w:rsidRDefault="002E0B8C" w:rsidP="00A31F78">
            <w:pPr>
              <w:jc w:val="center"/>
              <w:rPr>
                <w:spacing w:val="-3"/>
              </w:rPr>
            </w:pPr>
            <w:r w:rsidRPr="002E0B8C">
              <w:rPr>
                <w:spacing w:val="-3"/>
              </w:rPr>
              <w:t>00286196</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2CF29036" w14:textId="77777777" w:rsidR="006D48A1" w:rsidRPr="00C33EB9" w:rsidRDefault="006D48A1" w:rsidP="00AE75BE">
            <w:pPr>
              <w:ind w:right="16"/>
              <w:jc w:val="center"/>
              <w:rPr>
                <w:b/>
                <w:spacing w:val="-3"/>
              </w:rPr>
            </w:pPr>
          </w:p>
        </w:tc>
        <w:tc>
          <w:tcPr>
            <w:tcW w:w="762" w:type="pct"/>
            <w:gridSpan w:val="2"/>
            <w:vMerge/>
            <w:tcBorders>
              <w:left w:val="single" w:sz="6" w:space="0" w:color="auto"/>
              <w:right w:val="single" w:sz="6" w:space="0" w:color="auto"/>
            </w:tcBorders>
            <w:shd w:val="clear" w:color="auto" w:fill="F3F3F3"/>
            <w:tcMar>
              <w:top w:w="28" w:type="dxa"/>
              <w:bottom w:w="28" w:type="dxa"/>
            </w:tcMar>
          </w:tcPr>
          <w:p w14:paraId="709328F4" w14:textId="77777777" w:rsidR="006D48A1" w:rsidRPr="00C33EB9" w:rsidRDefault="006D48A1" w:rsidP="00AE75BE">
            <w:pPr>
              <w:pStyle w:val="NoteHead"/>
              <w:spacing w:before="0" w:after="0"/>
              <w:rPr>
                <w:bCs/>
                <w:smallCaps w:val="0"/>
                <w:sz w:val="20"/>
              </w:rPr>
            </w:pPr>
          </w:p>
        </w:tc>
        <w:tc>
          <w:tcPr>
            <w:tcW w:w="1735" w:type="pct"/>
            <w:gridSpan w:val="3"/>
            <w:vMerge/>
            <w:tcBorders>
              <w:left w:val="single" w:sz="6" w:space="0" w:color="auto"/>
              <w:right w:val="single" w:sz="12" w:space="0" w:color="auto"/>
            </w:tcBorders>
            <w:shd w:val="clear" w:color="auto" w:fill="F3F3F3"/>
            <w:tcMar>
              <w:top w:w="28" w:type="dxa"/>
              <w:bottom w:w="28" w:type="dxa"/>
            </w:tcMar>
          </w:tcPr>
          <w:p w14:paraId="58970177" w14:textId="77777777" w:rsidR="006D48A1" w:rsidRPr="00C33EB9" w:rsidRDefault="006D48A1" w:rsidP="00AE75BE">
            <w:pPr>
              <w:pStyle w:val="NoteHead"/>
              <w:spacing w:before="0" w:after="0"/>
              <w:rPr>
                <w:bCs/>
                <w:smallCaps w:val="0"/>
                <w:sz w:val="20"/>
              </w:rPr>
            </w:pPr>
          </w:p>
        </w:tc>
      </w:tr>
      <w:tr w:rsidR="006D48A1" w:rsidRPr="00C33EB9" w14:paraId="1FD62273" w14:textId="77777777" w:rsidTr="001A6CC5">
        <w:trPr>
          <w:gridAfter w:val="1"/>
          <w:wAfter w:w="13" w:type="pct"/>
          <w:cantSplit/>
        </w:trPr>
        <w:tc>
          <w:tcPr>
            <w:tcW w:w="4987" w:type="pct"/>
            <w:gridSpan w:val="10"/>
          </w:tcPr>
          <w:p w14:paraId="4D285873" w14:textId="17DDD188" w:rsidR="006D48A1" w:rsidRPr="006E47F2" w:rsidRDefault="006E47F2" w:rsidP="00F753B9">
            <w:pPr>
              <w:tabs>
                <w:tab w:val="num" w:pos="1134"/>
              </w:tabs>
              <w:jc w:val="both"/>
            </w:pPr>
            <w:r w:rsidRPr="006E47F2">
              <w:t xml:space="preserve">Assessment by </w:t>
            </w:r>
            <w:r w:rsidR="00F753B9">
              <w:t>Advisor</w:t>
            </w:r>
            <w:r w:rsidRPr="006E47F2">
              <w:t xml:space="preserve"> awaited</w:t>
            </w:r>
          </w:p>
        </w:tc>
      </w:tr>
      <w:tr w:rsidR="006D48A1" w:rsidRPr="00C33EB9" w14:paraId="5C4BE188" w14:textId="77777777" w:rsidTr="001A6CC5">
        <w:trPr>
          <w:gridAfter w:val="1"/>
          <w:wAfter w:w="13" w:type="pct"/>
          <w:cantSplit/>
        </w:trPr>
        <w:tc>
          <w:tcPr>
            <w:tcW w:w="4987" w:type="pct"/>
            <w:gridSpan w:val="10"/>
          </w:tcPr>
          <w:p w14:paraId="74F4541D" w14:textId="77777777" w:rsidR="006D48A1" w:rsidRPr="00C33EB9" w:rsidRDefault="006D48A1" w:rsidP="00AE75BE">
            <w:r w:rsidRPr="00C33EB9">
              <w:rPr>
                <w:b/>
                <w:iCs/>
              </w:rPr>
              <w:t>Comments from members of the Joint Meeting</w:t>
            </w:r>
            <w:r w:rsidRPr="00C33EB9">
              <w:rPr>
                <w:b/>
              </w:rPr>
              <w:t>:</w:t>
            </w:r>
          </w:p>
        </w:tc>
      </w:tr>
      <w:tr w:rsidR="006D48A1" w:rsidRPr="00C33EB9" w14:paraId="7868592F" w14:textId="77777777" w:rsidTr="00A31F78">
        <w:trPr>
          <w:gridAfter w:val="1"/>
          <w:wAfter w:w="13" w:type="pct"/>
          <w:cantSplit/>
        </w:trPr>
        <w:tc>
          <w:tcPr>
            <w:tcW w:w="312" w:type="pct"/>
            <w:tcMar>
              <w:top w:w="57" w:type="dxa"/>
              <w:bottom w:w="57" w:type="dxa"/>
            </w:tcMar>
          </w:tcPr>
          <w:p w14:paraId="66180821" w14:textId="77777777" w:rsidR="006D48A1" w:rsidRPr="00C33EB9" w:rsidRDefault="006D48A1" w:rsidP="00AE75BE">
            <w:pPr>
              <w:jc w:val="center"/>
            </w:pPr>
            <w:r w:rsidRPr="00C33EB9">
              <w:t>Country</w:t>
            </w:r>
          </w:p>
        </w:tc>
        <w:tc>
          <w:tcPr>
            <w:tcW w:w="406" w:type="pct"/>
            <w:gridSpan w:val="2"/>
            <w:tcMar>
              <w:top w:w="57" w:type="dxa"/>
              <w:bottom w:w="57" w:type="dxa"/>
            </w:tcMar>
          </w:tcPr>
          <w:p w14:paraId="42FCBF24" w14:textId="77777777" w:rsidR="006D48A1" w:rsidRPr="00C33EB9" w:rsidRDefault="006D48A1" w:rsidP="00AE75BE">
            <w:pPr>
              <w:jc w:val="center"/>
            </w:pPr>
            <w:r w:rsidRPr="00C33EB9">
              <w:t>Clause No.</w:t>
            </w:r>
          </w:p>
        </w:tc>
        <w:tc>
          <w:tcPr>
            <w:tcW w:w="1777" w:type="pct"/>
            <w:gridSpan w:val="3"/>
            <w:tcMar>
              <w:top w:w="57" w:type="dxa"/>
              <w:bottom w:w="57" w:type="dxa"/>
            </w:tcMar>
          </w:tcPr>
          <w:p w14:paraId="753DAA28" w14:textId="77777777" w:rsidR="006D48A1" w:rsidRPr="00C33EB9" w:rsidRDefault="006D48A1" w:rsidP="00AE75BE">
            <w:pPr>
              <w:jc w:val="center"/>
            </w:pPr>
            <w:r w:rsidRPr="00C33EB9">
              <w:t xml:space="preserve">Comment (justification for change) </w:t>
            </w:r>
          </w:p>
        </w:tc>
        <w:tc>
          <w:tcPr>
            <w:tcW w:w="761" w:type="pct"/>
            <w:gridSpan w:val="2"/>
            <w:tcMar>
              <w:top w:w="57" w:type="dxa"/>
              <w:bottom w:w="57" w:type="dxa"/>
            </w:tcMar>
          </w:tcPr>
          <w:p w14:paraId="59B5B7D1" w14:textId="77777777" w:rsidR="006D48A1" w:rsidRPr="00C33EB9" w:rsidRDefault="006D48A1" w:rsidP="00AE75BE">
            <w:pPr>
              <w:jc w:val="center"/>
            </w:pPr>
            <w:r w:rsidRPr="00C33EB9">
              <w:t xml:space="preserve">Proposed change </w:t>
            </w:r>
          </w:p>
        </w:tc>
        <w:tc>
          <w:tcPr>
            <w:tcW w:w="758" w:type="pct"/>
            <w:tcMar>
              <w:top w:w="57" w:type="dxa"/>
              <w:bottom w:w="57" w:type="dxa"/>
            </w:tcMar>
          </w:tcPr>
          <w:p w14:paraId="2B59AD5C" w14:textId="77777777" w:rsidR="006D48A1" w:rsidRPr="00C33EB9" w:rsidRDefault="006D48A1" w:rsidP="00AE75BE">
            <w:pPr>
              <w:jc w:val="center"/>
            </w:pPr>
            <w:r w:rsidRPr="00C33EB9">
              <w:t>Comment from</w:t>
            </w:r>
          </w:p>
          <w:p w14:paraId="2A5C737F" w14:textId="77777777" w:rsidR="006D48A1" w:rsidRPr="00C33EB9" w:rsidRDefault="006D48A1" w:rsidP="00AE75BE">
            <w:pPr>
              <w:jc w:val="center"/>
            </w:pPr>
            <w:r w:rsidRPr="00C33EB9">
              <w:t>CEN Consultant</w:t>
            </w:r>
          </w:p>
        </w:tc>
        <w:tc>
          <w:tcPr>
            <w:tcW w:w="973" w:type="pct"/>
            <w:tcMar>
              <w:top w:w="57" w:type="dxa"/>
              <w:bottom w:w="57" w:type="dxa"/>
            </w:tcMar>
          </w:tcPr>
          <w:p w14:paraId="37C79725" w14:textId="77777777" w:rsidR="006D48A1" w:rsidRPr="00C33EB9" w:rsidRDefault="006D48A1" w:rsidP="00AE75BE">
            <w:pPr>
              <w:jc w:val="center"/>
            </w:pPr>
            <w:r w:rsidRPr="00C33EB9">
              <w:t xml:space="preserve">Comment from </w:t>
            </w:r>
          </w:p>
          <w:p w14:paraId="7EFE2F45" w14:textId="77777777" w:rsidR="006D48A1" w:rsidRPr="00C33EB9" w:rsidRDefault="006D48A1" w:rsidP="00AE75BE">
            <w:pPr>
              <w:jc w:val="center"/>
            </w:pPr>
            <w:r w:rsidRPr="00C33EB9">
              <w:t>WG Standards</w:t>
            </w:r>
          </w:p>
        </w:tc>
      </w:tr>
      <w:tr w:rsidR="002C07C3" w:rsidRPr="00C33EB9" w14:paraId="5508921D" w14:textId="77777777" w:rsidTr="00A31F78">
        <w:trPr>
          <w:gridAfter w:val="1"/>
          <w:wAfter w:w="13" w:type="pct"/>
          <w:cantSplit/>
        </w:trPr>
        <w:tc>
          <w:tcPr>
            <w:tcW w:w="312" w:type="pct"/>
            <w:tcBorders>
              <w:top w:val="single" w:sz="6" w:space="0" w:color="auto"/>
              <w:bottom w:val="single" w:sz="6" w:space="0" w:color="auto"/>
            </w:tcBorders>
            <w:tcMar>
              <w:top w:w="0" w:type="dxa"/>
              <w:bottom w:w="0" w:type="dxa"/>
            </w:tcMar>
          </w:tcPr>
          <w:p w14:paraId="21C494FE" w14:textId="4623E078" w:rsidR="002C07C3" w:rsidRPr="00C33EB9" w:rsidRDefault="002C07C3" w:rsidP="002C07C3">
            <w:pPr>
              <w:jc w:val="center"/>
              <w:rPr>
                <w:bCs/>
              </w:rPr>
            </w:pPr>
          </w:p>
        </w:tc>
        <w:tc>
          <w:tcPr>
            <w:tcW w:w="406" w:type="pct"/>
            <w:gridSpan w:val="2"/>
            <w:tcBorders>
              <w:top w:val="single" w:sz="6" w:space="0" w:color="auto"/>
              <w:bottom w:val="single" w:sz="6" w:space="0" w:color="auto"/>
            </w:tcBorders>
            <w:tcMar>
              <w:top w:w="0" w:type="dxa"/>
              <w:bottom w:w="0" w:type="dxa"/>
            </w:tcMar>
          </w:tcPr>
          <w:p w14:paraId="0D94A6B3" w14:textId="272EB52D" w:rsidR="002C07C3" w:rsidRPr="00C33EB9" w:rsidRDefault="002C07C3" w:rsidP="002C07C3">
            <w:pPr>
              <w:keepLines/>
              <w:rPr>
                <w:bCs/>
              </w:rPr>
            </w:pPr>
          </w:p>
        </w:tc>
        <w:tc>
          <w:tcPr>
            <w:tcW w:w="1777" w:type="pct"/>
            <w:gridSpan w:val="3"/>
            <w:tcBorders>
              <w:top w:val="single" w:sz="4" w:space="0" w:color="auto"/>
              <w:bottom w:val="single" w:sz="4" w:space="0" w:color="auto"/>
            </w:tcBorders>
            <w:tcMar>
              <w:top w:w="0" w:type="dxa"/>
              <w:bottom w:w="0" w:type="dxa"/>
            </w:tcMar>
          </w:tcPr>
          <w:p w14:paraId="04B0C3FA" w14:textId="77777777" w:rsidR="002C07C3" w:rsidRDefault="002C07C3" w:rsidP="002C07C3">
            <w:pPr>
              <w:tabs>
                <w:tab w:val="left" w:pos="6663"/>
              </w:tabs>
              <w:rPr>
                <w:sz w:val="22"/>
                <w:szCs w:val="22"/>
                <w:lang w:eastAsia="en-GB"/>
              </w:rPr>
            </w:pPr>
          </w:p>
          <w:p w14:paraId="1ACBCD03" w14:textId="0ED7B7BF" w:rsidR="00F35003" w:rsidRPr="00C33EB9" w:rsidRDefault="00F35003" w:rsidP="002C07C3">
            <w:pPr>
              <w:tabs>
                <w:tab w:val="left" w:pos="6663"/>
              </w:tabs>
              <w:rPr>
                <w:bCs/>
              </w:rPr>
            </w:pPr>
          </w:p>
        </w:tc>
        <w:tc>
          <w:tcPr>
            <w:tcW w:w="761" w:type="pct"/>
            <w:gridSpan w:val="2"/>
            <w:tcBorders>
              <w:top w:val="single" w:sz="4" w:space="0" w:color="auto"/>
              <w:bottom w:val="single" w:sz="4" w:space="0" w:color="auto"/>
            </w:tcBorders>
            <w:tcMar>
              <w:top w:w="0" w:type="dxa"/>
              <w:bottom w:w="0" w:type="dxa"/>
            </w:tcMar>
          </w:tcPr>
          <w:p w14:paraId="1784B778" w14:textId="77777777" w:rsidR="002C07C3" w:rsidRPr="00C33EB9" w:rsidRDefault="002C07C3" w:rsidP="002C07C3">
            <w:pPr>
              <w:rPr>
                <w:bCs/>
              </w:rPr>
            </w:pPr>
          </w:p>
        </w:tc>
        <w:tc>
          <w:tcPr>
            <w:tcW w:w="758" w:type="pct"/>
            <w:tcBorders>
              <w:top w:val="single" w:sz="6" w:space="0" w:color="auto"/>
              <w:bottom w:val="single" w:sz="6" w:space="0" w:color="auto"/>
            </w:tcBorders>
            <w:tcMar>
              <w:top w:w="0" w:type="dxa"/>
              <w:bottom w:w="0" w:type="dxa"/>
            </w:tcMar>
          </w:tcPr>
          <w:p w14:paraId="597F4617" w14:textId="77777777" w:rsidR="002C07C3" w:rsidRPr="00C33EB9" w:rsidRDefault="002C07C3" w:rsidP="002C07C3">
            <w:pPr>
              <w:rPr>
                <w:bCs/>
              </w:rPr>
            </w:pPr>
          </w:p>
        </w:tc>
        <w:tc>
          <w:tcPr>
            <w:tcW w:w="973" w:type="pct"/>
            <w:tcBorders>
              <w:top w:val="single" w:sz="6" w:space="0" w:color="auto"/>
              <w:bottom w:val="single" w:sz="6" w:space="0" w:color="auto"/>
            </w:tcBorders>
            <w:tcMar>
              <w:top w:w="0" w:type="dxa"/>
              <w:bottom w:w="0" w:type="dxa"/>
            </w:tcMar>
          </w:tcPr>
          <w:p w14:paraId="02B0D5D9" w14:textId="77777777" w:rsidR="002C07C3" w:rsidRPr="00C33EB9" w:rsidRDefault="002C07C3" w:rsidP="002C07C3">
            <w:pPr>
              <w:keepLines/>
              <w:rPr>
                <w:bCs/>
              </w:rPr>
            </w:pPr>
          </w:p>
        </w:tc>
      </w:tr>
      <w:tr w:rsidR="00D31F1A" w:rsidRPr="00C33EB9" w14:paraId="40FCACB7" w14:textId="77777777" w:rsidTr="00A31F78">
        <w:trPr>
          <w:gridAfter w:val="1"/>
          <w:wAfter w:w="13" w:type="pct"/>
          <w:cantSplit/>
        </w:trPr>
        <w:tc>
          <w:tcPr>
            <w:tcW w:w="312" w:type="pct"/>
            <w:tcBorders>
              <w:top w:val="single" w:sz="6" w:space="0" w:color="auto"/>
              <w:bottom w:val="single" w:sz="6" w:space="0" w:color="auto"/>
            </w:tcBorders>
            <w:tcMar>
              <w:top w:w="0" w:type="dxa"/>
              <w:bottom w:w="0" w:type="dxa"/>
            </w:tcMar>
          </w:tcPr>
          <w:p w14:paraId="7469F94D" w14:textId="77777777" w:rsidR="00D31F1A" w:rsidRPr="00C33EB9" w:rsidRDefault="00D31F1A" w:rsidP="002C07C3">
            <w:pPr>
              <w:jc w:val="center"/>
              <w:rPr>
                <w:bCs/>
              </w:rPr>
            </w:pPr>
          </w:p>
        </w:tc>
        <w:tc>
          <w:tcPr>
            <w:tcW w:w="406" w:type="pct"/>
            <w:gridSpan w:val="2"/>
            <w:tcBorders>
              <w:top w:val="single" w:sz="6" w:space="0" w:color="auto"/>
              <w:bottom w:val="single" w:sz="6" w:space="0" w:color="auto"/>
            </w:tcBorders>
            <w:tcMar>
              <w:top w:w="0" w:type="dxa"/>
              <w:bottom w:w="0" w:type="dxa"/>
            </w:tcMar>
          </w:tcPr>
          <w:p w14:paraId="208DE5ED" w14:textId="77777777" w:rsidR="00D31F1A" w:rsidRPr="00C33EB9" w:rsidRDefault="00D31F1A" w:rsidP="002C07C3">
            <w:pPr>
              <w:keepLines/>
              <w:rPr>
                <w:bCs/>
              </w:rPr>
            </w:pPr>
          </w:p>
        </w:tc>
        <w:tc>
          <w:tcPr>
            <w:tcW w:w="1777" w:type="pct"/>
            <w:gridSpan w:val="3"/>
            <w:tcBorders>
              <w:top w:val="single" w:sz="4" w:space="0" w:color="auto"/>
              <w:bottom w:val="single" w:sz="4" w:space="0" w:color="auto"/>
            </w:tcBorders>
            <w:tcMar>
              <w:top w:w="0" w:type="dxa"/>
              <w:bottom w:w="0" w:type="dxa"/>
            </w:tcMar>
          </w:tcPr>
          <w:p w14:paraId="7EBA7EC0" w14:textId="77777777" w:rsidR="00D31F1A" w:rsidRDefault="00D31F1A" w:rsidP="002C07C3">
            <w:pPr>
              <w:tabs>
                <w:tab w:val="left" w:pos="6663"/>
              </w:tabs>
              <w:rPr>
                <w:sz w:val="22"/>
                <w:szCs w:val="22"/>
                <w:lang w:eastAsia="en-GB"/>
              </w:rPr>
            </w:pPr>
          </w:p>
        </w:tc>
        <w:tc>
          <w:tcPr>
            <w:tcW w:w="761" w:type="pct"/>
            <w:gridSpan w:val="2"/>
            <w:tcBorders>
              <w:top w:val="single" w:sz="4" w:space="0" w:color="auto"/>
              <w:bottom w:val="single" w:sz="4" w:space="0" w:color="auto"/>
            </w:tcBorders>
            <w:tcMar>
              <w:top w:w="0" w:type="dxa"/>
              <w:bottom w:w="0" w:type="dxa"/>
            </w:tcMar>
          </w:tcPr>
          <w:p w14:paraId="539D7ACB" w14:textId="77777777" w:rsidR="00D31F1A" w:rsidRPr="00C33EB9" w:rsidRDefault="00D31F1A" w:rsidP="002C07C3">
            <w:pPr>
              <w:rPr>
                <w:bCs/>
              </w:rPr>
            </w:pPr>
          </w:p>
        </w:tc>
        <w:tc>
          <w:tcPr>
            <w:tcW w:w="758" w:type="pct"/>
            <w:tcBorders>
              <w:top w:val="single" w:sz="6" w:space="0" w:color="auto"/>
              <w:bottom w:val="single" w:sz="6" w:space="0" w:color="auto"/>
            </w:tcBorders>
            <w:tcMar>
              <w:top w:w="0" w:type="dxa"/>
              <w:bottom w:w="0" w:type="dxa"/>
            </w:tcMar>
          </w:tcPr>
          <w:p w14:paraId="5B7C9F14" w14:textId="77777777" w:rsidR="00D31F1A" w:rsidRPr="00C33EB9" w:rsidRDefault="00D31F1A" w:rsidP="002C07C3">
            <w:pPr>
              <w:rPr>
                <w:bCs/>
              </w:rPr>
            </w:pPr>
          </w:p>
        </w:tc>
        <w:tc>
          <w:tcPr>
            <w:tcW w:w="973" w:type="pct"/>
            <w:tcBorders>
              <w:top w:val="single" w:sz="6" w:space="0" w:color="auto"/>
              <w:bottom w:val="single" w:sz="6" w:space="0" w:color="auto"/>
            </w:tcBorders>
            <w:tcMar>
              <w:top w:w="0" w:type="dxa"/>
              <w:bottom w:w="0" w:type="dxa"/>
            </w:tcMar>
          </w:tcPr>
          <w:p w14:paraId="56EF9A3B" w14:textId="77777777" w:rsidR="00D31F1A" w:rsidRPr="00C33EB9" w:rsidRDefault="00D31F1A" w:rsidP="002C07C3">
            <w:pPr>
              <w:keepLines/>
              <w:rPr>
                <w:bCs/>
              </w:rPr>
            </w:pPr>
          </w:p>
        </w:tc>
      </w:tr>
      <w:tr w:rsidR="002C07C3" w:rsidRPr="00C33EB9" w14:paraId="64291D04" w14:textId="77777777" w:rsidTr="001A6CC5">
        <w:trPr>
          <w:trHeight w:val="818"/>
        </w:trPr>
        <w:tc>
          <w:tcPr>
            <w:tcW w:w="711" w:type="pct"/>
            <w:gridSpan w:val="2"/>
            <w:tcBorders>
              <w:top w:val="single" w:sz="12" w:space="0" w:color="auto"/>
              <w:bottom w:val="single" w:sz="12" w:space="0" w:color="auto"/>
            </w:tcBorders>
            <w:shd w:val="clear" w:color="auto" w:fill="F2F2F2"/>
            <w:tcMar>
              <w:top w:w="0" w:type="dxa"/>
              <w:bottom w:w="0" w:type="dxa"/>
            </w:tcMar>
          </w:tcPr>
          <w:p w14:paraId="544C0206" w14:textId="77777777" w:rsidR="002C07C3" w:rsidRPr="00C33EB9" w:rsidRDefault="002C07C3" w:rsidP="002C07C3">
            <w:pPr>
              <w:rPr>
                <w:b/>
                <w:bCs/>
              </w:rPr>
            </w:pPr>
            <w:r w:rsidRPr="00C33EB9">
              <w:rPr>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02F68197" w14:textId="77777777" w:rsidR="002C07C3" w:rsidRPr="006E47F2" w:rsidRDefault="002C07C3" w:rsidP="002C07C3">
            <w:pPr>
              <w:keepLines/>
              <w:jc w:val="center"/>
              <w:rPr>
                <w:bCs/>
              </w:rPr>
            </w:pPr>
            <w:r w:rsidRPr="00745D60">
              <w:rPr>
                <w:bCs/>
                <w:highlight w:val="yellow"/>
              </w:rPr>
              <w:t>Accepted</w:t>
            </w:r>
          </w:p>
          <w:p w14:paraId="45D6366D" w14:textId="77777777" w:rsidR="002C07C3" w:rsidRPr="00C33EB9" w:rsidRDefault="002C07C3" w:rsidP="002C07C3">
            <w:pPr>
              <w:keepLines/>
              <w:jc w:val="center"/>
              <w:rPr>
                <w:bCs/>
              </w:rPr>
            </w:pPr>
            <w:r w:rsidRPr="00C33EB9">
              <w:rPr>
                <w:bCs/>
              </w:rPr>
              <w:t>Refused</w:t>
            </w:r>
          </w:p>
          <w:p w14:paraId="45F2D2C2" w14:textId="77777777" w:rsidR="002C07C3" w:rsidRPr="00C33EB9" w:rsidRDefault="002C07C3" w:rsidP="002C07C3">
            <w:pPr>
              <w:keepLines/>
              <w:jc w:val="center"/>
              <w:rPr>
                <w:bCs/>
              </w:rPr>
            </w:pPr>
            <w:r w:rsidRPr="00C33EB9">
              <w:rPr>
                <w:bCs/>
              </w:rPr>
              <w:t>Postponed</w:t>
            </w:r>
          </w:p>
        </w:tc>
        <w:tc>
          <w:tcPr>
            <w:tcW w:w="1372" w:type="pct"/>
            <w:tcBorders>
              <w:top w:val="single" w:sz="12" w:space="0" w:color="auto"/>
              <w:bottom w:val="single" w:sz="12" w:space="0" w:color="auto"/>
            </w:tcBorders>
            <w:shd w:val="clear" w:color="auto" w:fill="F2F2F2"/>
          </w:tcPr>
          <w:p w14:paraId="0F8C412F" w14:textId="77777777" w:rsidR="002C07C3" w:rsidRPr="00C33EB9" w:rsidRDefault="002C07C3" w:rsidP="002C07C3">
            <w:pPr>
              <w:keepLines/>
              <w:tabs>
                <w:tab w:val="left" w:pos="6663"/>
              </w:tabs>
              <w:jc w:val="center"/>
              <w:rPr>
                <w:bCs/>
              </w:rPr>
            </w:pPr>
            <w:r w:rsidRPr="00C33EB9">
              <w:rPr>
                <w:bCs/>
              </w:rPr>
              <w:t>Comments</w:t>
            </w:r>
          </w:p>
          <w:p w14:paraId="12AD6059" w14:textId="77777777" w:rsidR="002C07C3" w:rsidRPr="00C33EB9" w:rsidRDefault="002C07C3" w:rsidP="002C07C3">
            <w:pPr>
              <w:keepLines/>
              <w:tabs>
                <w:tab w:val="left" w:pos="6663"/>
              </w:tabs>
              <w:rPr>
                <w:bCs/>
              </w:rPr>
            </w:pPr>
          </w:p>
        </w:tc>
        <w:tc>
          <w:tcPr>
            <w:tcW w:w="2510" w:type="pct"/>
            <w:gridSpan w:val="6"/>
            <w:tcBorders>
              <w:top w:val="single" w:sz="12" w:space="0" w:color="auto"/>
              <w:bottom w:val="single" w:sz="12" w:space="0" w:color="auto"/>
            </w:tcBorders>
            <w:shd w:val="clear" w:color="auto" w:fill="F2F2F2"/>
            <w:tcMar>
              <w:top w:w="0" w:type="dxa"/>
              <w:bottom w:w="0" w:type="dxa"/>
            </w:tcMar>
          </w:tcPr>
          <w:p w14:paraId="741BA8D6" w14:textId="77777777" w:rsidR="002C07C3" w:rsidRPr="00C33EB9" w:rsidRDefault="002C07C3" w:rsidP="002C07C3">
            <w:pPr>
              <w:keepLines/>
              <w:tabs>
                <w:tab w:val="left" w:pos="6663"/>
              </w:tabs>
              <w:rPr>
                <w:bCs/>
              </w:rPr>
            </w:pPr>
          </w:p>
        </w:tc>
      </w:tr>
    </w:tbl>
    <w:p w14:paraId="777BACA2" w14:textId="77777777" w:rsidR="00A31F78" w:rsidRPr="00C33EB9" w:rsidRDefault="00A31F78" w:rsidP="00A31F78">
      <w:pPr>
        <w:spacing w:before="120" w:after="60"/>
        <w:outlineLvl w:val="0"/>
        <w:rPr>
          <w:bCs/>
          <w:iCs/>
          <w:kern w:val="28"/>
          <w:szCs w:val="32"/>
          <w:lang w:val="en-US"/>
        </w:rPr>
      </w:pPr>
      <w:r w:rsidRPr="00C33EB9">
        <w:rPr>
          <w:bCs/>
          <w:iCs/>
          <w:kern w:val="28"/>
          <w:szCs w:val="32"/>
          <w:lang w:val="en-US"/>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88"/>
        <w:gridCol w:w="1008"/>
        <w:gridCol w:w="18"/>
        <w:gridCol w:w="1011"/>
        <w:gridCol w:w="3467"/>
        <w:gridCol w:w="13"/>
        <w:gridCol w:w="1913"/>
        <w:gridCol w:w="10"/>
        <w:gridCol w:w="1916"/>
        <w:gridCol w:w="2459"/>
        <w:gridCol w:w="33"/>
      </w:tblGrid>
      <w:tr w:rsidR="00A31F78" w:rsidRPr="00C33EB9" w14:paraId="0CBC0B44" w14:textId="77777777" w:rsidTr="006739DD">
        <w:trPr>
          <w:gridAfter w:val="1"/>
          <w:wAfter w:w="13" w:type="pct"/>
          <w:cantSplit/>
          <w:trHeight w:val="350"/>
        </w:trPr>
        <w:tc>
          <w:tcPr>
            <w:tcW w:w="711"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5E9ABF4E" w14:textId="594D785B" w:rsidR="00A31F78" w:rsidRPr="00ED47AA" w:rsidRDefault="007B3D82" w:rsidP="008B191E">
            <w:pPr>
              <w:jc w:val="center"/>
              <w:rPr>
                <w:b/>
                <w:spacing w:val="-3"/>
              </w:rPr>
            </w:pPr>
            <w:proofErr w:type="spellStart"/>
            <w:r>
              <w:rPr>
                <w:b/>
                <w:spacing w:val="-3"/>
              </w:rPr>
              <w:t>prEN</w:t>
            </w:r>
            <w:proofErr w:type="spellEnd"/>
            <w:r>
              <w:rPr>
                <w:b/>
                <w:spacing w:val="-3"/>
              </w:rPr>
              <w:t xml:space="preserve"> 13094</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71AA084C" w14:textId="1B687169" w:rsidR="00A31F78" w:rsidRPr="00ED47AA" w:rsidRDefault="007B3D82" w:rsidP="00A31F78">
            <w:pPr>
              <w:jc w:val="center"/>
              <w:rPr>
                <w:b/>
                <w:spacing w:val="-3"/>
              </w:rPr>
            </w:pPr>
            <w:r>
              <w:rPr>
                <w:b/>
                <w:spacing w:val="-3"/>
              </w:rPr>
              <w:t>Tanks for the transport of dangerous goods – Metallic gravity discharge tanks – Design and construction</w:t>
            </w:r>
          </w:p>
        </w:tc>
        <w:tc>
          <w:tcPr>
            <w:tcW w:w="762"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230D3A35" w14:textId="77777777" w:rsidR="00A31F78" w:rsidRPr="00ED47AA" w:rsidRDefault="00A31F78" w:rsidP="008B191E">
            <w:pPr>
              <w:pStyle w:val="NoteHead"/>
              <w:spacing w:before="0" w:after="0"/>
              <w:rPr>
                <w:bCs/>
                <w:smallCaps w:val="0"/>
                <w:sz w:val="20"/>
              </w:rPr>
            </w:pPr>
            <w:r w:rsidRPr="00ED47AA">
              <w:rPr>
                <w:bCs/>
                <w:smallCaps w:val="0"/>
                <w:sz w:val="20"/>
              </w:rPr>
              <w:t>Where to refer in RID/ADR:</w:t>
            </w:r>
          </w:p>
          <w:p w14:paraId="4D7EBAA0" w14:textId="33BC08C7" w:rsidR="00A31F78" w:rsidRPr="0061459D" w:rsidRDefault="00D54770" w:rsidP="00030E0F">
            <w:pPr>
              <w:pStyle w:val="NoteHead"/>
              <w:spacing w:before="0" w:after="0"/>
              <w:rPr>
                <w:sz w:val="20"/>
              </w:rPr>
            </w:pPr>
            <w:r w:rsidRPr="0061459D">
              <w:rPr>
                <w:sz w:val="20"/>
              </w:rPr>
              <w:t>6.8.2.6.1</w:t>
            </w:r>
          </w:p>
        </w:tc>
        <w:tc>
          <w:tcPr>
            <w:tcW w:w="1735"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11CA6EE2" w14:textId="77777777" w:rsidR="00A31F78" w:rsidRPr="00ED47AA" w:rsidRDefault="00A31F78" w:rsidP="008B191E">
            <w:pPr>
              <w:pStyle w:val="NoteHead"/>
              <w:spacing w:before="0" w:after="0"/>
              <w:rPr>
                <w:bCs/>
                <w:smallCaps w:val="0"/>
                <w:sz w:val="20"/>
              </w:rPr>
            </w:pPr>
            <w:r w:rsidRPr="00ED47AA">
              <w:rPr>
                <w:bCs/>
                <w:smallCaps w:val="0"/>
                <w:sz w:val="20"/>
              </w:rPr>
              <w:t>Applicable sub-sections and paragraphs:</w:t>
            </w:r>
          </w:p>
          <w:p w14:paraId="75D8798D" w14:textId="4FA980E0" w:rsidR="00A31F78" w:rsidRPr="0061459D" w:rsidRDefault="008339DB" w:rsidP="006E47F2">
            <w:pPr>
              <w:jc w:val="center"/>
              <w:rPr>
                <w:b/>
              </w:rPr>
            </w:pPr>
            <w:r w:rsidRPr="0061459D">
              <w:rPr>
                <w:b/>
              </w:rPr>
              <w:t>6.8.2.1</w:t>
            </w:r>
          </w:p>
        </w:tc>
      </w:tr>
      <w:tr w:rsidR="00A31F78" w:rsidRPr="00C33EB9" w14:paraId="1CC78198" w14:textId="77777777" w:rsidTr="006739DD">
        <w:trPr>
          <w:gridAfter w:val="1"/>
          <w:wAfter w:w="13" w:type="pct"/>
          <w:cantSplit/>
          <w:trHeight w:val="350"/>
        </w:trPr>
        <w:tc>
          <w:tcPr>
            <w:tcW w:w="711"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2508D8B1" w14:textId="7C91225A" w:rsidR="00A31F78" w:rsidRPr="00ED47AA" w:rsidRDefault="007B3D82" w:rsidP="00A31F78">
            <w:pPr>
              <w:jc w:val="center"/>
              <w:rPr>
                <w:spacing w:val="-3"/>
              </w:rPr>
            </w:pPr>
            <w:r>
              <w:rPr>
                <w:spacing w:val="-3"/>
              </w:rPr>
              <w:t>00296089</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5F6DBF7D" w14:textId="77777777" w:rsidR="00A31F78" w:rsidRPr="00ED47AA" w:rsidRDefault="00A31F78" w:rsidP="008B191E">
            <w:pPr>
              <w:ind w:right="16"/>
              <w:jc w:val="center"/>
              <w:rPr>
                <w:b/>
                <w:spacing w:val="-3"/>
              </w:rPr>
            </w:pPr>
          </w:p>
        </w:tc>
        <w:tc>
          <w:tcPr>
            <w:tcW w:w="762" w:type="pct"/>
            <w:gridSpan w:val="2"/>
            <w:vMerge/>
            <w:tcBorders>
              <w:left w:val="single" w:sz="6" w:space="0" w:color="auto"/>
              <w:right w:val="single" w:sz="6" w:space="0" w:color="auto"/>
            </w:tcBorders>
            <w:shd w:val="clear" w:color="auto" w:fill="F3F3F3"/>
            <w:tcMar>
              <w:top w:w="28" w:type="dxa"/>
              <w:bottom w:w="28" w:type="dxa"/>
            </w:tcMar>
          </w:tcPr>
          <w:p w14:paraId="1057F94D" w14:textId="77777777" w:rsidR="00A31F78" w:rsidRPr="00ED47AA" w:rsidRDefault="00A31F78" w:rsidP="008B191E">
            <w:pPr>
              <w:pStyle w:val="NoteHead"/>
              <w:spacing w:before="0" w:after="0"/>
              <w:rPr>
                <w:bCs/>
                <w:smallCaps w:val="0"/>
                <w:sz w:val="20"/>
              </w:rPr>
            </w:pPr>
          </w:p>
        </w:tc>
        <w:tc>
          <w:tcPr>
            <w:tcW w:w="1735" w:type="pct"/>
            <w:gridSpan w:val="3"/>
            <w:vMerge/>
            <w:tcBorders>
              <w:left w:val="single" w:sz="6" w:space="0" w:color="auto"/>
              <w:right w:val="single" w:sz="12" w:space="0" w:color="auto"/>
            </w:tcBorders>
            <w:shd w:val="clear" w:color="auto" w:fill="F3F3F3"/>
            <w:tcMar>
              <w:top w:w="28" w:type="dxa"/>
              <w:bottom w:w="28" w:type="dxa"/>
            </w:tcMar>
          </w:tcPr>
          <w:p w14:paraId="1A03BF1D" w14:textId="77777777" w:rsidR="00A31F78" w:rsidRPr="00ED47AA" w:rsidRDefault="00A31F78" w:rsidP="008B191E">
            <w:pPr>
              <w:pStyle w:val="NoteHead"/>
              <w:spacing w:before="0" w:after="0"/>
              <w:rPr>
                <w:bCs/>
                <w:smallCaps w:val="0"/>
                <w:sz w:val="20"/>
              </w:rPr>
            </w:pPr>
          </w:p>
        </w:tc>
      </w:tr>
      <w:tr w:rsidR="00A31F78" w:rsidRPr="00C33EB9" w14:paraId="61D3821D" w14:textId="77777777" w:rsidTr="008B191E">
        <w:trPr>
          <w:gridAfter w:val="1"/>
          <w:wAfter w:w="13" w:type="pct"/>
          <w:cantSplit/>
        </w:trPr>
        <w:tc>
          <w:tcPr>
            <w:tcW w:w="4987" w:type="pct"/>
            <w:gridSpan w:val="10"/>
          </w:tcPr>
          <w:p w14:paraId="2CC377B1" w14:textId="34C1EF43" w:rsidR="00A31F78" w:rsidRPr="00ED47AA" w:rsidRDefault="006E47F2" w:rsidP="00F753B9">
            <w:pPr>
              <w:tabs>
                <w:tab w:val="num" w:pos="1134"/>
              </w:tabs>
              <w:jc w:val="both"/>
            </w:pPr>
            <w:r w:rsidRPr="00ED47AA">
              <w:t xml:space="preserve">Assessment by </w:t>
            </w:r>
            <w:r w:rsidR="00F753B9">
              <w:t>Advisor</w:t>
            </w:r>
            <w:r w:rsidRPr="00ED47AA">
              <w:t xml:space="preserve"> awaited</w:t>
            </w:r>
          </w:p>
        </w:tc>
      </w:tr>
      <w:tr w:rsidR="00A31F78" w:rsidRPr="00C33EB9" w14:paraId="7280C8A8" w14:textId="77777777" w:rsidTr="008B191E">
        <w:trPr>
          <w:gridAfter w:val="1"/>
          <w:wAfter w:w="13" w:type="pct"/>
          <w:cantSplit/>
        </w:trPr>
        <w:tc>
          <w:tcPr>
            <w:tcW w:w="4987" w:type="pct"/>
            <w:gridSpan w:val="10"/>
          </w:tcPr>
          <w:p w14:paraId="0A3370F3" w14:textId="77777777" w:rsidR="00A31F78" w:rsidRPr="00ED47AA" w:rsidRDefault="00A31F78" w:rsidP="008B191E">
            <w:r w:rsidRPr="00ED47AA">
              <w:rPr>
                <w:b/>
                <w:iCs/>
              </w:rPr>
              <w:t>Comments from members of the Joint Meeting</w:t>
            </w:r>
            <w:r w:rsidRPr="00ED47AA">
              <w:rPr>
                <w:b/>
              </w:rPr>
              <w:t>:</w:t>
            </w:r>
          </w:p>
        </w:tc>
      </w:tr>
      <w:tr w:rsidR="00A31F78" w:rsidRPr="00C33EB9" w14:paraId="489644CD" w14:textId="77777777" w:rsidTr="006739DD">
        <w:trPr>
          <w:gridAfter w:val="1"/>
          <w:wAfter w:w="13" w:type="pct"/>
          <w:cantSplit/>
        </w:trPr>
        <w:tc>
          <w:tcPr>
            <w:tcW w:w="312" w:type="pct"/>
            <w:tcMar>
              <w:top w:w="57" w:type="dxa"/>
              <w:bottom w:w="57" w:type="dxa"/>
            </w:tcMar>
          </w:tcPr>
          <w:p w14:paraId="519EBF94" w14:textId="77777777" w:rsidR="00A31F78" w:rsidRPr="00ED47AA" w:rsidRDefault="00A31F78" w:rsidP="008B191E">
            <w:pPr>
              <w:jc w:val="center"/>
            </w:pPr>
            <w:r w:rsidRPr="00ED47AA">
              <w:t>Country</w:t>
            </w:r>
          </w:p>
        </w:tc>
        <w:tc>
          <w:tcPr>
            <w:tcW w:w="406" w:type="pct"/>
            <w:gridSpan w:val="2"/>
            <w:tcMar>
              <w:top w:w="57" w:type="dxa"/>
              <w:bottom w:w="57" w:type="dxa"/>
            </w:tcMar>
          </w:tcPr>
          <w:p w14:paraId="522875FE" w14:textId="77777777" w:rsidR="00A31F78" w:rsidRPr="00ED47AA" w:rsidRDefault="00A31F78" w:rsidP="008B191E">
            <w:pPr>
              <w:jc w:val="center"/>
            </w:pPr>
            <w:r w:rsidRPr="00ED47AA">
              <w:t>Clause No.</w:t>
            </w:r>
          </w:p>
        </w:tc>
        <w:tc>
          <w:tcPr>
            <w:tcW w:w="1777" w:type="pct"/>
            <w:gridSpan w:val="3"/>
            <w:tcMar>
              <w:top w:w="57" w:type="dxa"/>
              <w:bottom w:w="57" w:type="dxa"/>
            </w:tcMar>
          </w:tcPr>
          <w:p w14:paraId="75437A52" w14:textId="77777777" w:rsidR="00A31F78" w:rsidRPr="00ED47AA" w:rsidRDefault="00A31F78" w:rsidP="008B191E">
            <w:pPr>
              <w:jc w:val="center"/>
            </w:pPr>
            <w:r w:rsidRPr="00ED47AA">
              <w:t xml:space="preserve">Comment (justification for change) </w:t>
            </w:r>
          </w:p>
        </w:tc>
        <w:tc>
          <w:tcPr>
            <w:tcW w:w="761" w:type="pct"/>
            <w:gridSpan w:val="2"/>
            <w:tcMar>
              <w:top w:w="57" w:type="dxa"/>
              <w:bottom w:w="57" w:type="dxa"/>
            </w:tcMar>
          </w:tcPr>
          <w:p w14:paraId="38B88EF4" w14:textId="77777777" w:rsidR="00A31F78" w:rsidRPr="00ED47AA" w:rsidRDefault="00A31F78" w:rsidP="008B191E">
            <w:pPr>
              <w:jc w:val="center"/>
            </w:pPr>
            <w:r w:rsidRPr="00ED47AA">
              <w:t xml:space="preserve">Proposed change </w:t>
            </w:r>
          </w:p>
        </w:tc>
        <w:tc>
          <w:tcPr>
            <w:tcW w:w="758" w:type="pct"/>
            <w:tcMar>
              <w:top w:w="57" w:type="dxa"/>
              <w:bottom w:w="57" w:type="dxa"/>
            </w:tcMar>
          </w:tcPr>
          <w:p w14:paraId="1B510787" w14:textId="77777777" w:rsidR="00A31F78" w:rsidRPr="00ED47AA" w:rsidRDefault="00A31F78" w:rsidP="008B191E">
            <w:pPr>
              <w:jc w:val="center"/>
            </w:pPr>
            <w:r w:rsidRPr="00ED47AA">
              <w:t>Comment from</w:t>
            </w:r>
          </w:p>
          <w:p w14:paraId="0E9A7434" w14:textId="77777777" w:rsidR="00A31F78" w:rsidRPr="00ED47AA" w:rsidRDefault="00A31F78" w:rsidP="008B191E">
            <w:pPr>
              <w:jc w:val="center"/>
            </w:pPr>
            <w:r w:rsidRPr="00ED47AA">
              <w:t>CEN Consultant</w:t>
            </w:r>
          </w:p>
        </w:tc>
        <w:tc>
          <w:tcPr>
            <w:tcW w:w="973" w:type="pct"/>
            <w:tcMar>
              <w:top w:w="57" w:type="dxa"/>
              <w:bottom w:w="57" w:type="dxa"/>
            </w:tcMar>
          </w:tcPr>
          <w:p w14:paraId="56689E2B" w14:textId="77777777" w:rsidR="00A31F78" w:rsidRPr="00ED47AA" w:rsidRDefault="00A31F78" w:rsidP="008B191E">
            <w:pPr>
              <w:jc w:val="center"/>
            </w:pPr>
            <w:r w:rsidRPr="00ED47AA">
              <w:t xml:space="preserve">Comment from </w:t>
            </w:r>
          </w:p>
          <w:p w14:paraId="0688C911" w14:textId="77777777" w:rsidR="00A31F78" w:rsidRPr="00ED47AA" w:rsidRDefault="00A31F78" w:rsidP="008B191E">
            <w:pPr>
              <w:jc w:val="center"/>
            </w:pPr>
            <w:r w:rsidRPr="00ED47AA">
              <w:t>WG Standards</w:t>
            </w:r>
          </w:p>
        </w:tc>
      </w:tr>
      <w:tr w:rsidR="002C07C3" w:rsidRPr="00C33EB9" w14:paraId="5E483D42" w14:textId="77777777" w:rsidTr="006739DD">
        <w:trPr>
          <w:gridAfter w:val="1"/>
          <w:wAfter w:w="13" w:type="pct"/>
          <w:cantSplit/>
        </w:trPr>
        <w:tc>
          <w:tcPr>
            <w:tcW w:w="312" w:type="pct"/>
            <w:tcBorders>
              <w:top w:val="single" w:sz="6" w:space="0" w:color="auto"/>
              <w:bottom w:val="single" w:sz="6" w:space="0" w:color="auto"/>
            </w:tcBorders>
            <w:tcMar>
              <w:top w:w="0" w:type="dxa"/>
              <w:bottom w:w="0" w:type="dxa"/>
            </w:tcMar>
          </w:tcPr>
          <w:p w14:paraId="2641A50D" w14:textId="1DEA422E" w:rsidR="002C07C3" w:rsidRPr="00D31F1A" w:rsidRDefault="002C07C3" w:rsidP="002C07C3">
            <w:pPr>
              <w:jc w:val="center"/>
              <w:rPr>
                <w:bCs/>
                <w:highlight w:val="yellow"/>
              </w:rPr>
            </w:pPr>
          </w:p>
        </w:tc>
        <w:tc>
          <w:tcPr>
            <w:tcW w:w="406" w:type="pct"/>
            <w:gridSpan w:val="2"/>
            <w:tcBorders>
              <w:top w:val="single" w:sz="6" w:space="0" w:color="auto"/>
              <w:bottom w:val="single" w:sz="6" w:space="0" w:color="auto"/>
            </w:tcBorders>
            <w:tcMar>
              <w:top w:w="0" w:type="dxa"/>
              <w:bottom w:w="0" w:type="dxa"/>
            </w:tcMar>
          </w:tcPr>
          <w:p w14:paraId="3F659B2C" w14:textId="446AA293" w:rsidR="002C07C3" w:rsidRPr="00D31F1A" w:rsidRDefault="002C07C3" w:rsidP="002C07C3">
            <w:pPr>
              <w:keepLines/>
              <w:rPr>
                <w:bCs/>
                <w:highlight w:val="yellow"/>
              </w:rPr>
            </w:pPr>
          </w:p>
        </w:tc>
        <w:tc>
          <w:tcPr>
            <w:tcW w:w="1777" w:type="pct"/>
            <w:gridSpan w:val="3"/>
            <w:tcBorders>
              <w:top w:val="single" w:sz="4" w:space="0" w:color="auto"/>
              <w:bottom w:val="single" w:sz="4" w:space="0" w:color="auto"/>
            </w:tcBorders>
            <w:tcMar>
              <w:top w:w="0" w:type="dxa"/>
              <w:bottom w:w="0" w:type="dxa"/>
            </w:tcMar>
          </w:tcPr>
          <w:p w14:paraId="37FEAA59" w14:textId="11003026" w:rsidR="002C07C3" w:rsidRPr="00D31F1A" w:rsidRDefault="002C07C3" w:rsidP="002C07C3">
            <w:pPr>
              <w:tabs>
                <w:tab w:val="left" w:pos="6663"/>
              </w:tabs>
              <w:rPr>
                <w:bCs/>
                <w:highlight w:val="yellow"/>
              </w:rPr>
            </w:pPr>
          </w:p>
        </w:tc>
        <w:tc>
          <w:tcPr>
            <w:tcW w:w="761" w:type="pct"/>
            <w:gridSpan w:val="2"/>
            <w:tcBorders>
              <w:top w:val="single" w:sz="4" w:space="0" w:color="auto"/>
              <w:bottom w:val="single" w:sz="4" w:space="0" w:color="auto"/>
            </w:tcBorders>
            <w:tcMar>
              <w:top w:w="0" w:type="dxa"/>
              <w:bottom w:w="0" w:type="dxa"/>
            </w:tcMar>
          </w:tcPr>
          <w:p w14:paraId="3FD9D71F" w14:textId="1AF861E5" w:rsidR="002C07C3" w:rsidRPr="00D31F1A" w:rsidRDefault="002C07C3" w:rsidP="002C07C3">
            <w:pPr>
              <w:rPr>
                <w:bCs/>
                <w:highlight w:val="yellow"/>
              </w:rPr>
            </w:pPr>
          </w:p>
        </w:tc>
        <w:tc>
          <w:tcPr>
            <w:tcW w:w="758" w:type="pct"/>
            <w:tcBorders>
              <w:top w:val="single" w:sz="6" w:space="0" w:color="auto"/>
              <w:bottom w:val="single" w:sz="6" w:space="0" w:color="auto"/>
            </w:tcBorders>
            <w:tcMar>
              <w:top w:w="0" w:type="dxa"/>
              <w:bottom w:w="0" w:type="dxa"/>
            </w:tcMar>
          </w:tcPr>
          <w:p w14:paraId="231EA258" w14:textId="77777777" w:rsidR="002C07C3" w:rsidRPr="00D31F1A" w:rsidRDefault="002C07C3" w:rsidP="002C07C3">
            <w:pPr>
              <w:rPr>
                <w:bCs/>
                <w:highlight w:val="yellow"/>
              </w:rPr>
            </w:pPr>
          </w:p>
        </w:tc>
        <w:tc>
          <w:tcPr>
            <w:tcW w:w="973" w:type="pct"/>
            <w:tcBorders>
              <w:top w:val="single" w:sz="6" w:space="0" w:color="auto"/>
              <w:bottom w:val="single" w:sz="6" w:space="0" w:color="auto"/>
            </w:tcBorders>
            <w:tcMar>
              <w:top w:w="0" w:type="dxa"/>
              <w:bottom w:w="0" w:type="dxa"/>
            </w:tcMar>
          </w:tcPr>
          <w:p w14:paraId="6946DAE4" w14:textId="649C21EA" w:rsidR="002C07C3" w:rsidRPr="00D31F1A" w:rsidRDefault="002C07C3" w:rsidP="002C07C3">
            <w:pPr>
              <w:keepLines/>
              <w:rPr>
                <w:bCs/>
                <w:highlight w:val="yellow"/>
              </w:rPr>
            </w:pPr>
          </w:p>
        </w:tc>
      </w:tr>
      <w:tr w:rsidR="002C07C3" w:rsidRPr="00C33EB9" w14:paraId="7C6E9ABB" w14:textId="77777777" w:rsidTr="006739DD">
        <w:trPr>
          <w:gridAfter w:val="1"/>
          <w:wAfter w:w="13" w:type="pct"/>
          <w:cantSplit/>
        </w:trPr>
        <w:tc>
          <w:tcPr>
            <w:tcW w:w="312" w:type="pct"/>
            <w:tcBorders>
              <w:top w:val="single" w:sz="6" w:space="0" w:color="auto"/>
              <w:bottom w:val="single" w:sz="6" w:space="0" w:color="auto"/>
            </w:tcBorders>
            <w:tcMar>
              <w:top w:w="0" w:type="dxa"/>
              <w:bottom w:w="0" w:type="dxa"/>
            </w:tcMar>
          </w:tcPr>
          <w:p w14:paraId="38A61E21" w14:textId="705B927B" w:rsidR="002C07C3" w:rsidRPr="00D31F1A" w:rsidRDefault="002C07C3" w:rsidP="002C07C3">
            <w:pPr>
              <w:jc w:val="center"/>
              <w:rPr>
                <w:bCs/>
                <w:highlight w:val="yellow"/>
              </w:rPr>
            </w:pPr>
          </w:p>
        </w:tc>
        <w:tc>
          <w:tcPr>
            <w:tcW w:w="406" w:type="pct"/>
            <w:gridSpan w:val="2"/>
            <w:tcBorders>
              <w:top w:val="single" w:sz="6" w:space="0" w:color="auto"/>
              <w:bottom w:val="single" w:sz="6" w:space="0" w:color="auto"/>
            </w:tcBorders>
            <w:tcMar>
              <w:top w:w="0" w:type="dxa"/>
              <w:bottom w:w="0" w:type="dxa"/>
            </w:tcMar>
          </w:tcPr>
          <w:p w14:paraId="57DEAF0E" w14:textId="6792A197" w:rsidR="002C07C3" w:rsidRPr="00D31F1A" w:rsidRDefault="002C07C3" w:rsidP="002C07C3">
            <w:pPr>
              <w:keepLines/>
              <w:rPr>
                <w:bCs/>
                <w:highlight w:val="yellow"/>
              </w:rPr>
            </w:pPr>
          </w:p>
        </w:tc>
        <w:tc>
          <w:tcPr>
            <w:tcW w:w="1777" w:type="pct"/>
            <w:gridSpan w:val="3"/>
            <w:tcBorders>
              <w:top w:val="single" w:sz="4" w:space="0" w:color="auto"/>
              <w:bottom w:val="single" w:sz="4" w:space="0" w:color="auto"/>
            </w:tcBorders>
            <w:tcMar>
              <w:top w:w="0" w:type="dxa"/>
              <w:bottom w:w="0" w:type="dxa"/>
            </w:tcMar>
          </w:tcPr>
          <w:p w14:paraId="14EE887A" w14:textId="1575E78A" w:rsidR="002C07C3" w:rsidRPr="00D31F1A" w:rsidRDefault="002C07C3" w:rsidP="002C07C3">
            <w:pPr>
              <w:tabs>
                <w:tab w:val="left" w:pos="6663"/>
              </w:tabs>
              <w:rPr>
                <w:bCs/>
                <w:highlight w:val="yellow"/>
              </w:rPr>
            </w:pPr>
          </w:p>
        </w:tc>
        <w:tc>
          <w:tcPr>
            <w:tcW w:w="761" w:type="pct"/>
            <w:gridSpan w:val="2"/>
            <w:tcBorders>
              <w:top w:val="single" w:sz="4" w:space="0" w:color="auto"/>
              <w:bottom w:val="single" w:sz="4" w:space="0" w:color="auto"/>
            </w:tcBorders>
            <w:tcMar>
              <w:top w:w="0" w:type="dxa"/>
              <w:bottom w:w="0" w:type="dxa"/>
            </w:tcMar>
          </w:tcPr>
          <w:p w14:paraId="1DF66260" w14:textId="3DFE85A1" w:rsidR="002C07C3" w:rsidRPr="00D31F1A" w:rsidRDefault="002C07C3" w:rsidP="002C07C3">
            <w:pPr>
              <w:rPr>
                <w:bCs/>
                <w:highlight w:val="yellow"/>
              </w:rPr>
            </w:pPr>
          </w:p>
        </w:tc>
        <w:tc>
          <w:tcPr>
            <w:tcW w:w="758" w:type="pct"/>
            <w:tcBorders>
              <w:top w:val="single" w:sz="6" w:space="0" w:color="auto"/>
              <w:bottom w:val="single" w:sz="6" w:space="0" w:color="auto"/>
            </w:tcBorders>
            <w:tcMar>
              <w:top w:w="0" w:type="dxa"/>
              <w:bottom w:w="0" w:type="dxa"/>
            </w:tcMar>
          </w:tcPr>
          <w:p w14:paraId="1028BD3E" w14:textId="77777777" w:rsidR="002C07C3" w:rsidRPr="00D31F1A" w:rsidRDefault="002C07C3" w:rsidP="002C07C3">
            <w:pPr>
              <w:rPr>
                <w:bCs/>
                <w:highlight w:val="yellow"/>
              </w:rPr>
            </w:pPr>
          </w:p>
        </w:tc>
        <w:tc>
          <w:tcPr>
            <w:tcW w:w="973" w:type="pct"/>
            <w:tcBorders>
              <w:top w:val="single" w:sz="6" w:space="0" w:color="auto"/>
              <w:bottom w:val="single" w:sz="6" w:space="0" w:color="auto"/>
            </w:tcBorders>
            <w:tcMar>
              <w:top w:w="0" w:type="dxa"/>
              <w:bottom w:w="0" w:type="dxa"/>
            </w:tcMar>
          </w:tcPr>
          <w:p w14:paraId="05F0A821" w14:textId="77777777" w:rsidR="002C07C3" w:rsidRPr="00D31F1A" w:rsidRDefault="002C07C3" w:rsidP="002C07C3">
            <w:pPr>
              <w:keepLines/>
              <w:rPr>
                <w:bCs/>
                <w:highlight w:val="yellow"/>
              </w:rPr>
            </w:pPr>
          </w:p>
        </w:tc>
      </w:tr>
      <w:tr w:rsidR="002C07C3" w:rsidRPr="00C33EB9" w14:paraId="3DF76C2D" w14:textId="77777777" w:rsidTr="008B191E">
        <w:trPr>
          <w:trHeight w:val="818"/>
        </w:trPr>
        <w:tc>
          <w:tcPr>
            <w:tcW w:w="711" w:type="pct"/>
            <w:gridSpan w:val="2"/>
            <w:tcBorders>
              <w:top w:val="single" w:sz="12" w:space="0" w:color="auto"/>
              <w:bottom w:val="single" w:sz="12" w:space="0" w:color="auto"/>
            </w:tcBorders>
            <w:shd w:val="clear" w:color="auto" w:fill="F2F2F2"/>
            <w:tcMar>
              <w:top w:w="0" w:type="dxa"/>
              <w:bottom w:w="0" w:type="dxa"/>
            </w:tcMar>
          </w:tcPr>
          <w:p w14:paraId="1463046A" w14:textId="77777777" w:rsidR="002C07C3" w:rsidRPr="00C33EB9" w:rsidRDefault="002C07C3" w:rsidP="002C07C3">
            <w:pPr>
              <w:rPr>
                <w:b/>
                <w:bCs/>
              </w:rPr>
            </w:pPr>
            <w:r w:rsidRPr="00C33EB9">
              <w:rPr>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35AD1E84" w14:textId="77777777" w:rsidR="002C07C3" w:rsidRPr="006E47F2" w:rsidRDefault="002C07C3" w:rsidP="002C07C3">
            <w:pPr>
              <w:keepLines/>
              <w:jc w:val="center"/>
              <w:rPr>
                <w:bCs/>
              </w:rPr>
            </w:pPr>
            <w:r w:rsidRPr="00745D60">
              <w:rPr>
                <w:bCs/>
                <w:highlight w:val="yellow"/>
              </w:rPr>
              <w:t>Accepted</w:t>
            </w:r>
          </w:p>
          <w:p w14:paraId="4D7876C8" w14:textId="77777777" w:rsidR="002C07C3" w:rsidRPr="00C33EB9" w:rsidRDefault="002C07C3" w:rsidP="002C07C3">
            <w:pPr>
              <w:keepLines/>
              <w:jc w:val="center"/>
              <w:rPr>
                <w:bCs/>
              </w:rPr>
            </w:pPr>
            <w:r w:rsidRPr="00C33EB9">
              <w:rPr>
                <w:bCs/>
              </w:rPr>
              <w:t>Refused</w:t>
            </w:r>
          </w:p>
          <w:p w14:paraId="2171C5C7" w14:textId="77777777" w:rsidR="002C07C3" w:rsidRPr="00C33EB9" w:rsidRDefault="002C07C3" w:rsidP="002C07C3">
            <w:pPr>
              <w:keepLines/>
              <w:jc w:val="center"/>
              <w:rPr>
                <w:bCs/>
              </w:rPr>
            </w:pPr>
            <w:r w:rsidRPr="00ED47AA">
              <w:rPr>
                <w:bCs/>
              </w:rPr>
              <w:t>Postponed</w:t>
            </w:r>
          </w:p>
        </w:tc>
        <w:tc>
          <w:tcPr>
            <w:tcW w:w="1372" w:type="pct"/>
            <w:tcBorders>
              <w:top w:val="single" w:sz="12" w:space="0" w:color="auto"/>
              <w:bottom w:val="single" w:sz="12" w:space="0" w:color="auto"/>
            </w:tcBorders>
            <w:shd w:val="clear" w:color="auto" w:fill="F2F2F2"/>
          </w:tcPr>
          <w:p w14:paraId="24BD2515" w14:textId="77777777" w:rsidR="002C07C3" w:rsidRPr="00C33EB9" w:rsidRDefault="002C07C3" w:rsidP="002C07C3">
            <w:pPr>
              <w:keepLines/>
              <w:tabs>
                <w:tab w:val="left" w:pos="6663"/>
              </w:tabs>
              <w:jc w:val="center"/>
              <w:rPr>
                <w:bCs/>
              </w:rPr>
            </w:pPr>
            <w:r w:rsidRPr="00C33EB9">
              <w:rPr>
                <w:bCs/>
              </w:rPr>
              <w:t>Comments</w:t>
            </w:r>
          </w:p>
          <w:p w14:paraId="07445C8A" w14:textId="53C21069" w:rsidR="00940759" w:rsidRPr="00C33EB9" w:rsidRDefault="00940759" w:rsidP="00ED47AA">
            <w:pPr>
              <w:keepLines/>
              <w:tabs>
                <w:tab w:val="left" w:pos="6663"/>
              </w:tabs>
              <w:rPr>
                <w:bCs/>
              </w:rPr>
            </w:pPr>
          </w:p>
        </w:tc>
        <w:tc>
          <w:tcPr>
            <w:tcW w:w="2510" w:type="pct"/>
            <w:gridSpan w:val="6"/>
            <w:tcBorders>
              <w:top w:val="single" w:sz="12" w:space="0" w:color="auto"/>
              <w:bottom w:val="single" w:sz="12" w:space="0" w:color="auto"/>
            </w:tcBorders>
            <w:shd w:val="clear" w:color="auto" w:fill="F2F2F2"/>
            <w:tcMar>
              <w:top w:w="0" w:type="dxa"/>
              <w:bottom w:w="0" w:type="dxa"/>
            </w:tcMar>
          </w:tcPr>
          <w:p w14:paraId="649EDFAA" w14:textId="77777777" w:rsidR="002C07C3" w:rsidRPr="00C33EB9" w:rsidRDefault="002C07C3" w:rsidP="002C07C3">
            <w:pPr>
              <w:keepLines/>
              <w:tabs>
                <w:tab w:val="left" w:pos="6663"/>
              </w:tabs>
              <w:rPr>
                <w:bCs/>
              </w:rPr>
            </w:pPr>
          </w:p>
        </w:tc>
      </w:tr>
    </w:tbl>
    <w:p w14:paraId="17D235D4" w14:textId="77777777" w:rsidR="006E47F2" w:rsidRDefault="006E47F2" w:rsidP="006739DD">
      <w:pPr>
        <w:spacing w:before="120" w:after="60"/>
        <w:outlineLvl w:val="0"/>
        <w:rPr>
          <w:bCs/>
          <w:iCs/>
          <w:kern w:val="28"/>
          <w:szCs w:val="32"/>
          <w:lang w:val="en-US"/>
        </w:rPr>
      </w:pPr>
    </w:p>
    <w:p w14:paraId="5CE8A20D" w14:textId="0C97964B" w:rsidR="00F83B63" w:rsidRDefault="00F83B63" w:rsidP="00BF42CB">
      <w:pPr>
        <w:autoSpaceDE w:val="0"/>
        <w:autoSpaceDN w:val="0"/>
        <w:adjustRightInd w:val="0"/>
        <w:spacing w:before="240" w:after="120"/>
        <w:rPr>
          <w:b/>
          <w:sz w:val="22"/>
          <w:szCs w:val="22"/>
        </w:rPr>
      </w:pP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88"/>
        <w:gridCol w:w="1008"/>
        <w:gridCol w:w="18"/>
        <w:gridCol w:w="1011"/>
        <w:gridCol w:w="3467"/>
        <w:gridCol w:w="13"/>
        <w:gridCol w:w="1913"/>
        <w:gridCol w:w="10"/>
        <w:gridCol w:w="1916"/>
        <w:gridCol w:w="2459"/>
        <w:gridCol w:w="33"/>
      </w:tblGrid>
      <w:tr w:rsidR="004B6BD4" w:rsidRPr="00ED47AA" w14:paraId="0C4403DE" w14:textId="77777777" w:rsidTr="003848FB">
        <w:trPr>
          <w:gridAfter w:val="1"/>
          <w:wAfter w:w="13" w:type="pct"/>
          <w:cantSplit/>
          <w:trHeight w:val="350"/>
        </w:trPr>
        <w:tc>
          <w:tcPr>
            <w:tcW w:w="711"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0C83A85D" w14:textId="0C86D363" w:rsidR="004B6BD4" w:rsidRPr="00ED47AA" w:rsidRDefault="004B6BD4" w:rsidP="004B6BD4">
            <w:pPr>
              <w:jc w:val="center"/>
              <w:rPr>
                <w:b/>
                <w:spacing w:val="-3"/>
              </w:rPr>
            </w:pPr>
            <w:proofErr w:type="spellStart"/>
            <w:r>
              <w:rPr>
                <w:b/>
                <w:spacing w:val="-3"/>
              </w:rPr>
              <w:lastRenderedPageBreak/>
              <w:t>prEN</w:t>
            </w:r>
            <w:proofErr w:type="spellEnd"/>
            <w:r>
              <w:rPr>
                <w:b/>
                <w:spacing w:val="-3"/>
              </w:rPr>
              <w:t xml:space="preserve"> ISO 11114-1</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31DEBF6B" w14:textId="4022C094" w:rsidR="004B6BD4" w:rsidRPr="00ED47AA" w:rsidRDefault="004B6BD4" w:rsidP="003848FB">
            <w:pPr>
              <w:jc w:val="center"/>
              <w:rPr>
                <w:b/>
                <w:spacing w:val="-3"/>
              </w:rPr>
            </w:pPr>
            <w:r w:rsidRPr="004B6BD4">
              <w:rPr>
                <w:b/>
                <w:spacing w:val="-3"/>
              </w:rPr>
              <w:t>Gas cylinders - Compatibility of cylinder and valve materials with gas contents - Part 1: Metallic materials</w:t>
            </w:r>
          </w:p>
        </w:tc>
        <w:tc>
          <w:tcPr>
            <w:tcW w:w="762"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49623839" w14:textId="77777777" w:rsidR="004B6BD4" w:rsidRPr="00ED47AA" w:rsidRDefault="004B6BD4" w:rsidP="003848FB">
            <w:pPr>
              <w:pStyle w:val="NoteHead"/>
              <w:spacing w:before="0" w:after="0"/>
              <w:rPr>
                <w:bCs/>
                <w:smallCaps w:val="0"/>
                <w:sz w:val="20"/>
              </w:rPr>
            </w:pPr>
            <w:r w:rsidRPr="00ED47AA">
              <w:rPr>
                <w:bCs/>
                <w:smallCaps w:val="0"/>
                <w:sz w:val="20"/>
              </w:rPr>
              <w:t>Where to refer in RID/ADR:</w:t>
            </w:r>
          </w:p>
          <w:p w14:paraId="5813C011" w14:textId="0F04A7AC" w:rsidR="004B6BD4" w:rsidRPr="0061459D" w:rsidRDefault="00B145CE" w:rsidP="003848FB">
            <w:pPr>
              <w:pStyle w:val="NoteHead"/>
              <w:spacing w:before="0" w:after="0"/>
              <w:rPr>
                <w:sz w:val="20"/>
              </w:rPr>
            </w:pPr>
            <w:r w:rsidRPr="0061459D">
              <w:rPr>
                <w:sz w:val="20"/>
              </w:rPr>
              <w:t>P200 (13)</w:t>
            </w:r>
            <w:r w:rsidR="000716E4" w:rsidRPr="0061459D">
              <w:rPr>
                <w:sz w:val="20"/>
              </w:rPr>
              <w:t xml:space="preserve"> 2.4, 4.1.6.15</w:t>
            </w:r>
          </w:p>
        </w:tc>
        <w:tc>
          <w:tcPr>
            <w:tcW w:w="1735"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08BC3275" w14:textId="77777777" w:rsidR="004B6BD4" w:rsidRPr="00ED47AA" w:rsidRDefault="004B6BD4" w:rsidP="003848FB">
            <w:pPr>
              <w:pStyle w:val="NoteHead"/>
              <w:spacing w:before="0" w:after="0"/>
              <w:rPr>
                <w:bCs/>
                <w:smallCaps w:val="0"/>
                <w:sz w:val="20"/>
              </w:rPr>
            </w:pPr>
            <w:r w:rsidRPr="00ED47AA">
              <w:rPr>
                <w:bCs/>
                <w:smallCaps w:val="0"/>
                <w:sz w:val="20"/>
              </w:rPr>
              <w:t>Applicable sub-sections and paragraphs:</w:t>
            </w:r>
          </w:p>
          <w:p w14:paraId="36E863A8" w14:textId="40A12C27" w:rsidR="004B6BD4" w:rsidRPr="0061459D" w:rsidRDefault="009823AF" w:rsidP="009823AF">
            <w:pPr>
              <w:jc w:val="center"/>
              <w:rPr>
                <w:b/>
              </w:rPr>
            </w:pPr>
            <w:r w:rsidRPr="0061459D">
              <w:rPr>
                <w:b/>
              </w:rPr>
              <w:t>4.1.6.2</w:t>
            </w:r>
            <w:r w:rsidR="00CB3430">
              <w:rPr>
                <w:b/>
              </w:rPr>
              <w:t xml:space="preserve"> (not relevant for P200)</w:t>
            </w:r>
          </w:p>
        </w:tc>
      </w:tr>
      <w:tr w:rsidR="004B6BD4" w:rsidRPr="00ED47AA" w14:paraId="7344A90B" w14:textId="77777777" w:rsidTr="003848FB">
        <w:trPr>
          <w:gridAfter w:val="1"/>
          <w:wAfter w:w="13" w:type="pct"/>
          <w:cantSplit/>
          <w:trHeight w:val="350"/>
        </w:trPr>
        <w:tc>
          <w:tcPr>
            <w:tcW w:w="711"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28551B57" w14:textId="3CD73843" w:rsidR="004B6BD4" w:rsidRPr="00ED47AA" w:rsidRDefault="004B6BD4" w:rsidP="003848FB">
            <w:pPr>
              <w:jc w:val="center"/>
              <w:rPr>
                <w:spacing w:val="-3"/>
              </w:rPr>
            </w:pPr>
            <w:r>
              <w:rPr>
                <w:spacing w:val="-3"/>
              </w:rPr>
              <w:t>00023210</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64069B37" w14:textId="77777777" w:rsidR="004B6BD4" w:rsidRPr="00ED47AA" w:rsidRDefault="004B6BD4" w:rsidP="003848FB">
            <w:pPr>
              <w:ind w:right="16"/>
              <w:jc w:val="center"/>
              <w:rPr>
                <w:b/>
                <w:spacing w:val="-3"/>
              </w:rPr>
            </w:pPr>
          </w:p>
        </w:tc>
        <w:tc>
          <w:tcPr>
            <w:tcW w:w="762" w:type="pct"/>
            <w:gridSpan w:val="2"/>
            <w:vMerge/>
            <w:tcBorders>
              <w:left w:val="single" w:sz="6" w:space="0" w:color="auto"/>
              <w:right w:val="single" w:sz="6" w:space="0" w:color="auto"/>
            </w:tcBorders>
            <w:shd w:val="clear" w:color="auto" w:fill="F3F3F3"/>
            <w:tcMar>
              <w:top w:w="28" w:type="dxa"/>
              <w:bottom w:w="28" w:type="dxa"/>
            </w:tcMar>
          </w:tcPr>
          <w:p w14:paraId="6C7D792D" w14:textId="77777777" w:rsidR="004B6BD4" w:rsidRPr="00ED47AA" w:rsidRDefault="004B6BD4" w:rsidP="003848FB">
            <w:pPr>
              <w:pStyle w:val="NoteHead"/>
              <w:spacing w:before="0" w:after="0"/>
              <w:rPr>
                <w:bCs/>
                <w:smallCaps w:val="0"/>
                <w:sz w:val="20"/>
              </w:rPr>
            </w:pPr>
          </w:p>
        </w:tc>
        <w:tc>
          <w:tcPr>
            <w:tcW w:w="1735" w:type="pct"/>
            <w:gridSpan w:val="3"/>
            <w:vMerge/>
            <w:tcBorders>
              <w:left w:val="single" w:sz="6" w:space="0" w:color="auto"/>
              <w:right w:val="single" w:sz="12" w:space="0" w:color="auto"/>
            </w:tcBorders>
            <w:shd w:val="clear" w:color="auto" w:fill="F3F3F3"/>
            <w:tcMar>
              <w:top w:w="28" w:type="dxa"/>
              <w:bottom w:w="28" w:type="dxa"/>
            </w:tcMar>
          </w:tcPr>
          <w:p w14:paraId="249E9847" w14:textId="77777777" w:rsidR="004B6BD4" w:rsidRPr="00ED47AA" w:rsidRDefault="004B6BD4" w:rsidP="003848FB">
            <w:pPr>
              <w:pStyle w:val="NoteHead"/>
              <w:spacing w:before="0" w:after="0"/>
              <w:rPr>
                <w:bCs/>
                <w:smallCaps w:val="0"/>
                <w:sz w:val="20"/>
              </w:rPr>
            </w:pPr>
          </w:p>
        </w:tc>
      </w:tr>
      <w:tr w:rsidR="004B6BD4" w:rsidRPr="00ED47AA" w14:paraId="60884596" w14:textId="77777777" w:rsidTr="003848FB">
        <w:trPr>
          <w:gridAfter w:val="1"/>
          <w:wAfter w:w="13" w:type="pct"/>
          <w:cantSplit/>
        </w:trPr>
        <w:tc>
          <w:tcPr>
            <w:tcW w:w="4987" w:type="pct"/>
            <w:gridSpan w:val="10"/>
          </w:tcPr>
          <w:p w14:paraId="2C15EF40" w14:textId="4895E587" w:rsidR="004B6BD4" w:rsidRPr="00ED47AA" w:rsidRDefault="004B6BD4" w:rsidP="00534DB4">
            <w:pPr>
              <w:tabs>
                <w:tab w:val="num" w:pos="1134"/>
              </w:tabs>
              <w:jc w:val="both"/>
            </w:pPr>
            <w:r w:rsidRPr="00ED47AA">
              <w:t xml:space="preserve">Assessment by </w:t>
            </w:r>
            <w:r w:rsidR="00F753B9">
              <w:t>Advisor</w:t>
            </w:r>
            <w:r w:rsidRPr="00ED47AA">
              <w:t xml:space="preserve"> awaited</w:t>
            </w:r>
          </w:p>
        </w:tc>
      </w:tr>
      <w:tr w:rsidR="004B6BD4" w:rsidRPr="00ED47AA" w14:paraId="18C043C0" w14:textId="77777777" w:rsidTr="003848FB">
        <w:trPr>
          <w:gridAfter w:val="1"/>
          <w:wAfter w:w="13" w:type="pct"/>
          <w:cantSplit/>
        </w:trPr>
        <w:tc>
          <w:tcPr>
            <w:tcW w:w="4987" w:type="pct"/>
            <w:gridSpan w:val="10"/>
          </w:tcPr>
          <w:p w14:paraId="66E27570" w14:textId="77777777" w:rsidR="004B6BD4" w:rsidRPr="00ED47AA" w:rsidRDefault="004B6BD4" w:rsidP="003848FB">
            <w:r w:rsidRPr="00ED47AA">
              <w:rPr>
                <w:b/>
                <w:iCs/>
              </w:rPr>
              <w:t>Comments from members of the Joint Meeting</w:t>
            </w:r>
            <w:r w:rsidRPr="00ED47AA">
              <w:rPr>
                <w:b/>
              </w:rPr>
              <w:t>:</w:t>
            </w:r>
          </w:p>
        </w:tc>
      </w:tr>
      <w:tr w:rsidR="004B6BD4" w:rsidRPr="00ED47AA" w14:paraId="6012CFD5" w14:textId="77777777" w:rsidTr="003848FB">
        <w:trPr>
          <w:gridAfter w:val="1"/>
          <w:wAfter w:w="13" w:type="pct"/>
          <w:cantSplit/>
        </w:trPr>
        <w:tc>
          <w:tcPr>
            <w:tcW w:w="312" w:type="pct"/>
            <w:tcMar>
              <w:top w:w="57" w:type="dxa"/>
              <w:bottom w:w="57" w:type="dxa"/>
            </w:tcMar>
          </w:tcPr>
          <w:p w14:paraId="22F3CC1B" w14:textId="77777777" w:rsidR="004B6BD4" w:rsidRPr="00ED47AA" w:rsidRDefault="004B6BD4" w:rsidP="003848FB">
            <w:pPr>
              <w:jc w:val="center"/>
            </w:pPr>
            <w:r w:rsidRPr="00ED47AA">
              <w:t>Country</w:t>
            </w:r>
          </w:p>
        </w:tc>
        <w:tc>
          <w:tcPr>
            <w:tcW w:w="406" w:type="pct"/>
            <w:gridSpan w:val="2"/>
            <w:tcMar>
              <w:top w:w="57" w:type="dxa"/>
              <w:bottom w:w="57" w:type="dxa"/>
            </w:tcMar>
          </w:tcPr>
          <w:p w14:paraId="7DE9F9DA" w14:textId="77777777" w:rsidR="004B6BD4" w:rsidRPr="00ED47AA" w:rsidRDefault="004B6BD4" w:rsidP="003848FB">
            <w:pPr>
              <w:jc w:val="center"/>
            </w:pPr>
            <w:r w:rsidRPr="00ED47AA">
              <w:t>Clause No.</w:t>
            </w:r>
          </w:p>
        </w:tc>
        <w:tc>
          <w:tcPr>
            <w:tcW w:w="1777" w:type="pct"/>
            <w:gridSpan w:val="3"/>
            <w:tcMar>
              <w:top w:w="57" w:type="dxa"/>
              <w:bottom w:w="57" w:type="dxa"/>
            </w:tcMar>
          </w:tcPr>
          <w:p w14:paraId="14231C6E" w14:textId="77777777" w:rsidR="004B6BD4" w:rsidRPr="00ED47AA" w:rsidRDefault="004B6BD4" w:rsidP="003848FB">
            <w:pPr>
              <w:jc w:val="center"/>
            </w:pPr>
            <w:r w:rsidRPr="00ED47AA">
              <w:t xml:space="preserve">Comment (justification for change) </w:t>
            </w:r>
          </w:p>
        </w:tc>
        <w:tc>
          <w:tcPr>
            <w:tcW w:w="761" w:type="pct"/>
            <w:gridSpan w:val="2"/>
            <w:tcMar>
              <w:top w:w="57" w:type="dxa"/>
              <w:bottom w:w="57" w:type="dxa"/>
            </w:tcMar>
          </w:tcPr>
          <w:p w14:paraId="220661BC" w14:textId="77777777" w:rsidR="004B6BD4" w:rsidRPr="00ED47AA" w:rsidRDefault="004B6BD4" w:rsidP="003848FB">
            <w:pPr>
              <w:jc w:val="center"/>
            </w:pPr>
            <w:r w:rsidRPr="00ED47AA">
              <w:t xml:space="preserve">Proposed change </w:t>
            </w:r>
          </w:p>
        </w:tc>
        <w:tc>
          <w:tcPr>
            <w:tcW w:w="758" w:type="pct"/>
            <w:tcMar>
              <w:top w:w="57" w:type="dxa"/>
              <w:bottom w:w="57" w:type="dxa"/>
            </w:tcMar>
          </w:tcPr>
          <w:p w14:paraId="69E01E7E" w14:textId="77777777" w:rsidR="004B6BD4" w:rsidRPr="00ED47AA" w:rsidRDefault="004B6BD4" w:rsidP="003848FB">
            <w:pPr>
              <w:jc w:val="center"/>
            </w:pPr>
            <w:r w:rsidRPr="00ED47AA">
              <w:t>Comment from</w:t>
            </w:r>
          </w:p>
          <w:p w14:paraId="55FEC6A0" w14:textId="77777777" w:rsidR="004B6BD4" w:rsidRPr="00ED47AA" w:rsidRDefault="004B6BD4" w:rsidP="003848FB">
            <w:pPr>
              <w:jc w:val="center"/>
            </w:pPr>
            <w:r w:rsidRPr="00ED47AA">
              <w:t>CEN Consultant</w:t>
            </w:r>
          </w:p>
        </w:tc>
        <w:tc>
          <w:tcPr>
            <w:tcW w:w="973" w:type="pct"/>
            <w:tcMar>
              <w:top w:w="57" w:type="dxa"/>
              <w:bottom w:w="57" w:type="dxa"/>
            </w:tcMar>
          </w:tcPr>
          <w:p w14:paraId="2A16D5D2" w14:textId="77777777" w:rsidR="004B6BD4" w:rsidRPr="00ED47AA" w:rsidRDefault="004B6BD4" w:rsidP="003848FB">
            <w:pPr>
              <w:jc w:val="center"/>
            </w:pPr>
            <w:r w:rsidRPr="00ED47AA">
              <w:t xml:space="preserve">Comment from </w:t>
            </w:r>
          </w:p>
          <w:p w14:paraId="4915B021" w14:textId="77777777" w:rsidR="004B6BD4" w:rsidRPr="00ED47AA" w:rsidRDefault="004B6BD4" w:rsidP="003848FB">
            <w:pPr>
              <w:jc w:val="center"/>
            </w:pPr>
            <w:r w:rsidRPr="00ED47AA">
              <w:t>WG Standards</w:t>
            </w:r>
          </w:p>
        </w:tc>
      </w:tr>
      <w:tr w:rsidR="004B6BD4" w:rsidRPr="00D31F1A" w14:paraId="2AC95C44" w14:textId="77777777" w:rsidTr="003848FB">
        <w:trPr>
          <w:gridAfter w:val="1"/>
          <w:wAfter w:w="13" w:type="pct"/>
          <w:cantSplit/>
        </w:trPr>
        <w:tc>
          <w:tcPr>
            <w:tcW w:w="312" w:type="pct"/>
            <w:tcBorders>
              <w:top w:val="single" w:sz="6" w:space="0" w:color="auto"/>
              <w:bottom w:val="single" w:sz="6" w:space="0" w:color="auto"/>
            </w:tcBorders>
            <w:tcMar>
              <w:top w:w="0" w:type="dxa"/>
              <w:bottom w:w="0" w:type="dxa"/>
            </w:tcMar>
          </w:tcPr>
          <w:p w14:paraId="4CBC0328" w14:textId="77777777" w:rsidR="004B6BD4" w:rsidRPr="00D31F1A" w:rsidRDefault="004B6BD4" w:rsidP="003848FB">
            <w:pPr>
              <w:jc w:val="center"/>
              <w:rPr>
                <w:bCs/>
                <w:highlight w:val="yellow"/>
              </w:rPr>
            </w:pPr>
          </w:p>
        </w:tc>
        <w:tc>
          <w:tcPr>
            <w:tcW w:w="406" w:type="pct"/>
            <w:gridSpan w:val="2"/>
            <w:tcBorders>
              <w:top w:val="single" w:sz="6" w:space="0" w:color="auto"/>
              <w:bottom w:val="single" w:sz="6" w:space="0" w:color="auto"/>
            </w:tcBorders>
            <w:tcMar>
              <w:top w:w="0" w:type="dxa"/>
              <w:bottom w:w="0" w:type="dxa"/>
            </w:tcMar>
          </w:tcPr>
          <w:p w14:paraId="63D1FB22" w14:textId="77777777" w:rsidR="004B6BD4" w:rsidRPr="00D31F1A" w:rsidRDefault="004B6BD4" w:rsidP="003848FB">
            <w:pPr>
              <w:keepLines/>
              <w:rPr>
                <w:bCs/>
                <w:highlight w:val="yellow"/>
              </w:rPr>
            </w:pPr>
          </w:p>
        </w:tc>
        <w:tc>
          <w:tcPr>
            <w:tcW w:w="1777" w:type="pct"/>
            <w:gridSpan w:val="3"/>
            <w:tcBorders>
              <w:top w:val="single" w:sz="4" w:space="0" w:color="auto"/>
              <w:bottom w:val="single" w:sz="4" w:space="0" w:color="auto"/>
            </w:tcBorders>
            <w:tcMar>
              <w:top w:w="0" w:type="dxa"/>
              <w:bottom w:w="0" w:type="dxa"/>
            </w:tcMar>
          </w:tcPr>
          <w:p w14:paraId="099C2CE2" w14:textId="77777777" w:rsidR="004B6BD4" w:rsidRPr="00D31F1A" w:rsidRDefault="004B6BD4" w:rsidP="003848FB">
            <w:pPr>
              <w:tabs>
                <w:tab w:val="left" w:pos="6663"/>
              </w:tabs>
              <w:rPr>
                <w:bCs/>
                <w:highlight w:val="yellow"/>
              </w:rPr>
            </w:pPr>
          </w:p>
        </w:tc>
        <w:tc>
          <w:tcPr>
            <w:tcW w:w="761" w:type="pct"/>
            <w:gridSpan w:val="2"/>
            <w:tcBorders>
              <w:top w:val="single" w:sz="4" w:space="0" w:color="auto"/>
              <w:bottom w:val="single" w:sz="4" w:space="0" w:color="auto"/>
            </w:tcBorders>
            <w:tcMar>
              <w:top w:w="0" w:type="dxa"/>
              <w:bottom w:w="0" w:type="dxa"/>
            </w:tcMar>
          </w:tcPr>
          <w:p w14:paraId="4772924C" w14:textId="77777777" w:rsidR="004B6BD4" w:rsidRPr="00D31F1A" w:rsidRDefault="004B6BD4" w:rsidP="003848FB">
            <w:pPr>
              <w:rPr>
                <w:bCs/>
                <w:highlight w:val="yellow"/>
              </w:rPr>
            </w:pPr>
          </w:p>
        </w:tc>
        <w:tc>
          <w:tcPr>
            <w:tcW w:w="758" w:type="pct"/>
            <w:tcBorders>
              <w:top w:val="single" w:sz="6" w:space="0" w:color="auto"/>
              <w:bottom w:val="single" w:sz="6" w:space="0" w:color="auto"/>
            </w:tcBorders>
            <w:tcMar>
              <w:top w:w="0" w:type="dxa"/>
              <w:bottom w:w="0" w:type="dxa"/>
            </w:tcMar>
          </w:tcPr>
          <w:p w14:paraId="1163504B" w14:textId="77777777" w:rsidR="004B6BD4" w:rsidRPr="00D31F1A" w:rsidRDefault="004B6BD4" w:rsidP="003848FB">
            <w:pPr>
              <w:rPr>
                <w:bCs/>
                <w:highlight w:val="yellow"/>
              </w:rPr>
            </w:pPr>
          </w:p>
        </w:tc>
        <w:tc>
          <w:tcPr>
            <w:tcW w:w="973" w:type="pct"/>
            <w:tcBorders>
              <w:top w:val="single" w:sz="6" w:space="0" w:color="auto"/>
              <w:bottom w:val="single" w:sz="6" w:space="0" w:color="auto"/>
            </w:tcBorders>
            <w:tcMar>
              <w:top w:w="0" w:type="dxa"/>
              <w:bottom w:w="0" w:type="dxa"/>
            </w:tcMar>
          </w:tcPr>
          <w:p w14:paraId="2A0C0931" w14:textId="77777777" w:rsidR="004B6BD4" w:rsidRPr="00D31F1A" w:rsidRDefault="004B6BD4" w:rsidP="003848FB">
            <w:pPr>
              <w:keepLines/>
              <w:rPr>
                <w:bCs/>
                <w:highlight w:val="yellow"/>
              </w:rPr>
            </w:pPr>
          </w:p>
        </w:tc>
      </w:tr>
      <w:tr w:rsidR="004B6BD4" w:rsidRPr="00D31F1A" w14:paraId="6A3EFC13" w14:textId="77777777" w:rsidTr="003848FB">
        <w:trPr>
          <w:gridAfter w:val="1"/>
          <w:wAfter w:w="13" w:type="pct"/>
          <w:cantSplit/>
        </w:trPr>
        <w:tc>
          <w:tcPr>
            <w:tcW w:w="312" w:type="pct"/>
            <w:tcBorders>
              <w:top w:val="single" w:sz="6" w:space="0" w:color="auto"/>
              <w:bottom w:val="single" w:sz="6" w:space="0" w:color="auto"/>
            </w:tcBorders>
            <w:tcMar>
              <w:top w:w="0" w:type="dxa"/>
              <w:bottom w:w="0" w:type="dxa"/>
            </w:tcMar>
          </w:tcPr>
          <w:p w14:paraId="09E570C7" w14:textId="77777777" w:rsidR="004B6BD4" w:rsidRPr="00D31F1A" w:rsidRDefault="004B6BD4" w:rsidP="003848FB">
            <w:pPr>
              <w:jc w:val="center"/>
              <w:rPr>
                <w:bCs/>
                <w:highlight w:val="yellow"/>
              </w:rPr>
            </w:pPr>
          </w:p>
        </w:tc>
        <w:tc>
          <w:tcPr>
            <w:tcW w:w="406" w:type="pct"/>
            <w:gridSpan w:val="2"/>
            <w:tcBorders>
              <w:top w:val="single" w:sz="6" w:space="0" w:color="auto"/>
              <w:bottom w:val="single" w:sz="6" w:space="0" w:color="auto"/>
            </w:tcBorders>
            <w:tcMar>
              <w:top w:w="0" w:type="dxa"/>
              <w:bottom w:w="0" w:type="dxa"/>
            </w:tcMar>
          </w:tcPr>
          <w:p w14:paraId="42242E20" w14:textId="77777777" w:rsidR="004B6BD4" w:rsidRPr="00D31F1A" w:rsidRDefault="004B6BD4" w:rsidP="003848FB">
            <w:pPr>
              <w:keepLines/>
              <w:rPr>
                <w:bCs/>
                <w:highlight w:val="yellow"/>
              </w:rPr>
            </w:pPr>
          </w:p>
        </w:tc>
        <w:tc>
          <w:tcPr>
            <w:tcW w:w="1777" w:type="pct"/>
            <w:gridSpan w:val="3"/>
            <w:tcBorders>
              <w:top w:val="single" w:sz="4" w:space="0" w:color="auto"/>
              <w:bottom w:val="single" w:sz="4" w:space="0" w:color="auto"/>
            </w:tcBorders>
            <w:tcMar>
              <w:top w:w="0" w:type="dxa"/>
              <w:bottom w:w="0" w:type="dxa"/>
            </w:tcMar>
          </w:tcPr>
          <w:p w14:paraId="010A656F" w14:textId="77777777" w:rsidR="004B6BD4" w:rsidRPr="00D31F1A" w:rsidRDefault="004B6BD4" w:rsidP="003848FB">
            <w:pPr>
              <w:tabs>
                <w:tab w:val="left" w:pos="6663"/>
              </w:tabs>
              <w:rPr>
                <w:bCs/>
                <w:highlight w:val="yellow"/>
              </w:rPr>
            </w:pPr>
          </w:p>
        </w:tc>
        <w:tc>
          <w:tcPr>
            <w:tcW w:w="761" w:type="pct"/>
            <w:gridSpan w:val="2"/>
            <w:tcBorders>
              <w:top w:val="single" w:sz="4" w:space="0" w:color="auto"/>
              <w:bottom w:val="single" w:sz="4" w:space="0" w:color="auto"/>
            </w:tcBorders>
            <w:tcMar>
              <w:top w:w="0" w:type="dxa"/>
              <w:bottom w:w="0" w:type="dxa"/>
            </w:tcMar>
          </w:tcPr>
          <w:p w14:paraId="06E204B5" w14:textId="77777777" w:rsidR="004B6BD4" w:rsidRPr="00D31F1A" w:rsidRDefault="004B6BD4" w:rsidP="003848FB">
            <w:pPr>
              <w:rPr>
                <w:bCs/>
                <w:highlight w:val="yellow"/>
              </w:rPr>
            </w:pPr>
          </w:p>
        </w:tc>
        <w:tc>
          <w:tcPr>
            <w:tcW w:w="758" w:type="pct"/>
            <w:tcBorders>
              <w:top w:val="single" w:sz="6" w:space="0" w:color="auto"/>
              <w:bottom w:val="single" w:sz="6" w:space="0" w:color="auto"/>
            </w:tcBorders>
            <w:tcMar>
              <w:top w:w="0" w:type="dxa"/>
              <w:bottom w:w="0" w:type="dxa"/>
            </w:tcMar>
          </w:tcPr>
          <w:p w14:paraId="27DB3BC5" w14:textId="77777777" w:rsidR="004B6BD4" w:rsidRPr="00D31F1A" w:rsidRDefault="004B6BD4" w:rsidP="003848FB">
            <w:pPr>
              <w:rPr>
                <w:bCs/>
                <w:highlight w:val="yellow"/>
              </w:rPr>
            </w:pPr>
          </w:p>
        </w:tc>
        <w:tc>
          <w:tcPr>
            <w:tcW w:w="973" w:type="pct"/>
            <w:tcBorders>
              <w:top w:val="single" w:sz="6" w:space="0" w:color="auto"/>
              <w:bottom w:val="single" w:sz="6" w:space="0" w:color="auto"/>
            </w:tcBorders>
            <w:tcMar>
              <w:top w:w="0" w:type="dxa"/>
              <w:bottom w:w="0" w:type="dxa"/>
            </w:tcMar>
          </w:tcPr>
          <w:p w14:paraId="2090B365" w14:textId="77777777" w:rsidR="004B6BD4" w:rsidRPr="00D31F1A" w:rsidRDefault="004B6BD4" w:rsidP="003848FB">
            <w:pPr>
              <w:keepLines/>
              <w:rPr>
                <w:bCs/>
                <w:highlight w:val="yellow"/>
              </w:rPr>
            </w:pPr>
          </w:p>
        </w:tc>
      </w:tr>
      <w:tr w:rsidR="004B6BD4" w:rsidRPr="00C33EB9" w14:paraId="625DCC26" w14:textId="77777777" w:rsidTr="003848FB">
        <w:trPr>
          <w:trHeight w:val="818"/>
        </w:trPr>
        <w:tc>
          <w:tcPr>
            <w:tcW w:w="711" w:type="pct"/>
            <w:gridSpan w:val="2"/>
            <w:tcBorders>
              <w:top w:val="single" w:sz="12" w:space="0" w:color="auto"/>
              <w:bottom w:val="single" w:sz="12" w:space="0" w:color="auto"/>
            </w:tcBorders>
            <w:shd w:val="clear" w:color="auto" w:fill="F2F2F2"/>
            <w:tcMar>
              <w:top w:w="0" w:type="dxa"/>
              <w:bottom w:w="0" w:type="dxa"/>
            </w:tcMar>
          </w:tcPr>
          <w:p w14:paraId="0D5946F3" w14:textId="77777777" w:rsidR="004B6BD4" w:rsidRPr="00C33EB9" w:rsidRDefault="004B6BD4" w:rsidP="003848FB">
            <w:pPr>
              <w:rPr>
                <w:b/>
                <w:bCs/>
              </w:rPr>
            </w:pPr>
            <w:r w:rsidRPr="00C33EB9">
              <w:rPr>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35039293" w14:textId="77777777" w:rsidR="004B6BD4" w:rsidRPr="006E47F2" w:rsidRDefault="004B6BD4" w:rsidP="003848FB">
            <w:pPr>
              <w:keepLines/>
              <w:jc w:val="center"/>
              <w:rPr>
                <w:bCs/>
              </w:rPr>
            </w:pPr>
            <w:r w:rsidRPr="00227FE1">
              <w:rPr>
                <w:bCs/>
                <w:highlight w:val="yellow"/>
              </w:rPr>
              <w:t>Accepted</w:t>
            </w:r>
          </w:p>
          <w:p w14:paraId="651AD104" w14:textId="77777777" w:rsidR="004B6BD4" w:rsidRPr="00C33EB9" w:rsidRDefault="004B6BD4" w:rsidP="003848FB">
            <w:pPr>
              <w:keepLines/>
              <w:jc w:val="center"/>
              <w:rPr>
                <w:bCs/>
              </w:rPr>
            </w:pPr>
            <w:r w:rsidRPr="00C33EB9">
              <w:rPr>
                <w:bCs/>
              </w:rPr>
              <w:t>Refused</w:t>
            </w:r>
          </w:p>
          <w:p w14:paraId="50D16875" w14:textId="77777777" w:rsidR="004B6BD4" w:rsidRPr="00C33EB9" w:rsidRDefault="004B6BD4" w:rsidP="003848FB">
            <w:pPr>
              <w:keepLines/>
              <w:jc w:val="center"/>
              <w:rPr>
                <w:bCs/>
              </w:rPr>
            </w:pPr>
            <w:r w:rsidRPr="00ED47AA">
              <w:rPr>
                <w:bCs/>
              </w:rPr>
              <w:t>Postponed</w:t>
            </w:r>
          </w:p>
        </w:tc>
        <w:tc>
          <w:tcPr>
            <w:tcW w:w="1372" w:type="pct"/>
            <w:tcBorders>
              <w:top w:val="single" w:sz="12" w:space="0" w:color="auto"/>
              <w:bottom w:val="single" w:sz="12" w:space="0" w:color="auto"/>
            </w:tcBorders>
            <w:shd w:val="clear" w:color="auto" w:fill="F2F2F2"/>
          </w:tcPr>
          <w:p w14:paraId="0CA140D3" w14:textId="77777777" w:rsidR="004B6BD4" w:rsidRPr="00C33EB9" w:rsidRDefault="004B6BD4" w:rsidP="003848FB">
            <w:pPr>
              <w:keepLines/>
              <w:tabs>
                <w:tab w:val="left" w:pos="6663"/>
              </w:tabs>
              <w:jc w:val="center"/>
              <w:rPr>
                <w:bCs/>
              </w:rPr>
            </w:pPr>
            <w:r w:rsidRPr="00C33EB9">
              <w:rPr>
                <w:bCs/>
              </w:rPr>
              <w:t>Comments</w:t>
            </w:r>
          </w:p>
          <w:p w14:paraId="21409CD8" w14:textId="77777777" w:rsidR="004B6BD4" w:rsidRPr="00C33EB9" w:rsidRDefault="004B6BD4" w:rsidP="003848FB">
            <w:pPr>
              <w:keepLines/>
              <w:tabs>
                <w:tab w:val="left" w:pos="6663"/>
              </w:tabs>
              <w:rPr>
                <w:bCs/>
              </w:rPr>
            </w:pPr>
          </w:p>
        </w:tc>
        <w:tc>
          <w:tcPr>
            <w:tcW w:w="2510" w:type="pct"/>
            <w:gridSpan w:val="6"/>
            <w:tcBorders>
              <w:top w:val="single" w:sz="12" w:space="0" w:color="auto"/>
              <w:bottom w:val="single" w:sz="12" w:space="0" w:color="auto"/>
            </w:tcBorders>
            <w:shd w:val="clear" w:color="auto" w:fill="F2F2F2"/>
            <w:tcMar>
              <w:top w:w="0" w:type="dxa"/>
              <w:bottom w:w="0" w:type="dxa"/>
            </w:tcMar>
          </w:tcPr>
          <w:p w14:paraId="46CDDB2B" w14:textId="77777777" w:rsidR="004B6BD4" w:rsidRPr="00C33EB9" w:rsidRDefault="004B6BD4" w:rsidP="003848FB">
            <w:pPr>
              <w:keepLines/>
              <w:tabs>
                <w:tab w:val="left" w:pos="6663"/>
              </w:tabs>
              <w:rPr>
                <w:bCs/>
              </w:rPr>
            </w:pPr>
          </w:p>
        </w:tc>
      </w:tr>
    </w:tbl>
    <w:p w14:paraId="4CA4F05B" w14:textId="5BB92EA3" w:rsidR="004B6BD4" w:rsidRDefault="004B6BD4" w:rsidP="00BF42CB">
      <w:pPr>
        <w:autoSpaceDE w:val="0"/>
        <w:autoSpaceDN w:val="0"/>
        <w:adjustRightInd w:val="0"/>
        <w:spacing w:before="240" w:after="120"/>
        <w:rPr>
          <w:b/>
          <w:sz w:val="22"/>
          <w:szCs w:val="22"/>
        </w:rPr>
      </w:pPr>
    </w:p>
    <w:p w14:paraId="5391995E" w14:textId="7637FCC2" w:rsidR="00BF42CB" w:rsidRPr="00C33EB9" w:rsidRDefault="00BF42CB" w:rsidP="00BF42CB">
      <w:pPr>
        <w:autoSpaceDE w:val="0"/>
        <w:autoSpaceDN w:val="0"/>
        <w:adjustRightInd w:val="0"/>
        <w:spacing w:before="240" w:after="120"/>
        <w:rPr>
          <w:b/>
          <w:sz w:val="22"/>
          <w:szCs w:val="22"/>
        </w:rPr>
      </w:pPr>
      <w:r w:rsidRPr="00C33EB9">
        <w:rPr>
          <w:b/>
          <w:sz w:val="22"/>
          <w:szCs w:val="22"/>
        </w:rPr>
        <w:t>B. Standards at Stage 3 or 4: Submitted for Formal vote or Published</w:t>
      </w:r>
    </w:p>
    <w:p w14:paraId="13B57DA6" w14:textId="77777777" w:rsidR="00BF42CB" w:rsidRPr="00C33EB9" w:rsidRDefault="00BF42CB" w:rsidP="00BF42CB">
      <w:pPr>
        <w:pStyle w:val="Title"/>
        <w:tabs>
          <w:tab w:val="left" w:pos="13740"/>
          <w:tab w:val="left" w:pos="14760"/>
        </w:tabs>
        <w:jc w:val="left"/>
        <w:rPr>
          <w:rFonts w:ascii="Times New Roman" w:hAnsi="Times New Roman"/>
          <w:b w:val="0"/>
          <w:bCs w:val="0"/>
          <w:iCs/>
          <w:sz w:val="20"/>
          <w:lang w:val="de-DE"/>
        </w:rPr>
      </w:pPr>
      <w:r w:rsidRPr="00C33EB9">
        <w:rPr>
          <w:rFonts w:ascii="Times New Roman" w:hAnsi="Times New Roman"/>
          <w:b w:val="0"/>
          <w:iCs/>
          <w:sz w:val="20"/>
          <w:lang w:val="de-DE"/>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36"/>
        <w:gridCol w:w="935"/>
        <w:gridCol w:w="25"/>
        <w:gridCol w:w="1029"/>
        <w:gridCol w:w="3450"/>
        <w:gridCol w:w="18"/>
        <w:gridCol w:w="1913"/>
        <w:gridCol w:w="13"/>
        <w:gridCol w:w="2211"/>
        <w:gridCol w:w="2206"/>
      </w:tblGrid>
      <w:tr w:rsidR="00BF42CB" w:rsidRPr="00C33EB9" w14:paraId="435DF6B2" w14:textId="77777777" w:rsidTr="00BF42CB">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14:paraId="34A1FC42" w14:textId="1301229B" w:rsidR="00BF42CB" w:rsidRPr="00C33EB9" w:rsidRDefault="004A321A" w:rsidP="006D48A1">
            <w:pPr>
              <w:jc w:val="center"/>
              <w:rPr>
                <w:b/>
                <w:iCs/>
                <w:lang w:val="es-ES"/>
              </w:rPr>
            </w:pPr>
            <w:proofErr w:type="spellStart"/>
            <w:r w:rsidRPr="004A321A">
              <w:rPr>
                <w:b/>
                <w:iCs/>
                <w:lang w:val="es-ES"/>
              </w:rPr>
              <w:t>FprEN</w:t>
            </w:r>
            <w:proofErr w:type="spellEnd"/>
            <w:r w:rsidRPr="004A321A">
              <w:rPr>
                <w:b/>
                <w:iCs/>
                <w:lang w:val="es-ES"/>
              </w:rPr>
              <w:t xml:space="preserve"> ISO 9809-1</w:t>
            </w:r>
          </w:p>
        </w:tc>
        <w:tc>
          <w:tcPr>
            <w:tcW w:w="1782" w:type="pct"/>
            <w:gridSpan w:val="3"/>
            <w:vMerge w:val="restart"/>
            <w:tcBorders>
              <w:top w:val="single" w:sz="12" w:space="0" w:color="auto"/>
            </w:tcBorders>
            <w:shd w:val="clear" w:color="auto" w:fill="F3F3F3"/>
            <w:tcMar>
              <w:top w:w="28" w:type="dxa"/>
              <w:bottom w:w="28" w:type="dxa"/>
            </w:tcMar>
          </w:tcPr>
          <w:p w14:paraId="4557373C" w14:textId="0B7D8E1E" w:rsidR="00BF42CB" w:rsidRPr="00C33EB9" w:rsidRDefault="004A321A" w:rsidP="00C308E7">
            <w:pPr>
              <w:jc w:val="center"/>
              <w:rPr>
                <w:b/>
                <w:iCs/>
              </w:rPr>
            </w:pPr>
            <w:r w:rsidRPr="004A321A">
              <w:rPr>
                <w:b/>
                <w:iCs/>
              </w:rPr>
              <w:t>Gas cylinders - Design, construction and testing of refillable seamless steel gas cylinders and tubes - Part 1: Quenched and tempered steel cylinders and tubes with tensile strength less than 1100 MPa</w:t>
            </w:r>
          </w:p>
        </w:tc>
        <w:tc>
          <w:tcPr>
            <w:tcW w:w="764" w:type="pct"/>
            <w:gridSpan w:val="2"/>
            <w:vMerge w:val="restart"/>
            <w:tcBorders>
              <w:top w:val="single" w:sz="12" w:space="0" w:color="auto"/>
            </w:tcBorders>
            <w:shd w:val="clear" w:color="auto" w:fill="F3F3F3"/>
            <w:tcMar>
              <w:top w:w="28" w:type="dxa"/>
              <w:bottom w:w="28" w:type="dxa"/>
            </w:tcMar>
          </w:tcPr>
          <w:p w14:paraId="0B40CF07" w14:textId="77777777" w:rsidR="00E03686" w:rsidRPr="00C33EB9" w:rsidRDefault="00E03686" w:rsidP="00E03686">
            <w:pPr>
              <w:pStyle w:val="NoteHead"/>
              <w:spacing w:before="0" w:after="0"/>
              <w:rPr>
                <w:rFonts w:eastAsia="Batang"/>
                <w:bCs/>
                <w:smallCaps w:val="0"/>
                <w:sz w:val="20"/>
              </w:rPr>
            </w:pPr>
            <w:r w:rsidRPr="00C33EB9">
              <w:rPr>
                <w:bCs/>
                <w:smallCaps w:val="0"/>
                <w:sz w:val="20"/>
              </w:rPr>
              <w:t>Where to refer in RID/ADR</w:t>
            </w:r>
          </w:p>
          <w:p w14:paraId="0C953A17" w14:textId="399337E0" w:rsidR="00BF42CB" w:rsidRPr="0061459D" w:rsidRDefault="009823AF" w:rsidP="00D91CEF">
            <w:pPr>
              <w:jc w:val="center"/>
              <w:rPr>
                <w:b/>
              </w:rPr>
            </w:pPr>
            <w:r w:rsidRPr="0061459D">
              <w:rPr>
                <w:b/>
              </w:rPr>
              <w:t>6.2.4.1</w:t>
            </w:r>
          </w:p>
        </w:tc>
        <w:tc>
          <w:tcPr>
            <w:tcW w:w="1753" w:type="pct"/>
            <w:gridSpan w:val="3"/>
            <w:vMerge w:val="restart"/>
            <w:tcBorders>
              <w:top w:val="single" w:sz="12" w:space="0" w:color="auto"/>
            </w:tcBorders>
            <w:shd w:val="clear" w:color="auto" w:fill="F3F3F3"/>
            <w:tcMar>
              <w:top w:w="28" w:type="dxa"/>
              <w:bottom w:w="28" w:type="dxa"/>
            </w:tcMar>
          </w:tcPr>
          <w:p w14:paraId="1F869E19" w14:textId="77777777" w:rsidR="00632536" w:rsidRDefault="00632536" w:rsidP="00632536">
            <w:pPr>
              <w:jc w:val="center"/>
              <w:rPr>
                <w:rFonts w:ascii="(Asiatische Schriftart verwende" w:hAnsi="(Asiatische Schriftart verwende"/>
                <w:b/>
              </w:rPr>
            </w:pPr>
            <w:r w:rsidRPr="00632536">
              <w:rPr>
                <w:rFonts w:ascii="(Asiatische Schriftart verwende" w:hAnsi="(Asiatische Schriftart verwende"/>
                <w:b/>
              </w:rPr>
              <w:t>Applicable sub-sections and paragraphs</w:t>
            </w:r>
            <w:r>
              <w:rPr>
                <w:rFonts w:ascii="(Asiatische Schriftart verwende" w:hAnsi="(Asiatische Schriftart verwende"/>
                <w:b/>
              </w:rPr>
              <w:t>:</w:t>
            </w:r>
          </w:p>
          <w:p w14:paraId="2A1A05D1" w14:textId="5FD34FF5" w:rsidR="00464162" w:rsidRPr="00632536" w:rsidRDefault="0061459D" w:rsidP="00464162">
            <w:pPr>
              <w:jc w:val="center"/>
              <w:rPr>
                <w:rFonts w:ascii="(Asiatische Schriftart verwende" w:hAnsi="(Asiatische Schriftart verwende"/>
                <w:b/>
              </w:rPr>
            </w:pPr>
            <w:r>
              <w:rPr>
                <w:rFonts w:ascii="(Asiatische Schriftart verwende" w:hAnsi="(Asiatische Schriftart verwende"/>
                <w:b/>
                <w:lang w:val="en-US"/>
              </w:rPr>
              <w:t>6.2.3.1 and 6.2.3.4</w:t>
            </w:r>
          </w:p>
        </w:tc>
      </w:tr>
      <w:tr w:rsidR="00BF42CB" w:rsidRPr="00C33EB9" w14:paraId="69DBBB09" w14:textId="77777777" w:rsidTr="00BF42CB">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14:paraId="06CDE75B" w14:textId="5582759F" w:rsidR="00BF42CB" w:rsidRPr="00C33EB9" w:rsidRDefault="004A321A" w:rsidP="00F12514">
            <w:pPr>
              <w:jc w:val="center"/>
              <w:rPr>
                <w:spacing w:val="-3"/>
              </w:rPr>
            </w:pPr>
            <w:r w:rsidRPr="004A321A">
              <w:rPr>
                <w:spacing w:val="-3"/>
              </w:rPr>
              <w:t>00023197</w:t>
            </w:r>
          </w:p>
        </w:tc>
        <w:tc>
          <w:tcPr>
            <w:tcW w:w="1782" w:type="pct"/>
            <w:gridSpan w:val="3"/>
            <w:vMerge/>
            <w:tcBorders>
              <w:bottom w:val="single" w:sz="6" w:space="0" w:color="auto"/>
            </w:tcBorders>
            <w:shd w:val="clear" w:color="auto" w:fill="F3F3F3"/>
            <w:tcMar>
              <w:top w:w="28" w:type="dxa"/>
              <w:bottom w:w="28" w:type="dxa"/>
            </w:tcMar>
          </w:tcPr>
          <w:p w14:paraId="2431359F" w14:textId="77777777" w:rsidR="00BF42CB" w:rsidRPr="00C33EB9" w:rsidRDefault="00BF42CB" w:rsidP="00BF42CB">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0EE2EB02" w14:textId="77777777" w:rsidR="00BF42CB" w:rsidRPr="00C33EB9" w:rsidRDefault="00BF42CB" w:rsidP="00BF42CB">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325E61D3" w14:textId="77777777" w:rsidR="00BF42CB" w:rsidRPr="00C33EB9" w:rsidRDefault="00BF42CB" w:rsidP="00BF42CB">
            <w:pPr>
              <w:pStyle w:val="NoteHead"/>
              <w:spacing w:before="0" w:after="0"/>
              <w:rPr>
                <w:bCs/>
                <w:smallCaps w:val="0"/>
                <w:sz w:val="20"/>
              </w:rPr>
            </w:pPr>
          </w:p>
        </w:tc>
      </w:tr>
      <w:tr w:rsidR="00BF42CB" w:rsidRPr="00C33EB9" w14:paraId="67B0AEB6" w14:textId="77777777" w:rsidTr="00BF42CB">
        <w:tc>
          <w:tcPr>
            <w:tcW w:w="5000" w:type="pct"/>
            <w:gridSpan w:val="10"/>
            <w:tcBorders>
              <w:top w:val="single" w:sz="6" w:space="0" w:color="auto"/>
            </w:tcBorders>
            <w:shd w:val="clear" w:color="auto" w:fill="auto"/>
          </w:tcPr>
          <w:p w14:paraId="2DA32AE0" w14:textId="48AF6410" w:rsidR="00BF42CB" w:rsidRPr="00F83B63" w:rsidRDefault="00F83B63" w:rsidP="00F753B9">
            <w:pPr>
              <w:tabs>
                <w:tab w:val="num" w:pos="1134"/>
              </w:tabs>
              <w:jc w:val="both"/>
              <w:rPr>
                <w:rFonts w:eastAsia="MS Mincho"/>
                <w:lang w:eastAsia="ja-JP"/>
              </w:rPr>
            </w:pPr>
            <w:r w:rsidRPr="00F83B63">
              <w:rPr>
                <w:rFonts w:eastAsia="MS Mincho"/>
                <w:lang w:eastAsia="ja-JP"/>
              </w:rPr>
              <w:t xml:space="preserve">Assessment by </w:t>
            </w:r>
            <w:r w:rsidR="00F753B9">
              <w:rPr>
                <w:rFonts w:eastAsia="MS Mincho"/>
                <w:lang w:eastAsia="ja-JP"/>
              </w:rPr>
              <w:t>Advisor</w:t>
            </w:r>
            <w:r w:rsidRPr="00F83B63">
              <w:rPr>
                <w:rFonts w:eastAsia="MS Mincho"/>
                <w:lang w:eastAsia="ja-JP"/>
              </w:rPr>
              <w:t xml:space="preserve"> awaited</w:t>
            </w:r>
          </w:p>
        </w:tc>
      </w:tr>
      <w:tr w:rsidR="00BF42CB" w:rsidRPr="00C33EB9" w14:paraId="1BF76DE0" w14:textId="77777777" w:rsidTr="00BF42CB">
        <w:trPr>
          <w:trHeight w:val="160"/>
        </w:trPr>
        <w:tc>
          <w:tcPr>
            <w:tcW w:w="5000" w:type="pct"/>
            <w:gridSpan w:val="10"/>
            <w:shd w:val="clear" w:color="auto" w:fill="auto"/>
          </w:tcPr>
          <w:p w14:paraId="002B6612" w14:textId="0C82F719" w:rsidR="00BF42CB" w:rsidRPr="00C33EB9" w:rsidRDefault="00BF42CB" w:rsidP="00F753B9">
            <w:r w:rsidRPr="00C33EB9">
              <w:t xml:space="preserve">Enquiry draft discussed by STD’s WG </w:t>
            </w:r>
            <w:r w:rsidR="004545F3">
              <w:t xml:space="preserve">in </w:t>
            </w:r>
          </w:p>
        </w:tc>
      </w:tr>
      <w:tr w:rsidR="00BF42CB" w:rsidRPr="00C33EB9" w14:paraId="4C33BB5E" w14:textId="77777777" w:rsidTr="00BF42CB">
        <w:trPr>
          <w:trHeight w:val="160"/>
        </w:trPr>
        <w:tc>
          <w:tcPr>
            <w:tcW w:w="5000" w:type="pct"/>
            <w:gridSpan w:val="10"/>
            <w:shd w:val="clear" w:color="auto" w:fill="auto"/>
          </w:tcPr>
          <w:p w14:paraId="7E3ED9BA" w14:textId="77777777" w:rsidR="00BF42CB" w:rsidRPr="00C33EB9" w:rsidRDefault="00BF42CB" w:rsidP="00BF42CB">
            <w:pPr>
              <w:rPr>
                <w:b/>
                <w:iCs/>
              </w:rPr>
            </w:pPr>
            <w:r w:rsidRPr="00C33EB9">
              <w:rPr>
                <w:b/>
                <w:iCs/>
              </w:rPr>
              <w:t>Comments from members of the Joint Meeting</w:t>
            </w:r>
            <w:r w:rsidRPr="00C33EB9">
              <w:rPr>
                <w:b/>
              </w:rPr>
              <w:t>:</w:t>
            </w:r>
          </w:p>
        </w:tc>
      </w:tr>
      <w:tr w:rsidR="00BF42CB" w:rsidRPr="00C33EB9" w14:paraId="01030BB9" w14:textId="77777777" w:rsidTr="004545F3">
        <w:tc>
          <w:tcPr>
            <w:tcW w:w="331" w:type="pct"/>
            <w:shd w:val="clear" w:color="auto" w:fill="auto"/>
            <w:tcMar>
              <w:top w:w="57" w:type="dxa"/>
              <w:bottom w:w="57" w:type="dxa"/>
            </w:tcMar>
          </w:tcPr>
          <w:p w14:paraId="77A7D64B" w14:textId="77777777" w:rsidR="00BF42CB" w:rsidRPr="00C33EB9" w:rsidRDefault="00BF42CB" w:rsidP="00BF42CB">
            <w:pPr>
              <w:jc w:val="center"/>
            </w:pPr>
            <w:r w:rsidRPr="00C33EB9">
              <w:t>Country</w:t>
            </w:r>
          </w:p>
        </w:tc>
        <w:tc>
          <w:tcPr>
            <w:tcW w:w="380" w:type="pct"/>
            <w:gridSpan w:val="2"/>
            <w:shd w:val="clear" w:color="auto" w:fill="auto"/>
            <w:tcMar>
              <w:top w:w="57" w:type="dxa"/>
              <w:bottom w:w="57" w:type="dxa"/>
            </w:tcMar>
          </w:tcPr>
          <w:p w14:paraId="7CD4F095" w14:textId="77777777" w:rsidR="00BF42CB" w:rsidRPr="00C33EB9" w:rsidRDefault="00BF42CB" w:rsidP="00BF42CB">
            <w:pPr>
              <w:jc w:val="center"/>
            </w:pPr>
            <w:r w:rsidRPr="00C33EB9">
              <w:t>Clause No.</w:t>
            </w:r>
          </w:p>
        </w:tc>
        <w:tc>
          <w:tcPr>
            <w:tcW w:w="1779" w:type="pct"/>
            <w:gridSpan w:val="3"/>
            <w:shd w:val="clear" w:color="auto" w:fill="auto"/>
            <w:tcMar>
              <w:top w:w="57" w:type="dxa"/>
              <w:bottom w:w="57" w:type="dxa"/>
            </w:tcMar>
          </w:tcPr>
          <w:p w14:paraId="101E6F5B" w14:textId="77777777" w:rsidR="00BF42CB" w:rsidRPr="00C33EB9" w:rsidRDefault="00BF42CB" w:rsidP="00BF42CB">
            <w:pPr>
              <w:jc w:val="center"/>
            </w:pPr>
            <w:r w:rsidRPr="00C33EB9">
              <w:t xml:space="preserve">Comment (justification for change) </w:t>
            </w:r>
          </w:p>
        </w:tc>
        <w:tc>
          <w:tcPr>
            <w:tcW w:w="762" w:type="pct"/>
            <w:gridSpan w:val="2"/>
            <w:shd w:val="clear" w:color="auto" w:fill="auto"/>
            <w:tcMar>
              <w:top w:w="57" w:type="dxa"/>
              <w:bottom w:w="57" w:type="dxa"/>
            </w:tcMar>
          </w:tcPr>
          <w:p w14:paraId="7AA2A6D5" w14:textId="77777777" w:rsidR="00BF42CB" w:rsidRPr="00C33EB9" w:rsidRDefault="00BF42CB" w:rsidP="00BF42CB">
            <w:pPr>
              <w:jc w:val="center"/>
            </w:pPr>
            <w:r w:rsidRPr="00C33EB9">
              <w:t xml:space="preserve">Proposed change </w:t>
            </w:r>
          </w:p>
        </w:tc>
        <w:tc>
          <w:tcPr>
            <w:tcW w:w="875" w:type="pct"/>
            <w:shd w:val="clear" w:color="auto" w:fill="auto"/>
            <w:tcMar>
              <w:top w:w="57" w:type="dxa"/>
              <w:bottom w:w="57" w:type="dxa"/>
            </w:tcMar>
          </w:tcPr>
          <w:p w14:paraId="4CE74319" w14:textId="77777777" w:rsidR="00BF42CB" w:rsidRPr="00C33EB9" w:rsidRDefault="00BF42CB" w:rsidP="00BF42CB">
            <w:pPr>
              <w:jc w:val="center"/>
            </w:pPr>
            <w:r w:rsidRPr="00C33EB9">
              <w:t>Comment from CEN Consultant</w:t>
            </w:r>
          </w:p>
        </w:tc>
        <w:tc>
          <w:tcPr>
            <w:tcW w:w="873" w:type="pct"/>
            <w:shd w:val="clear" w:color="auto" w:fill="auto"/>
          </w:tcPr>
          <w:p w14:paraId="5F05EA86" w14:textId="77777777" w:rsidR="00BF42CB" w:rsidRPr="00C33EB9" w:rsidRDefault="00BF42CB" w:rsidP="00BF42CB">
            <w:pPr>
              <w:jc w:val="center"/>
            </w:pPr>
            <w:r w:rsidRPr="00C33EB9">
              <w:t>Comment from WG Standards</w:t>
            </w:r>
          </w:p>
        </w:tc>
      </w:tr>
      <w:tr w:rsidR="002C07C3" w:rsidRPr="00C33EB9" w14:paraId="20B18B50" w14:textId="77777777" w:rsidTr="004545F3">
        <w:tc>
          <w:tcPr>
            <w:tcW w:w="331" w:type="pct"/>
            <w:shd w:val="clear" w:color="auto" w:fill="auto"/>
            <w:tcMar>
              <w:top w:w="57" w:type="dxa"/>
              <w:bottom w:w="57" w:type="dxa"/>
            </w:tcMar>
          </w:tcPr>
          <w:p w14:paraId="402FFB0D" w14:textId="7B01678D" w:rsidR="002C07C3" w:rsidRPr="00C33EB9" w:rsidRDefault="002C07C3" w:rsidP="002C07C3">
            <w:pPr>
              <w:spacing w:line="240" w:lineRule="auto"/>
              <w:jc w:val="center"/>
              <w:rPr>
                <w:bCs/>
              </w:rPr>
            </w:pPr>
          </w:p>
        </w:tc>
        <w:tc>
          <w:tcPr>
            <w:tcW w:w="380" w:type="pct"/>
            <w:gridSpan w:val="2"/>
            <w:shd w:val="clear" w:color="auto" w:fill="auto"/>
            <w:tcMar>
              <w:top w:w="57" w:type="dxa"/>
              <w:bottom w:w="57" w:type="dxa"/>
            </w:tcMar>
          </w:tcPr>
          <w:p w14:paraId="0BBEEC5B" w14:textId="7061CA53" w:rsidR="002C07C3" w:rsidRPr="00C33EB9" w:rsidRDefault="002C07C3" w:rsidP="002C07C3">
            <w:pPr>
              <w:spacing w:line="240" w:lineRule="auto"/>
              <w:rPr>
                <w:bCs/>
              </w:rPr>
            </w:pPr>
          </w:p>
        </w:tc>
        <w:tc>
          <w:tcPr>
            <w:tcW w:w="1779" w:type="pct"/>
            <w:gridSpan w:val="3"/>
            <w:shd w:val="clear" w:color="auto" w:fill="auto"/>
            <w:tcMar>
              <w:top w:w="57" w:type="dxa"/>
              <w:bottom w:w="57" w:type="dxa"/>
            </w:tcMar>
          </w:tcPr>
          <w:p w14:paraId="367E0F3D" w14:textId="30129E34" w:rsidR="002C07C3" w:rsidRPr="00C33EB9" w:rsidRDefault="002C07C3" w:rsidP="00EE421C">
            <w:pPr>
              <w:tabs>
                <w:tab w:val="left" w:pos="6663"/>
              </w:tabs>
              <w:spacing w:line="240" w:lineRule="auto"/>
              <w:rPr>
                <w:bCs/>
              </w:rPr>
            </w:pPr>
          </w:p>
        </w:tc>
        <w:tc>
          <w:tcPr>
            <w:tcW w:w="762" w:type="pct"/>
            <w:gridSpan w:val="2"/>
            <w:shd w:val="clear" w:color="auto" w:fill="auto"/>
            <w:tcMar>
              <w:top w:w="57" w:type="dxa"/>
              <w:bottom w:w="57" w:type="dxa"/>
            </w:tcMar>
          </w:tcPr>
          <w:p w14:paraId="1D1B6922" w14:textId="71E6D5CB" w:rsidR="002C07C3" w:rsidRPr="00C33EB9" w:rsidRDefault="002C07C3" w:rsidP="002C07C3">
            <w:pPr>
              <w:spacing w:line="240" w:lineRule="auto"/>
              <w:rPr>
                <w:bCs/>
              </w:rPr>
            </w:pPr>
          </w:p>
        </w:tc>
        <w:tc>
          <w:tcPr>
            <w:tcW w:w="875" w:type="pct"/>
            <w:shd w:val="clear" w:color="auto" w:fill="auto"/>
            <w:tcMar>
              <w:top w:w="57" w:type="dxa"/>
              <w:bottom w:w="57" w:type="dxa"/>
            </w:tcMar>
          </w:tcPr>
          <w:p w14:paraId="3F9D0C40" w14:textId="77777777" w:rsidR="002C07C3" w:rsidRPr="00C33EB9" w:rsidRDefault="002C07C3" w:rsidP="002C07C3">
            <w:pPr>
              <w:spacing w:line="240" w:lineRule="auto"/>
              <w:rPr>
                <w:bCs/>
              </w:rPr>
            </w:pPr>
          </w:p>
        </w:tc>
        <w:tc>
          <w:tcPr>
            <w:tcW w:w="873" w:type="pct"/>
            <w:shd w:val="clear" w:color="auto" w:fill="auto"/>
            <w:tcMar>
              <w:top w:w="57" w:type="dxa"/>
              <w:bottom w:w="57" w:type="dxa"/>
            </w:tcMar>
          </w:tcPr>
          <w:p w14:paraId="06EBD75C" w14:textId="1A99D73E" w:rsidR="002C07C3" w:rsidRPr="00C33EB9" w:rsidRDefault="002C07C3" w:rsidP="004A3301">
            <w:pPr>
              <w:spacing w:line="240" w:lineRule="auto"/>
              <w:rPr>
                <w:bCs/>
              </w:rPr>
            </w:pPr>
          </w:p>
        </w:tc>
      </w:tr>
      <w:tr w:rsidR="002C07C3" w:rsidRPr="00C33EB9" w14:paraId="5D1DE1EE" w14:textId="77777777" w:rsidTr="004545F3">
        <w:tc>
          <w:tcPr>
            <w:tcW w:w="331" w:type="pct"/>
            <w:shd w:val="clear" w:color="auto" w:fill="auto"/>
            <w:tcMar>
              <w:top w:w="57" w:type="dxa"/>
              <w:bottom w:w="57" w:type="dxa"/>
            </w:tcMar>
          </w:tcPr>
          <w:p w14:paraId="563A39F4" w14:textId="0424D060" w:rsidR="002C07C3" w:rsidRPr="00C33EB9" w:rsidRDefault="002C07C3" w:rsidP="002C07C3">
            <w:pPr>
              <w:spacing w:line="240" w:lineRule="auto"/>
              <w:jc w:val="center"/>
              <w:rPr>
                <w:bCs/>
              </w:rPr>
            </w:pPr>
          </w:p>
        </w:tc>
        <w:tc>
          <w:tcPr>
            <w:tcW w:w="380" w:type="pct"/>
            <w:gridSpan w:val="2"/>
            <w:shd w:val="clear" w:color="auto" w:fill="auto"/>
            <w:tcMar>
              <w:top w:w="57" w:type="dxa"/>
              <w:bottom w:w="57" w:type="dxa"/>
            </w:tcMar>
          </w:tcPr>
          <w:p w14:paraId="12CE20D5" w14:textId="63A5A594" w:rsidR="002C07C3" w:rsidRPr="00C33EB9" w:rsidRDefault="002C07C3" w:rsidP="002C07C3">
            <w:pPr>
              <w:spacing w:line="240" w:lineRule="auto"/>
              <w:rPr>
                <w:bCs/>
              </w:rPr>
            </w:pPr>
          </w:p>
        </w:tc>
        <w:tc>
          <w:tcPr>
            <w:tcW w:w="1779" w:type="pct"/>
            <w:gridSpan w:val="3"/>
            <w:shd w:val="clear" w:color="auto" w:fill="auto"/>
            <w:tcMar>
              <w:top w:w="57" w:type="dxa"/>
              <w:bottom w:w="57" w:type="dxa"/>
            </w:tcMar>
          </w:tcPr>
          <w:p w14:paraId="08CE4108" w14:textId="735E6037" w:rsidR="002C07C3" w:rsidRPr="00C33EB9" w:rsidRDefault="002C07C3" w:rsidP="002C07C3">
            <w:pPr>
              <w:tabs>
                <w:tab w:val="left" w:pos="6663"/>
              </w:tabs>
              <w:spacing w:line="240" w:lineRule="auto"/>
              <w:rPr>
                <w:bCs/>
              </w:rPr>
            </w:pPr>
          </w:p>
        </w:tc>
        <w:tc>
          <w:tcPr>
            <w:tcW w:w="762" w:type="pct"/>
            <w:gridSpan w:val="2"/>
            <w:shd w:val="clear" w:color="auto" w:fill="auto"/>
            <w:tcMar>
              <w:top w:w="57" w:type="dxa"/>
              <w:bottom w:w="57" w:type="dxa"/>
            </w:tcMar>
          </w:tcPr>
          <w:p w14:paraId="6BA1857A" w14:textId="4879E576" w:rsidR="002C07C3" w:rsidRPr="00C33EB9" w:rsidRDefault="002C07C3" w:rsidP="002C07C3">
            <w:pPr>
              <w:spacing w:line="240" w:lineRule="auto"/>
              <w:rPr>
                <w:bCs/>
              </w:rPr>
            </w:pPr>
          </w:p>
        </w:tc>
        <w:tc>
          <w:tcPr>
            <w:tcW w:w="875" w:type="pct"/>
            <w:shd w:val="clear" w:color="auto" w:fill="auto"/>
            <w:tcMar>
              <w:top w:w="57" w:type="dxa"/>
              <w:bottom w:w="57" w:type="dxa"/>
            </w:tcMar>
          </w:tcPr>
          <w:p w14:paraId="2E8A94A7" w14:textId="77777777" w:rsidR="002C07C3" w:rsidRPr="00C33EB9" w:rsidRDefault="002C07C3" w:rsidP="002C07C3">
            <w:pPr>
              <w:spacing w:line="240" w:lineRule="auto"/>
              <w:rPr>
                <w:bCs/>
              </w:rPr>
            </w:pPr>
          </w:p>
        </w:tc>
        <w:tc>
          <w:tcPr>
            <w:tcW w:w="873" w:type="pct"/>
            <w:shd w:val="clear" w:color="auto" w:fill="auto"/>
            <w:tcMar>
              <w:top w:w="57" w:type="dxa"/>
              <w:bottom w:w="57" w:type="dxa"/>
            </w:tcMar>
          </w:tcPr>
          <w:p w14:paraId="1575A3E9" w14:textId="3D738000" w:rsidR="002C07C3" w:rsidRPr="00C33EB9" w:rsidRDefault="002C07C3" w:rsidP="002C07C3">
            <w:pPr>
              <w:spacing w:line="240" w:lineRule="auto"/>
              <w:rPr>
                <w:bCs/>
              </w:rPr>
            </w:pPr>
          </w:p>
        </w:tc>
      </w:tr>
      <w:tr w:rsidR="002C07C3" w:rsidRPr="00C33EB9" w14:paraId="20700376" w14:textId="77777777" w:rsidTr="00BF42CB">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14:paraId="2FE88A86" w14:textId="77777777" w:rsidR="002C07C3" w:rsidRPr="00C33EB9" w:rsidRDefault="002C07C3" w:rsidP="002C07C3">
            <w:pPr>
              <w:rPr>
                <w:b/>
                <w:bCs/>
              </w:rPr>
            </w:pPr>
            <w:r w:rsidRPr="00C33EB9">
              <w:rPr>
                <w:b/>
              </w:rPr>
              <w:lastRenderedPageBreak/>
              <w:t>Decision of the STD’s WG:</w:t>
            </w:r>
          </w:p>
        </w:tc>
        <w:tc>
          <w:tcPr>
            <w:tcW w:w="407" w:type="pct"/>
            <w:tcBorders>
              <w:top w:val="single" w:sz="12" w:space="0" w:color="auto"/>
              <w:bottom w:val="single" w:sz="12" w:space="0" w:color="auto"/>
            </w:tcBorders>
            <w:shd w:val="clear" w:color="auto" w:fill="F2F2F2"/>
            <w:tcMar>
              <w:top w:w="0" w:type="dxa"/>
              <w:bottom w:w="0" w:type="dxa"/>
            </w:tcMar>
          </w:tcPr>
          <w:p w14:paraId="0717111F" w14:textId="77777777" w:rsidR="002C07C3" w:rsidRPr="00F83B63" w:rsidRDefault="002C07C3" w:rsidP="002C07C3">
            <w:pPr>
              <w:keepLines/>
              <w:jc w:val="center"/>
              <w:rPr>
                <w:bCs/>
              </w:rPr>
            </w:pPr>
            <w:r w:rsidRPr="001118E2">
              <w:rPr>
                <w:bCs/>
                <w:highlight w:val="yellow"/>
              </w:rPr>
              <w:t>Accepted</w:t>
            </w:r>
          </w:p>
          <w:p w14:paraId="1AF88EF5" w14:textId="77777777" w:rsidR="002C07C3" w:rsidRPr="00C33EB9" w:rsidRDefault="002C07C3" w:rsidP="002C07C3">
            <w:pPr>
              <w:keepLines/>
              <w:jc w:val="center"/>
              <w:rPr>
                <w:bCs/>
              </w:rPr>
            </w:pPr>
            <w:r w:rsidRPr="00C33EB9">
              <w:rPr>
                <w:bCs/>
              </w:rPr>
              <w:t>Refused</w:t>
            </w:r>
          </w:p>
          <w:p w14:paraId="4C91056D" w14:textId="77777777" w:rsidR="002C07C3" w:rsidRPr="00C33EB9" w:rsidRDefault="002C07C3" w:rsidP="002C07C3">
            <w:pPr>
              <w:keepLines/>
              <w:jc w:val="center"/>
              <w:rPr>
                <w:bCs/>
              </w:rPr>
            </w:pPr>
            <w:r w:rsidRPr="004A3301">
              <w:rPr>
                <w:bCs/>
              </w:rPr>
              <w:t>Postponed</w:t>
            </w:r>
          </w:p>
        </w:tc>
        <w:tc>
          <w:tcPr>
            <w:tcW w:w="1372" w:type="pct"/>
            <w:gridSpan w:val="2"/>
            <w:tcBorders>
              <w:top w:val="single" w:sz="12" w:space="0" w:color="auto"/>
              <w:bottom w:val="single" w:sz="12" w:space="0" w:color="auto"/>
            </w:tcBorders>
            <w:shd w:val="clear" w:color="auto" w:fill="F2F2F2"/>
          </w:tcPr>
          <w:p w14:paraId="065186D1" w14:textId="77777777" w:rsidR="002C07C3" w:rsidRPr="00C33EB9" w:rsidRDefault="002C07C3" w:rsidP="002C07C3">
            <w:pPr>
              <w:keepLines/>
              <w:tabs>
                <w:tab w:val="left" w:pos="6663"/>
              </w:tabs>
              <w:jc w:val="center"/>
              <w:rPr>
                <w:bCs/>
              </w:rPr>
            </w:pPr>
            <w:r w:rsidRPr="00C33EB9">
              <w:rPr>
                <w:bCs/>
              </w:rPr>
              <w:t>Comments</w:t>
            </w:r>
          </w:p>
          <w:p w14:paraId="7289F7D1" w14:textId="4AB66579" w:rsidR="002C07C3" w:rsidRPr="00C33EB9" w:rsidRDefault="002C07C3" w:rsidP="001B40E2">
            <w:pPr>
              <w:keepLines/>
              <w:tabs>
                <w:tab w:val="left" w:pos="6663"/>
              </w:tabs>
              <w:rPr>
                <w:bCs/>
              </w:rPr>
            </w:pPr>
          </w:p>
        </w:tc>
        <w:tc>
          <w:tcPr>
            <w:tcW w:w="2510" w:type="pct"/>
            <w:gridSpan w:val="4"/>
            <w:tcBorders>
              <w:top w:val="single" w:sz="12" w:space="0" w:color="auto"/>
              <w:bottom w:val="single" w:sz="12" w:space="0" w:color="auto"/>
            </w:tcBorders>
            <w:shd w:val="clear" w:color="auto" w:fill="F2F2F2"/>
            <w:tcMar>
              <w:top w:w="0" w:type="dxa"/>
              <w:bottom w:w="0" w:type="dxa"/>
            </w:tcMar>
          </w:tcPr>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2"/>
              <w:gridCol w:w="2101"/>
              <w:gridCol w:w="2101"/>
            </w:tblGrid>
            <w:tr w:rsidR="002C07C3" w:rsidRPr="00C33EB9" w14:paraId="002A8A09" w14:textId="21299B3A" w:rsidTr="001C0EAE">
              <w:trPr>
                <w:trHeight w:val="227"/>
              </w:trPr>
              <w:tc>
                <w:tcPr>
                  <w:tcW w:w="1535"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37DB35F4" w14:textId="77777777" w:rsidR="002C07C3" w:rsidRPr="00C33EB9" w:rsidRDefault="002C07C3" w:rsidP="002C07C3">
                  <w:pPr>
                    <w:jc w:val="center"/>
                    <w:rPr>
                      <w:bCs/>
                    </w:rPr>
                  </w:pPr>
                  <w:r w:rsidRPr="00C33EB9">
                    <w:rPr>
                      <w:bCs/>
                    </w:rPr>
                    <w:t>Proposed transition regulation</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6FB1A02A" w14:textId="5519BECF" w:rsidR="002C07C3" w:rsidRPr="00C33EB9" w:rsidRDefault="002C07C3" w:rsidP="002C07C3">
                  <w:pPr>
                    <w:keepLines/>
                    <w:jc w:val="center"/>
                    <w:rPr>
                      <w:bCs/>
                    </w:rPr>
                  </w:pPr>
                  <w:r w:rsidRPr="00C33EB9">
                    <w:rPr>
                      <w:bCs/>
                    </w:rPr>
                    <w:t xml:space="preserve">Applicable </w:t>
                  </w:r>
                  <w:r>
                    <w:rPr>
                      <w:bCs/>
                    </w:rPr>
                    <w:t>for new type approvals or renewals</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5434D4AA" w14:textId="7F53635B" w:rsidR="002C07C3" w:rsidRPr="00C33EB9" w:rsidRDefault="002C07C3" w:rsidP="002C07C3">
                  <w:pPr>
                    <w:keepLines/>
                    <w:jc w:val="center"/>
                    <w:rPr>
                      <w:bCs/>
                    </w:rPr>
                  </w:pPr>
                  <w:r>
                    <w:rPr>
                      <w:bCs/>
                    </w:rPr>
                    <w:t>Latest date for withdrawal of existing type approvals</w:t>
                  </w:r>
                </w:p>
              </w:tc>
            </w:tr>
            <w:tr w:rsidR="002C07C3" w:rsidRPr="00C33EB9" w14:paraId="79F5FE57" w14:textId="09CF5A5F" w:rsidTr="001C0EAE">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7AFE3E41" w14:textId="18E497CA" w:rsidR="002C07C3" w:rsidRPr="00C33EB9" w:rsidRDefault="00DC4A4A" w:rsidP="002C07C3">
                  <w:pPr>
                    <w:jc w:val="center"/>
                    <w:rPr>
                      <w:bCs/>
                    </w:rPr>
                  </w:pPr>
                  <w:r>
                    <w:rPr>
                      <w:bCs/>
                    </w:rPr>
                    <w:t>EN ISO 9809-1:2010</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06A72C4B" w14:textId="0DB3208A" w:rsidR="0049163A" w:rsidRPr="00C33EB9" w:rsidRDefault="0049163A" w:rsidP="0049163A">
                  <w:pPr>
                    <w:suppressAutoHyphens w:val="0"/>
                    <w:autoSpaceDE w:val="0"/>
                    <w:autoSpaceDN w:val="0"/>
                    <w:adjustRightInd w:val="0"/>
                    <w:spacing w:line="240" w:lineRule="auto"/>
                    <w:jc w:val="center"/>
                    <w:rPr>
                      <w:bCs/>
                    </w:rPr>
                  </w:pPr>
                  <w:r>
                    <w:rPr>
                      <w:bCs/>
                    </w:rPr>
                    <w:t>31 December 2022</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72CAB577" w14:textId="77777777" w:rsidR="002C07C3" w:rsidRDefault="002C07C3" w:rsidP="002C07C3">
                  <w:pPr>
                    <w:suppressAutoHyphens w:val="0"/>
                    <w:autoSpaceDE w:val="0"/>
                    <w:autoSpaceDN w:val="0"/>
                    <w:adjustRightInd w:val="0"/>
                    <w:spacing w:line="240" w:lineRule="auto"/>
                    <w:jc w:val="center"/>
                    <w:rPr>
                      <w:bCs/>
                    </w:rPr>
                  </w:pPr>
                </w:p>
              </w:tc>
            </w:tr>
            <w:tr w:rsidR="002C07C3" w:rsidRPr="00C33EB9" w14:paraId="0CC581DD" w14:textId="65A096F5" w:rsidTr="001C0EAE">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6D2B4BE9" w14:textId="51955BD8" w:rsidR="002C07C3" w:rsidRPr="00C33EB9" w:rsidRDefault="00DC4A4A" w:rsidP="002C07C3">
                  <w:pPr>
                    <w:jc w:val="center"/>
                    <w:rPr>
                      <w:bCs/>
                    </w:rPr>
                  </w:pPr>
                  <w:r>
                    <w:rPr>
                      <w:bCs/>
                    </w:rPr>
                    <w:t>EN ISO 9809-1:2019</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310C10AC" w14:textId="149FCD58" w:rsidR="002C07C3" w:rsidRPr="00C33EB9" w:rsidRDefault="00DC4A4A" w:rsidP="002C07C3">
                  <w:pPr>
                    <w:keepNext/>
                    <w:ind w:hanging="22"/>
                    <w:jc w:val="center"/>
                    <w:rPr>
                      <w:bCs/>
                    </w:rPr>
                  </w:pPr>
                  <w:r>
                    <w:rPr>
                      <w:bCs/>
                    </w:rPr>
                    <w:t>Until further notice</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5CCC113D" w14:textId="77777777" w:rsidR="002C07C3" w:rsidRPr="00C33EB9" w:rsidRDefault="002C07C3" w:rsidP="002C07C3">
                  <w:pPr>
                    <w:keepNext/>
                    <w:ind w:hanging="22"/>
                    <w:jc w:val="center"/>
                    <w:rPr>
                      <w:bCs/>
                    </w:rPr>
                  </w:pPr>
                </w:p>
              </w:tc>
            </w:tr>
          </w:tbl>
          <w:p w14:paraId="31F5093C" w14:textId="02642464" w:rsidR="002C07C3" w:rsidRPr="00C33EB9" w:rsidRDefault="002C07C3" w:rsidP="002C07C3">
            <w:pPr>
              <w:keepLines/>
              <w:tabs>
                <w:tab w:val="left" w:pos="6663"/>
              </w:tabs>
              <w:rPr>
                <w:bCs/>
              </w:rPr>
            </w:pPr>
          </w:p>
        </w:tc>
      </w:tr>
    </w:tbl>
    <w:p w14:paraId="2FF4601A" w14:textId="77777777" w:rsidR="00B0321F" w:rsidRDefault="00B0321F" w:rsidP="00C679E1">
      <w:pPr>
        <w:pStyle w:val="H1G"/>
        <w:tabs>
          <w:tab w:val="clear" w:pos="851"/>
        </w:tabs>
        <w:ind w:left="567" w:hanging="567"/>
        <w:rPr>
          <w:b w:val="0"/>
          <w:sz w:val="20"/>
        </w:rPr>
      </w:pPr>
    </w:p>
    <w:p w14:paraId="111F5873" w14:textId="2E41DE28" w:rsidR="0002489E" w:rsidRPr="00C33EB9" w:rsidRDefault="00BE1D12" w:rsidP="00C679E1">
      <w:pPr>
        <w:pStyle w:val="H1G"/>
        <w:tabs>
          <w:tab w:val="clear" w:pos="851"/>
        </w:tabs>
        <w:ind w:left="567" w:hanging="567"/>
        <w:rPr>
          <w:b w:val="0"/>
          <w:sz w:val="20"/>
        </w:rPr>
      </w:pPr>
      <w:r w:rsidRPr="00C33EB9">
        <w:rPr>
          <w:b w:val="0"/>
          <w:sz w:val="20"/>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69"/>
        <w:gridCol w:w="1003"/>
        <w:gridCol w:w="25"/>
        <w:gridCol w:w="1064"/>
        <w:gridCol w:w="3414"/>
        <w:gridCol w:w="23"/>
        <w:gridCol w:w="1908"/>
        <w:gridCol w:w="18"/>
        <w:gridCol w:w="2211"/>
        <w:gridCol w:w="2201"/>
      </w:tblGrid>
      <w:tr w:rsidR="000D2218" w:rsidRPr="00C33EB9" w14:paraId="7F6717E6" w14:textId="77777777" w:rsidTr="004545F3">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14:paraId="44ABC17D" w14:textId="6E472632" w:rsidR="000D2218" w:rsidRPr="00C33EB9" w:rsidRDefault="002E1D70" w:rsidP="000C5701">
            <w:pPr>
              <w:jc w:val="center"/>
              <w:rPr>
                <w:b/>
                <w:iCs/>
                <w:lang w:val="es-ES"/>
              </w:rPr>
            </w:pPr>
            <w:proofErr w:type="spellStart"/>
            <w:r>
              <w:rPr>
                <w:b/>
                <w:iCs/>
                <w:lang w:val="es-ES"/>
              </w:rPr>
              <w:t>FprEN</w:t>
            </w:r>
            <w:proofErr w:type="spellEnd"/>
            <w:r>
              <w:rPr>
                <w:b/>
                <w:iCs/>
                <w:lang w:val="es-ES"/>
              </w:rPr>
              <w:t xml:space="preserve"> ISO 9809-2</w:t>
            </w:r>
          </w:p>
        </w:tc>
        <w:tc>
          <w:tcPr>
            <w:tcW w:w="1782" w:type="pct"/>
            <w:gridSpan w:val="3"/>
            <w:vMerge w:val="restart"/>
            <w:tcBorders>
              <w:top w:val="single" w:sz="12" w:space="0" w:color="auto"/>
            </w:tcBorders>
            <w:shd w:val="clear" w:color="auto" w:fill="F3F3F3"/>
            <w:tcMar>
              <w:top w:w="28" w:type="dxa"/>
              <w:bottom w:w="28" w:type="dxa"/>
            </w:tcMar>
          </w:tcPr>
          <w:p w14:paraId="0C2AA285" w14:textId="282D5BA4" w:rsidR="000D2218" w:rsidRPr="002E1D70" w:rsidRDefault="002E1D70" w:rsidP="00526044">
            <w:pPr>
              <w:jc w:val="center"/>
              <w:rPr>
                <w:b/>
                <w:iCs/>
              </w:rPr>
            </w:pPr>
            <w:r w:rsidRPr="002E1D70">
              <w:rPr>
                <w:b/>
                <w:color w:val="000000"/>
                <w:lang w:val="en-US"/>
              </w:rPr>
              <w:t xml:space="preserve">Gas cylinders - Design, construction and testing of refillable seamless steel gas cylinders and tubes - Part 2: Quenched and tempered steel cylinders and tubes with tensile strength greater than or equal </w:t>
            </w:r>
            <w:proofErr w:type="gramStart"/>
            <w:r w:rsidRPr="002E1D70">
              <w:rPr>
                <w:b/>
                <w:color w:val="000000"/>
                <w:lang w:val="en-US"/>
              </w:rPr>
              <w:t>to  1100</w:t>
            </w:r>
            <w:proofErr w:type="gramEnd"/>
            <w:r w:rsidRPr="002E1D70">
              <w:rPr>
                <w:b/>
                <w:color w:val="000000"/>
                <w:lang w:val="en-US"/>
              </w:rPr>
              <w:t xml:space="preserve"> MPa</w:t>
            </w:r>
          </w:p>
        </w:tc>
        <w:tc>
          <w:tcPr>
            <w:tcW w:w="764" w:type="pct"/>
            <w:gridSpan w:val="2"/>
            <w:vMerge w:val="restart"/>
            <w:tcBorders>
              <w:top w:val="single" w:sz="12" w:space="0" w:color="auto"/>
            </w:tcBorders>
            <w:shd w:val="clear" w:color="auto" w:fill="F3F3F3"/>
            <w:tcMar>
              <w:top w:w="28" w:type="dxa"/>
              <w:bottom w:w="28" w:type="dxa"/>
            </w:tcMar>
          </w:tcPr>
          <w:p w14:paraId="5AA96E14" w14:textId="77777777" w:rsidR="000D2218" w:rsidRPr="00C33EB9" w:rsidRDefault="000D2218" w:rsidP="00526044">
            <w:pPr>
              <w:pStyle w:val="NoteHead"/>
              <w:spacing w:before="0" w:after="0"/>
              <w:rPr>
                <w:rFonts w:eastAsia="Batang"/>
                <w:bCs/>
                <w:smallCaps w:val="0"/>
                <w:sz w:val="20"/>
              </w:rPr>
            </w:pPr>
            <w:r w:rsidRPr="00C33EB9">
              <w:rPr>
                <w:bCs/>
                <w:smallCaps w:val="0"/>
                <w:sz w:val="20"/>
              </w:rPr>
              <w:t>Where to refer in RID/ADR</w:t>
            </w:r>
          </w:p>
          <w:p w14:paraId="30F0E416" w14:textId="214FB076" w:rsidR="000D2218" w:rsidRPr="00C33EB9" w:rsidRDefault="009823AF" w:rsidP="00F83B63">
            <w:pPr>
              <w:jc w:val="center"/>
            </w:pPr>
            <w:r>
              <w:t>6.2.4.1</w:t>
            </w:r>
          </w:p>
        </w:tc>
        <w:tc>
          <w:tcPr>
            <w:tcW w:w="1753" w:type="pct"/>
            <w:gridSpan w:val="3"/>
            <w:vMerge w:val="restart"/>
            <w:tcBorders>
              <w:top w:val="single" w:sz="12" w:space="0" w:color="auto"/>
            </w:tcBorders>
            <w:shd w:val="clear" w:color="auto" w:fill="F3F3F3"/>
            <w:tcMar>
              <w:top w:w="28" w:type="dxa"/>
              <w:bottom w:w="28" w:type="dxa"/>
            </w:tcMar>
          </w:tcPr>
          <w:p w14:paraId="039582BD" w14:textId="77777777" w:rsidR="001B6730" w:rsidRDefault="001B6730" w:rsidP="001B6730">
            <w:pPr>
              <w:jc w:val="center"/>
              <w:rPr>
                <w:rFonts w:ascii="(Asiatische Schriftart verwende" w:hAnsi="(Asiatische Schriftart verwende"/>
                <w:b/>
              </w:rPr>
            </w:pPr>
            <w:r w:rsidRPr="00632536">
              <w:rPr>
                <w:rFonts w:ascii="(Asiatische Schriftart verwende" w:hAnsi="(Asiatische Schriftart verwende"/>
                <w:b/>
              </w:rPr>
              <w:t>Applicable sub-sections and paragraphs</w:t>
            </w:r>
            <w:r>
              <w:rPr>
                <w:rFonts w:ascii="(Asiatische Schriftart verwende" w:hAnsi="(Asiatische Schriftart verwende"/>
                <w:b/>
              </w:rPr>
              <w:t>:</w:t>
            </w:r>
          </w:p>
          <w:p w14:paraId="34F6E976" w14:textId="0B9E8F89" w:rsidR="00B0321F" w:rsidRPr="00C33EB9" w:rsidRDefault="001678CC" w:rsidP="001B6730">
            <w:pPr>
              <w:jc w:val="center"/>
              <w:rPr>
                <w:rFonts w:ascii="(Asiatische Schriftart verwende" w:hAnsi="(Asiatische Schriftart verwende"/>
                <w:b/>
              </w:rPr>
            </w:pPr>
            <w:r>
              <w:rPr>
                <w:rFonts w:ascii="(Asiatische Schriftart verwende" w:hAnsi="(Asiatische Schriftart verwende"/>
                <w:b/>
                <w:lang w:val="en-US"/>
              </w:rPr>
              <w:t>6.2.3.1 and 6.2.3.4</w:t>
            </w:r>
          </w:p>
        </w:tc>
      </w:tr>
      <w:tr w:rsidR="000D2218" w:rsidRPr="00C33EB9" w14:paraId="52867400" w14:textId="77777777" w:rsidTr="004545F3">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14:paraId="310CD010" w14:textId="610A7DF5" w:rsidR="001A0D4C" w:rsidRPr="00C33EB9" w:rsidRDefault="002E1D70" w:rsidP="00EE421C">
            <w:pPr>
              <w:jc w:val="center"/>
              <w:rPr>
                <w:spacing w:val="-3"/>
              </w:rPr>
            </w:pPr>
            <w:r w:rsidRPr="004A321A">
              <w:rPr>
                <w:spacing w:val="-3"/>
              </w:rPr>
              <w:t>00023197</w:t>
            </w:r>
          </w:p>
        </w:tc>
        <w:tc>
          <w:tcPr>
            <w:tcW w:w="1782" w:type="pct"/>
            <w:gridSpan w:val="3"/>
            <w:vMerge/>
            <w:tcBorders>
              <w:bottom w:val="single" w:sz="6" w:space="0" w:color="auto"/>
            </w:tcBorders>
            <w:shd w:val="clear" w:color="auto" w:fill="F3F3F3"/>
            <w:tcMar>
              <w:top w:w="28" w:type="dxa"/>
              <w:bottom w:w="28" w:type="dxa"/>
            </w:tcMar>
          </w:tcPr>
          <w:p w14:paraId="5396B2E1" w14:textId="77777777" w:rsidR="000D2218" w:rsidRPr="00C33EB9" w:rsidRDefault="000D2218" w:rsidP="00526044">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57593D00" w14:textId="77777777" w:rsidR="000D2218" w:rsidRPr="00C33EB9" w:rsidRDefault="000D2218" w:rsidP="00526044">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15860BFC" w14:textId="77777777" w:rsidR="000D2218" w:rsidRPr="00C33EB9" w:rsidRDefault="000D2218" w:rsidP="00526044">
            <w:pPr>
              <w:pStyle w:val="NoteHead"/>
              <w:spacing w:before="0" w:after="0"/>
              <w:rPr>
                <w:bCs/>
                <w:smallCaps w:val="0"/>
                <w:sz w:val="20"/>
              </w:rPr>
            </w:pPr>
          </w:p>
        </w:tc>
      </w:tr>
      <w:tr w:rsidR="000D2218" w:rsidRPr="00C33EB9" w14:paraId="71967A89" w14:textId="77777777" w:rsidTr="00526044">
        <w:tc>
          <w:tcPr>
            <w:tcW w:w="5000" w:type="pct"/>
            <w:gridSpan w:val="10"/>
            <w:tcBorders>
              <w:top w:val="single" w:sz="6" w:space="0" w:color="auto"/>
            </w:tcBorders>
            <w:shd w:val="clear" w:color="auto" w:fill="auto"/>
          </w:tcPr>
          <w:p w14:paraId="0B1CF959" w14:textId="5CF52674" w:rsidR="000D2218" w:rsidRPr="00F83B63" w:rsidRDefault="00F83B63" w:rsidP="00F753B9">
            <w:pPr>
              <w:tabs>
                <w:tab w:val="num" w:pos="1134"/>
              </w:tabs>
              <w:jc w:val="both"/>
              <w:rPr>
                <w:rFonts w:eastAsia="MS Mincho"/>
                <w:lang w:eastAsia="ja-JP"/>
              </w:rPr>
            </w:pPr>
            <w:r w:rsidRPr="00F83B63">
              <w:rPr>
                <w:rFonts w:eastAsia="MS Mincho"/>
                <w:lang w:eastAsia="ja-JP"/>
              </w:rPr>
              <w:t xml:space="preserve">Assessment by </w:t>
            </w:r>
            <w:r w:rsidR="00F753B9">
              <w:rPr>
                <w:rFonts w:eastAsia="MS Mincho"/>
                <w:lang w:eastAsia="ja-JP"/>
              </w:rPr>
              <w:t>Advisor</w:t>
            </w:r>
            <w:r w:rsidRPr="00F83B63">
              <w:rPr>
                <w:rFonts w:eastAsia="MS Mincho"/>
                <w:lang w:eastAsia="ja-JP"/>
              </w:rPr>
              <w:t xml:space="preserve"> awaited</w:t>
            </w:r>
          </w:p>
        </w:tc>
      </w:tr>
      <w:tr w:rsidR="004545F3" w:rsidRPr="00C33EB9" w14:paraId="12FAFDC3" w14:textId="77777777" w:rsidTr="00526044">
        <w:tc>
          <w:tcPr>
            <w:tcW w:w="5000" w:type="pct"/>
            <w:gridSpan w:val="10"/>
            <w:tcBorders>
              <w:top w:val="single" w:sz="6" w:space="0" w:color="auto"/>
            </w:tcBorders>
            <w:shd w:val="clear" w:color="auto" w:fill="auto"/>
          </w:tcPr>
          <w:p w14:paraId="0384A6AD" w14:textId="4C897E27" w:rsidR="004545F3" w:rsidRPr="00F83B63" w:rsidRDefault="004545F3" w:rsidP="00EE421C">
            <w:pPr>
              <w:tabs>
                <w:tab w:val="num" w:pos="1134"/>
              </w:tabs>
              <w:jc w:val="both"/>
              <w:rPr>
                <w:rFonts w:eastAsia="MS Mincho"/>
                <w:lang w:eastAsia="ja-JP"/>
              </w:rPr>
            </w:pPr>
            <w:r w:rsidRPr="004545F3">
              <w:rPr>
                <w:rFonts w:eastAsia="MS Mincho"/>
                <w:lang w:eastAsia="ja-JP"/>
              </w:rPr>
              <w:t xml:space="preserve">Enquiry draft discussed by STD’s WG in </w:t>
            </w:r>
          </w:p>
        </w:tc>
      </w:tr>
      <w:tr w:rsidR="000D2218" w:rsidRPr="00C33EB9" w14:paraId="3A605CB5" w14:textId="77777777" w:rsidTr="00526044">
        <w:trPr>
          <w:trHeight w:val="160"/>
        </w:trPr>
        <w:tc>
          <w:tcPr>
            <w:tcW w:w="5000" w:type="pct"/>
            <w:gridSpan w:val="10"/>
            <w:shd w:val="clear" w:color="auto" w:fill="auto"/>
          </w:tcPr>
          <w:p w14:paraId="34E7C43E" w14:textId="77777777" w:rsidR="000D2218" w:rsidRPr="00C33EB9" w:rsidRDefault="000D2218" w:rsidP="00526044">
            <w:pPr>
              <w:rPr>
                <w:b/>
                <w:iCs/>
              </w:rPr>
            </w:pPr>
            <w:r w:rsidRPr="00C33EB9">
              <w:rPr>
                <w:b/>
                <w:iCs/>
              </w:rPr>
              <w:t>Comments from members of the Joint Meeting</w:t>
            </w:r>
            <w:r w:rsidRPr="00C33EB9">
              <w:rPr>
                <w:b/>
              </w:rPr>
              <w:t>:</w:t>
            </w:r>
          </w:p>
        </w:tc>
      </w:tr>
      <w:tr w:rsidR="000D2218" w:rsidRPr="00C33EB9" w14:paraId="74294D92" w14:textId="77777777" w:rsidTr="00526044">
        <w:tc>
          <w:tcPr>
            <w:tcW w:w="304" w:type="pct"/>
            <w:shd w:val="clear" w:color="auto" w:fill="auto"/>
            <w:tcMar>
              <w:top w:w="57" w:type="dxa"/>
              <w:bottom w:w="57" w:type="dxa"/>
            </w:tcMar>
          </w:tcPr>
          <w:p w14:paraId="1DD171F5" w14:textId="5FB7CDD4" w:rsidR="000D2218" w:rsidRPr="00C33EB9" w:rsidRDefault="000D2218" w:rsidP="00526044">
            <w:pPr>
              <w:jc w:val="center"/>
            </w:pPr>
            <w:r w:rsidRPr="00C33EB9">
              <w:t>Country</w:t>
            </w:r>
          </w:p>
        </w:tc>
        <w:tc>
          <w:tcPr>
            <w:tcW w:w="407" w:type="pct"/>
            <w:gridSpan w:val="2"/>
            <w:shd w:val="clear" w:color="auto" w:fill="auto"/>
            <w:tcMar>
              <w:top w:w="57" w:type="dxa"/>
              <w:bottom w:w="57" w:type="dxa"/>
            </w:tcMar>
          </w:tcPr>
          <w:p w14:paraId="070D948E" w14:textId="77777777" w:rsidR="000D2218" w:rsidRPr="00C33EB9" w:rsidRDefault="000D2218" w:rsidP="00526044">
            <w:pPr>
              <w:jc w:val="center"/>
            </w:pPr>
            <w:r w:rsidRPr="00C33EB9">
              <w:t>Clause No.</w:t>
            </w:r>
          </w:p>
        </w:tc>
        <w:tc>
          <w:tcPr>
            <w:tcW w:w="1781" w:type="pct"/>
            <w:gridSpan w:val="3"/>
            <w:shd w:val="clear" w:color="auto" w:fill="auto"/>
            <w:tcMar>
              <w:top w:w="57" w:type="dxa"/>
              <w:bottom w:w="57" w:type="dxa"/>
            </w:tcMar>
          </w:tcPr>
          <w:p w14:paraId="2F08C92E" w14:textId="77777777" w:rsidR="000D2218" w:rsidRPr="00C33EB9" w:rsidRDefault="000D2218" w:rsidP="00526044">
            <w:pPr>
              <w:jc w:val="center"/>
            </w:pPr>
            <w:r w:rsidRPr="00C33EB9">
              <w:t xml:space="preserve">Comment (justification for change) </w:t>
            </w:r>
          </w:p>
        </w:tc>
        <w:tc>
          <w:tcPr>
            <w:tcW w:w="762" w:type="pct"/>
            <w:gridSpan w:val="2"/>
            <w:shd w:val="clear" w:color="auto" w:fill="auto"/>
            <w:tcMar>
              <w:top w:w="57" w:type="dxa"/>
              <w:bottom w:w="57" w:type="dxa"/>
            </w:tcMar>
          </w:tcPr>
          <w:p w14:paraId="7F1AA906" w14:textId="77777777" w:rsidR="000D2218" w:rsidRPr="00C33EB9" w:rsidRDefault="000D2218" w:rsidP="00526044">
            <w:pPr>
              <w:jc w:val="center"/>
            </w:pPr>
            <w:r w:rsidRPr="00C33EB9">
              <w:t xml:space="preserve">Proposed change </w:t>
            </w:r>
          </w:p>
        </w:tc>
        <w:tc>
          <w:tcPr>
            <w:tcW w:w="875" w:type="pct"/>
            <w:shd w:val="clear" w:color="auto" w:fill="auto"/>
            <w:tcMar>
              <w:top w:w="57" w:type="dxa"/>
              <w:bottom w:w="57" w:type="dxa"/>
            </w:tcMar>
          </w:tcPr>
          <w:p w14:paraId="3CD337AD" w14:textId="77777777" w:rsidR="000D2218" w:rsidRPr="00C33EB9" w:rsidRDefault="000D2218" w:rsidP="00526044">
            <w:pPr>
              <w:jc w:val="center"/>
            </w:pPr>
            <w:r w:rsidRPr="00C33EB9">
              <w:t>Comment from CEN Consultant</w:t>
            </w:r>
          </w:p>
        </w:tc>
        <w:tc>
          <w:tcPr>
            <w:tcW w:w="871" w:type="pct"/>
            <w:shd w:val="clear" w:color="auto" w:fill="auto"/>
          </w:tcPr>
          <w:p w14:paraId="0E0BC24A" w14:textId="77777777" w:rsidR="000D2218" w:rsidRPr="00C33EB9" w:rsidRDefault="000D2218" w:rsidP="00526044">
            <w:pPr>
              <w:jc w:val="center"/>
            </w:pPr>
            <w:r w:rsidRPr="00C33EB9">
              <w:t>Comment from WG Standards</w:t>
            </w:r>
          </w:p>
        </w:tc>
      </w:tr>
      <w:tr w:rsidR="00B4762D" w:rsidRPr="00C33EB9" w14:paraId="1CC32BBD" w14:textId="77777777" w:rsidTr="00526044">
        <w:tc>
          <w:tcPr>
            <w:tcW w:w="304" w:type="pct"/>
            <w:shd w:val="clear" w:color="auto" w:fill="auto"/>
            <w:tcMar>
              <w:top w:w="57" w:type="dxa"/>
              <w:bottom w:w="57" w:type="dxa"/>
            </w:tcMar>
          </w:tcPr>
          <w:p w14:paraId="2DC5CE7B" w14:textId="4774746D" w:rsidR="00B4762D" w:rsidRPr="00C33EB9" w:rsidRDefault="00B4762D" w:rsidP="00B4762D">
            <w:pPr>
              <w:spacing w:line="240" w:lineRule="auto"/>
              <w:jc w:val="center"/>
              <w:rPr>
                <w:bCs/>
              </w:rPr>
            </w:pPr>
          </w:p>
        </w:tc>
        <w:tc>
          <w:tcPr>
            <w:tcW w:w="407" w:type="pct"/>
            <w:gridSpan w:val="2"/>
            <w:shd w:val="clear" w:color="auto" w:fill="auto"/>
            <w:tcMar>
              <w:top w:w="57" w:type="dxa"/>
              <w:bottom w:w="57" w:type="dxa"/>
            </w:tcMar>
          </w:tcPr>
          <w:p w14:paraId="188F0127" w14:textId="603E6988" w:rsidR="00B4762D" w:rsidRPr="00C33EB9" w:rsidRDefault="00B4762D" w:rsidP="00B4762D">
            <w:pPr>
              <w:spacing w:line="240" w:lineRule="auto"/>
              <w:rPr>
                <w:bCs/>
              </w:rPr>
            </w:pPr>
          </w:p>
        </w:tc>
        <w:tc>
          <w:tcPr>
            <w:tcW w:w="1781" w:type="pct"/>
            <w:gridSpan w:val="3"/>
            <w:shd w:val="clear" w:color="auto" w:fill="auto"/>
            <w:tcMar>
              <w:top w:w="57" w:type="dxa"/>
              <w:bottom w:w="57" w:type="dxa"/>
            </w:tcMar>
          </w:tcPr>
          <w:p w14:paraId="412BFF0C" w14:textId="66C3953F" w:rsidR="00B4762D" w:rsidRPr="00C33EB9" w:rsidRDefault="00B4762D" w:rsidP="00B4762D">
            <w:pPr>
              <w:tabs>
                <w:tab w:val="left" w:pos="6663"/>
              </w:tabs>
              <w:spacing w:line="240" w:lineRule="auto"/>
              <w:rPr>
                <w:bCs/>
              </w:rPr>
            </w:pPr>
          </w:p>
        </w:tc>
        <w:tc>
          <w:tcPr>
            <w:tcW w:w="762" w:type="pct"/>
            <w:gridSpan w:val="2"/>
            <w:shd w:val="clear" w:color="auto" w:fill="auto"/>
            <w:tcMar>
              <w:top w:w="57" w:type="dxa"/>
              <w:bottom w:w="57" w:type="dxa"/>
            </w:tcMar>
          </w:tcPr>
          <w:p w14:paraId="4FE44CF2" w14:textId="77777777" w:rsidR="00B4762D" w:rsidRPr="00C33EB9" w:rsidRDefault="00B4762D" w:rsidP="00B4762D">
            <w:pPr>
              <w:spacing w:line="240" w:lineRule="auto"/>
              <w:rPr>
                <w:bCs/>
              </w:rPr>
            </w:pPr>
          </w:p>
        </w:tc>
        <w:tc>
          <w:tcPr>
            <w:tcW w:w="875" w:type="pct"/>
            <w:shd w:val="clear" w:color="auto" w:fill="auto"/>
            <w:tcMar>
              <w:top w:w="57" w:type="dxa"/>
              <w:bottom w:w="57" w:type="dxa"/>
            </w:tcMar>
          </w:tcPr>
          <w:p w14:paraId="0468B4BD" w14:textId="77777777" w:rsidR="00B4762D" w:rsidRPr="00C33EB9" w:rsidRDefault="00B4762D" w:rsidP="00B4762D">
            <w:pPr>
              <w:spacing w:line="240" w:lineRule="auto"/>
              <w:rPr>
                <w:bCs/>
              </w:rPr>
            </w:pPr>
          </w:p>
        </w:tc>
        <w:tc>
          <w:tcPr>
            <w:tcW w:w="871" w:type="pct"/>
            <w:shd w:val="clear" w:color="auto" w:fill="auto"/>
            <w:tcMar>
              <w:top w:w="57" w:type="dxa"/>
              <w:bottom w:w="57" w:type="dxa"/>
            </w:tcMar>
          </w:tcPr>
          <w:p w14:paraId="3FEA5B73" w14:textId="77777777" w:rsidR="00B4762D" w:rsidRPr="00C33EB9" w:rsidRDefault="00B4762D" w:rsidP="00B4762D">
            <w:pPr>
              <w:spacing w:line="240" w:lineRule="auto"/>
              <w:rPr>
                <w:bCs/>
              </w:rPr>
            </w:pPr>
          </w:p>
        </w:tc>
      </w:tr>
      <w:tr w:rsidR="00B4762D" w:rsidRPr="00C33EB9" w14:paraId="66101C0F" w14:textId="77777777" w:rsidTr="00526044">
        <w:tc>
          <w:tcPr>
            <w:tcW w:w="304" w:type="pct"/>
            <w:tcBorders>
              <w:bottom w:val="single" w:sz="12" w:space="0" w:color="auto"/>
            </w:tcBorders>
            <w:shd w:val="clear" w:color="auto" w:fill="auto"/>
            <w:tcMar>
              <w:top w:w="57" w:type="dxa"/>
              <w:bottom w:w="57" w:type="dxa"/>
            </w:tcMar>
          </w:tcPr>
          <w:p w14:paraId="0671A6CA" w14:textId="70AA40BF" w:rsidR="00B4762D" w:rsidRPr="00C33EB9" w:rsidRDefault="00B4762D" w:rsidP="00B4762D">
            <w:pPr>
              <w:spacing w:line="240" w:lineRule="auto"/>
              <w:jc w:val="center"/>
              <w:rPr>
                <w:bCs/>
              </w:rPr>
            </w:pPr>
          </w:p>
        </w:tc>
        <w:tc>
          <w:tcPr>
            <w:tcW w:w="407" w:type="pct"/>
            <w:gridSpan w:val="2"/>
            <w:tcBorders>
              <w:bottom w:val="single" w:sz="12" w:space="0" w:color="auto"/>
            </w:tcBorders>
            <w:shd w:val="clear" w:color="auto" w:fill="auto"/>
            <w:tcMar>
              <w:top w:w="57" w:type="dxa"/>
              <w:bottom w:w="57" w:type="dxa"/>
            </w:tcMar>
          </w:tcPr>
          <w:p w14:paraId="51183E8A" w14:textId="77777777" w:rsidR="00B4762D" w:rsidRPr="00C33EB9" w:rsidRDefault="00B4762D" w:rsidP="00B4762D">
            <w:pPr>
              <w:spacing w:line="240" w:lineRule="auto"/>
              <w:rPr>
                <w:bCs/>
              </w:rPr>
            </w:pPr>
          </w:p>
        </w:tc>
        <w:tc>
          <w:tcPr>
            <w:tcW w:w="1781" w:type="pct"/>
            <w:gridSpan w:val="3"/>
            <w:tcBorders>
              <w:bottom w:val="single" w:sz="12" w:space="0" w:color="auto"/>
            </w:tcBorders>
            <w:shd w:val="clear" w:color="auto" w:fill="auto"/>
            <w:tcMar>
              <w:top w:w="57" w:type="dxa"/>
              <w:bottom w:w="57" w:type="dxa"/>
            </w:tcMar>
          </w:tcPr>
          <w:p w14:paraId="2A2425F3" w14:textId="3D3B852F" w:rsidR="00B4762D" w:rsidRPr="00C33EB9" w:rsidRDefault="00B4762D" w:rsidP="00B4762D">
            <w:pPr>
              <w:tabs>
                <w:tab w:val="left" w:pos="6663"/>
              </w:tabs>
              <w:spacing w:line="240" w:lineRule="auto"/>
              <w:rPr>
                <w:bCs/>
              </w:rPr>
            </w:pPr>
          </w:p>
        </w:tc>
        <w:tc>
          <w:tcPr>
            <w:tcW w:w="762" w:type="pct"/>
            <w:gridSpan w:val="2"/>
            <w:tcBorders>
              <w:bottom w:val="single" w:sz="12" w:space="0" w:color="auto"/>
            </w:tcBorders>
            <w:shd w:val="clear" w:color="auto" w:fill="auto"/>
            <w:tcMar>
              <w:top w:w="57" w:type="dxa"/>
              <w:bottom w:w="57" w:type="dxa"/>
            </w:tcMar>
          </w:tcPr>
          <w:p w14:paraId="47D0B1BF" w14:textId="77777777" w:rsidR="00B4762D" w:rsidRPr="00C33EB9" w:rsidRDefault="00B4762D" w:rsidP="00B4762D">
            <w:pPr>
              <w:spacing w:line="240" w:lineRule="auto"/>
              <w:rPr>
                <w:bCs/>
              </w:rPr>
            </w:pPr>
          </w:p>
        </w:tc>
        <w:tc>
          <w:tcPr>
            <w:tcW w:w="875" w:type="pct"/>
            <w:tcBorders>
              <w:bottom w:val="single" w:sz="12" w:space="0" w:color="auto"/>
            </w:tcBorders>
            <w:shd w:val="clear" w:color="auto" w:fill="auto"/>
            <w:tcMar>
              <w:top w:w="57" w:type="dxa"/>
              <w:bottom w:w="57" w:type="dxa"/>
            </w:tcMar>
          </w:tcPr>
          <w:p w14:paraId="2C3FB764" w14:textId="77777777" w:rsidR="00B4762D" w:rsidRPr="00C33EB9" w:rsidRDefault="00B4762D" w:rsidP="00B4762D">
            <w:pPr>
              <w:spacing w:line="240" w:lineRule="auto"/>
              <w:rPr>
                <w:bCs/>
              </w:rPr>
            </w:pPr>
          </w:p>
        </w:tc>
        <w:tc>
          <w:tcPr>
            <w:tcW w:w="871" w:type="pct"/>
            <w:tcBorders>
              <w:bottom w:val="single" w:sz="12" w:space="0" w:color="auto"/>
            </w:tcBorders>
            <w:shd w:val="clear" w:color="auto" w:fill="auto"/>
            <w:tcMar>
              <w:top w:w="57" w:type="dxa"/>
              <w:bottom w:w="57" w:type="dxa"/>
            </w:tcMar>
          </w:tcPr>
          <w:p w14:paraId="236B4A5A" w14:textId="77777777" w:rsidR="00B4762D" w:rsidRPr="00C33EB9" w:rsidRDefault="00B4762D" w:rsidP="00B4762D">
            <w:pPr>
              <w:spacing w:line="240" w:lineRule="auto"/>
              <w:rPr>
                <w:bCs/>
              </w:rPr>
            </w:pPr>
          </w:p>
        </w:tc>
      </w:tr>
      <w:tr w:rsidR="00B4762D" w:rsidRPr="00C33EB9" w14:paraId="04F268DF" w14:textId="77777777" w:rsidTr="00526044">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14:paraId="13116297" w14:textId="77777777" w:rsidR="00B4762D" w:rsidRPr="00C33EB9" w:rsidRDefault="00B4762D" w:rsidP="00B4762D">
            <w:pPr>
              <w:rPr>
                <w:b/>
                <w:bCs/>
              </w:rPr>
            </w:pPr>
            <w:r w:rsidRPr="00C33EB9">
              <w:rPr>
                <w:b/>
              </w:rPr>
              <w:t>Decision of the STD’s WG:</w:t>
            </w:r>
          </w:p>
        </w:tc>
        <w:tc>
          <w:tcPr>
            <w:tcW w:w="421" w:type="pct"/>
            <w:tcBorders>
              <w:top w:val="single" w:sz="12" w:space="0" w:color="auto"/>
              <w:bottom w:val="single" w:sz="12" w:space="0" w:color="auto"/>
            </w:tcBorders>
            <w:shd w:val="clear" w:color="auto" w:fill="F2F2F2"/>
            <w:tcMar>
              <w:top w:w="0" w:type="dxa"/>
              <w:bottom w:w="0" w:type="dxa"/>
            </w:tcMar>
          </w:tcPr>
          <w:p w14:paraId="1CFFE6FE" w14:textId="77777777" w:rsidR="00B4762D" w:rsidRPr="00C33EB9" w:rsidRDefault="00B4762D" w:rsidP="00B4762D">
            <w:pPr>
              <w:keepLines/>
              <w:jc w:val="center"/>
              <w:rPr>
                <w:bCs/>
              </w:rPr>
            </w:pPr>
            <w:r w:rsidRPr="001118E2">
              <w:rPr>
                <w:bCs/>
                <w:highlight w:val="yellow"/>
              </w:rPr>
              <w:t>Accepted</w:t>
            </w:r>
          </w:p>
          <w:p w14:paraId="204D513A" w14:textId="77777777" w:rsidR="00B4762D" w:rsidRPr="00F83B63" w:rsidRDefault="00B4762D" w:rsidP="00B4762D">
            <w:pPr>
              <w:keepLines/>
              <w:jc w:val="center"/>
              <w:rPr>
                <w:bCs/>
              </w:rPr>
            </w:pPr>
            <w:r w:rsidRPr="00EE421C">
              <w:rPr>
                <w:bCs/>
              </w:rPr>
              <w:t>Refused</w:t>
            </w:r>
          </w:p>
          <w:p w14:paraId="5131E554" w14:textId="77777777" w:rsidR="00B4762D" w:rsidRPr="00C33EB9" w:rsidRDefault="00B4762D" w:rsidP="00B4762D">
            <w:pPr>
              <w:keepLines/>
              <w:jc w:val="center"/>
              <w:rPr>
                <w:bCs/>
              </w:rPr>
            </w:pPr>
            <w:r w:rsidRPr="00C33EB9">
              <w:rPr>
                <w:bCs/>
              </w:rPr>
              <w:t>Postponed</w:t>
            </w:r>
          </w:p>
        </w:tc>
        <w:tc>
          <w:tcPr>
            <w:tcW w:w="1360" w:type="pct"/>
            <w:gridSpan w:val="2"/>
            <w:tcBorders>
              <w:top w:val="single" w:sz="12" w:space="0" w:color="auto"/>
              <w:bottom w:val="single" w:sz="12" w:space="0" w:color="auto"/>
            </w:tcBorders>
            <w:shd w:val="clear" w:color="auto" w:fill="F2F2F2"/>
          </w:tcPr>
          <w:p w14:paraId="02379765" w14:textId="1F7518EF" w:rsidR="00B4762D" w:rsidRPr="00C33EB9" w:rsidRDefault="00B4762D" w:rsidP="00B4762D">
            <w:pPr>
              <w:keepLines/>
              <w:tabs>
                <w:tab w:val="left" w:pos="6663"/>
              </w:tabs>
              <w:jc w:val="center"/>
              <w:rPr>
                <w:bCs/>
              </w:rPr>
            </w:pPr>
            <w:r w:rsidRPr="00C33EB9">
              <w:rPr>
                <w:bCs/>
                <w:lang w:val="en-US"/>
              </w:rPr>
              <w:t> </w:t>
            </w:r>
          </w:p>
        </w:tc>
        <w:tc>
          <w:tcPr>
            <w:tcW w:w="2508" w:type="pct"/>
            <w:gridSpan w:val="4"/>
            <w:tcBorders>
              <w:top w:val="single" w:sz="12" w:space="0" w:color="auto"/>
              <w:bottom w:val="single" w:sz="12" w:space="0" w:color="auto"/>
            </w:tcBorders>
            <w:shd w:val="clear" w:color="auto" w:fill="F2F2F2"/>
            <w:tcMar>
              <w:top w:w="0" w:type="dxa"/>
              <w:bottom w:w="0" w:type="dxa"/>
            </w:tcMar>
          </w:tcPr>
          <w:tbl>
            <w:tblPr>
              <w:tblW w:w="49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1"/>
              <w:gridCol w:w="2133"/>
              <w:gridCol w:w="2126"/>
            </w:tblGrid>
            <w:tr w:rsidR="00B4762D" w:rsidRPr="00C33EB9" w14:paraId="17E621C9" w14:textId="77777777" w:rsidTr="00DC4A4A">
              <w:trPr>
                <w:trHeight w:val="227"/>
              </w:trPr>
              <w:tc>
                <w:tcPr>
                  <w:tcW w:w="1520"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47F71AE7" w14:textId="77777777" w:rsidR="00B4762D" w:rsidRPr="00C33EB9" w:rsidRDefault="00B4762D" w:rsidP="00B4762D">
                  <w:pPr>
                    <w:jc w:val="center"/>
                    <w:rPr>
                      <w:bCs/>
                    </w:rPr>
                  </w:pPr>
                  <w:r w:rsidRPr="00C33EB9">
                    <w:rPr>
                      <w:bCs/>
                    </w:rPr>
                    <w:t>Proposed transition regulation</w:t>
                  </w:r>
                </w:p>
              </w:tc>
              <w:tc>
                <w:tcPr>
                  <w:tcW w:w="1743" w:type="pct"/>
                  <w:tcBorders>
                    <w:top w:val="single" w:sz="12" w:space="0" w:color="auto"/>
                    <w:left w:val="single" w:sz="6" w:space="0" w:color="auto"/>
                    <w:bottom w:val="single" w:sz="6" w:space="0" w:color="auto"/>
                    <w:right w:val="single" w:sz="6" w:space="0" w:color="auto"/>
                  </w:tcBorders>
                  <w:shd w:val="clear" w:color="auto" w:fill="F2F2F2"/>
                </w:tcPr>
                <w:p w14:paraId="6DCFEE40" w14:textId="77777777" w:rsidR="00B4762D" w:rsidRPr="00C33EB9" w:rsidRDefault="00B4762D" w:rsidP="00B4762D">
                  <w:pPr>
                    <w:keepLines/>
                    <w:jc w:val="center"/>
                    <w:rPr>
                      <w:bCs/>
                    </w:rPr>
                  </w:pPr>
                  <w:r w:rsidRPr="00C33EB9">
                    <w:rPr>
                      <w:bCs/>
                    </w:rPr>
                    <w:t>Applicable for new type approvals or for renewals</w:t>
                  </w:r>
                </w:p>
              </w:tc>
              <w:tc>
                <w:tcPr>
                  <w:tcW w:w="1737" w:type="pct"/>
                  <w:tcBorders>
                    <w:top w:val="single" w:sz="12" w:space="0" w:color="auto"/>
                    <w:left w:val="single" w:sz="6" w:space="0" w:color="auto"/>
                    <w:bottom w:val="single" w:sz="6" w:space="0" w:color="auto"/>
                    <w:right w:val="single" w:sz="12" w:space="0" w:color="auto"/>
                  </w:tcBorders>
                  <w:shd w:val="clear" w:color="auto" w:fill="F2F2F2"/>
                </w:tcPr>
                <w:p w14:paraId="5CF40163" w14:textId="77777777" w:rsidR="00B4762D" w:rsidRPr="00C33EB9" w:rsidRDefault="00B4762D" w:rsidP="00B4762D">
                  <w:pPr>
                    <w:keepLines/>
                    <w:tabs>
                      <w:tab w:val="left" w:pos="6663"/>
                    </w:tabs>
                    <w:rPr>
                      <w:bCs/>
                    </w:rPr>
                  </w:pPr>
                  <w:r w:rsidRPr="00C33EB9">
                    <w:rPr>
                      <w:bCs/>
                    </w:rPr>
                    <w:t>Latest date for withdrawal of existing type approvals</w:t>
                  </w:r>
                </w:p>
              </w:tc>
            </w:tr>
            <w:tr w:rsidR="00DC4A4A" w:rsidRPr="00C33EB9" w14:paraId="42FA1411" w14:textId="77777777" w:rsidTr="00DC4A4A">
              <w:trPr>
                <w:trHeight w:val="227"/>
              </w:trPr>
              <w:tc>
                <w:tcPr>
                  <w:tcW w:w="1520"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72AAE84B" w14:textId="757ED311" w:rsidR="00DC4A4A" w:rsidRPr="00C33EB9" w:rsidRDefault="00DC4A4A" w:rsidP="00B4762D">
                  <w:pPr>
                    <w:jc w:val="center"/>
                    <w:rPr>
                      <w:bCs/>
                    </w:rPr>
                  </w:pPr>
                  <w:r>
                    <w:rPr>
                      <w:bCs/>
                    </w:rPr>
                    <w:t>EN ISO 9809-2:2010</w:t>
                  </w:r>
                </w:p>
              </w:tc>
              <w:tc>
                <w:tcPr>
                  <w:tcW w:w="1743" w:type="pct"/>
                  <w:tcBorders>
                    <w:top w:val="single" w:sz="6" w:space="0" w:color="auto"/>
                    <w:left w:val="single" w:sz="6" w:space="0" w:color="auto"/>
                    <w:bottom w:val="single" w:sz="6" w:space="0" w:color="auto"/>
                    <w:right w:val="single" w:sz="6" w:space="0" w:color="auto"/>
                  </w:tcBorders>
                  <w:shd w:val="clear" w:color="auto" w:fill="F2F2F2"/>
                </w:tcPr>
                <w:p w14:paraId="219E8201" w14:textId="44E05AB6" w:rsidR="00DC4A4A" w:rsidRPr="00C33EB9" w:rsidRDefault="00DC4A4A" w:rsidP="00DC4A4A">
                  <w:pPr>
                    <w:suppressAutoHyphens w:val="0"/>
                    <w:autoSpaceDE w:val="0"/>
                    <w:autoSpaceDN w:val="0"/>
                    <w:adjustRightInd w:val="0"/>
                    <w:spacing w:line="240" w:lineRule="auto"/>
                    <w:jc w:val="center"/>
                    <w:rPr>
                      <w:bCs/>
                    </w:rPr>
                  </w:pPr>
                  <w:r>
                    <w:rPr>
                      <w:bCs/>
                    </w:rPr>
                    <w:t>31 December 2022</w:t>
                  </w:r>
                </w:p>
              </w:tc>
              <w:tc>
                <w:tcPr>
                  <w:tcW w:w="1737" w:type="pct"/>
                  <w:tcBorders>
                    <w:top w:val="single" w:sz="6" w:space="0" w:color="auto"/>
                    <w:left w:val="single" w:sz="6" w:space="0" w:color="auto"/>
                    <w:bottom w:val="single" w:sz="6" w:space="0" w:color="auto"/>
                    <w:right w:val="single" w:sz="12" w:space="0" w:color="auto"/>
                  </w:tcBorders>
                  <w:shd w:val="clear" w:color="auto" w:fill="F2F2F2"/>
                </w:tcPr>
                <w:p w14:paraId="58EE2479" w14:textId="77777777" w:rsidR="00DC4A4A" w:rsidRPr="00C33EB9" w:rsidRDefault="00DC4A4A" w:rsidP="00B4762D">
                  <w:pPr>
                    <w:suppressAutoHyphens w:val="0"/>
                    <w:autoSpaceDE w:val="0"/>
                    <w:autoSpaceDN w:val="0"/>
                    <w:adjustRightInd w:val="0"/>
                    <w:spacing w:line="240" w:lineRule="auto"/>
                    <w:jc w:val="center"/>
                    <w:rPr>
                      <w:bCs/>
                    </w:rPr>
                  </w:pPr>
                </w:p>
              </w:tc>
            </w:tr>
            <w:tr w:rsidR="00DC4A4A" w:rsidRPr="00C33EB9" w14:paraId="64263C47" w14:textId="77777777" w:rsidTr="00DC4A4A">
              <w:trPr>
                <w:trHeight w:val="227"/>
              </w:trPr>
              <w:tc>
                <w:tcPr>
                  <w:tcW w:w="1520"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0EE0AF6A" w14:textId="0BE718F4" w:rsidR="00DC4A4A" w:rsidRPr="00C33EB9" w:rsidRDefault="00DC4A4A" w:rsidP="00B4762D">
                  <w:pPr>
                    <w:jc w:val="center"/>
                    <w:rPr>
                      <w:bCs/>
                    </w:rPr>
                  </w:pPr>
                  <w:r>
                    <w:rPr>
                      <w:bCs/>
                    </w:rPr>
                    <w:t>EN ISO 9809-2:2019</w:t>
                  </w:r>
                </w:p>
              </w:tc>
              <w:tc>
                <w:tcPr>
                  <w:tcW w:w="1743" w:type="pct"/>
                  <w:tcBorders>
                    <w:top w:val="single" w:sz="6" w:space="0" w:color="auto"/>
                    <w:left w:val="single" w:sz="6" w:space="0" w:color="auto"/>
                    <w:bottom w:val="single" w:sz="6" w:space="0" w:color="auto"/>
                    <w:right w:val="single" w:sz="6" w:space="0" w:color="auto"/>
                  </w:tcBorders>
                  <w:shd w:val="clear" w:color="auto" w:fill="F2F2F2"/>
                </w:tcPr>
                <w:p w14:paraId="5CB623D0" w14:textId="56B71D78" w:rsidR="00DC4A4A" w:rsidRPr="00C33EB9" w:rsidRDefault="00DC4A4A" w:rsidP="00B4762D">
                  <w:pPr>
                    <w:keepNext/>
                    <w:ind w:hanging="22"/>
                    <w:jc w:val="center"/>
                    <w:rPr>
                      <w:bCs/>
                    </w:rPr>
                  </w:pPr>
                  <w:r>
                    <w:rPr>
                      <w:bCs/>
                    </w:rPr>
                    <w:t>Until further notice</w:t>
                  </w:r>
                </w:p>
              </w:tc>
              <w:tc>
                <w:tcPr>
                  <w:tcW w:w="1737" w:type="pct"/>
                  <w:tcBorders>
                    <w:top w:val="single" w:sz="6" w:space="0" w:color="auto"/>
                    <w:left w:val="single" w:sz="6" w:space="0" w:color="auto"/>
                    <w:bottom w:val="single" w:sz="6" w:space="0" w:color="auto"/>
                    <w:right w:val="single" w:sz="12" w:space="0" w:color="auto"/>
                  </w:tcBorders>
                  <w:shd w:val="clear" w:color="auto" w:fill="F2F2F2"/>
                </w:tcPr>
                <w:p w14:paraId="5288C624" w14:textId="77777777" w:rsidR="00DC4A4A" w:rsidRPr="00C33EB9" w:rsidRDefault="00DC4A4A" w:rsidP="00B4762D">
                  <w:pPr>
                    <w:keepNext/>
                    <w:ind w:hanging="22"/>
                    <w:jc w:val="center"/>
                    <w:rPr>
                      <w:bCs/>
                    </w:rPr>
                  </w:pPr>
                </w:p>
              </w:tc>
            </w:tr>
          </w:tbl>
          <w:p w14:paraId="29B7A2EF" w14:textId="695889DF" w:rsidR="00B4762D" w:rsidRPr="00C33EB9" w:rsidRDefault="00B4762D" w:rsidP="00B4762D">
            <w:pPr>
              <w:keepLines/>
              <w:tabs>
                <w:tab w:val="left" w:pos="6663"/>
              </w:tabs>
              <w:rPr>
                <w:bCs/>
              </w:rPr>
            </w:pPr>
          </w:p>
        </w:tc>
      </w:tr>
    </w:tbl>
    <w:p w14:paraId="36B5B842" w14:textId="77777777" w:rsidR="001B6730" w:rsidRDefault="001B6730" w:rsidP="00BC676D">
      <w:pPr>
        <w:pStyle w:val="SingleTxtG"/>
        <w:spacing w:before="240" w:after="0"/>
        <w:ind w:left="0"/>
        <w:jc w:val="left"/>
        <w:rPr>
          <w:b/>
          <w:sz w:val="24"/>
          <w:szCs w:val="24"/>
          <w:u w:val="single"/>
        </w:rPr>
      </w:pPr>
    </w:p>
    <w:p w14:paraId="60AD5568" w14:textId="77777777" w:rsidR="001B6730" w:rsidRPr="001B6730" w:rsidRDefault="001B6730" w:rsidP="001B6730">
      <w:pPr>
        <w:keepNext/>
        <w:keepLines/>
        <w:spacing w:before="360" w:after="240" w:line="270" w:lineRule="exact"/>
        <w:ind w:left="567" w:right="1134" w:hanging="567"/>
      </w:pPr>
      <w:r w:rsidRPr="001B6730">
        <w:lastRenderedPageBreak/>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69"/>
        <w:gridCol w:w="1003"/>
        <w:gridCol w:w="25"/>
        <w:gridCol w:w="1064"/>
        <w:gridCol w:w="3414"/>
        <w:gridCol w:w="23"/>
        <w:gridCol w:w="1908"/>
        <w:gridCol w:w="18"/>
        <w:gridCol w:w="2211"/>
        <w:gridCol w:w="2201"/>
      </w:tblGrid>
      <w:tr w:rsidR="001B6730" w:rsidRPr="001B6730" w14:paraId="66AD9355" w14:textId="77777777" w:rsidTr="003848FB">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14:paraId="74B25231" w14:textId="401B5EC9" w:rsidR="001B6730" w:rsidRPr="001B6730" w:rsidRDefault="001B6730" w:rsidP="001B6730">
            <w:pPr>
              <w:jc w:val="center"/>
              <w:rPr>
                <w:b/>
                <w:iCs/>
                <w:lang w:val="es-ES"/>
              </w:rPr>
            </w:pPr>
            <w:proofErr w:type="spellStart"/>
            <w:r>
              <w:rPr>
                <w:b/>
                <w:iCs/>
                <w:lang w:val="es-ES"/>
              </w:rPr>
              <w:t>FprEN</w:t>
            </w:r>
            <w:proofErr w:type="spellEnd"/>
            <w:r>
              <w:rPr>
                <w:b/>
                <w:iCs/>
                <w:lang w:val="es-ES"/>
              </w:rPr>
              <w:t xml:space="preserve"> ISO 9809-3</w:t>
            </w:r>
          </w:p>
        </w:tc>
        <w:tc>
          <w:tcPr>
            <w:tcW w:w="1782" w:type="pct"/>
            <w:gridSpan w:val="3"/>
            <w:vMerge w:val="restart"/>
            <w:tcBorders>
              <w:top w:val="single" w:sz="12" w:space="0" w:color="auto"/>
            </w:tcBorders>
            <w:shd w:val="clear" w:color="auto" w:fill="F3F3F3"/>
            <w:tcMar>
              <w:top w:w="28" w:type="dxa"/>
              <w:bottom w:w="28" w:type="dxa"/>
            </w:tcMar>
          </w:tcPr>
          <w:p w14:paraId="780812B7" w14:textId="178B8A49" w:rsidR="001B6730" w:rsidRPr="001B6730" w:rsidRDefault="001B6730" w:rsidP="001B6730">
            <w:pPr>
              <w:jc w:val="center"/>
              <w:rPr>
                <w:b/>
                <w:iCs/>
              </w:rPr>
            </w:pPr>
            <w:r w:rsidRPr="001B6730">
              <w:rPr>
                <w:b/>
                <w:iCs/>
              </w:rPr>
              <w:t>Gas cylinders - Design, construction and testing of refillable seamless steel gas cylinders and tubes - Part 3: Normalized steel cylinders and tubes</w:t>
            </w:r>
          </w:p>
        </w:tc>
        <w:tc>
          <w:tcPr>
            <w:tcW w:w="764" w:type="pct"/>
            <w:gridSpan w:val="2"/>
            <w:vMerge w:val="restart"/>
            <w:tcBorders>
              <w:top w:val="single" w:sz="12" w:space="0" w:color="auto"/>
            </w:tcBorders>
            <w:shd w:val="clear" w:color="auto" w:fill="F3F3F3"/>
            <w:tcMar>
              <w:top w:w="28" w:type="dxa"/>
              <w:bottom w:w="28" w:type="dxa"/>
            </w:tcMar>
          </w:tcPr>
          <w:p w14:paraId="68C2EC7E" w14:textId="77777777" w:rsidR="001B6730" w:rsidRPr="001B6730" w:rsidRDefault="001B6730" w:rsidP="001B6730">
            <w:pPr>
              <w:suppressAutoHyphens w:val="0"/>
              <w:spacing w:line="240" w:lineRule="auto"/>
              <w:jc w:val="center"/>
              <w:rPr>
                <w:rFonts w:eastAsia="Batang"/>
                <w:b/>
                <w:bCs/>
              </w:rPr>
            </w:pPr>
            <w:r w:rsidRPr="001B6730">
              <w:rPr>
                <w:b/>
                <w:bCs/>
              </w:rPr>
              <w:t>Where to refer in RID/ADR</w:t>
            </w:r>
          </w:p>
          <w:p w14:paraId="18F77AE9" w14:textId="09315425" w:rsidR="001B6730" w:rsidRPr="001B6730" w:rsidRDefault="009823AF" w:rsidP="001B6730">
            <w:pPr>
              <w:jc w:val="center"/>
            </w:pPr>
            <w:r>
              <w:t>6.2.4.1</w:t>
            </w:r>
          </w:p>
        </w:tc>
        <w:tc>
          <w:tcPr>
            <w:tcW w:w="1753" w:type="pct"/>
            <w:gridSpan w:val="3"/>
            <w:vMerge w:val="restart"/>
            <w:tcBorders>
              <w:top w:val="single" w:sz="12" w:space="0" w:color="auto"/>
            </w:tcBorders>
            <w:shd w:val="clear" w:color="auto" w:fill="F3F3F3"/>
            <w:tcMar>
              <w:top w:w="28" w:type="dxa"/>
              <w:bottom w:w="28" w:type="dxa"/>
            </w:tcMar>
          </w:tcPr>
          <w:p w14:paraId="6210A9C8" w14:textId="77777777" w:rsidR="001B6730" w:rsidRDefault="001B6730" w:rsidP="001B6730">
            <w:pPr>
              <w:jc w:val="center"/>
              <w:rPr>
                <w:rFonts w:ascii="(Asiatische Schriftart verwende" w:hAnsi="(Asiatische Schriftart verwende"/>
                <w:b/>
              </w:rPr>
            </w:pPr>
            <w:r w:rsidRPr="00632536">
              <w:rPr>
                <w:rFonts w:ascii="(Asiatische Schriftart verwende" w:hAnsi="(Asiatische Schriftart verwende"/>
                <w:b/>
              </w:rPr>
              <w:t>Applicable sub-sections and paragraphs</w:t>
            </w:r>
            <w:r>
              <w:rPr>
                <w:rFonts w:ascii="(Asiatische Schriftart verwende" w:hAnsi="(Asiatische Schriftart verwende"/>
                <w:b/>
              </w:rPr>
              <w:t>:</w:t>
            </w:r>
          </w:p>
          <w:p w14:paraId="69330E04" w14:textId="6E04C5BE" w:rsidR="001B6730" w:rsidRPr="001B6730" w:rsidRDefault="00CB3430" w:rsidP="001B6730">
            <w:pPr>
              <w:jc w:val="center"/>
              <w:rPr>
                <w:rFonts w:ascii="(Asiatische Schriftart verwende" w:hAnsi="(Asiatische Schriftart verwende"/>
                <w:b/>
              </w:rPr>
            </w:pPr>
            <w:r>
              <w:rPr>
                <w:rFonts w:ascii="(Asiatische Schriftart verwende" w:hAnsi="(Asiatische Schriftart verwende"/>
                <w:b/>
                <w:lang w:val="en-US"/>
              </w:rPr>
              <w:t>6.2.3.1 and 6.2.3.4</w:t>
            </w:r>
          </w:p>
        </w:tc>
      </w:tr>
      <w:tr w:rsidR="001B6730" w:rsidRPr="001B6730" w14:paraId="1E5828E7" w14:textId="77777777" w:rsidTr="003848FB">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14:paraId="2BFA0297" w14:textId="49BC64C4" w:rsidR="001B6730" w:rsidRPr="001B6730" w:rsidRDefault="001B6730" w:rsidP="001B6730">
            <w:pPr>
              <w:jc w:val="center"/>
              <w:rPr>
                <w:spacing w:val="-3"/>
              </w:rPr>
            </w:pPr>
            <w:r>
              <w:rPr>
                <w:spacing w:val="-3"/>
              </w:rPr>
              <w:t>00023199</w:t>
            </w:r>
          </w:p>
        </w:tc>
        <w:tc>
          <w:tcPr>
            <w:tcW w:w="1782" w:type="pct"/>
            <w:gridSpan w:val="3"/>
            <w:vMerge/>
            <w:tcBorders>
              <w:bottom w:val="single" w:sz="6" w:space="0" w:color="auto"/>
            </w:tcBorders>
            <w:shd w:val="clear" w:color="auto" w:fill="F3F3F3"/>
            <w:tcMar>
              <w:top w:w="28" w:type="dxa"/>
              <w:bottom w:w="28" w:type="dxa"/>
            </w:tcMar>
          </w:tcPr>
          <w:p w14:paraId="3142251C" w14:textId="77777777" w:rsidR="001B6730" w:rsidRPr="001B6730" w:rsidRDefault="001B6730" w:rsidP="001B6730">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51967D3C" w14:textId="77777777" w:rsidR="001B6730" w:rsidRPr="001B6730" w:rsidRDefault="001B6730" w:rsidP="001B6730">
            <w:pPr>
              <w:numPr>
                <w:ilvl w:val="0"/>
                <w:numId w:val="13"/>
              </w:numPr>
              <w:tabs>
                <w:tab w:val="clear" w:pos="1494"/>
              </w:tabs>
              <w:suppressAutoHyphens w:val="0"/>
              <w:spacing w:line="240" w:lineRule="auto"/>
              <w:ind w:left="0"/>
              <w:jc w:val="center"/>
              <w:rPr>
                <w:b/>
                <w:bCs/>
              </w:rPr>
            </w:pPr>
          </w:p>
        </w:tc>
        <w:tc>
          <w:tcPr>
            <w:tcW w:w="1753" w:type="pct"/>
            <w:gridSpan w:val="3"/>
            <w:vMerge/>
            <w:tcBorders>
              <w:bottom w:val="single" w:sz="6" w:space="0" w:color="auto"/>
            </w:tcBorders>
            <w:shd w:val="clear" w:color="auto" w:fill="F3F3F3"/>
            <w:tcMar>
              <w:top w:w="28" w:type="dxa"/>
              <w:bottom w:w="28" w:type="dxa"/>
            </w:tcMar>
          </w:tcPr>
          <w:p w14:paraId="154F4D60" w14:textId="77777777" w:rsidR="001B6730" w:rsidRPr="001B6730" w:rsidRDefault="001B6730" w:rsidP="001B6730">
            <w:pPr>
              <w:numPr>
                <w:ilvl w:val="0"/>
                <w:numId w:val="13"/>
              </w:numPr>
              <w:tabs>
                <w:tab w:val="clear" w:pos="1494"/>
              </w:tabs>
              <w:suppressAutoHyphens w:val="0"/>
              <w:spacing w:line="240" w:lineRule="auto"/>
              <w:ind w:left="0"/>
              <w:jc w:val="center"/>
              <w:rPr>
                <w:b/>
                <w:bCs/>
              </w:rPr>
            </w:pPr>
          </w:p>
        </w:tc>
      </w:tr>
      <w:tr w:rsidR="001B6730" w:rsidRPr="001B6730" w14:paraId="463F1941" w14:textId="77777777" w:rsidTr="003848FB">
        <w:tc>
          <w:tcPr>
            <w:tcW w:w="5000" w:type="pct"/>
            <w:gridSpan w:val="10"/>
            <w:tcBorders>
              <w:top w:val="single" w:sz="6" w:space="0" w:color="auto"/>
            </w:tcBorders>
            <w:shd w:val="clear" w:color="auto" w:fill="auto"/>
          </w:tcPr>
          <w:p w14:paraId="3725F545" w14:textId="4822EAC1" w:rsidR="001B6730" w:rsidRPr="001B6730" w:rsidRDefault="001B6730" w:rsidP="00F753B9">
            <w:pPr>
              <w:tabs>
                <w:tab w:val="num" w:pos="1134"/>
              </w:tabs>
              <w:jc w:val="both"/>
              <w:rPr>
                <w:rFonts w:eastAsia="MS Mincho"/>
                <w:lang w:eastAsia="ja-JP"/>
              </w:rPr>
            </w:pPr>
            <w:r w:rsidRPr="001B6730">
              <w:rPr>
                <w:rFonts w:eastAsia="MS Mincho"/>
                <w:lang w:eastAsia="ja-JP"/>
              </w:rPr>
              <w:t xml:space="preserve">Assessment by </w:t>
            </w:r>
            <w:r w:rsidR="00F753B9">
              <w:rPr>
                <w:rFonts w:eastAsia="MS Mincho"/>
                <w:lang w:eastAsia="ja-JP"/>
              </w:rPr>
              <w:t>Advisor</w:t>
            </w:r>
            <w:r w:rsidRPr="001B6730">
              <w:rPr>
                <w:rFonts w:eastAsia="MS Mincho"/>
                <w:lang w:eastAsia="ja-JP"/>
              </w:rPr>
              <w:t xml:space="preserve"> awaited</w:t>
            </w:r>
          </w:p>
        </w:tc>
      </w:tr>
      <w:tr w:rsidR="001B6730" w:rsidRPr="001B6730" w14:paraId="30E4EE01" w14:textId="77777777" w:rsidTr="003848FB">
        <w:tc>
          <w:tcPr>
            <w:tcW w:w="5000" w:type="pct"/>
            <w:gridSpan w:val="10"/>
            <w:tcBorders>
              <w:top w:val="single" w:sz="6" w:space="0" w:color="auto"/>
            </w:tcBorders>
            <w:shd w:val="clear" w:color="auto" w:fill="auto"/>
          </w:tcPr>
          <w:p w14:paraId="7DB8AD7F" w14:textId="77777777" w:rsidR="001B6730" w:rsidRPr="001B6730" w:rsidRDefault="001B6730" w:rsidP="001B6730">
            <w:pPr>
              <w:tabs>
                <w:tab w:val="num" w:pos="1134"/>
              </w:tabs>
              <w:jc w:val="both"/>
              <w:rPr>
                <w:rFonts w:eastAsia="MS Mincho"/>
                <w:lang w:eastAsia="ja-JP"/>
              </w:rPr>
            </w:pPr>
            <w:r w:rsidRPr="001B6730">
              <w:rPr>
                <w:rFonts w:eastAsia="MS Mincho"/>
                <w:lang w:eastAsia="ja-JP"/>
              </w:rPr>
              <w:t xml:space="preserve">Enquiry draft discussed by STD’s WG in </w:t>
            </w:r>
          </w:p>
        </w:tc>
      </w:tr>
      <w:tr w:rsidR="001B6730" w:rsidRPr="001B6730" w14:paraId="534B9CB4" w14:textId="77777777" w:rsidTr="003848FB">
        <w:trPr>
          <w:trHeight w:val="160"/>
        </w:trPr>
        <w:tc>
          <w:tcPr>
            <w:tcW w:w="5000" w:type="pct"/>
            <w:gridSpan w:val="10"/>
            <w:shd w:val="clear" w:color="auto" w:fill="auto"/>
          </w:tcPr>
          <w:p w14:paraId="598B626C" w14:textId="77777777" w:rsidR="001B6730" w:rsidRPr="001B6730" w:rsidRDefault="001B6730" w:rsidP="001B6730">
            <w:pPr>
              <w:rPr>
                <w:b/>
                <w:iCs/>
              </w:rPr>
            </w:pPr>
            <w:r w:rsidRPr="001B6730">
              <w:rPr>
                <w:b/>
                <w:iCs/>
              </w:rPr>
              <w:t>Comments from members of the Joint Meeting</w:t>
            </w:r>
            <w:r w:rsidRPr="001B6730">
              <w:rPr>
                <w:b/>
              </w:rPr>
              <w:t>:</w:t>
            </w:r>
          </w:p>
        </w:tc>
      </w:tr>
      <w:tr w:rsidR="001B6730" w:rsidRPr="001B6730" w14:paraId="63926B82" w14:textId="77777777" w:rsidTr="003848FB">
        <w:tc>
          <w:tcPr>
            <w:tcW w:w="304" w:type="pct"/>
            <w:shd w:val="clear" w:color="auto" w:fill="auto"/>
            <w:tcMar>
              <w:top w:w="57" w:type="dxa"/>
              <w:bottom w:w="57" w:type="dxa"/>
            </w:tcMar>
          </w:tcPr>
          <w:p w14:paraId="16C78C92" w14:textId="77777777" w:rsidR="001B6730" w:rsidRPr="001B6730" w:rsidRDefault="001B6730" w:rsidP="001B6730">
            <w:pPr>
              <w:jc w:val="center"/>
            </w:pPr>
            <w:r w:rsidRPr="001B6730">
              <w:t>Country</w:t>
            </w:r>
          </w:p>
        </w:tc>
        <w:tc>
          <w:tcPr>
            <w:tcW w:w="407" w:type="pct"/>
            <w:gridSpan w:val="2"/>
            <w:shd w:val="clear" w:color="auto" w:fill="auto"/>
            <w:tcMar>
              <w:top w:w="57" w:type="dxa"/>
              <w:bottom w:w="57" w:type="dxa"/>
            </w:tcMar>
          </w:tcPr>
          <w:p w14:paraId="00687517" w14:textId="77777777" w:rsidR="001B6730" w:rsidRPr="001B6730" w:rsidRDefault="001B6730" w:rsidP="001B6730">
            <w:pPr>
              <w:jc w:val="center"/>
            </w:pPr>
            <w:r w:rsidRPr="001B6730">
              <w:t>Clause No.</w:t>
            </w:r>
          </w:p>
        </w:tc>
        <w:tc>
          <w:tcPr>
            <w:tcW w:w="1781" w:type="pct"/>
            <w:gridSpan w:val="3"/>
            <w:shd w:val="clear" w:color="auto" w:fill="auto"/>
            <w:tcMar>
              <w:top w:w="57" w:type="dxa"/>
              <w:bottom w:w="57" w:type="dxa"/>
            </w:tcMar>
          </w:tcPr>
          <w:p w14:paraId="4260A1BC" w14:textId="77777777" w:rsidR="001B6730" w:rsidRPr="001B6730" w:rsidRDefault="001B6730" w:rsidP="001B6730">
            <w:pPr>
              <w:jc w:val="center"/>
            </w:pPr>
            <w:r w:rsidRPr="001B6730">
              <w:t xml:space="preserve">Comment (justification for change) </w:t>
            </w:r>
          </w:p>
        </w:tc>
        <w:tc>
          <w:tcPr>
            <w:tcW w:w="762" w:type="pct"/>
            <w:gridSpan w:val="2"/>
            <w:shd w:val="clear" w:color="auto" w:fill="auto"/>
            <w:tcMar>
              <w:top w:w="57" w:type="dxa"/>
              <w:bottom w:w="57" w:type="dxa"/>
            </w:tcMar>
          </w:tcPr>
          <w:p w14:paraId="102993DA" w14:textId="77777777" w:rsidR="001B6730" w:rsidRPr="001B6730" w:rsidRDefault="001B6730" w:rsidP="001B6730">
            <w:pPr>
              <w:jc w:val="center"/>
            </w:pPr>
            <w:r w:rsidRPr="001B6730">
              <w:t xml:space="preserve">Proposed change </w:t>
            </w:r>
          </w:p>
        </w:tc>
        <w:tc>
          <w:tcPr>
            <w:tcW w:w="875" w:type="pct"/>
            <w:shd w:val="clear" w:color="auto" w:fill="auto"/>
            <w:tcMar>
              <w:top w:w="57" w:type="dxa"/>
              <w:bottom w:w="57" w:type="dxa"/>
            </w:tcMar>
          </w:tcPr>
          <w:p w14:paraId="2619B8EF" w14:textId="77777777" w:rsidR="001B6730" w:rsidRPr="001B6730" w:rsidRDefault="001B6730" w:rsidP="001B6730">
            <w:pPr>
              <w:jc w:val="center"/>
            </w:pPr>
            <w:r w:rsidRPr="001B6730">
              <w:t>Comment from CEN Consultant</w:t>
            </w:r>
          </w:p>
        </w:tc>
        <w:tc>
          <w:tcPr>
            <w:tcW w:w="871" w:type="pct"/>
            <w:shd w:val="clear" w:color="auto" w:fill="auto"/>
          </w:tcPr>
          <w:p w14:paraId="43D87F24" w14:textId="77777777" w:rsidR="001B6730" w:rsidRPr="001B6730" w:rsidRDefault="001B6730" w:rsidP="001B6730">
            <w:pPr>
              <w:jc w:val="center"/>
            </w:pPr>
            <w:r w:rsidRPr="001B6730">
              <w:t>Comment from WG Standards</w:t>
            </w:r>
          </w:p>
        </w:tc>
      </w:tr>
      <w:tr w:rsidR="001B6730" w:rsidRPr="001B6730" w14:paraId="46045F17" w14:textId="77777777" w:rsidTr="003848FB">
        <w:tc>
          <w:tcPr>
            <w:tcW w:w="304" w:type="pct"/>
            <w:shd w:val="clear" w:color="auto" w:fill="auto"/>
            <w:tcMar>
              <w:top w:w="57" w:type="dxa"/>
              <w:bottom w:w="57" w:type="dxa"/>
            </w:tcMar>
          </w:tcPr>
          <w:p w14:paraId="0333357E" w14:textId="77777777" w:rsidR="001B6730" w:rsidRPr="001B6730" w:rsidRDefault="001B6730" w:rsidP="001B6730">
            <w:pPr>
              <w:spacing w:line="240" w:lineRule="auto"/>
              <w:jc w:val="center"/>
              <w:rPr>
                <w:bCs/>
              </w:rPr>
            </w:pPr>
          </w:p>
        </w:tc>
        <w:tc>
          <w:tcPr>
            <w:tcW w:w="407" w:type="pct"/>
            <w:gridSpan w:val="2"/>
            <w:shd w:val="clear" w:color="auto" w:fill="auto"/>
            <w:tcMar>
              <w:top w:w="57" w:type="dxa"/>
              <w:bottom w:w="57" w:type="dxa"/>
            </w:tcMar>
          </w:tcPr>
          <w:p w14:paraId="5E97DF64" w14:textId="77777777" w:rsidR="001B6730" w:rsidRPr="001B6730" w:rsidRDefault="001B6730" w:rsidP="001B6730">
            <w:pPr>
              <w:spacing w:line="240" w:lineRule="auto"/>
              <w:rPr>
                <w:bCs/>
              </w:rPr>
            </w:pPr>
          </w:p>
        </w:tc>
        <w:tc>
          <w:tcPr>
            <w:tcW w:w="1781" w:type="pct"/>
            <w:gridSpan w:val="3"/>
            <w:shd w:val="clear" w:color="auto" w:fill="auto"/>
            <w:tcMar>
              <w:top w:w="57" w:type="dxa"/>
              <w:bottom w:w="57" w:type="dxa"/>
            </w:tcMar>
          </w:tcPr>
          <w:p w14:paraId="0361D727" w14:textId="77777777" w:rsidR="001B6730" w:rsidRPr="001B6730" w:rsidRDefault="001B6730" w:rsidP="001B6730">
            <w:pPr>
              <w:tabs>
                <w:tab w:val="left" w:pos="6663"/>
              </w:tabs>
              <w:spacing w:line="240" w:lineRule="auto"/>
              <w:rPr>
                <w:bCs/>
              </w:rPr>
            </w:pPr>
          </w:p>
        </w:tc>
        <w:tc>
          <w:tcPr>
            <w:tcW w:w="762" w:type="pct"/>
            <w:gridSpan w:val="2"/>
            <w:shd w:val="clear" w:color="auto" w:fill="auto"/>
            <w:tcMar>
              <w:top w:w="57" w:type="dxa"/>
              <w:bottom w:w="57" w:type="dxa"/>
            </w:tcMar>
          </w:tcPr>
          <w:p w14:paraId="5B8792C9" w14:textId="77777777" w:rsidR="001B6730" w:rsidRPr="001B6730" w:rsidRDefault="001B6730" w:rsidP="001B6730">
            <w:pPr>
              <w:spacing w:line="240" w:lineRule="auto"/>
              <w:rPr>
                <w:bCs/>
              </w:rPr>
            </w:pPr>
          </w:p>
        </w:tc>
        <w:tc>
          <w:tcPr>
            <w:tcW w:w="875" w:type="pct"/>
            <w:shd w:val="clear" w:color="auto" w:fill="auto"/>
            <w:tcMar>
              <w:top w:w="57" w:type="dxa"/>
              <w:bottom w:w="57" w:type="dxa"/>
            </w:tcMar>
          </w:tcPr>
          <w:p w14:paraId="7B171BE2" w14:textId="77777777" w:rsidR="001B6730" w:rsidRPr="001B6730" w:rsidRDefault="001B6730" w:rsidP="001B6730">
            <w:pPr>
              <w:spacing w:line="240" w:lineRule="auto"/>
              <w:rPr>
                <w:bCs/>
              </w:rPr>
            </w:pPr>
          </w:p>
        </w:tc>
        <w:tc>
          <w:tcPr>
            <w:tcW w:w="871" w:type="pct"/>
            <w:shd w:val="clear" w:color="auto" w:fill="auto"/>
            <w:tcMar>
              <w:top w:w="57" w:type="dxa"/>
              <w:bottom w:w="57" w:type="dxa"/>
            </w:tcMar>
          </w:tcPr>
          <w:p w14:paraId="40959866" w14:textId="77777777" w:rsidR="001B6730" w:rsidRPr="001B6730" w:rsidRDefault="001B6730" w:rsidP="001B6730">
            <w:pPr>
              <w:spacing w:line="240" w:lineRule="auto"/>
              <w:rPr>
                <w:bCs/>
              </w:rPr>
            </w:pPr>
          </w:p>
        </w:tc>
      </w:tr>
      <w:tr w:rsidR="001B6730" w:rsidRPr="001B6730" w14:paraId="698C8AC6" w14:textId="77777777" w:rsidTr="003848FB">
        <w:tc>
          <w:tcPr>
            <w:tcW w:w="304" w:type="pct"/>
            <w:tcBorders>
              <w:bottom w:val="single" w:sz="12" w:space="0" w:color="auto"/>
            </w:tcBorders>
            <w:shd w:val="clear" w:color="auto" w:fill="auto"/>
            <w:tcMar>
              <w:top w:w="57" w:type="dxa"/>
              <w:bottom w:w="57" w:type="dxa"/>
            </w:tcMar>
          </w:tcPr>
          <w:p w14:paraId="30C0CD9F" w14:textId="77777777" w:rsidR="001B6730" w:rsidRPr="001B6730" w:rsidRDefault="001B6730" w:rsidP="001B6730">
            <w:pPr>
              <w:spacing w:line="240" w:lineRule="auto"/>
              <w:jc w:val="center"/>
              <w:rPr>
                <w:bCs/>
              </w:rPr>
            </w:pPr>
          </w:p>
        </w:tc>
        <w:tc>
          <w:tcPr>
            <w:tcW w:w="407" w:type="pct"/>
            <w:gridSpan w:val="2"/>
            <w:tcBorders>
              <w:bottom w:val="single" w:sz="12" w:space="0" w:color="auto"/>
            </w:tcBorders>
            <w:shd w:val="clear" w:color="auto" w:fill="auto"/>
            <w:tcMar>
              <w:top w:w="57" w:type="dxa"/>
              <w:bottom w:w="57" w:type="dxa"/>
            </w:tcMar>
          </w:tcPr>
          <w:p w14:paraId="6F9D258D" w14:textId="77777777" w:rsidR="001B6730" w:rsidRPr="001B6730" w:rsidRDefault="001B6730" w:rsidP="001B6730">
            <w:pPr>
              <w:spacing w:line="240" w:lineRule="auto"/>
              <w:rPr>
                <w:bCs/>
              </w:rPr>
            </w:pPr>
          </w:p>
        </w:tc>
        <w:tc>
          <w:tcPr>
            <w:tcW w:w="1781" w:type="pct"/>
            <w:gridSpan w:val="3"/>
            <w:tcBorders>
              <w:bottom w:val="single" w:sz="12" w:space="0" w:color="auto"/>
            </w:tcBorders>
            <w:shd w:val="clear" w:color="auto" w:fill="auto"/>
            <w:tcMar>
              <w:top w:w="57" w:type="dxa"/>
              <w:bottom w:w="57" w:type="dxa"/>
            </w:tcMar>
          </w:tcPr>
          <w:p w14:paraId="7AB6756D" w14:textId="77777777" w:rsidR="001B6730" w:rsidRPr="001B6730" w:rsidRDefault="001B6730" w:rsidP="001B6730">
            <w:pPr>
              <w:tabs>
                <w:tab w:val="left" w:pos="6663"/>
              </w:tabs>
              <w:spacing w:line="240" w:lineRule="auto"/>
              <w:rPr>
                <w:bCs/>
              </w:rPr>
            </w:pPr>
          </w:p>
        </w:tc>
        <w:tc>
          <w:tcPr>
            <w:tcW w:w="762" w:type="pct"/>
            <w:gridSpan w:val="2"/>
            <w:tcBorders>
              <w:bottom w:val="single" w:sz="12" w:space="0" w:color="auto"/>
            </w:tcBorders>
            <w:shd w:val="clear" w:color="auto" w:fill="auto"/>
            <w:tcMar>
              <w:top w:w="57" w:type="dxa"/>
              <w:bottom w:w="57" w:type="dxa"/>
            </w:tcMar>
          </w:tcPr>
          <w:p w14:paraId="44C3C352" w14:textId="77777777" w:rsidR="001B6730" w:rsidRPr="001B6730" w:rsidRDefault="001B6730" w:rsidP="001B6730">
            <w:pPr>
              <w:spacing w:line="240" w:lineRule="auto"/>
              <w:rPr>
                <w:bCs/>
              </w:rPr>
            </w:pPr>
          </w:p>
        </w:tc>
        <w:tc>
          <w:tcPr>
            <w:tcW w:w="875" w:type="pct"/>
            <w:tcBorders>
              <w:bottom w:val="single" w:sz="12" w:space="0" w:color="auto"/>
            </w:tcBorders>
            <w:shd w:val="clear" w:color="auto" w:fill="auto"/>
            <w:tcMar>
              <w:top w:w="57" w:type="dxa"/>
              <w:bottom w:w="57" w:type="dxa"/>
            </w:tcMar>
          </w:tcPr>
          <w:p w14:paraId="2528E9D9" w14:textId="77777777" w:rsidR="001B6730" w:rsidRPr="001B6730" w:rsidRDefault="001B6730" w:rsidP="001B6730">
            <w:pPr>
              <w:spacing w:line="240" w:lineRule="auto"/>
              <w:rPr>
                <w:bCs/>
              </w:rPr>
            </w:pPr>
          </w:p>
        </w:tc>
        <w:tc>
          <w:tcPr>
            <w:tcW w:w="871" w:type="pct"/>
            <w:tcBorders>
              <w:bottom w:val="single" w:sz="12" w:space="0" w:color="auto"/>
            </w:tcBorders>
            <w:shd w:val="clear" w:color="auto" w:fill="auto"/>
            <w:tcMar>
              <w:top w:w="57" w:type="dxa"/>
              <w:bottom w:w="57" w:type="dxa"/>
            </w:tcMar>
          </w:tcPr>
          <w:p w14:paraId="2D9FE121" w14:textId="77777777" w:rsidR="001B6730" w:rsidRPr="001B6730" w:rsidRDefault="001B6730" w:rsidP="001B6730">
            <w:pPr>
              <w:spacing w:line="240" w:lineRule="auto"/>
              <w:rPr>
                <w:bCs/>
              </w:rPr>
            </w:pPr>
          </w:p>
        </w:tc>
      </w:tr>
      <w:tr w:rsidR="001B6730" w:rsidRPr="001B6730" w14:paraId="3E8DBF1B" w14:textId="77777777" w:rsidTr="003848FB">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14:paraId="4FB4BB53" w14:textId="77777777" w:rsidR="001B6730" w:rsidRPr="001B6730" w:rsidRDefault="001B6730" w:rsidP="001B6730">
            <w:pPr>
              <w:rPr>
                <w:b/>
                <w:bCs/>
              </w:rPr>
            </w:pPr>
            <w:r w:rsidRPr="001B6730">
              <w:rPr>
                <w:b/>
              </w:rPr>
              <w:t>Decision of the STD’s WG:</w:t>
            </w:r>
          </w:p>
        </w:tc>
        <w:tc>
          <w:tcPr>
            <w:tcW w:w="421" w:type="pct"/>
            <w:tcBorders>
              <w:top w:val="single" w:sz="12" w:space="0" w:color="auto"/>
              <w:bottom w:val="single" w:sz="12" w:space="0" w:color="auto"/>
            </w:tcBorders>
            <w:shd w:val="clear" w:color="auto" w:fill="F2F2F2"/>
            <w:tcMar>
              <w:top w:w="0" w:type="dxa"/>
              <w:bottom w:w="0" w:type="dxa"/>
            </w:tcMar>
          </w:tcPr>
          <w:p w14:paraId="6383407B" w14:textId="77777777" w:rsidR="001B6730" w:rsidRPr="001B6730" w:rsidRDefault="001B6730" w:rsidP="001B6730">
            <w:pPr>
              <w:keepLines/>
              <w:jc w:val="center"/>
              <w:rPr>
                <w:bCs/>
              </w:rPr>
            </w:pPr>
            <w:r w:rsidRPr="001118E2">
              <w:rPr>
                <w:bCs/>
                <w:highlight w:val="yellow"/>
              </w:rPr>
              <w:t>Accepted</w:t>
            </w:r>
          </w:p>
          <w:p w14:paraId="3D4DAD03" w14:textId="77777777" w:rsidR="001B6730" w:rsidRPr="001B6730" w:rsidRDefault="001B6730" w:rsidP="001B6730">
            <w:pPr>
              <w:keepLines/>
              <w:jc w:val="center"/>
              <w:rPr>
                <w:bCs/>
              </w:rPr>
            </w:pPr>
            <w:r w:rsidRPr="001B6730">
              <w:rPr>
                <w:bCs/>
              </w:rPr>
              <w:t>Refused</w:t>
            </w:r>
          </w:p>
          <w:p w14:paraId="67F32F5E" w14:textId="77777777" w:rsidR="001B6730" w:rsidRPr="001B6730" w:rsidRDefault="001B6730" w:rsidP="001B6730">
            <w:pPr>
              <w:keepLines/>
              <w:jc w:val="center"/>
              <w:rPr>
                <w:bCs/>
              </w:rPr>
            </w:pPr>
            <w:r w:rsidRPr="001B6730">
              <w:rPr>
                <w:bCs/>
              </w:rPr>
              <w:t>Postponed</w:t>
            </w:r>
          </w:p>
        </w:tc>
        <w:tc>
          <w:tcPr>
            <w:tcW w:w="1360" w:type="pct"/>
            <w:gridSpan w:val="2"/>
            <w:tcBorders>
              <w:top w:val="single" w:sz="12" w:space="0" w:color="auto"/>
              <w:bottom w:val="single" w:sz="12" w:space="0" w:color="auto"/>
            </w:tcBorders>
            <w:shd w:val="clear" w:color="auto" w:fill="F2F2F2"/>
          </w:tcPr>
          <w:p w14:paraId="776D1CD6" w14:textId="77777777" w:rsidR="001B6730" w:rsidRPr="001B6730" w:rsidRDefault="001B6730" w:rsidP="001B6730">
            <w:pPr>
              <w:keepLines/>
              <w:tabs>
                <w:tab w:val="left" w:pos="6663"/>
              </w:tabs>
              <w:jc w:val="center"/>
              <w:rPr>
                <w:bCs/>
              </w:rPr>
            </w:pPr>
            <w:r w:rsidRPr="001B6730">
              <w:rPr>
                <w:bCs/>
                <w:lang w:val="en-US"/>
              </w:rPr>
              <w:t> </w:t>
            </w:r>
          </w:p>
        </w:tc>
        <w:tc>
          <w:tcPr>
            <w:tcW w:w="2508" w:type="pct"/>
            <w:gridSpan w:val="4"/>
            <w:tcBorders>
              <w:top w:val="single" w:sz="12" w:space="0" w:color="auto"/>
              <w:bottom w:val="single" w:sz="12" w:space="0" w:color="auto"/>
            </w:tcBorders>
            <w:shd w:val="clear" w:color="auto" w:fill="F2F2F2"/>
            <w:tcMar>
              <w:top w:w="0" w:type="dxa"/>
              <w:bottom w:w="0" w:type="dxa"/>
            </w:tcMar>
          </w:tcPr>
          <w:tbl>
            <w:tblPr>
              <w:tblW w:w="49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1"/>
              <w:gridCol w:w="2133"/>
              <w:gridCol w:w="2126"/>
            </w:tblGrid>
            <w:tr w:rsidR="001B6730" w:rsidRPr="001B6730" w14:paraId="6FB03271" w14:textId="77777777" w:rsidTr="00DC4A4A">
              <w:trPr>
                <w:trHeight w:val="227"/>
              </w:trPr>
              <w:tc>
                <w:tcPr>
                  <w:tcW w:w="1520"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2FF828F7" w14:textId="77777777" w:rsidR="001B6730" w:rsidRPr="001B6730" w:rsidRDefault="001B6730" w:rsidP="001B6730">
                  <w:pPr>
                    <w:jc w:val="center"/>
                    <w:rPr>
                      <w:bCs/>
                    </w:rPr>
                  </w:pPr>
                  <w:r w:rsidRPr="001B6730">
                    <w:rPr>
                      <w:bCs/>
                    </w:rPr>
                    <w:t>Proposed transition regulation</w:t>
                  </w:r>
                </w:p>
              </w:tc>
              <w:tc>
                <w:tcPr>
                  <w:tcW w:w="1743" w:type="pct"/>
                  <w:tcBorders>
                    <w:top w:val="single" w:sz="12" w:space="0" w:color="auto"/>
                    <w:left w:val="single" w:sz="6" w:space="0" w:color="auto"/>
                    <w:bottom w:val="single" w:sz="6" w:space="0" w:color="auto"/>
                    <w:right w:val="single" w:sz="6" w:space="0" w:color="auto"/>
                  </w:tcBorders>
                  <w:shd w:val="clear" w:color="auto" w:fill="F2F2F2"/>
                </w:tcPr>
                <w:p w14:paraId="5E4862DF" w14:textId="77777777" w:rsidR="001B6730" w:rsidRPr="001B6730" w:rsidRDefault="001B6730" w:rsidP="001B6730">
                  <w:pPr>
                    <w:keepLines/>
                    <w:jc w:val="center"/>
                    <w:rPr>
                      <w:bCs/>
                    </w:rPr>
                  </w:pPr>
                  <w:r w:rsidRPr="001B6730">
                    <w:rPr>
                      <w:bCs/>
                    </w:rPr>
                    <w:t>Applicable for new type approvals or for renewals</w:t>
                  </w:r>
                </w:p>
              </w:tc>
              <w:tc>
                <w:tcPr>
                  <w:tcW w:w="1737" w:type="pct"/>
                  <w:tcBorders>
                    <w:top w:val="single" w:sz="12" w:space="0" w:color="auto"/>
                    <w:left w:val="single" w:sz="6" w:space="0" w:color="auto"/>
                    <w:bottom w:val="single" w:sz="6" w:space="0" w:color="auto"/>
                    <w:right w:val="single" w:sz="12" w:space="0" w:color="auto"/>
                  </w:tcBorders>
                  <w:shd w:val="clear" w:color="auto" w:fill="F2F2F2"/>
                </w:tcPr>
                <w:p w14:paraId="1A05E85F" w14:textId="77777777" w:rsidR="001B6730" w:rsidRPr="001B6730" w:rsidRDefault="001B6730" w:rsidP="001B6730">
                  <w:pPr>
                    <w:keepLines/>
                    <w:tabs>
                      <w:tab w:val="left" w:pos="6663"/>
                    </w:tabs>
                    <w:rPr>
                      <w:bCs/>
                    </w:rPr>
                  </w:pPr>
                  <w:r w:rsidRPr="001B6730">
                    <w:rPr>
                      <w:bCs/>
                    </w:rPr>
                    <w:t>Latest date for withdrawal of existing type approvals</w:t>
                  </w:r>
                </w:p>
              </w:tc>
            </w:tr>
            <w:tr w:rsidR="00DC4A4A" w:rsidRPr="001B6730" w14:paraId="3C84584E" w14:textId="77777777" w:rsidTr="00DC4A4A">
              <w:trPr>
                <w:trHeight w:val="227"/>
              </w:trPr>
              <w:tc>
                <w:tcPr>
                  <w:tcW w:w="1520"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558C0027" w14:textId="28EF174A" w:rsidR="00DC4A4A" w:rsidRPr="001B6730" w:rsidRDefault="00DC4A4A" w:rsidP="00DC4A4A">
                  <w:pPr>
                    <w:jc w:val="center"/>
                    <w:rPr>
                      <w:bCs/>
                    </w:rPr>
                  </w:pPr>
                  <w:r>
                    <w:rPr>
                      <w:bCs/>
                    </w:rPr>
                    <w:t>EN ISO 9809-3:2010</w:t>
                  </w:r>
                </w:p>
              </w:tc>
              <w:tc>
                <w:tcPr>
                  <w:tcW w:w="1743" w:type="pct"/>
                  <w:tcBorders>
                    <w:top w:val="single" w:sz="6" w:space="0" w:color="auto"/>
                    <w:left w:val="single" w:sz="6" w:space="0" w:color="auto"/>
                    <w:bottom w:val="single" w:sz="6" w:space="0" w:color="auto"/>
                    <w:right w:val="single" w:sz="6" w:space="0" w:color="auto"/>
                  </w:tcBorders>
                  <w:shd w:val="clear" w:color="auto" w:fill="F2F2F2"/>
                </w:tcPr>
                <w:p w14:paraId="015A8E19" w14:textId="2FA78C35" w:rsidR="00DC4A4A" w:rsidRPr="001B6730" w:rsidRDefault="00DC4A4A" w:rsidP="001B6730">
                  <w:pPr>
                    <w:suppressAutoHyphens w:val="0"/>
                    <w:autoSpaceDE w:val="0"/>
                    <w:autoSpaceDN w:val="0"/>
                    <w:adjustRightInd w:val="0"/>
                    <w:spacing w:line="240" w:lineRule="auto"/>
                    <w:jc w:val="center"/>
                    <w:rPr>
                      <w:bCs/>
                    </w:rPr>
                  </w:pPr>
                  <w:r>
                    <w:rPr>
                      <w:bCs/>
                    </w:rPr>
                    <w:t>31 December 2022</w:t>
                  </w:r>
                </w:p>
              </w:tc>
              <w:tc>
                <w:tcPr>
                  <w:tcW w:w="1737" w:type="pct"/>
                  <w:tcBorders>
                    <w:top w:val="single" w:sz="6" w:space="0" w:color="auto"/>
                    <w:left w:val="single" w:sz="6" w:space="0" w:color="auto"/>
                    <w:bottom w:val="single" w:sz="6" w:space="0" w:color="auto"/>
                    <w:right w:val="single" w:sz="12" w:space="0" w:color="auto"/>
                  </w:tcBorders>
                  <w:shd w:val="clear" w:color="auto" w:fill="F2F2F2"/>
                </w:tcPr>
                <w:p w14:paraId="0A09FEE5" w14:textId="77777777" w:rsidR="00DC4A4A" w:rsidRPr="001B6730" w:rsidRDefault="00DC4A4A" w:rsidP="001B6730">
                  <w:pPr>
                    <w:suppressAutoHyphens w:val="0"/>
                    <w:autoSpaceDE w:val="0"/>
                    <w:autoSpaceDN w:val="0"/>
                    <w:adjustRightInd w:val="0"/>
                    <w:spacing w:line="240" w:lineRule="auto"/>
                    <w:jc w:val="center"/>
                    <w:rPr>
                      <w:bCs/>
                    </w:rPr>
                  </w:pPr>
                </w:p>
              </w:tc>
            </w:tr>
            <w:tr w:rsidR="00DC4A4A" w:rsidRPr="001B6730" w14:paraId="2EB810B7" w14:textId="77777777" w:rsidTr="00DC4A4A">
              <w:trPr>
                <w:trHeight w:val="227"/>
              </w:trPr>
              <w:tc>
                <w:tcPr>
                  <w:tcW w:w="1520"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3C3C87C2" w14:textId="4DBC5195" w:rsidR="00DC4A4A" w:rsidRPr="001B6730" w:rsidRDefault="00DC4A4A" w:rsidP="00DC4A4A">
                  <w:pPr>
                    <w:jc w:val="center"/>
                    <w:rPr>
                      <w:bCs/>
                    </w:rPr>
                  </w:pPr>
                  <w:r>
                    <w:rPr>
                      <w:bCs/>
                    </w:rPr>
                    <w:t>EN ISO 9809-3:2019</w:t>
                  </w:r>
                </w:p>
              </w:tc>
              <w:tc>
                <w:tcPr>
                  <w:tcW w:w="1743" w:type="pct"/>
                  <w:tcBorders>
                    <w:top w:val="single" w:sz="6" w:space="0" w:color="auto"/>
                    <w:left w:val="single" w:sz="6" w:space="0" w:color="auto"/>
                    <w:bottom w:val="single" w:sz="6" w:space="0" w:color="auto"/>
                    <w:right w:val="single" w:sz="6" w:space="0" w:color="auto"/>
                  </w:tcBorders>
                  <w:shd w:val="clear" w:color="auto" w:fill="F2F2F2"/>
                </w:tcPr>
                <w:p w14:paraId="7930F058" w14:textId="0B0BCA7B" w:rsidR="00DC4A4A" w:rsidRPr="001B6730" w:rsidRDefault="00DC4A4A" w:rsidP="001B6730">
                  <w:pPr>
                    <w:keepNext/>
                    <w:ind w:hanging="22"/>
                    <w:jc w:val="center"/>
                    <w:rPr>
                      <w:bCs/>
                    </w:rPr>
                  </w:pPr>
                  <w:r>
                    <w:rPr>
                      <w:bCs/>
                    </w:rPr>
                    <w:t>Until further notice</w:t>
                  </w:r>
                </w:p>
              </w:tc>
              <w:tc>
                <w:tcPr>
                  <w:tcW w:w="1737" w:type="pct"/>
                  <w:tcBorders>
                    <w:top w:val="single" w:sz="6" w:space="0" w:color="auto"/>
                    <w:left w:val="single" w:sz="6" w:space="0" w:color="auto"/>
                    <w:bottom w:val="single" w:sz="6" w:space="0" w:color="auto"/>
                    <w:right w:val="single" w:sz="12" w:space="0" w:color="auto"/>
                  </w:tcBorders>
                  <w:shd w:val="clear" w:color="auto" w:fill="F2F2F2"/>
                </w:tcPr>
                <w:p w14:paraId="65815C1F" w14:textId="77777777" w:rsidR="00DC4A4A" w:rsidRPr="001B6730" w:rsidRDefault="00DC4A4A" w:rsidP="001B6730">
                  <w:pPr>
                    <w:keepNext/>
                    <w:ind w:hanging="22"/>
                    <w:jc w:val="center"/>
                    <w:rPr>
                      <w:bCs/>
                    </w:rPr>
                  </w:pPr>
                </w:p>
              </w:tc>
            </w:tr>
          </w:tbl>
          <w:p w14:paraId="0C80A6DA" w14:textId="77777777" w:rsidR="001B6730" w:rsidRPr="001B6730" w:rsidRDefault="001B6730" w:rsidP="001B6730">
            <w:pPr>
              <w:keepLines/>
              <w:tabs>
                <w:tab w:val="left" w:pos="6663"/>
              </w:tabs>
              <w:rPr>
                <w:bCs/>
              </w:rPr>
            </w:pPr>
          </w:p>
        </w:tc>
      </w:tr>
    </w:tbl>
    <w:p w14:paraId="1503AA52" w14:textId="77777777" w:rsidR="001B6730" w:rsidRDefault="001B6730" w:rsidP="00BC676D">
      <w:pPr>
        <w:pStyle w:val="SingleTxtG"/>
        <w:spacing w:before="240" w:after="0"/>
        <w:ind w:left="0"/>
        <w:jc w:val="left"/>
        <w:rPr>
          <w:b/>
          <w:sz w:val="24"/>
          <w:szCs w:val="24"/>
          <w:u w:val="single"/>
        </w:rPr>
      </w:pPr>
    </w:p>
    <w:p w14:paraId="404E5DFE" w14:textId="77777777" w:rsidR="001B6730" w:rsidRDefault="001B6730" w:rsidP="00BC676D">
      <w:pPr>
        <w:pStyle w:val="SingleTxtG"/>
        <w:spacing w:before="240" w:after="0"/>
        <w:ind w:left="0"/>
        <w:jc w:val="left"/>
        <w:rPr>
          <w:b/>
          <w:sz w:val="24"/>
          <w:szCs w:val="24"/>
          <w:u w:val="single"/>
        </w:rPr>
      </w:pPr>
    </w:p>
    <w:p w14:paraId="08F03AD1" w14:textId="716923BC" w:rsidR="001B6730" w:rsidRDefault="001B6730" w:rsidP="00BC676D">
      <w:pPr>
        <w:pStyle w:val="SingleTxtG"/>
        <w:spacing w:before="240" w:after="0"/>
        <w:ind w:left="0"/>
        <w:jc w:val="left"/>
        <w:rPr>
          <w:b/>
          <w:sz w:val="24"/>
          <w:szCs w:val="24"/>
          <w:u w:val="single"/>
        </w:rPr>
      </w:pPr>
    </w:p>
    <w:p w14:paraId="698CD603" w14:textId="5AFB0E86" w:rsidR="00A20053" w:rsidRDefault="00A20053" w:rsidP="00BC676D">
      <w:pPr>
        <w:pStyle w:val="SingleTxtG"/>
        <w:spacing w:before="240" w:after="0"/>
        <w:ind w:left="0"/>
        <w:jc w:val="left"/>
        <w:rPr>
          <w:b/>
          <w:sz w:val="24"/>
          <w:szCs w:val="24"/>
          <w:u w:val="single"/>
        </w:rPr>
      </w:pPr>
    </w:p>
    <w:p w14:paraId="6C6917EC" w14:textId="77777777" w:rsidR="00A20053" w:rsidRDefault="00A20053" w:rsidP="00BC676D">
      <w:pPr>
        <w:pStyle w:val="SingleTxtG"/>
        <w:spacing w:before="240" w:after="0"/>
        <w:ind w:left="0"/>
        <w:jc w:val="left"/>
        <w:rPr>
          <w:b/>
          <w:sz w:val="24"/>
          <w:szCs w:val="24"/>
          <w:u w:val="single"/>
        </w:rPr>
      </w:pPr>
    </w:p>
    <w:p w14:paraId="5FF81CB6" w14:textId="77777777" w:rsidR="0057222E" w:rsidRPr="001B6730" w:rsidRDefault="0057222E" w:rsidP="0057222E">
      <w:pPr>
        <w:keepNext/>
        <w:keepLines/>
        <w:spacing w:before="360" w:after="240" w:line="270" w:lineRule="exact"/>
        <w:ind w:left="567" w:right="1134" w:hanging="567"/>
      </w:pPr>
      <w:r w:rsidRPr="001B6730">
        <w:lastRenderedPageBreak/>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69"/>
        <w:gridCol w:w="1003"/>
        <w:gridCol w:w="25"/>
        <w:gridCol w:w="1064"/>
        <w:gridCol w:w="3414"/>
        <w:gridCol w:w="23"/>
        <w:gridCol w:w="1908"/>
        <w:gridCol w:w="18"/>
        <w:gridCol w:w="2211"/>
        <w:gridCol w:w="2201"/>
      </w:tblGrid>
      <w:tr w:rsidR="00DC4A4A" w:rsidRPr="001B6730" w14:paraId="50647E3A" w14:textId="77777777" w:rsidTr="00DC4A4A">
        <w:trPr>
          <w:trHeight w:val="918"/>
        </w:trPr>
        <w:tc>
          <w:tcPr>
            <w:tcW w:w="701" w:type="pct"/>
            <w:gridSpan w:val="2"/>
            <w:tcBorders>
              <w:top w:val="single" w:sz="12" w:space="0" w:color="auto"/>
            </w:tcBorders>
            <w:shd w:val="clear" w:color="auto" w:fill="F3F3F3"/>
            <w:tcMar>
              <w:top w:w="28" w:type="dxa"/>
              <w:bottom w:w="28" w:type="dxa"/>
            </w:tcMar>
          </w:tcPr>
          <w:p w14:paraId="5FB62D87" w14:textId="77777777" w:rsidR="00DC4A4A" w:rsidRPr="001B6730" w:rsidRDefault="00DC4A4A" w:rsidP="00034DE1">
            <w:pPr>
              <w:jc w:val="center"/>
              <w:rPr>
                <w:b/>
                <w:iCs/>
                <w:lang w:val="es-ES"/>
              </w:rPr>
            </w:pPr>
            <w:r>
              <w:rPr>
                <w:b/>
                <w:iCs/>
                <w:lang w:val="es-ES"/>
              </w:rPr>
              <w:t>EN ISO 10462:2013/prA1</w:t>
            </w:r>
          </w:p>
          <w:p w14:paraId="4C72498F" w14:textId="6AFD881B" w:rsidR="00DC4A4A" w:rsidRPr="001B6730" w:rsidRDefault="00DC4A4A" w:rsidP="00034DE1">
            <w:pPr>
              <w:jc w:val="center"/>
              <w:rPr>
                <w:b/>
                <w:iCs/>
                <w:lang w:val="es-ES"/>
              </w:rPr>
            </w:pPr>
            <w:r>
              <w:rPr>
                <w:spacing w:val="-3"/>
              </w:rPr>
              <w:t>00023207</w:t>
            </w:r>
          </w:p>
        </w:tc>
        <w:tc>
          <w:tcPr>
            <w:tcW w:w="1782" w:type="pct"/>
            <w:gridSpan w:val="3"/>
            <w:tcBorders>
              <w:top w:val="single" w:sz="12" w:space="0" w:color="auto"/>
            </w:tcBorders>
            <w:shd w:val="clear" w:color="auto" w:fill="F3F3F3"/>
            <w:tcMar>
              <w:top w:w="28" w:type="dxa"/>
              <w:bottom w:w="28" w:type="dxa"/>
            </w:tcMar>
          </w:tcPr>
          <w:p w14:paraId="577CCBD0" w14:textId="15D924C8" w:rsidR="00DC4A4A" w:rsidRPr="001B6730" w:rsidRDefault="00DC4A4A" w:rsidP="00034DE1">
            <w:pPr>
              <w:jc w:val="center"/>
              <w:rPr>
                <w:b/>
                <w:iCs/>
              </w:rPr>
            </w:pPr>
            <w:r w:rsidRPr="00034DE1">
              <w:rPr>
                <w:b/>
                <w:iCs/>
              </w:rPr>
              <w:t>Gas cylinders - Acetylene cylinders - Periodic inspection and maintenance - Amendment 1 (ISO 10462:2013/DAM 1:2018)</w:t>
            </w:r>
          </w:p>
        </w:tc>
        <w:tc>
          <w:tcPr>
            <w:tcW w:w="764" w:type="pct"/>
            <w:gridSpan w:val="2"/>
            <w:tcBorders>
              <w:top w:val="single" w:sz="12" w:space="0" w:color="auto"/>
            </w:tcBorders>
            <w:shd w:val="clear" w:color="auto" w:fill="F3F3F3"/>
            <w:tcMar>
              <w:top w:w="28" w:type="dxa"/>
              <w:bottom w:w="28" w:type="dxa"/>
            </w:tcMar>
          </w:tcPr>
          <w:p w14:paraId="69A3D4BC" w14:textId="77777777" w:rsidR="00DC4A4A" w:rsidRPr="001B6730" w:rsidRDefault="00DC4A4A" w:rsidP="003848FB">
            <w:pPr>
              <w:suppressAutoHyphens w:val="0"/>
              <w:spacing w:line="240" w:lineRule="auto"/>
              <w:jc w:val="center"/>
              <w:rPr>
                <w:rFonts w:eastAsia="Batang"/>
                <w:b/>
                <w:bCs/>
              </w:rPr>
            </w:pPr>
            <w:r w:rsidRPr="001B6730">
              <w:rPr>
                <w:b/>
                <w:bCs/>
              </w:rPr>
              <w:t>Where to refer in RID/ADR</w:t>
            </w:r>
          </w:p>
          <w:p w14:paraId="4D2518E5" w14:textId="1AD2730E" w:rsidR="00DC4A4A" w:rsidRPr="00DC4A4A" w:rsidRDefault="00DC4A4A" w:rsidP="003848FB">
            <w:pPr>
              <w:jc w:val="center"/>
              <w:rPr>
                <w:b/>
              </w:rPr>
            </w:pPr>
            <w:r w:rsidRPr="00DC4A4A">
              <w:rPr>
                <w:b/>
              </w:rPr>
              <w:t>6.2.4.2</w:t>
            </w:r>
          </w:p>
        </w:tc>
        <w:tc>
          <w:tcPr>
            <w:tcW w:w="1753" w:type="pct"/>
            <w:gridSpan w:val="3"/>
            <w:tcBorders>
              <w:top w:val="single" w:sz="12" w:space="0" w:color="auto"/>
            </w:tcBorders>
            <w:shd w:val="clear" w:color="auto" w:fill="F3F3F3"/>
            <w:tcMar>
              <w:top w:w="28" w:type="dxa"/>
              <w:bottom w:w="28" w:type="dxa"/>
            </w:tcMar>
          </w:tcPr>
          <w:p w14:paraId="2338F8E9" w14:textId="77777777" w:rsidR="00DC4A4A" w:rsidRDefault="00DC4A4A" w:rsidP="003848FB">
            <w:pPr>
              <w:jc w:val="center"/>
              <w:rPr>
                <w:rFonts w:ascii="(Asiatische Schriftart verwende" w:hAnsi="(Asiatische Schriftart verwende"/>
                <w:b/>
              </w:rPr>
            </w:pPr>
            <w:r w:rsidRPr="00632536">
              <w:rPr>
                <w:rFonts w:ascii="(Asiatische Schriftart verwende" w:hAnsi="(Asiatische Schriftart verwende"/>
                <w:b/>
              </w:rPr>
              <w:t>Applicable sub-sections and paragraphs</w:t>
            </w:r>
            <w:r>
              <w:rPr>
                <w:rFonts w:ascii="(Asiatische Schriftart verwende" w:hAnsi="(Asiatische Schriftart verwende"/>
                <w:b/>
              </w:rPr>
              <w:t>:</w:t>
            </w:r>
          </w:p>
          <w:p w14:paraId="5BB1D5D0" w14:textId="49BA939C" w:rsidR="00DC4A4A" w:rsidRPr="001B6730" w:rsidRDefault="00DC4A4A" w:rsidP="003848FB">
            <w:pPr>
              <w:jc w:val="center"/>
              <w:rPr>
                <w:rFonts w:ascii="(Asiatische Schriftart verwende" w:hAnsi="(Asiatische Schriftart verwende"/>
                <w:b/>
              </w:rPr>
            </w:pPr>
            <w:r>
              <w:rPr>
                <w:rFonts w:ascii="(Asiatische Schriftart verwende" w:hAnsi="(Asiatische Schriftart verwende"/>
                <w:b/>
                <w:lang w:val="en-US"/>
              </w:rPr>
              <w:t>Not required</w:t>
            </w:r>
          </w:p>
        </w:tc>
      </w:tr>
      <w:tr w:rsidR="0057222E" w:rsidRPr="001B6730" w14:paraId="6457CACE" w14:textId="77777777" w:rsidTr="003848FB">
        <w:tc>
          <w:tcPr>
            <w:tcW w:w="5000" w:type="pct"/>
            <w:gridSpan w:val="10"/>
            <w:tcBorders>
              <w:top w:val="single" w:sz="6" w:space="0" w:color="auto"/>
            </w:tcBorders>
            <w:shd w:val="clear" w:color="auto" w:fill="auto"/>
          </w:tcPr>
          <w:p w14:paraId="20AB3D34" w14:textId="15BDB705" w:rsidR="0057222E" w:rsidRPr="001B6730" w:rsidRDefault="0057222E" w:rsidP="00F753B9">
            <w:pPr>
              <w:tabs>
                <w:tab w:val="num" w:pos="1134"/>
              </w:tabs>
              <w:jc w:val="both"/>
              <w:rPr>
                <w:rFonts w:eastAsia="MS Mincho"/>
                <w:lang w:eastAsia="ja-JP"/>
              </w:rPr>
            </w:pPr>
            <w:r w:rsidRPr="001B6730">
              <w:rPr>
                <w:rFonts w:eastAsia="MS Mincho"/>
                <w:lang w:eastAsia="ja-JP"/>
              </w:rPr>
              <w:t xml:space="preserve">Assessment by </w:t>
            </w:r>
            <w:r w:rsidR="00F753B9">
              <w:rPr>
                <w:rFonts w:eastAsia="MS Mincho"/>
                <w:lang w:eastAsia="ja-JP"/>
              </w:rPr>
              <w:t>Advisor</w:t>
            </w:r>
            <w:r w:rsidRPr="001B6730">
              <w:rPr>
                <w:rFonts w:eastAsia="MS Mincho"/>
                <w:lang w:eastAsia="ja-JP"/>
              </w:rPr>
              <w:t xml:space="preserve"> awaited</w:t>
            </w:r>
          </w:p>
        </w:tc>
      </w:tr>
      <w:tr w:rsidR="0057222E" w:rsidRPr="001B6730" w14:paraId="4A7301F6" w14:textId="77777777" w:rsidTr="003848FB">
        <w:tc>
          <w:tcPr>
            <w:tcW w:w="5000" w:type="pct"/>
            <w:gridSpan w:val="10"/>
            <w:tcBorders>
              <w:top w:val="single" w:sz="6" w:space="0" w:color="auto"/>
            </w:tcBorders>
            <w:shd w:val="clear" w:color="auto" w:fill="auto"/>
          </w:tcPr>
          <w:p w14:paraId="170C35A7" w14:textId="77777777" w:rsidR="0057222E" w:rsidRPr="001B6730" w:rsidRDefault="0057222E" w:rsidP="003848FB">
            <w:pPr>
              <w:tabs>
                <w:tab w:val="num" w:pos="1134"/>
              </w:tabs>
              <w:jc w:val="both"/>
              <w:rPr>
                <w:rFonts w:eastAsia="MS Mincho"/>
                <w:lang w:eastAsia="ja-JP"/>
              </w:rPr>
            </w:pPr>
            <w:r w:rsidRPr="001B6730">
              <w:rPr>
                <w:rFonts w:eastAsia="MS Mincho"/>
                <w:lang w:eastAsia="ja-JP"/>
              </w:rPr>
              <w:t xml:space="preserve">Enquiry draft discussed by STD’s WG in </w:t>
            </w:r>
          </w:p>
        </w:tc>
      </w:tr>
      <w:tr w:rsidR="0057222E" w:rsidRPr="001B6730" w14:paraId="7A28B1F9" w14:textId="77777777" w:rsidTr="003848FB">
        <w:trPr>
          <w:trHeight w:val="160"/>
        </w:trPr>
        <w:tc>
          <w:tcPr>
            <w:tcW w:w="5000" w:type="pct"/>
            <w:gridSpan w:val="10"/>
            <w:shd w:val="clear" w:color="auto" w:fill="auto"/>
          </w:tcPr>
          <w:p w14:paraId="391F2058" w14:textId="77777777" w:rsidR="0057222E" w:rsidRPr="001B6730" w:rsidRDefault="0057222E" w:rsidP="003848FB">
            <w:pPr>
              <w:rPr>
                <w:b/>
                <w:iCs/>
              </w:rPr>
            </w:pPr>
            <w:r w:rsidRPr="001B6730">
              <w:rPr>
                <w:b/>
                <w:iCs/>
              </w:rPr>
              <w:t>Comments from members of the Joint Meeting</w:t>
            </w:r>
            <w:r w:rsidRPr="001B6730">
              <w:rPr>
                <w:b/>
              </w:rPr>
              <w:t>:</w:t>
            </w:r>
          </w:p>
        </w:tc>
      </w:tr>
      <w:tr w:rsidR="0057222E" w:rsidRPr="001B6730" w14:paraId="3ED89752" w14:textId="77777777" w:rsidTr="003848FB">
        <w:tc>
          <w:tcPr>
            <w:tcW w:w="304" w:type="pct"/>
            <w:shd w:val="clear" w:color="auto" w:fill="auto"/>
            <w:tcMar>
              <w:top w:w="57" w:type="dxa"/>
              <w:bottom w:w="57" w:type="dxa"/>
            </w:tcMar>
          </w:tcPr>
          <w:p w14:paraId="06408DC7" w14:textId="77777777" w:rsidR="0057222E" w:rsidRPr="001B6730" w:rsidRDefault="0057222E" w:rsidP="003848FB">
            <w:pPr>
              <w:jc w:val="center"/>
            </w:pPr>
            <w:r w:rsidRPr="001B6730">
              <w:t>Country</w:t>
            </w:r>
          </w:p>
        </w:tc>
        <w:tc>
          <w:tcPr>
            <w:tcW w:w="407" w:type="pct"/>
            <w:gridSpan w:val="2"/>
            <w:shd w:val="clear" w:color="auto" w:fill="auto"/>
            <w:tcMar>
              <w:top w:w="57" w:type="dxa"/>
              <w:bottom w:w="57" w:type="dxa"/>
            </w:tcMar>
          </w:tcPr>
          <w:p w14:paraId="758BC98E" w14:textId="77777777" w:rsidR="0057222E" w:rsidRPr="001B6730" w:rsidRDefault="0057222E" w:rsidP="003848FB">
            <w:pPr>
              <w:jc w:val="center"/>
            </w:pPr>
            <w:r w:rsidRPr="001B6730">
              <w:t>Clause No.</w:t>
            </w:r>
          </w:p>
        </w:tc>
        <w:tc>
          <w:tcPr>
            <w:tcW w:w="1781" w:type="pct"/>
            <w:gridSpan w:val="3"/>
            <w:shd w:val="clear" w:color="auto" w:fill="auto"/>
            <w:tcMar>
              <w:top w:w="57" w:type="dxa"/>
              <w:bottom w:w="57" w:type="dxa"/>
            </w:tcMar>
          </w:tcPr>
          <w:p w14:paraId="0EC04A9E" w14:textId="77777777" w:rsidR="0057222E" w:rsidRPr="001B6730" w:rsidRDefault="0057222E" w:rsidP="003848FB">
            <w:pPr>
              <w:jc w:val="center"/>
            </w:pPr>
            <w:r w:rsidRPr="001B6730">
              <w:t xml:space="preserve">Comment (justification for change) </w:t>
            </w:r>
          </w:p>
        </w:tc>
        <w:tc>
          <w:tcPr>
            <w:tcW w:w="762" w:type="pct"/>
            <w:gridSpan w:val="2"/>
            <w:shd w:val="clear" w:color="auto" w:fill="auto"/>
            <w:tcMar>
              <w:top w:w="57" w:type="dxa"/>
              <w:bottom w:w="57" w:type="dxa"/>
            </w:tcMar>
          </w:tcPr>
          <w:p w14:paraId="01FB56F6" w14:textId="77777777" w:rsidR="0057222E" w:rsidRPr="001B6730" w:rsidRDefault="0057222E" w:rsidP="003848FB">
            <w:pPr>
              <w:jc w:val="center"/>
            </w:pPr>
            <w:r w:rsidRPr="001B6730">
              <w:t xml:space="preserve">Proposed change </w:t>
            </w:r>
          </w:p>
        </w:tc>
        <w:tc>
          <w:tcPr>
            <w:tcW w:w="875" w:type="pct"/>
            <w:shd w:val="clear" w:color="auto" w:fill="auto"/>
            <w:tcMar>
              <w:top w:w="57" w:type="dxa"/>
              <w:bottom w:w="57" w:type="dxa"/>
            </w:tcMar>
          </w:tcPr>
          <w:p w14:paraId="2243BA64" w14:textId="77777777" w:rsidR="0057222E" w:rsidRPr="001B6730" w:rsidRDefault="0057222E" w:rsidP="003848FB">
            <w:pPr>
              <w:jc w:val="center"/>
            </w:pPr>
            <w:r w:rsidRPr="001B6730">
              <w:t>Comment from CEN Consultant</w:t>
            </w:r>
          </w:p>
        </w:tc>
        <w:tc>
          <w:tcPr>
            <w:tcW w:w="871" w:type="pct"/>
            <w:shd w:val="clear" w:color="auto" w:fill="auto"/>
          </w:tcPr>
          <w:p w14:paraId="1B524974" w14:textId="77777777" w:rsidR="0057222E" w:rsidRPr="001B6730" w:rsidRDefault="0057222E" w:rsidP="003848FB">
            <w:pPr>
              <w:jc w:val="center"/>
            </w:pPr>
            <w:r w:rsidRPr="001B6730">
              <w:t>Comment from WG Standards</w:t>
            </w:r>
          </w:p>
        </w:tc>
      </w:tr>
      <w:tr w:rsidR="0057222E" w:rsidRPr="001B6730" w14:paraId="0FB9E5C1" w14:textId="77777777" w:rsidTr="003848FB">
        <w:tc>
          <w:tcPr>
            <w:tcW w:w="304" w:type="pct"/>
            <w:shd w:val="clear" w:color="auto" w:fill="auto"/>
            <w:tcMar>
              <w:top w:w="57" w:type="dxa"/>
              <w:bottom w:w="57" w:type="dxa"/>
            </w:tcMar>
          </w:tcPr>
          <w:p w14:paraId="1631F6C3" w14:textId="77777777" w:rsidR="0057222E" w:rsidRPr="001B6730" w:rsidRDefault="0057222E" w:rsidP="003848FB">
            <w:pPr>
              <w:spacing w:line="240" w:lineRule="auto"/>
              <w:jc w:val="center"/>
              <w:rPr>
                <w:bCs/>
              </w:rPr>
            </w:pPr>
          </w:p>
        </w:tc>
        <w:tc>
          <w:tcPr>
            <w:tcW w:w="407" w:type="pct"/>
            <w:gridSpan w:val="2"/>
            <w:shd w:val="clear" w:color="auto" w:fill="auto"/>
            <w:tcMar>
              <w:top w:w="57" w:type="dxa"/>
              <w:bottom w:w="57" w:type="dxa"/>
            </w:tcMar>
          </w:tcPr>
          <w:p w14:paraId="15D465BE" w14:textId="77777777" w:rsidR="0057222E" w:rsidRPr="001B6730" w:rsidRDefault="0057222E" w:rsidP="003848FB">
            <w:pPr>
              <w:spacing w:line="240" w:lineRule="auto"/>
              <w:rPr>
                <w:bCs/>
              </w:rPr>
            </w:pPr>
          </w:p>
        </w:tc>
        <w:tc>
          <w:tcPr>
            <w:tcW w:w="1781" w:type="pct"/>
            <w:gridSpan w:val="3"/>
            <w:shd w:val="clear" w:color="auto" w:fill="auto"/>
            <w:tcMar>
              <w:top w:w="57" w:type="dxa"/>
              <w:bottom w:w="57" w:type="dxa"/>
            </w:tcMar>
          </w:tcPr>
          <w:p w14:paraId="104FE7C5" w14:textId="77777777" w:rsidR="0057222E" w:rsidRPr="001B6730" w:rsidRDefault="0057222E" w:rsidP="003848FB">
            <w:pPr>
              <w:tabs>
                <w:tab w:val="left" w:pos="6663"/>
              </w:tabs>
              <w:spacing w:line="240" w:lineRule="auto"/>
              <w:rPr>
                <w:bCs/>
              </w:rPr>
            </w:pPr>
          </w:p>
        </w:tc>
        <w:tc>
          <w:tcPr>
            <w:tcW w:w="762" w:type="pct"/>
            <w:gridSpan w:val="2"/>
            <w:shd w:val="clear" w:color="auto" w:fill="auto"/>
            <w:tcMar>
              <w:top w:w="57" w:type="dxa"/>
              <w:bottom w:w="57" w:type="dxa"/>
            </w:tcMar>
          </w:tcPr>
          <w:p w14:paraId="647B1774" w14:textId="77777777" w:rsidR="0057222E" w:rsidRPr="001B6730" w:rsidRDefault="0057222E" w:rsidP="003848FB">
            <w:pPr>
              <w:spacing w:line="240" w:lineRule="auto"/>
              <w:rPr>
                <w:bCs/>
              </w:rPr>
            </w:pPr>
          </w:p>
        </w:tc>
        <w:tc>
          <w:tcPr>
            <w:tcW w:w="875" w:type="pct"/>
            <w:shd w:val="clear" w:color="auto" w:fill="auto"/>
            <w:tcMar>
              <w:top w:w="57" w:type="dxa"/>
              <w:bottom w:w="57" w:type="dxa"/>
            </w:tcMar>
          </w:tcPr>
          <w:p w14:paraId="613FA165" w14:textId="77777777" w:rsidR="0057222E" w:rsidRPr="001B6730" w:rsidRDefault="0057222E" w:rsidP="003848FB">
            <w:pPr>
              <w:spacing w:line="240" w:lineRule="auto"/>
              <w:rPr>
                <w:bCs/>
              </w:rPr>
            </w:pPr>
          </w:p>
        </w:tc>
        <w:tc>
          <w:tcPr>
            <w:tcW w:w="871" w:type="pct"/>
            <w:shd w:val="clear" w:color="auto" w:fill="auto"/>
            <w:tcMar>
              <w:top w:w="57" w:type="dxa"/>
              <w:bottom w:w="57" w:type="dxa"/>
            </w:tcMar>
          </w:tcPr>
          <w:p w14:paraId="611F7AE1" w14:textId="77777777" w:rsidR="0057222E" w:rsidRPr="001B6730" w:rsidRDefault="0057222E" w:rsidP="003848FB">
            <w:pPr>
              <w:spacing w:line="240" w:lineRule="auto"/>
              <w:rPr>
                <w:bCs/>
              </w:rPr>
            </w:pPr>
          </w:p>
        </w:tc>
      </w:tr>
      <w:tr w:rsidR="0057222E" w:rsidRPr="001B6730" w14:paraId="00311B52" w14:textId="77777777" w:rsidTr="003848FB">
        <w:tc>
          <w:tcPr>
            <w:tcW w:w="304" w:type="pct"/>
            <w:tcBorders>
              <w:bottom w:val="single" w:sz="12" w:space="0" w:color="auto"/>
            </w:tcBorders>
            <w:shd w:val="clear" w:color="auto" w:fill="auto"/>
            <w:tcMar>
              <w:top w:w="57" w:type="dxa"/>
              <w:bottom w:w="57" w:type="dxa"/>
            </w:tcMar>
          </w:tcPr>
          <w:p w14:paraId="69AFD2AF" w14:textId="77777777" w:rsidR="0057222E" w:rsidRPr="001B6730" w:rsidRDefault="0057222E" w:rsidP="003848FB">
            <w:pPr>
              <w:spacing w:line="240" w:lineRule="auto"/>
              <w:jc w:val="center"/>
              <w:rPr>
                <w:bCs/>
              </w:rPr>
            </w:pPr>
          </w:p>
        </w:tc>
        <w:tc>
          <w:tcPr>
            <w:tcW w:w="407" w:type="pct"/>
            <w:gridSpan w:val="2"/>
            <w:tcBorders>
              <w:bottom w:val="single" w:sz="12" w:space="0" w:color="auto"/>
            </w:tcBorders>
            <w:shd w:val="clear" w:color="auto" w:fill="auto"/>
            <w:tcMar>
              <w:top w:w="57" w:type="dxa"/>
              <w:bottom w:w="57" w:type="dxa"/>
            </w:tcMar>
          </w:tcPr>
          <w:p w14:paraId="19327EE9" w14:textId="77777777" w:rsidR="0057222E" w:rsidRPr="001B6730" w:rsidRDefault="0057222E" w:rsidP="003848FB">
            <w:pPr>
              <w:spacing w:line="240" w:lineRule="auto"/>
              <w:rPr>
                <w:bCs/>
              </w:rPr>
            </w:pPr>
          </w:p>
        </w:tc>
        <w:tc>
          <w:tcPr>
            <w:tcW w:w="1781" w:type="pct"/>
            <w:gridSpan w:val="3"/>
            <w:tcBorders>
              <w:bottom w:val="single" w:sz="12" w:space="0" w:color="auto"/>
            </w:tcBorders>
            <w:shd w:val="clear" w:color="auto" w:fill="auto"/>
            <w:tcMar>
              <w:top w:w="57" w:type="dxa"/>
              <w:bottom w:w="57" w:type="dxa"/>
            </w:tcMar>
          </w:tcPr>
          <w:p w14:paraId="413B635F" w14:textId="77777777" w:rsidR="0057222E" w:rsidRPr="001B6730" w:rsidRDefault="0057222E" w:rsidP="003848FB">
            <w:pPr>
              <w:tabs>
                <w:tab w:val="left" w:pos="6663"/>
              </w:tabs>
              <w:spacing w:line="240" w:lineRule="auto"/>
              <w:rPr>
                <w:bCs/>
              </w:rPr>
            </w:pPr>
          </w:p>
        </w:tc>
        <w:tc>
          <w:tcPr>
            <w:tcW w:w="762" w:type="pct"/>
            <w:gridSpan w:val="2"/>
            <w:tcBorders>
              <w:bottom w:val="single" w:sz="12" w:space="0" w:color="auto"/>
            </w:tcBorders>
            <w:shd w:val="clear" w:color="auto" w:fill="auto"/>
            <w:tcMar>
              <w:top w:w="57" w:type="dxa"/>
              <w:bottom w:w="57" w:type="dxa"/>
            </w:tcMar>
          </w:tcPr>
          <w:p w14:paraId="1E600C3B" w14:textId="77777777" w:rsidR="0057222E" w:rsidRPr="001B6730" w:rsidRDefault="0057222E" w:rsidP="003848FB">
            <w:pPr>
              <w:spacing w:line="240" w:lineRule="auto"/>
              <w:rPr>
                <w:bCs/>
              </w:rPr>
            </w:pPr>
          </w:p>
        </w:tc>
        <w:tc>
          <w:tcPr>
            <w:tcW w:w="875" w:type="pct"/>
            <w:tcBorders>
              <w:bottom w:val="single" w:sz="12" w:space="0" w:color="auto"/>
            </w:tcBorders>
            <w:shd w:val="clear" w:color="auto" w:fill="auto"/>
            <w:tcMar>
              <w:top w:w="57" w:type="dxa"/>
              <w:bottom w:w="57" w:type="dxa"/>
            </w:tcMar>
          </w:tcPr>
          <w:p w14:paraId="65C1E94E" w14:textId="77777777" w:rsidR="0057222E" w:rsidRPr="001B6730" w:rsidRDefault="0057222E" w:rsidP="003848FB">
            <w:pPr>
              <w:spacing w:line="240" w:lineRule="auto"/>
              <w:rPr>
                <w:bCs/>
              </w:rPr>
            </w:pPr>
          </w:p>
        </w:tc>
        <w:tc>
          <w:tcPr>
            <w:tcW w:w="871" w:type="pct"/>
            <w:tcBorders>
              <w:bottom w:val="single" w:sz="12" w:space="0" w:color="auto"/>
            </w:tcBorders>
            <w:shd w:val="clear" w:color="auto" w:fill="auto"/>
            <w:tcMar>
              <w:top w:w="57" w:type="dxa"/>
              <w:bottom w:w="57" w:type="dxa"/>
            </w:tcMar>
          </w:tcPr>
          <w:p w14:paraId="5B20462D" w14:textId="77777777" w:rsidR="0057222E" w:rsidRPr="001B6730" w:rsidRDefault="0057222E" w:rsidP="003848FB">
            <w:pPr>
              <w:spacing w:line="240" w:lineRule="auto"/>
              <w:rPr>
                <w:bCs/>
              </w:rPr>
            </w:pPr>
          </w:p>
        </w:tc>
      </w:tr>
      <w:tr w:rsidR="0057222E" w:rsidRPr="001B6730" w14:paraId="2507B7B5" w14:textId="77777777" w:rsidTr="003848FB">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14:paraId="76F1CCA3" w14:textId="77777777" w:rsidR="0057222E" w:rsidRPr="001B6730" w:rsidRDefault="0057222E" w:rsidP="003848FB">
            <w:pPr>
              <w:rPr>
                <w:b/>
                <w:bCs/>
              </w:rPr>
            </w:pPr>
            <w:r w:rsidRPr="001B6730">
              <w:rPr>
                <w:b/>
              </w:rPr>
              <w:t>Decision of the STD’s WG:</w:t>
            </w:r>
          </w:p>
        </w:tc>
        <w:tc>
          <w:tcPr>
            <w:tcW w:w="421" w:type="pct"/>
            <w:tcBorders>
              <w:top w:val="single" w:sz="12" w:space="0" w:color="auto"/>
              <w:bottom w:val="single" w:sz="12" w:space="0" w:color="auto"/>
            </w:tcBorders>
            <w:shd w:val="clear" w:color="auto" w:fill="F2F2F2"/>
            <w:tcMar>
              <w:top w:w="0" w:type="dxa"/>
              <w:bottom w:w="0" w:type="dxa"/>
            </w:tcMar>
          </w:tcPr>
          <w:p w14:paraId="35447DBB" w14:textId="77777777" w:rsidR="0057222E" w:rsidRPr="001B6730" w:rsidRDefault="0057222E" w:rsidP="003848FB">
            <w:pPr>
              <w:keepLines/>
              <w:jc w:val="center"/>
              <w:rPr>
                <w:bCs/>
              </w:rPr>
            </w:pPr>
            <w:r w:rsidRPr="001118E2">
              <w:rPr>
                <w:bCs/>
                <w:highlight w:val="yellow"/>
              </w:rPr>
              <w:t>Accepted</w:t>
            </w:r>
          </w:p>
          <w:p w14:paraId="1F98422E" w14:textId="77777777" w:rsidR="0057222E" w:rsidRPr="001B6730" w:rsidRDefault="0057222E" w:rsidP="003848FB">
            <w:pPr>
              <w:keepLines/>
              <w:jc w:val="center"/>
              <w:rPr>
                <w:bCs/>
              </w:rPr>
            </w:pPr>
            <w:r w:rsidRPr="001B6730">
              <w:rPr>
                <w:bCs/>
              </w:rPr>
              <w:t>Refused</w:t>
            </w:r>
          </w:p>
          <w:p w14:paraId="2F2FB0FC" w14:textId="77777777" w:rsidR="0057222E" w:rsidRPr="001B6730" w:rsidRDefault="0057222E" w:rsidP="003848FB">
            <w:pPr>
              <w:keepLines/>
              <w:jc w:val="center"/>
              <w:rPr>
                <w:bCs/>
              </w:rPr>
            </w:pPr>
            <w:r w:rsidRPr="001B6730">
              <w:rPr>
                <w:bCs/>
              </w:rPr>
              <w:t>Postponed</w:t>
            </w:r>
          </w:p>
        </w:tc>
        <w:tc>
          <w:tcPr>
            <w:tcW w:w="1360" w:type="pct"/>
            <w:gridSpan w:val="2"/>
            <w:tcBorders>
              <w:top w:val="single" w:sz="12" w:space="0" w:color="auto"/>
              <w:bottom w:val="single" w:sz="12" w:space="0" w:color="auto"/>
            </w:tcBorders>
            <w:shd w:val="clear" w:color="auto" w:fill="F2F2F2"/>
          </w:tcPr>
          <w:p w14:paraId="53A577F5" w14:textId="77777777" w:rsidR="0057222E" w:rsidRPr="001B6730" w:rsidRDefault="0057222E" w:rsidP="003848FB">
            <w:pPr>
              <w:keepLines/>
              <w:tabs>
                <w:tab w:val="left" w:pos="6663"/>
              </w:tabs>
              <w:jc w:val="center"/>
              <w:rPr>
                <w:bCs/>
              </w:rPr>
            </w:pPr>
            <w:r w:rsidRPr="001B6730">
              <w:rPr>
                <w:bCs/>
                <w:lang w:val="en-US"/>
              </w:rPr>
              <w:t> </w:t>
            </w:r>
          </w:p>
        </w:tc>
        <w:tc>
          <w:tcPr>
            <w:tcW w:w="2508" w:type="pct"/>
            <w:gridSpan w:val="4"/>
            <w:tcBorders>
              <w:top w:val="single" w:sz="12" w:space="0" w:color="auto"/>
              <w:bottom w:val="single" w:sz="12" w:space="0" w:color="auto"/>
            </w:tcBorders>
            <w:shd w:val="clear" w:color="auto" w:fill="F2F2F2"/>
            <w:tcMar>
              <w:top w:w="0" w:type="dxa"/>
              <w:bottom w:w="0" w:type="dxa"/>
            </w:tcMar>
          </w:tcPr>
          <w:tbl>
            <w:tblPr>
              <w:tblW w:w="321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0"/>
              <w:gridCol w:w="2134"/>
            </w:tblGrid>
            <w:tr w:rsidR="005C04E4" w:rsidRPr="001B6730" w14:paraId="448EF624" w14:textId="77777777" w:rsidTr="00264ED1">
              <w:trPr>
                <w:trHeight w:val="227"/>
              </w:trPr>
              <w:tc>
                <w:tcPr>
                  <w:tcW w:w="2328"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0DF7C5A1" w14:textId="77777777" w:rsidR="005C04E4" w:rsidRPr="001B6730" w:rsidRDefault="005C04E4" w:rsidP="003848FB">
                  <w:pPr>
                    <w:jc w:val="center"/>
                    <w:rPr>
                      <w:bCs/>
                    </w:rPr>
                  </w:pPr>
                  <w:r w:rsidRPr="001B6730">
                    <w:rPr>
                      <w:bCs/>
                    </w:rPr>
                    <w:t>Proposed transition regulation</w:t>
                  </w:r>
                </w:p>
              </w:tc>
              <w:tc>
                <w:tcPr>
                  <w:tcW w:w="2672" w:type="pct"/>
                  <w:tcBorders>
                    <w:top w:val="single" w:sz="12" w:space="0" w:color="auto"/>
                    <w:left w:val="single" w:sz="6" w:space="0" w:color="auto"/>
                    <w:bottom w:val="single" w:sz="6" w:space="0" w:color="auto"/>
                    <w:right w:val="single" w:sz="6" w:space="0" w:color="auto"/>
                  </w:tcBorders>
                  <w:shd w:val="clear" w:color="auto" w:fill="F2F2F2"/>
                </w:tcPr>
                <w:p w14:paraId="756559DF" w14:textId="2A22EB26" w:rsidR="005C04E4" w:rsidRPr="001B6730" w:rsidRDefault="005C04E4" w:rsidP="005C04E4">
                  <w:pPr>
                    <w:keepLines/>
                    <w:jc w:val="center"/>
                    <w:rPr>
                      <w:bCs/>
                    </w:rPr>
                  </w:pPr>
                  <w:r w:rsidRPr="001B6730">
                    <w:rPr>
                      <w:bCs/>
                    </w:rPr>
                    <w:t xml:space="preserve">Applicable </w:t>
                  </w:r>
                </w:p>
              </w:tc>
            </w:tr>
            <w:tr w:rsidR="005C04E4" w:rsidRPr="001B6730" w14:paraId="335351FF" w14:textId="77777777" w:rsidTr="00264ED1">
              <w:trPr>
                <w:trHeight w:val="227"/>
              </w:trPr>
              <w:tc>
                <w:tcPr>
                  <w:tcW w:w="2328"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3B858E28" w14:textId="0EE8E5CB" w:rsidR="005C04E4" w:rsidRPr="001B6730" w:rsidRDefault="005C04E4" w:rsidP="003848FB">
                  <w:pPr>
                    <w:jc w:val="center"/>
                    <w:rPr>
                      <w:bCs/>
                    </w:rPr>
                  </w:pPr>
                  <w:r>
                    <w:rPr>
                      <w:bCs/>
                    </w:rPr>
                    <w:t>EN ISO 10462:2013</w:t>
                  </w:r>
                </w:p>
              </w:tc>
              <w:tc>
                <w:tcPr>
                  <w:tcW w:w="2672" w:type="pct"/>
                  <w:tcBorders>
                    <w:top w:val="single" w:sz="6" w:space="0" w:color="auto"/>
                    <w:left w:val="single" w:sz="6" w:space="0" w:color="auto"/>
                    <w:bottom w:val="single" w:sz="6" w:space="0" w:color="auto"/>
                    <w:right w:val="single" w:sz="6" w:space="0" w:color="auto"/>
                  </w:tcBorders>
                  <w:shd w:val="clear" w:color="auto" w:fill="F2F2F2"/>
                </w:tcPr>
                <w:p w14:paraId="32582C3F" w14:textId="5E96A55A" w:rsidR="005C04E4" w:rsidRPr="001B6730" w:rsidRDefault="005C04E4" w:rsidP="003848FB">
                  <w:pPr>
                    <w:suppressAutoHyphens w:val="0"/>
                    <w:autoSpaceDE w:val="0"/>
                    <w:autoSpaceDN w:val="0"/>
                    <w:adjustRightInd w:val="0"/>
                    <w:spacing w:line="240" w:lineRule="auto"/>
                    <w:jc w:val="center"/>
                    <w:rPr>
                      <w:bCs/>
                    </w:rPr>
                  </w:pPr>
                  <w:r>
                    <w:rPr>
                      <w:bCs/>
                    </w:rPr>
                    <w:t>Until 31 December 2022</w:t>
                  </w:r>
                </w:p>
              </w:tc>
            </w:tr>
            <w:tr w:rsidR="005C04E4" w:rsidRPr="001B6730" w14:paraId="400871F8" w14:textId="77777777" w:rsidTr="00264ED1">
              <w:trPr>
                <w:trHeight w:val="227"/>
              </w:trPr>
              <w:tc>
                <w:tcPr>
                  <w:tcW w:w="2328"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1E7D6CD8" w14:textId="62408120" w:rsidR="005C04E4" w:rsidRPr="001B6730" w:rsidRDefault="005C04E4" w:rsidP="003848FB">
                  <w:pPr>
                    <w:jc w:val="center"/>
                    <w:rPr>
                      <w:bCs/>
                    </w:rPr>
                  </w:pPr>
                  <w:r>
                    <w:rPr>
                      <w:bCs/>
                    </w:rPr>
                    <w:t>EN ISO 10462:2013 +AI:2019</w:t>
                  </w:r>
                </w:p>
              </w:tc>
              <w:tc>
                <w:tcPr>
                  <w:tcW w:w="2672" w:type="pct"/>
                  <w:tcBorders>
                    <w:top w:val="single" w:sz="6" w:space="0" w:color="auto"/>
                    <w:left w:val="single" w:sz="6" w:space="0" w:color="auto"/>
                    <w:bottom w:val="single" w:sz="6" w:space="0" w:color="auto"/>
                    <w:right w:val="single" w:sz="6" w:space="0" w:color="auto"/>
                  </w:tcBorders>
                  <w:shd w:val="clear" w:color="auto" w:fill="F2F2F2"/>
                </w:tcPr>
                <w:p w14:paraId="4CC55FB4" w14:textId="5FA69B1D" w:rsidR="005C04E4" w:rsidRPr="001B6730" w:rsidRDefault="005C04E4" w:rsidP="003848FB">
                  <w:pPr>
                    <w:keepNext/>
                    <w:ind w:hanging="22"/>
                    <w:jc w:val="center"/>
                    <w:rPr>
                      <w:bCs/>
                    </w:rPr>
                  </w:pPr>
                  <w:r>
                    <w:rPr>
                      <w:bCs/>
                    </w:rPr>
                    <w:t>Mandatorily from 1 January 2023</w:t>
                  </w:r>
                </w:p>
              </w:tc>
            </w:tr>
            <w:tr w:rsidR="005C04E4" w:rsidRPr="001B6730" w14:paraId="435C297C" w14:textId="77777777" w:rsidTr="00264ED1">
              <w:trPr>
                <w:trHeight w:val="227"/>
              </w:trPr>
              <w:tc>
                <w:tcPr>
                  <w:tcW w:w="2328" w:type="pct"/>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14:paraId="1F091162" w14:textId="77777777" w:rsidR="005C04E4" w:rsidRPr="001B6730" w:rsidRDefault="005C04E4" w:rsidP="003848FB">
                  <w:pPr>
                    <w:jc w:val="center"/>
                    <w:rPr>
                      <w:bCs/>
                    </w:rPr>
                  </w:pPr>
                </w:p>
              </w:tc>
              <w:tc>
                <w:tcPr>
                  <w:tcW w:w="2672" w:type="pct"/>
                  <w:tcBorders>
                    <w:top w:val="single" w:sz="6" w:space="0" w:color="auto"/>
                    <w:left w:val="single" w:sz="6" w:space="0" w:color="auto"/>
                    <w:bottom w:val="single" w:sz="12" w:space="0" w:color="auto"/>
                    <w:right w:val="single" w:sz="6" w:space="0" w:color="auto"/>
                  </w:tcBorders>
                  <w:shd w:val="clear" w:color="auto" w:fill="F2F2F2"/>
                </w:tcPr>
                <w:p w14:paraId="39ECB1B9" w14:textId="77777777" w:rsidR="005C04E4" w:rsidRPr="001B6730" w:rsidRDefault="005C04E4" w:rsidP="003848FB">
                  <w:pPr>
                    <w:keepLines/>
                    <w:jc w:val="center"/>
                    <w:rPr>
                      <w:bCs/>
                    </w:rPr>
                  </w:pPr>
                </w:p>
              </w:tc>
            </w:tr>
          </w:tbl>
          <w:p w14:paraId="41B05708" w14:textId="77777777" w:rsidR="0057222E" w:rsidRPr="001B6730" w:rsidRDefault="0057222E" w:rsidP="003848FB">
            <w:pPr>
              <w:keepLines/>
              <w:tabs>
                <w:tab w:val="left" w:pos="6663"/>
              </w:tabs>
              <w:rPr>
                <w:bCs/>
              </w:rPr>
            </w:pPr>
          </w:p>
        </w:tc>
      </w:tr>
    </w:tbl>
    <w:p w14:paraId="4497E631" w14:textId="3C670DA2" w:rsidR="001B6730" w:rsidRDefault="001B6730" w:rsidP="00BC676D">
      <w:pPr>
        <w:pStyle w:val="SingleTxtG"/>
        <w:spacing w:before="240" w:after="0"/>
        <w:ind w:left="0"/>
        <w:jc w:val="left"/>
        <w:rPr>
          <w:b/>
          <w:sz w:val="24"/>
          <w:szCs w:val="24"/>
          <w:u w:val="single"/>
        </w:rPr>
      </w:pPr>
    </w:p>
    <w:p w14:paraId="5882CC48" w14:textId="16C7B27F" w:rsidR="00D018C5" w:rsidRDefault="00D018C5" w:rsidP="00BC676D">
      <w:pPr>
        <w:pStyle w:val="SingleTxtG"/>
        <w:spacing w:before="240" w:after="0"/>
        <w:ind w:left="0"/>
        <w:jc w:val="left"/>
        <w:rPr>
          <w:b/>
          <w:sz w:val="24"/>
          <w:szCs w:val="24"/>
          <w:u w:val="single"/>
        </w:rPr>
      </w:pPr>
    </w:p>
    <w:p w14:paraId="06176C0F" w14:textId="77777777" w:rsidR="00A20053" w:rsidRDefault="00A20053" w:rsidP="00BC676D">
      <w:pPr>
        <w:pStyle w:val="SingleTxtG"/>
        <w:spacing w:before="240" w:after="0"/>
        <w:ind w:left="0"/>
        <w:jc w:val="left"/>
        <w:rPr>
          <w:b/>
          <w:sz w:val="24"/>
          <w:szCs w:val="24"/>
          <w:u w:val="single"/>
        </w:rPr>
      </w:pPr>
    </w:p>
    <w:p w14:paraId="06ED159E" w14:textId="77777777" w:rsidR="00D018C5" w:rsidRDefault="00D018C5" w:rsidP="00BC676D">
      <w:pPr>
        <w:pStyle w:val="SingleTxtG"/>
        <w:spacing w:before="240" w:after="0"/>
        <w:ind w:left="0"/>
        <w:jc w:val="left"/>
        <w:rPr>
          <w:b/>
          <w:sz w:val="24"/>
          <w:szCs w:val="24"/>
          <w:u w:val="single"/>
        </w:rPr>
      </w:pPr>
    </w:p>
    <w:p w14:paraId="2D3F0836" w14:textId="77777777" w:rsidR="00D018C5" w:rsidRPr="001B6730" w:rsidRDefault="00D018C5" w:rsidP="00D018C5">
      <w:pPr>
        <w:keepNext/>
        <w:keepLines/>
        <w:spacing w:before="360" w:after="240" w:line="270" w:lineRule="exact"/>
        <w:ind w:left="567" w:right="1134" w:hanging="567"/>
      </w:pPr>
      <w:r w:rsidRPr="001B6730">
        <w:lastRenderedPageBreak/>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69"/>
        <w:gridCol w:w="1003"/>
        <w:gridCol w:w="25"/>
        <w:gridCol w:w="1064"/>
        <w:gridCol w:w="3414"/>
        <w:gridCol w:w="23"/>
        <w:gridCol w:w="1908"/>
        <w:gridCol w:w="18"/>
        <w:gridCol w:w="2211"/>
        <w:gridCol w:w="2201"/>
      </w:tblGrid>
      <w:tr w:rsidR="00D018C5" w:rsidRPr="001B6730" w14:paraId="30897464" w14:textId="77777777" w:rsidTr="003848FB">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14:paraId="662AC9CB" w14:textId="28A9754F" w:rsidR="00D018C5" w:rsidRPr="001B6730" w:rsidRDefault="00D018C5" w:rsidP="003848FB">
            <w:pPr>
              <w:jc w:val="center"/>
              <w:rPr>
                <w:b/>
                <w:iCs/>
                <w:lang w:val="es-ES"/>
              </w:rPr>
            </w:pPr>
            <w:r>
              <w:rPr>
                <w:b/>
                <w:iCs/>
                <w:lang w:val="es-ES"/>
              </w:rPr>
              <w:t>EN ISO 10460:2018</w:t>
            </w:r>
          </w:p>
        </w:tc>
        <w:tc>
          <w:tcPr>
            <w:tcW w:w="1782" w:type="pct"/>
            <w:gridSpan w:val="3"/>
            <w:vMerge w:val="restart"/>
            <w:tcBorders>
              <w:top w:val="single" w:sz="12" w:space="0" w:color="auto"/>
            </w:tcBorders>
            <w:shd w:val="clear" w:color="auto" w:fill="F3F3F3"/>
            <w:tcMar>
              <w:top w:w="28" w:type="dxa"/>
              <w:bottom w:w="28" w:type="dxa"/>
            </w:tcMar>
          </w:tcPr>
          <w:p w14:paraId="128C6A35" w14:textId="01AFD9F1" w:rsidR="00D018C5" w:rsidRPr="005C04E4" w:rsidRDefault="00D018C5" w:rsidP="00D018C5">
            <w:pPr>
              <w:jc w:val="center"/>
              <w:rPr>
                <w:b/>
                <w:iCs/>
              </w:rPr>
            </w:pPr>
            <w:r w:rsidRPr="005C04E4">
              <w:rPr>
                <w:b/>
                <w:iCs/>
              </w:rPr>
              <w:t xml:space="preserve">Gas cylinders - Welded aluminium-alloy, carbon and </w:t>
            </w:r>
            <w:proofErr w:type="gramStart"/>
            <w:r w:rsidRPr="005C04E4">
              <w:rPr>
                <w:b/>
                <w:iCs/>
              </w:rPr>
              <w:t>stainless steel</w:t>
            </w:r>
            <w:proofErr w:type="gramEnd"/>
            <w:r w:rsidRPr="005C04E4">
              <w:rPr>
                <w:b/>
                <w:iCs/>
              </w:rPr>
              <w:t xml:space="preserve"> gas cylinders - Periodic inspection and testing</w:t>
            </w:r>
          </w:p>
        </w:tc>
        <w:tc>
          <w:tcPr>
            <w:tcW w:w="764" w:type="pct"/>
            <w:gridSpan w:val="2"/>
            <w:vMerge w:val="restart"/>
            <w:tcBorders>
              <w:top w:val="single" w:sz="12" w:space="0" w:color="auto"/>
            </w:tcBorders>
            <w:shd w:val="clear" w:color="auto" w:fill="F3F3F3"/>
            <w:tcMar>
              <w:top w:w="28" w:type="dxa"/>
              <w:bottom w:w="28" w:type="dxa"/>
            </w:tcMar>
          </w:tcPr>
          <w:p w14:paraId="2FD33797" w14:textId="77777777" w:rsidR="00D018C5" w:rsidRPr="001B6730" w:rsidRDefault="00D018C5" w:rsidP="003848FB">
            <w:pPr>
              <w:suppressAutoHyphens w:val="0"/>
              <w:spacing w:line="240" w:lineRule="auto"/>
              <w:jc w:val="center"/>
              <w:rPr>
                <w:rFonts w:eastAsia="Batang"/>
                <w:b/>
                <w:bCs/>
              </w:rPr>
            </w:pPr>
            <w:r w:rsidRPr="001B6730">
              <w:rPr>
                <w:b/>
                <w:bCs/>
              </w:rPr>
              <w:t>Where to refer in RID/ADR</w:t>
            </w:r>
          </w:p>
          <w:p w14:paraId="55086882" w14:textId="4E0B8521" w:rsidR="00D018C5" w:rsidRPr="005C04E4" w:rsidRDefault="005C04E4" w:rsidP="003848FB">
            <w:pPr>
              <w:jc w:val="center"/>
              <w:rPr>
                <w:b/>
              </w:rPr>
            </w:pPr>
            <w:r w:rsidRPr="005C04E4">
              <w:rPr>
                <w:b/>
              </w:rPr>
              <w:t>6.2.4.2</w:t>
            </w:r>
          </w:p>
        </w:tc>
        <w:tc>
          <w:tcPr>
            <w:tcW w:w="1753" w:type="pct"/>
            <w:gridSpan w:val="3"/>
            <w:vMerge w:val="restart"/>
            <w:tcBorders>
              <w:top w:val="single" w:sz="12" w:space="0" w:color="auto"/>
            </w:tcBorders>
            <w:shd w:val="clear" w:color="auto" w:fill="F3F3F3"/>
            <w:tcMar>
              <w:top w:w="28" w:type="dxa"/>
              <w:bottom w:w="28" w:type="dxa"/>
            </w:tcMar>
          </w:tcPr>
          <w:p w14:paraId="3E9E1619" w14:textId="77777777" w:rsidR="00D018C5" w:rsidRDefault="00D018C5" w:rsidP="003848FB">
            <w:pPr>
              <w:jc w:val="center"/>
              <w:rPr>
                <w:rFonts w:ascii="(Asiatische Schriftart verwende" w:hAnsi="(Asiatische Schriftart verwende"/>
                <w:b/>
              </w:rPr>
            </w:pPr>
            <w:r w:rsidRPr="00632536">
              <w:rPr>
                <w:rFonts w:ascii="(Asiatische Schriftart verwende" w:hAnsi="(Asiatische Schriftart verwende"/>
                <w:b/>
              </w:rPr>
              <w:t>Applicable sub-sections and paragraphs</w:t>
            </w:r>
            <w:r>
              <w:rPr>
                <w:rFonts w:ascii="(Asiatische Schriftart verwende" w:hAnsi="(Asiatische Schriftart verwende"/>
                <w:b/>
              </w:rPr>
              <w:t>:</w:t>
            </w:r>
          </w:p>
          <w:p w14:paraId="51C292E0" w14:textId="5452528C" w:rsidR="00D018C5" w:rsidRPr="001B6730" w:rsidRDefault="005C04E4" w:rsidP="003848FB">
            <w:pPr>
              <w:jc w:val="center"/>
              <w:rPr>
                <w:rFonts w:ascii="(Asiatische Schriftart verwende" w:hAnsi="(Asiatische Schriftart verwende"/>
                <w:b/>
              </w:rPr>
            </w:pPr>
            <w:r>
              <w:rPr>
                <w:rFonts w:ascii="(Asiatische Schriftart verwende" w:hAnsi="(Asiatische Schriftart verwende"/>
                <w:b/>
                <w:lang w:val="en-US"/>
              </w:rPr>
              <w:t>Not required</w:t>
            </w:r>
          </w:p>
        </w:tc>
      </w:tr>
      <w:tr w:rsidR="00D018C5" w:rsidRPr="001B6730" w14:paraId="44AEFCF4" w14:textId="77777777" w:rsidTr="003848FB">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14:paraId="2442F214" w14:textId="4DD05134" w:rsidR="00D018C5" w:rsidRPr="001B6730" w:rsidRDefault="00D018C5" w:rsidP="003848FB">
            <w:pPr>
              <w:jc w:val="center"/>
              <w:rPr>
                <w:spacing w:val="-3"/>
              </w:rPr>
            </w:pPr>
            <w:r>
              <w:rPr>
                <w:spacing w:val="-3"/>
              </w:rPr>
              <w:t>00023205</w:t>
            </w:r>
          </w:p>
        </w:tc>
        <w:tc>
          <w:tcPr>
            <w:tcW w:w="1782" w:type="pct"/>
            <w:gridSpan w:val="3"/>
            <w:vMerge/>
            <w:tcBorders>
              <w:bottom w:val="single" w:sz="6" w:space="0" w:color="auto"/>
            </w:tcBorders>
            <w:shd w:val="clear" w:color="auto" w:fill="F3F3F3"/>
            <w:tcMar>
              <w:top w:w="28" w:type="dxa"/>
              <w:bottom w:w="28" w:type="dxa"/>
            </w:tcMar>
          </w:tcPr>
          <w:p w14:paraId="374DA343" w14:textId="77777777" w:rsidR="00D018C5" w:rsidRPr="001B6730" w:rsidRDefault="00D018C5" w:rsidP="003848FB">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387D0B72" w14:textId="77777777" w:rsidR="00D018C5" w:rsidRPr="001B6730" w:rsidRDefault="00D018C5" w:rsidP="00D018C5">
            <w:pPr>
              <w:numPr>
                <w:ilvl w:val="0"/>
                <w:numId w:val="13"/>
              </w:numPr>
              <w:tabs>
                <w:tab w:val="clear" w:pos="1494"/>
              </w:tabs>
              <w:suppressAutoHyphens w:val="0"/>
              <w:spacing w:line="240" w:lineRule="auto"/>
              <w:ind w:left="0"/>
              <w:jc w:val="center"/>
              <w:rPr>
                <w:b/>
                <w:bCs/>
              </w:rPr>
            </w:pPr>
          </w:p>
        </w:tc>
        <w:tc>
          <w:tcPr>
            <w:tcW w:w="1753" w:type="pct"/>
            <w:gridSpan w:val="3"/>
            <w:vMerge/>
            <w:tcBorders>
              <w:bottom w:val="single" w:sz="6" w:space="0" w:color="auto"/>
            </w:tcBorders>
            <w:shd w:val="clear" w:color="auto" w:fill="F3F3F3"/>
            <w:tcMar>
              <w:top w:w="28" w:type="dxa"/>
              <w:bottom w:w="28" w:type="dxa"/>
            </w:tcMar>
          </w:tcPr>
          <w:p w14:paraId="302CE08B" w14:textId="77777777" w:rsidR="00D018C5" w:rsidRPr="001B6730" w:rsidRDefault="00D018C5" w:rsidP="00D018C5">
            <w:pPr>
              <w:numPr>
                <w:ilvl w:val="0"/>
                <w:numId w:val="13"/>
              </w:numPr>
              <w:tabs>
                <w:tab w:val="clear" w:pos="1494"/>
              </w:tabs>
              <w:suppressAutoHyphens w:val="0"/>
              <w:spacing w:line="240" w:lineRule="auto"/>
              <w:ind w:left="0"/>
              <w:jc w:val="center"/>
              <w:rPr>
                <w:b/>
                <w:bCs/>
              </w:rPr>
            </w:pPr>
          </w:p>
        </w:tc>
      </w:tr>
      <w:tr w:rsidR="00D018C5" w:rsidRPr="001B6730" w14:paraId="713655C3" w14:textId="77777777" w:rsidTr="003848FB">
        <w:tc>
          <w:tcPr>
            <w:tcW w:w="5000" w:type="pct"/>
            <w:gridSpan w:val="10"/>
            <w:tcBorders>
              <w:top w:val="single" w:sz="6" w:space="0" w:color="auto"/>
            </w:tcBorders>
            <w:shd w:val="clear" w:color="auto" w:fill="auto"/>
          </w:tcPr>
          <w:p w14:paraId="082AE8EC" w14:textId="7535B16D" w:rsidR="00D018C5" w:rsidRPr="001B6730" w:rsidRDefault="00D018C5" w:rsidP="00F753B9">
            <w:pPr>
              <w:tabs>
                <w:tab w:val="num" w:pos="1134"/>
              </w:tabs>
              <w:jc w:val="both"/>
              <w:rPr>
                <w:rFonts w:eastAsia="MS Mincho"/>
                <w:lang w:eastAsia="ja-JP"/>
              </w:rPr>
            </w:pPr>
            <w:r w:rsidRPr="001B6730">
              <w:rPr>
                <w:rFonts w:eastAsia="MS Mincho"/>
                <w:lang w:eastAsia="ja-JP"/>
              </w:rPr>
              <w:t xml:space="preserve">Assessment by </w:t>
            </w:r>
            <w:r w:rsidR="00F753B9">
              <w:rPr>
                <w:rFonts w:eastAsia="MS Mincho"/>
                <w:lang w:eastAsia="ja-JP"/>
              </w:rPr>
              <w:t>Advisor</w:t>
            </w:r>
            <w:r w:rsidRPr="001B6730">
              <w:rPr>
                <w:rFonts w:eastAsia="MS Mincho"/>
                <w:lang w:eastAsia="ja-JP"/>
              </w:rPr>
              <w:t xml:space="preserve"> awaited</w:t>
            </w:r>
          </w:p>
        </w:tc>
      </w:tr>
      <w:tr w:rsidR="00D018C5" w:rsidRPr="001B6730" w14:paraId="26006F4E" w14:textId="77777777" w:rsidTr="003848FB">
        <w:tc>
          <w:tcPr>
            <w:tcW w:w="5000" w:type="pct"/>
            <w:gridSpan w:val="10"/>
            <w:tcBorders>
              <w:top w:val="single" w:sz="6" w:space="0" w:color="auto"/>
            </w:tcBorders>
            <w:shd w:val="clear" w:color="auto" w:fill="auto"/>
          </w:tcPr>
          <w:p w14:paraId="4C85043D" w14:textId="77777777" w:rsidR="00D018C5" w:rsidRPr="001B6730" w:rsidRDefault="00D018C5" w:rsidP="003848FB">
            <w:pPr>
              <w:tabs>
                <w:tab w:val="num" w:pos="1134"/>
              </w:tabs>
              <w:jc w:val="both"/>
              <w:rPr>
                <w:rFonts w:eastAsia="MS Mincho"/>
                <w:lang w:eastAsia="ja-JP"/>
              </w:rPr>
            </w:pPr>
            <w:r w:rsidRPr="001B6730">
              <w:rPr>
                <w:rFonts w:eastAsia="MS Mincho"/>
                <w:lang w:eastAsia="ja-JP"/>
              </w:rPr>
              <w:t xml:space="preserve">Enquiry draft discussed by STD’s WG in </w:t>
            </w:r>
          </w:p>
        </w:tc>
      </w:tr>
      <w:tr w:rsidR="00D018C5" w:rsidRPr="001B6730" w14:paraId="0C712AD0" w14:textId="77777777" w:rsidTr="003848FB">
        <w:trPr>
          <w:trHeight w:val="160"/>
        </w:trPr>
        <w:tc>
          <w:tcPr>
            <w:tcW w:w="5000" w:type="pct"/>
            <w:gridSpan w:val="10"/>
            <w:shd w:val="clear" w:color="auto" w:fill="auto"/>
          </w:tcPr>
          <w:p w14:paraId="79BAC053" w14:textId="77777777" w:rsidR="00D018C5" w:rsidRPr="001B6730" w:rsidRDefault="00D018C5" w:rsidP="003848FB">
            <w:pPr>
              <w:rPr>
                <w:b/>
                <w:iCs/>
              </w:rPr>
            </w:pPr>
            <w:r w:rsidRPr="001B6730">
              <w:rPr>
                <w:b/>
                <w:iCs/>
              </w:rPr>
              <w:t>Comments from members of the Joint Meeting</w:t>
            </w:r>
            <w:r w:rsidRPr="001B6730">
              <w:rPr>
                <w:b/>
              </w:rPr>
              <w:t>:</w:t>
            </w:r>
          </w:p>
        </w:tc>
      </w:tr>
      <w:tr w:rsidR="00D018C5" w:rsidRPr="001B6730" w14:paraId="5631FDB7" w14:textId="77777777" w:rsidTr="003848FB">
        <w:tc>
          <w:tcPr>
            <w:tcW w:w="304" w:type="pct"/>
            <w:shd w:val="clear" w:color="auto" w:fill="auto"/>
            <w:tcMar>
              <w:top w:w="57" w:type="dxa"/>
              <w:bottom w:w="57" w:type="dxa"/>
            </w:tcMar>
          </w:tcPr>
          <w:p w14:paraId="6C842E60" w14:textId="77777777" w:rsidR="00D018C5" w:rsidRPr="001B6730" w:rsidRDefault="00D018C5" w:rsidP="003848FB">
            <w:pPr>
              <w:jc w:val="center"/>
            </w:pPr>
            <w:r w:rsidRPr="001B6730">
              <w:t>Country</w:t>
            </w:r>
          </w:p>
        </w:tc>
        <w:tc>
          <w:tcPr>
            <w:tcW w:w="407" w:type="pct"/>
            <w:gridSpan w:val="2"/>
            <w:shd w:val="clear" w:color="auto" w:fill="auto"/>
            <w:tcMar>
              <w:top w:w="57" w:type="dxa"/>
              <w:bottom w:w="57" w:type="dxa"/>
            </w:tcMar>
          </w:tcPr>
          <w:p w14:paraId="25F3F749" w14:textId="77777777" w:rsidR="00D018C5" w:rsidRPr="001B6730" w:rsidRDefault="00D018C5" w:rsidP="003848FB">
            <w:pPr>
              <w:jc w:val="center"/>
            </w:pPr>
            <w:r w:rsidRPr="001B6730">
              <w:t>Clause No.</w:t>
            </w:r>
          </w:p>
        </w:tc>
        <w:tc>
          <w:tcPr>
            <w:tcW w:w="1781" w:type="pct"/>
            <w:gridSpan w:val="3"/>
            <w:shd w:val="clear" w:color="auto" w:fill="auto"/>
            <w:tcMar>
              <w:top w:w="57" w:type="dxa"/>
              <w:bottom w:w="57" w:type="dxa"/>
            </w:tcMar>
          </w:tcPr>
          <w:p w14:paraId="1B628044" w14:textId="77777777" w:rsidR="00D018C5" w:rsidRPr="001B6730" w:rsidRDefault="00D018C5" w:rsidP="003848FB">
            <w:pPr>
              <w:jc w:val="center"/>
            </w:pPr>
            <w:r w:rsidRPr="001B6730">
              <w:t xml:space="preserve">Comment (justification for change) </w:t>
            </w:r>
          </w:p>
        </w:tc>
        <w:tc>
          <w:tcPr>
            <w:tcW w:w="762" w:type="pct"/>
            <w:gridSpan w:val="2"/>
            <w:shd w:val="clear" w:color="auto" w:fill="auto"/>
            <w:tcMar>
              <w:top w:w="57" w:type="dxa"/>
              <w:bottom w:w="57" w:type="dxa"/>
            </w:tcMar>
          </w:tcPr>
          <w:p w14:paraId="2CDF74E4" w14:textId="77777777" w:rsidR="00D018C5" w:rsidRPr="001B6730" w:rsidRDefault="00D018C5" w:rsidP="003848FB">
            <w:pPr>
              <w:jc w:val="center"/>
            </w:pPr>
            <w:r w:rsidRPr="001B6730">
              <w:t xml:space="preserve">Proposed change </w:t>
            </w:r>
          </w:p>
        </w:tc>
        <w:tc>
          <w:tcPr>
            <w:tcW w:w="875" w:type="pct"/>
            <w:shd w:val="clear" w:color="auto" w:fill="auto"/>
            <w:tcMar>
              <w:top w:w="57" w:type="dxa"/>
              <w:bottom w:w="57" w:type="dxa"/>
            </w:tcMar>
          </w:tcPr>
          <w:p w14:paraId="13940D8C" w14:textId="77777777" w:rsidR="00D018C5" w:rsidRPr="001B6730" w:rsidRDefault="00D018C5" w:rsidP="003848FB">
            <w:pPr>
              <w:jc w:val="center"/>
            </w:pPr>
            <w:r w:rsidRPr="001B6730">
              <w:t>Comment from CEN Consultant</w:t>
            </w:r>
          </w:p>
        </w:tc>
        <w:tc>
          <w:tcPr>
            <w:tcW w:w="871" w:type="pct"/>
            <w:shd w:val="clear" w:color="auto" w:fill="auto"/>
          </w:tcPr>
          <w:p w14:paraId="31D8689C" w14:textId="77777777" w:rsidR="00D018C5" w:rsidRPr="001B6730" w:rsidRDefault="00D018C5" w:rsidP="003848FB">
            <w:pPr>
              <w:jc w:val="center"/>
            </w:pPr>
            <w:r w:rsidRPr="001B6730">
              <w:t>Comment from WG Standards</w:t>
            </w:r>
          </w:p>
        </w:tc>
      </w:tr>
      <w:tr w:rsidR="00D018C5" w:rsidRPr="001B6730" w14:paraId="41ABFDF7" w14:textId="77777777" w:rsidTr="003848FB">
        <w:tc>
          <w:tcPr>
            <w:tcW w:w="304" w:type="pct"/>
            <w:shd w:val="clear" w:color="auto" w:fill="auto"/>
            <w:tcMar>
              <w:top w:w="57" w:type="dxa"/>
              <w:bottom w:w="57" w:type="dxa"/>
            </w:tcMar>
          </w:tcPr>
          <w:p w14:paraId="56DF358A" w14:textId="77777777" w:rsidR="00D018C5" w:rsidRPr="001B6730" w:rsidRDefault="00D018C5" w:rsidP="003848FB">
            <w:pPr>
              <w:spacing w:line="240" w:lineRule="auto"/>
              <w:jc w:val="center"/>
              <w:rPr>
                <w:bCs/>
              </w:rPr>
            </w:pPr>
          </w:p>
        </w:tc>
        <w:tc>
          <w:tcPr>
            <w:tcW w:w="407" w:type="pct"/>
            <w:gridSpan w:val="2"/>
            <w:shd w:val="clear" w:color="auto" w:fill="auto"/>
            <w:tcMar>
              <w:top w:w="57" w:type="dxa"/>
              <w:bottom w:w="57" w:type="dxa"/>
            </w:tcMar>
          </w:tcPr>
          <w:p w14:paraId="4C15C3BA" w14:textId="77777777" w:rsidR="00D018C5" w:rsidRPr="001B6730" w:rsidRDefault="00D018C5" w:rsidP="003848FB">
            <w:pPr>
              <w:spacing w:line="240" w:lineRule="auto"/>
              <w:rPr>
                <w:bCs/>
              </w:rPr>
            </w:pPr>
          </w:p>
        </w:tc>
        <w:tc>
          <w:tcPr>
            <w:tcW w:w="1781" w:type="pct"/>
            <w:gridSpan w:val="3"/>
            <w:shd w:val="clear" w:color="auto" w:fill="auto"/>
            <w:tcMar>
              <w:top w:w="57" w:type="dxa"/>
              <w:bottom w:w="57" w:type="dxa"/>
            </w:tcMar>
          </w:tcPr>
          <w:p w14:paraId="7A02932E" w14:textId="77777777" w:rsidR="00D018C5" w:rsidRPr="001B6730" w:rsidRDefault="00D018C5" w:rsidP="003848FB">
            <w:pPr>
              <w:tabs>
                <w:tab w:val="left" w:pos="6663"/>
              </w:tabs>
              <w:spacing w:line="240" w:lineRule="auto"/>
              <w:rPr>
                <w:bCs/>
              </w:rPr>
            </w:pPr>
          </w:p>
        </w:tc>
        <w:tc>
          <w:tcPr>
            <w:tcW w:w="762" w:type="pct"/>
            <w:gridSpan w:val="2"/>
            <w:shd w:val="clear" w:color="auto" w:fill="auto"/>
            <w:tcMar>
              <w:top w:w="57" w:type="dxa"/>
              <w:bottom w:w="57" w:type="dxa"/>
            </w:tcMar>
          </w:tcPr>
          <w:p w14:paraId="4FD53908" w14:textId="77777777" w:rsidR="00D018C5" w:rsidRPr="001B6730" w:rsidRDefault="00D018C5" w:rsidP="003848FB">
            <w:pPr>
              <w:spacing w:line="240" w:lineRule="auto"/>
              <w:rPr>
                <w:bCs/>
              </w:rPr>
            </w:pPr>
          </w:p>
        </w:tc>
        <w:tc>
          <w:tcPr>
            <w:tcW w:w="875" w:type="pct"/>
            <w:shd w:val="clear" w:color="auto" w:fill="auto"/>
            <w:tcMar>
              <w:top w:w="57" w:type="dxa"/>
              <w:bottom w:w="57" w:type="dxa"/>
            </w:tcMar>
          </w:tcPr>
          <w:p w14:paraId="41F9C258" w14:textId="77777777" w:rsidR="00D018C5" w:rsidRPr="001B6730" w:rsidRDefault="00D018C5" w:rsidP="003848FB">
            <w:pPr>
              <w:spacing w:line="240" w:lineRule="auto"/>
              <w:rPr>
                <w:bCs/>
              </w:rPr>
            </w:pPr>
          </w:p>
        </w:tc>
        <w:tc>
          <w:tcPr>
            <w:tcW w:w="871" w:type="pct"/>
            <w:shd w:val="clear" w:color="auto" w:fill="auto"/>
            <w:tcMar>
              <w:top w:w="57" w:type="dxa"/>
              <w:bottom w:w="57" w:type="dxa"/>
            </w:tcMar>
          </w:tcPr>
          <w:p w14:paraId="25A18D07" w14:textId="77777777" w:rsidR="00D018C5" w:rsidRPr="001B6730" w:rsidRDefault="00D018C5" w:rsidP="003848FB">
            <w:pPr>
              <w:spacing w:line="240" w:lineRule="auto"/>
              <w:rPr>
                <w:bCs/>
              </w:rPr>
            </w:pPr>
          </w:p>
        </w:tc>
      </w:tr>
      <w:tr w:rsidR="00D018C5" w:rsidRPr="001B6730" w14:paraId="7F0F921B" w14:textId="77777777" w:rsidTr="003848FB">
        <w:tc>
          <w:tcPr>
            <w:tcW w:w="304" w:type="pct"/>
            <w:tcBorders>
              <w:bottom w:val="single" w:sz="12" w:space="0" w:color="auto"/>
            </w:tcBorders>
            <w:shd w:val="clear" w:color="auto" w:fill="auto"/>
            <w:tcMar>
              <w:top w:w="57" w:type="dxa"/>
              <w:bottom w:w="57" w:type="dxa"/>
            </w:tcMar>
          </w:tcPr>
          <w:p w14:paraId="7E3ABDF3" w14:textId="77777777" w:rsidR="00D018C5" w:rsidRPr="001B6730" w:rsidRDefault="00D018C5" w:rsidP="003848FB">
            <w:pPr>
              <w:spacing w:line="240" w:lineRule="auto"/>
              <w:jc w:val="center"/>
              <w:rPr>
                <w:bCs/>
              </w:rPr>
            </w:pPr>
          </w:p>
        </w:tc>
        <w:tc>
          <w:tcPr>
            <w:tcW w:w="407" w:type="pct"/>
            <w:gridSpan w:val="2"/>
            <w:tcBorders>
              <w:bottom w:val="single" w:sz="12" w:space="0" w:color="auto"/>
            </w:tcBorders>
            <w:shd w:val="clear" w:color="auto" w:fill="auto"/>
            <w:tcMar>
              <w:top w:w="57" w:type="dxa"/>
              <w:bottom w:w="57" w:type="dxa"/>
            </w:tcMar>
          </w:tcPr>
          <w:p w14:paraId="2E960F96" w14:textId="77777777" w:rsidR="00D018C5" w:rsidRPr="001B6730" w:rsidRDefault="00D018C5" w:rsidP="003848FB">
            <w:pPr>
              <w:spacing w:line="240" w:lineRule="auto"/>
              <w:rPr>
                <w:bCs/>
              </w:rPr>
            </w:pPr>
          </w:p>
        </w:tc>
        <w:tc>
          <w:tcPr>
            <w:tcW w:w="1781" w:type="pct"/>
            <w:gridSpan w:val="3"/>
            <w:tcBorders>
              <w:bottom w:val="single" w:sz="12" w:space="0" w:color="auto"/>
            </w:tcBorders>
            <w:shd w:val="clear" w:color="auto" w:fill="auto"/>
            <w:tcMar>
              <w:top w:w="57" w:type="dxa"/>
              <w:bottom w:w="57" w:type="dxa"/>
            </w:tcMar>
          </w:tcPr>
          <w:p w14:paraId="4DE0AE28" w14:textId="77777777" w:rsidR="00D018C5" w:rsidRPr="001B6730" w:rsidRDefault="00D018C5" w:rsidP="003848FB">
            <w:pPr>
              <w:tabs>
                <w:tab w:val="left" w:pos="6663"/>
              </w:tabs>
              <w:spacing w:line="240" w:lineRule="auto"/>
              <w:rPr>
                <w:bCs/>
              </w:rPr>
            </w:pPr>
          </w:p>
        </w:tc>
        <w:tc>
          <w:tcPr>
            <w:tcW w:w="762" w:type="pct"/>
            <w:gridSpan w:val="2"/>
            <w:tcBorders>
              <w:bottom w:val="single" w:sz="12" w:space="0" w:color="auto"/>
            </w:tcBorders>
            <w:shd w:val="clear" w:color="auto" w:fill="auto"/>
            <w:tcMar>
              <w:top w:w="57" w:type="dxa"/>
              <w:bottom w:w="57" w:type="dxa"/>
            </w:tcMar>
          </w:tcPr>
          <w:p w14:paraId="3F860501" w14:textId="77777777" w:rsidR="00D018C5" w:rsidRPr="001B6730" w:rsidRDefault="00D018C5" w:rsidP="003848FB">
            <w:pPr>
              <w:spacing w:line="240" w:lineRule="auto"/>
              <w:rPr>
                <w:bCs/>
              </w:rPr>
            </w:pPr>
          </w:p>
        </w:tc>
        <w:tc>
          <w:tcPr>
            <w:tcW w:w="875" w:type="pct"/>
            <w:tcBorders>
              <w:bottom w:val="single" w:sz="12" w:space="0" w:color="auto"/>
            </w:tcBorders>
            <w:shd w:val="clear" w:color="auto" w:fill="auto"/>
            <w:tcMar>
              <w:top w:w="57" w:type="dxa"/>
              <w:bottom w:w="57" w:type="dxa"/>
            </w:tcMar>
          </w:tcPr>
          <w:p w14:paraId="137AD45A" w14:textId="77777777" w:rsidR="00D018C5" w:rsidRPr="001B6730" w:rsidRDefault="00D018C5" w:rsidP="003848FB">
            <w:pPr>
              <w:spacing w:line="240" w:lineRule="auto"/>
              <w:rPr>
                <w:bCs/>
              </w:rPr>
            </w:pPr>
          </w:p>
        </w:tc>
        <w:tc>
          <w:tcPr>
            <w:tcW w:w="871" w:type="pct"/>
            <w:tcBorders>
              <w:bottom w:val="single" w:sz="12" w:space="0" w:color="auto"/>
            </w:tcBorders>
            <w:shd w:val="clear" w:color="auto" w:fill="auto"/>
            <w:tcMar>
              <w:top w:w="57" w:type="dxa"/>
              <w:bottom w:w="57" w:type="dxa"/>
            </w:tcMar>
          </w:tcPr>
          <w:p w14:paraId="6A314421" w14:textId="77777777" w:rsidR="00D018C5" w:rsidRPr="001B6730" w:rsidRDefault="00D018C5" w:rsidP="003848FB">
            <w:pPr>
              <w:spacing w:line="240" w:lineRule="auto"/>
              <w:rPr>
                <w:bCs/>
              </w:rPr>
            </w:pPr>
          </w:p>
        </w:tc>
      </w:tr>
      <w:tr w:rsidR="00D018C5" w:rsidRPr="001B6730" w14:paraId="1AB7A7D6" w14:textId="77777777" w:rsidTr="003848FB">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14:paraId="13651A23" w14:textId="77777777" w:rsidR="00D018C5" w:rsidRPr="001B6730" w:rsidRDefault="00D018C5" w:rsidP="003848FB">
            <w:pPr>
              <w:rPr>
                <w:b/>
                <w:bCs/>
              </w:rPr>
            </w:pPr>
            <w:r w:rsidRPr="001B6730">
              <w:rPr>
                <w:b/>
              </w:rPr>
              <w:t>Decision of the STD’s WG:</w:t>
            </w:r>
          </w:p>
        </w:tc>
        <w:tc>
          <w:tcPr>
            <w:tcW w:w="421" w:type="pct"/>
            <w:tcBorders>
              <w:top w:val="single" w:sz="12" w:space="0" w:color="auto"/>
              <w:bottom w:val="single" w:sz="12" w:space="0" w:color="auto"/>
            </w:tcBorders>
            <w:shd w:val="clear" w:color="auto" w:fill="F2F2F2"/>
            <w:tcMar>
              <w:top w:w="0" w:type="dxa"/>
              <w:bottom w:w="0" w:type="dxa"/>
            </w:tcMar>
          </w:tcPr>
          <w:p w14:paraId="28A85BCD" w14:textId="77777777" w:rsidR="00D018C5" w:rsidRPr="001B6730" w:rsidRDefault="00D018C5" w:rsidP="003848FB">
            <w:pPr>
              <w:keepLines/>
              <w:jc w:val="center"/>
              <w:rPr>
                <w:bCs/>
              </w:rPr>
            </w:pPr>
            <w:r w:rsidRPr="001118E2">
              <w:rPr>
                <w:bCs/>
                <w:highlight w:val="yellow"/>
              </w:rPr>
              <w:t>Accepted</w:t>
            </w:r>
          </w:p>
          <w:p w14:paraId="5DD68BF5" w14:textId="77777777" w:rsidR="00D018C5" w:rsidRPr="001B6730" w:rsidRDefault="00D018C5" w:rsidP="003848FB">
            <w:pPr>
              <w:keepLines/>
              <w:jc w:val="center"/>
              <w:rPr>
                <w:bCs/>
              </w:rPr>
            </w:pPr>
            <w:r w:rsidRPr="001B6730">
              <w:rPr>
                <w:bCs/>
              </w:rPr>
              <w:t>Refused</w:t>
            </w:r>
          </w:p>
          <w:p w14:paraId="0AC41099" w14:textId="77777777" w:rsidR="00D018C5" w:rsidRPr="001B6730" w:rsidRDefault="00D018C5" w:rsidP="003848FB">
            <w:pPr>
              <w:keepLines/>
              <w:jc w:val="center"/>
              <w:rPr>
                <w:bCs/>
              </w:rPr>
            </w:pPr>
            <w:r w:rsidRPr="001B6730">
              <w:rPr>
                <w:bCs/>
              </w:rPr>
              <w:t>Postponed</w:t>
            </w:r>
          </w:p>
        </w:tc>
        <w:tc>
          <w:tcPr>
            <w:tcW w:w="1360" w:type="pct"/>
            <w:gridSpan w:val="2"/>
            <w:tcBorders>
              <w:top w:val="single" w:sz="12" w:space="0" w:color="auto"/>
              <w:bottom w:val="single" w:sz="12" w:space="0" w:color="auto"/>
            </w:tcBorders>
            <w:shd w:val="clear" w:color="auto" w:fill="F2F2F2"/>
          </w:tcPr>
          <w:p w14:paraId="1EBD61DA" w14:textId="77777777" w:rsidR="00D018C5" w:rsidRPr="001B6730" w:rsidRDefault="00D018C5" w:rsidP="003848FB">
            <w:pPr>
              <w:keepLines/>
              <w:tabs>
                <w:tab w:val="left" w:pos="6663"/>
              </w:tabs>
              <w:jc w:val="center"/>
              <w:rPr>
                <w:bCs/>
              </w:rPr>
            </w:pPr>
            <w:r w:rsidRPr="001B6730">
              <w:rPr>
                <w:bCs/>
                <w:lang w:val="en-US"/>
              </w:rPr>
              <w:t> </w:t>
            </w:r>
          </w:p>
        </w:tc>
        <w:tc>
          <w:tcPr>
            <w:tcW w:w="2508" w:type="pct"/>
            <w:gridSpan w:val="4"/>
            <w:tcBorders>
              <w:top w:val="single" w:sz="12" w:space="0" w:color="auto"/>
              <w:bottom w:val="single" w:sz="12" w:space="0" w:color="auto"/>
            </w:tcBorders>
            <w:shd w:val="clear" w:color="auto" w:fill="F2F2F2"/>
            <w:tcMar>
              <w:top w:w="0" w:type="dxa"/>
              <w:bottom w:w="0" w:type="dxa"/>
            </w:tcMar>
          </w:tcPr>
          <w:tbl>
            <w:tblPr>
              <w:tblW w:w="321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0"/>
              <w:gridCol w:w="2134"/>
            </w:tblGrid>
            <w:tr w:rsidR="005C04E4" w:rsidRPr="001B6730" w14:paraId="414FDD0A" w14:textId="77777777" w:rsidTr="00605295">
              <w:trPr>
                <w:trHeight w:val="227"/>
              </w:trPr>
              <w:tc>
                <w:tcPr>
                  <w:tcW w:w="2328"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625F985F" w14:textId="77777777" w:rsidR="005C04E4" w:rsidRPr="001B6730" w:rsidRDefault="005C04E4" w:rsidP="003848FB">
                  <w:pPr>
                    <w:jc w:val="center"/>
                    <w:rPr>
                      <w:bCs/>
                    </w:rPr>
                  </w:pPr>
                  <w:r w:rsidRPr="001B6730">
                    <w:rPr>
                      <w:bCs/>
                    </w:rPr>
                    <w:t>Proposed transition regulation</w:t>
                  </w:r>
                </w:p>
              </w:tc>
              <w:tc>
                <w:tcPr>
                  <w:tcW w:w="2672" w:type="pct"/>
                  <w:tcBorders>
                    <w:top w:val="single" w:sz="12" w:space="0" w:color="auto"/>
                    <w:left w:val="single" w:sz="6" w:space="0" w:color="auto"/>
                    <w:bottom w:val="single" w:sz="6" w:space="0" w:color="auto"/>
                    <w:right w:val="single" w:sz="6" w:space="0" w:color="auto"/>
                  </w:tcBorders>
                  <w:shd w:val="clear" w:color="auto" w:fill="F2F2F2"/>
                </w:tcPr>
                <w:p w14:paraId="08656CDA" w14:textId="0A68B716" w:rsidR="005C04E4" w:rsidRPr="001B6730" w:rsidRDefault="005C04E4" w:rsidP="005C04E4">
                  <w:pPr>
                    <w:keepLines/>
                    <w:jc w:val="center"/>
                    <w:rPr>
                      <w:bCs/>
                    </w:rPr>
                  </w:pPr>
                  <w:r w:rsidRPr="001B6730">
                    <w:rPr>
                      <w:bCs/>
                    </w:rPr>
                    <w:t xml:space="preserve">Applicable </w:t>
                  </w:r>
                </w:p>
              </w:tc>
            </w:tr>
            <w:tr w:rsidR="005C04E4" w:rsidRPr="001B6730" w14:paraId="0ED852BF" w14:textId="77777777" w:rsidTr="00605295">
              <w:trPr>
                <w:trHeight w:val="227"/>
              </w:trPr>
              <w:tc>
                <w:tcPr>
                  <w:tcW w:w="2328"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2FDF95E3" w14:textId="60D24A48" w:rsidR="005C04E4" w:rsidRPr="001B6730" w:rsidRDefault="00605295" w:rsidP="003848FB">
                  <w:pPr>
                    <w:jc w:val="center"/>
                    <w:rPr>
                      <w:bCs/>
                    </w:rPr>
                  </w:pPr>
                  <w:r>
                    <w:rPr>
                      <w:bCs/>
                    </w:rPr>
                    <w:t>EN 1803:2002 (except Annex B)</w:t>
                  </w:r>
                </w:p>
              </w:tc>
              <w:tc>
                <w:tcPr>
                  <w:tcW w:w="2672" w:type="pct"/>
                  <w:tcBorders>
                    <w:top w:val="single" w:sz="6" w:space="0" w:color="auto"/>
                    <w:left w:val="single" w:sz="6" w:space="0" w:color="auto"/>
                    <w:bottom w:val="single" w:sz="6" w:space="0" w:color="auto"/>
                    <w:right w:val="single" w:sz="6" w:space="0" w:color="auto"/>
                  </w:tcBorders>
                  <w:shd w:val="clear" w:color="auto" w:fill="F2F2F2"/>
                </w:tcPr>
                <w:p w14:paraId="3E6FF53F" w14:textId="73F24942" w:rsidR="005C04E4" w:rsidRPr="001B6730" w:rsidRDefault="005C04E4" w:rsidP="003848FB">
                  <w:pPr>
                    <w:suppressAutoHyphens w:val="0"/>
                    <w:autoSpaceDE w:val="0"/>
                    <w:autoSpaceDN w:val="0"/>
                    <w:adjustRightInd w:val="0"/>
                    <w:spacing w:line="240" w:lineRule="auto"/>
                    <w:jc w:val="center"/>
                    <w:rPr>
                      <w:bCs/>
                    </w:rPr>
                  </w:pPr>
                  <w:r>
                    <w:rPr>
                      <w:bCs/>
                    </w:rPr>
                    <w:t>Until 31 December 2022</w:t>
                  </w:r>
                </w:p>
                <w:p w14:paraId="68204DE6" w14:textId="77777777" w:rsidR="005C04E4" w:rsidRPr="001B6730" w:rsidRDefault="005C04E4" w:rsidP="003848FB">
                  <w:pPr>
                    <w:suppressAutoHyphens w:val="0"/>
                    <w:autoSpaceDE w:val="0"/>
                    <w:autoSpaceDN w:val="0"/>
                    <w:adjustRightInd w:val="0"/>
                    <w:spacing w:line="240" w:lineRule="auto"/>
                    <w:jc w:val="center"/>
                    <w:rPr>
                      <w:bCs/>
                    </w:rPr>
                  </w:pPr>
                </w:p>
              </w:tc>
            </w:tr>
            <w:tr w:rsidR="005C04E4" w:rsidRPr="001B6730" w14:paraId="157D51E4" w14:textId="77777777" w:rsidTr="00605295">
              <w:trPr>
                <w:trHeight w:val="227"/>
              </w:trPr>
              <w:tc>
                <w:tcPr>
                  <w:tcW w:w="2328"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1BEB1C1E" w14:textId="1D0D5DA0" w:rsidR="005C04E4" w:rsidRPr="001B6730" w:rsidRDefault="00605295" w:rsidP="003848FB">
                  <w:pPr>
                    <w:jc w:val="center"/>
                    <w:rPr>
                      <w:bCs/>
                    </w:rPr>
                  </w:pPr>
                  <w:r>
                    <w:rPr>
                      <w:bCs/>
                    </w:rPr>
                    <w:t>EN ISO 10460:2018</w:t>
                  </w:r>
                </w:p>
              </w:tc>
              <w:tc>
                <w:tcPr>
                  <w:tcW w:w="2672" w:type="pct"/>
                  <w:tcBorders>
                    <w:top w:val="single" w:sz="6" w:space="0" w:color="auto"/>
                    <w:left w:val="single" w:sz="6" w:space="0" w:color="auto"/>
                    <w:bottom w:val="single" w:sz="6" w:space="0" w:color="auto"/>
                    <w:right w:val="single" w:sz="6" w:space="0" w:color="auto"/>
                  </w:tcBorders>
                  <w:shd w:val="clear" w:color="auto" w:fill="F2F2F2"/>
                </w:tcPr>
                <w:p w14:paraId="25A25D41" w14:textId="73263D5F" w:rsidR="005C04E4" w:rsidRPr="001B6730" w:rsidRDefault="00605295" w:rsidP="003848FB">
                  <w:pPr>
                    <w:keepNext/>
                    <w:ind w:hanging="22"/>
                    <w:jc w:val="center"/>
                    <w:rPr>
                      <w:bCs/>
                    </w:rPr>
                  </w:pPr>
                  <w:r>
                    <w:rPr>
                      <w:bCs/>
                    </w:rPr>
                    <w:t>Mandatorily from 1 January 2023</w:t>
                  </w:r>
                </w:p>
              </w:tc>
            </w:tr>
          </w:tbl>
          <w:p w14:paraId="3576696F" w14:textId="77777777" w:rsidR="00D018C5" w:rsidRPr="001B6730" w:rsidRDefault="00D018C5" w:rsidP="003848FB">
            <w:pPr>
              <w:keepLines/>
              <w:tabs>
                <w:tab w:val="left" w:pos="6663"/>
              </w:tabs>
              <w:rPr>
                <w:bCs/>
              </w:rPr>
            </w:pPr>
          </w:p>
        </w:tc>
      </w:tr>
    </w:tbl>
    <w:p w14:paraId="076064DB" w14:textId="2BE1B04A" w:rsidR="00D018C5" w:rsidRDefault="00D018C5" w:rsidP="00BC676D">
      <w:pPr>
        <w:pStyle w:val="SingleTxtG"/>
        <w:spacing w:before="240" w:after="0"/>
        <w:ind w:left="0"/>
        <w:jc w:val="left"/>
        <w:rPr>
          <w:b/>
          <w:sz w:val="24"/>
          <w:szCs w:val="24"/>
          <w:u w:val="single"/>
        </w:rPr>
      </w:pPr>
    </w:p>
    <w:p w14:paraId="0428573B" w14:textId="0E2AB337" w:rsidR="00F206B0" w:rsidRPr="00C33EB9" w:rsidRDefault="008D517A" w:rsidP="00BC676D">
      <w:pPr>
        <w:pStyle w:val="SingleTxtG"/>
        <w:spacing w:before="240" w:after="0"/>
        <w:ind w:left="0"/>
        <w:jc w:val="left"/>
        <w:rPr>
          <w:b/>
          <w:sz w:val="24"/>
          <w:szCs w:val="24"/>
          <w:u w:val="single"/>
        </w:rPr>
      </w:pPr>
      <w:r w:rsidRPr="00C33EB9">
        <w:rPr>
          <w:b/>
          <w:sz w:val="24"/>
          <w:szCs w:val="24"/>
          <w:u w:val="single"/>
        </w:rPr>
        <w:t xml:space="preserve">WIs of </w:t>
      </w:r>
      <w:proofErr w:type="gramStart"/>
      <w:r w:rsidRPr="00C33EB9">
        <w:rPr>
          <w:b/>
          <w:sz w:val="24"/>
          <w:szCs w:val="24"/>
          <w:u w:val="single"/>
        </w:rPr>
        <w:t>General purpose</w:t>
      </w:r>
      <w:proofErr w:type="gramEnd"/>
      <w:r w:rsidRPr="00C33EB9">
        <w:rPr>
          <w:b/>
          <w:sz w:val="24"/>
          <w:szCs w:val="24"/>
          <w:u w:val="single"/>
        </w:rPr>
        <w:t xml:space="preserve"> standards reaching soon publication (reference of standards in RIDADR)</w:t>
      </w:r>
    </w:p>
    <w:p w14:paraId="69CE3288" w14:textId="7D3CC93F" w:rsidR="00864AE3" w:rsidRPr="00864AE3" w:rsidRDefault="008653D9" w:rsidP="00864AE3">
      <w:pPr>
        <w:pStyle w:val="SingleTxtG"/>
        <w:spacing w:before="240" w:after="0"/>
        <w:ind w:left="0"/>
        <w:jc w:val="left"/>
        <w:rPr>
          <w:rFonts w:asciiTheme="majorBidi" w:hAnsiTheme="majorBidi" w:cstheme="majorBidi"/>
        </w:rPr>
      </w:pPr>
      <w:r>
        <w:rPr>
          <w:rFonts w:asciiTheme="majorBidi" w:hAnsiTheme="majorBidi" w:cstheme="majorBidi"/>
        </w:rPr>
        <w:t>No new supporting standard.</w:t>
      </w:r>
    </w:p>
    <w:p w14:paraId="12844EE5" w14:textId="33C6B9AF" w:rsidR="00864AE3" w:rsidRPr="00C93242" w:rsidRDefault="00864AE3" w:rsidP="00864AE3">
      <w:pPr>
        <w:pStyle w:val="SingleTxtG"/>
        <w:spacing w:before="240" w:after="0"/>
        <w:ind w:left="0"/>
        <w:jc w:val="left"/>
        <w:rPr>
          <w:rFonts w:asciiTheme="majorBidi" w:hAnsiTheme="majorBidi" w:cstheme="majorBidi"/>
          <w:b/>
          <w:sz w:val="24"/>
          <w:u w:val="single"/>
        </w:rPr>
      </w:pPr>
      <w:r w:rsidRPr="00C93242">
        <w:rPr>
          <w:rFonts w:asciiTheme="majorBidi" w:hAnsiTheme="majorBidi" w:cstheme="majorBidi"/>
          <w:b/>
          <w:sz w:val="24"/>
          <w:u w:val="single"/>
        </w:rPr>
        <w:t>Amendments to 4.1.6.15 proposed by the Working Group on Standards</w:t>
      </w:r>
    </w:p>
    <w:p w14:paraId="78D364A1" w14:textId="77777777" w:rsidR="00864AE3" w:rsidRDefault="00864AE3" w:rsidP="00864AE3">
      <w:pPr>
        <w:pStyle w:val="SingleTxtG"/>
        <w:spacing w:before="240" w:after="0"/>
        <w:ind w:left="0" w:right="89"/>
        <w:rPr>
          <w:rFonts w:asciiTheme="majorBidi" w:hAnsiTheme="majorBidi" w:cstheme="majorBidi"/>
        </w:rPr>
      </w:pPr>
      <w:r>
        <w:rPr>
          <w:rFonts w:asciiTheme="majorBidi" w:hAnsiTheme="majorBidi" w:cstheme="majorBidi"/>
        </w:rPr>
        <w:t xml:space="preserve">The Chairman pointed out an inconsistency in the way EN ISO standards were referenced in the table in 4.1.6.15.  Following a discussion in the teleconference, it was decided to refer to EN ISO standards whenever they existed.  This </w:t>
      </w:r>
      <w:proofErr w:type="gramStart"/>
      <w:r>
        <w:rPr>
          <w:rFonts w:asciiTheme="majorBidi" w:hAnsiTheme="majorBidi" w:cstheme="majorBidi"/>
        </w:rPr>
        <w:t>lead</w:t>
      </w:r>
      <w:proofErr w:type="gramEnd"/>
      <w:r>
        <w:rPr>
          <w:rFonts w:asciiTheme="majorBidi" w:hAnsiTheme="majorBidi" w:cstheme="majorBidi"/>
        </w:rPr>
        <w:t xml:space="preserve"> to the following amendments in the table.</w:t>
      </w:r>
    </w:p>
    <w:p w14:paraId="60C87297" w14:textId="77777777" w:rsidR="00864AE3" w:rsidRDefault="00864AE3" w:rsidP="00864AE3">
      <w:pPr>
        <w:pStyle w:val="SingleTxtG"/>
        <w:numPr>
          <w:ilvl w:val="0"/>
          <w:numId w:val="38"/>
        </w:numPr>
        <w:spacing w:before="240" w:after="0"/>
        <w:ind w:left="360" w:right="89"/>
        <w:jc w:val="left"/>
        <w:rPr>
          <w:rFonts w:asciiTheme="majorBidi" w:hAnsiTheme="majorBidi" w:cstheme="majorBidi"/>
        </w:rPr>
      </w:pPr>
      <w:r>
        <w:rPr>
          <w:rFonts w:asciiTheme="majorBidi" w:hAnsiTheme="majorBidi" w:cstheme="majorBidi"/>
        </w:rPr>
        <w:t xml:space="preserve">Replace the reference to </w:t>
      </w:r>
      <w:r>
        <w:t xml:space="preserve">ISO 11114-2:2013 with </w:t>
      </w:r>
    </w:p>
    <w:tbl>
      <w:tblPr>
        <w:tblW w:w="0" w:type="dxa"/>
        <w:tblInd w:w="345" w:type="dxa"/>
        <w:tblLayout w:type="fixed"/>
        <w:tblCellMar>
          <w:left w:w="102" w:type="dxa"/>
          <w:right w:w="102" w:type="dxa"/>
        </w:tblCellMar>
        <w:tblLook w:val="04A0" w:firstRow="1" w:lastRow="0" w:firstColumn="1" w:lastColumn="0" w:noHBand="0" w:noVBand="1"/>
      </w:tblPr>
      <w:tblGrid>
        <w:gridCol w:w="2258"/>
        <w:gridCol w:w="5186"/>
      </w:tblGrid>
      <w:tr w:rsidR="00864AE3" w14:paraId="61126F45" w14:textId="77777777" w:rsidTr="00864AE3">
        <w:trPr>
          <w:cantSplit/>
          <w:trHeight w:val="564"/>
        </w:trPr>
        <w:tc>
          <w:tcPr>
            <w:tcW w:w="2258" w:type="dxa"/>
            <w:tcBorders>
              <w:top w:val="single" w:sz="4" w:space="0" w:color="auto"/>
              <w:left w:val="single" w:sz="6" w:space="0" w:color="auto"/>
              <w:bottom w:val="single" w:sz="6" w:space="0" w:color="auto"/>
              <w:right w:val="nil"/>
            </w:tcBorders>
            <w:hideMark/>
          </w:tcPr>
          <w:p w14:paraId="04E0FFAC" w14:textId="77777777" w:rsidR="00864AE3" w:rsidRDefault="00864AE3">
            <w:pPr>
              <w:ind w:right="89"/>
            </w:pPr>
            <w:r>
              <w:lastRenderedPageBreak/>
              <w:t>EN ISO 11114-2:2013</w:t>
            </w:r>
          </w:p>
        </w:tc>
        <w:tc>
          <w:tcPr>
            <w:tcW w:w="5186" w:type="dxa"/>
            <w:tcBorders>
              <w:top w:val="single" w:sz="4" w:space="0" w:color="auto"/>
              <w:left w:val="single" w:sz="6" w:space="0" w:color="auto"/>
              <w:bottom w:val="single" w:sz="6" w:space="0" w:color="auto"/>
              <w:right w:val="single" w:sz="6" w:space="0" w:color="auto"/>
            </w:tcBorders>
            <w:hideMark/>
          </w:tcPr>
          <w:p w14:paraId="46BD23C7" w14:textId="77777777" w:rsidR="00864AE3" w:rsidRDefault="00864AE3">
            <w:pPr>
              <w:ind w:right="89"/>
            </w:pPr>
            <w:r>
              <w:t>Gas cylinders – Compatibility of cylinder and valve materials with gas contents – Part 2: Non-metallic materials</w:t>
            </w:r>
          </w:p>
        </w:tc>
      </w:tr>
    </w:tbl>
    <w:p w14:paraId="1B438C13" w14:textId="77777777" w:rsidR="00864AE3" w:rsidRDefault="00864AE3" w:rsidP="00864AE3">
      <w:pPr>
        <w:pStyle w:val="SingleTxtG"/>
        <w:numPr>
          <w:ilvl w:val="0"/>
          <w:numId w:val="38"/>
        </w:numPr>
        <w:spacing w:before="240" w:after="0"/>
        <w:ind w:left="360" w:right="89"/>
        <w:jc w:val="left"/>
        <w:rPr>
          <w:rFonts w:asciiTheme="majorBidi" w:hAnsiTheme="majorBidi" w:cstheme="majorBidi"/>
        </w:rPr>
      </w:pPr>
      <w:r>
        <w:rPr>
          <w:rFonts w:asciiTheme="majorBidi" w:hAnsiTheme="majorBidi" w:cstheme="majorBidi"/>
        </w:rPr>
        <w:t>Replace the reference to ISO 11621:1997 with</w:t>
      </w:r>
    </w:p>
    <w:tbl>
      <w:tblPr>
        <w:tblW w:w="0" w:type="dxa"/>
        <w:tblInd w:w="345" w:type="dxa"/>
        <w:tblLayout w:type="fixed"/>
        <w:tblCellMar>
          <w:left w:w="102" w:type="dxa"/>
          <w:right w:w="102" w:type="dxa"/>
        </w:tblCellMar>
        <w:tblLook w:val="04A0" w:firstRow="1" w:lastRow="0" w:firstColumn="1" w:lastColumn="0" w:noHBand="0" w:noVBand="1"/>
      </w:tblPr>
      <w:tblGrid>
        <w:gridCol w:w="2258"/>
        <w:gridCol w:w="5186"/>
      </w:tblGrid>
      <w:tr w:rsidR="00864AE3" w14:paraId="10010A67" w14:textId="77777777" w:rsidTr="00864AE3">
        <w:trPr>
          <w:cantSplit/>
        </w:trPr>
        <w:tc>
          <w:tcPr>
            <w:tcW w:w="2258" w:type="dxa"/>
            <w:tcBorders>
              <w:top w:val="single" w:sz="6" w:space="0" w:color="auto"/>
              <w:left w:val="single" w:sz="6" w:space="0" w:color="auto"/>
              <w:bottom w:val="single" w:sz="4" w:space="0" w:color="auto"/>
              <w:right w:val="single" w:sz="6" w:space="0" w:color="auto"/>
            </w:tcBorders>
            <w:hideMark/>
          </w:tcPr>
          <w:p w14:paraId="09617EDC" w14:textId="77777777" w:rsidR="00864AE3" w:rsidRDefault="00864AE3">
            <w:pPr>
              <w:ind w:right="89"/>
            </w:pPr>
            <w:r>
              <w:t>either ISO 11621:1997 or EN ISO 11621:2005</w:t>
            </w:r>
          </w:p>
        </w:tc>
        <w:tc>
          <w:tcPr>
            <w:tcW w:w="5186" w:type="dxa"/>
            <w:tcBorders>
              <w:top w:val="single" w:sz="6" w:space="0" w:color="auto"/>
              <w:left w:val="single" w:sz="6" w:space="0" w:color="auto"/>
              <w:bottom w:val="single" w:sz="4" w:space="0" w:color="auto"/>
              <w:right w:val="single" w:sz="6" w:space="0" w:color="auto"/>
            </w:tcBorders>
            <w:hideMark/>
          </w:tcPr>
          <w:p w14:paraId="7C4C7C1C" w14:textId="77777777" w:rsidR="00864AE3" w:rsidRDefault="00864AE3">
            <w:pPr>
              <w:ind w:right="89"/>
            </w:pPr>
            <w:r>
              <w:t>Gas cylinders – Procedures for change of gas service</w:t>
            </w:r>
          </w:p>
          <w:p w14:paraId="1D42353C" w14:textId="77777777" w:rsidR="00864AE3" w:rsidRDefault="00864AE3">
            <w:pPr>
              <w:tabs>
                <w:tab w:val="left" w:pos="748"/>
              </w:tabs>
              <w:ind w:right="89"/>
            </w:pPr>
            <w:r>
              <w:rPr>
                <w:i/>
              </w:rPr>
              <w:t>.</w:t>
            </w:r>
          </w:p>
        </w:tc>
      </w:tr>
    </w:tbl>
    <w:p w14:paraId="12F8CF76" w14:textId="77777777" w:rsidR="00864AE3" w:rsidRDefault="00864AE3" w:rsidP="00864AE3">
      <w:pPr>
        <w:pStyle w:val="SingleTxtG"/>
        <w:numPr>
          <w:ilvl w:val="0"/>
          <w:numId w:val="38"/>
        </w:numPr>
        <w:spacing w:before="240" w:after="0"/>
        <w:ind w:left="360" w:right="89"/>
        <w:rPr>
          <w:rFonts w:asciiTheme="majorBidi" w:hAnsiTheme="majorBidi" w:cstheme="majorBidi"/>
        </w:rPr>
      </w:pPr>
      <w:r>
        <w:rPr>
          <w:rFonts w:asciiTheme="majorBidi" w:hAnsiTheme="majorBidi" w:cstheme="majorBidi"/>
        </w:rPr>
        <w:t>In reference to ‘</w:t>
      </w:r>
      <w:r>
        <w:t>Annex A of EN ISO 10297:2006 or annex A of EN ISO 10297:2014 or annex A of EN ISO 10297:2014 + A1:2017 delete “</w:t>
      </w:r>
      <w:r>
        <w:rPr>
          <w:b/>
          <w:i/>
        </w:rPr>
        <w:t>NOTE:</w:t>
      </w:r>
      <w:r>
        <w:rPr>
          <w:b/>
          <w:i/>
        </w:rPr>
        <w:tab/>
      </w:r>
      <w:r>
        <w:rPr>
          <w:i/>
        </w:rPr>
        <w:t>The EN version of this ISO standard fulfils the requirements and may also be used.</w:t>
      </w:r>
    </w:p>
    <w:p w14:paraId="01278843" w14:textId="5102D0BD" w:rsidR="00864AE3" w:rsidRPr="00A20053" w:rsidRDefault="00864AE3" w:rsidP="00864AE3">
      <w:pPr>
        <w:pStyle w:val="SingleTxtG"/>
        <w:numPr>
          <w:ilvl w:val="0"/>
          <w:numId w:val="38"/>
        </w:numPr>
        <w:spacing w:before="240" w:after="0"/>
        <w:ind w:left="360" w:right="89"/>
        <w:rPr>
          <w:rFonts w:asciiTheme="majorBidi" w:hAnsiTheme="majorBidi" w:cstheme="majorBidi"/>
        </w:rPr>
      </w:pPr>
      <w:r>
        <w:rPr>
          <w:rFonts w:asciiTheme="majorBidi" w:hAnsiTheme="majorBidi" w:cstheme="majorBidi"/>
        </w:rPr>
        <w:t xml:space="preserve">In the row of the table starting 4.1.6.8 (b) </w:t>
      </w:r>
      <w:proofErr w:type="gramStart"/>
      <w:r>
        <w:rPr>
          <w:rFonts w:asciiTheme="majorBidi" w:hAnsiTheme="majorBidi" w:cstheme="majorBidi"/>
        </w:rPr>
        <w:t xml:space="preserve">replace </w:t>
      </w:r>
      <w:r>
        <w:rPr>
          <w:lang w:eastAsia="en-GB"/>
        </w:rPr>
        <w:t xml:space="preserve"> “</w:t>
      </w:r>
      <w:proofErr w:type="gramEnd"/>
      <w:r>
        <w:rPr>
          <w:lang w:eastAsia="en-GB"/>
        </w:rPr>
        <w:t xml:space="preserve">either ISO 11117:1998 or </w:t>
      </w:r>
      <w:r>
        <w:t>ISO 11117:2008 + Cor 1:2009” with “</w:t>
      </w:r>
      <w:r>
        <w:rPr>
          <w:lang w:eastAsia="en-GB"/>
        </w:rPr>
        <w:t xml:space="preserve">either ISO 11117:1998 or EN </w:t>
      </w:r>
      <w:r>
        <w:t>ISO 11117:2008 + Cor 1:2009</w:t>
      </w:r>
    </w:p>
    <w:p w14:paraId="740ED11A" w14:textId="77DDF0BD" w:rsidR="00A20053" w:rsidRPr="00A20053" w:rsidRDefault="00A20053" w:rsidP="00A20053">
      <w:pPr>
        <w:spacing w:before="240"/>
        <w:jc w:val="center"/>
        <w:rPr>
          <w:u w:val="single"/>
        </w:rPr>
      </w:pPr>
      <w:r>
        <w:rPr>
          <w:u w:val="single"/>
        </w:rPr>
        <w:tab/>
      </w:r>
      <w:r>
        <w:rPr>
          <w:u w:val="single"/>
        </w:rPr>
        <w:tab/>
      </w:r>
      <w:r>
        <w:rPr>
          <w:u w:val="single"/>
        </w:rPr>
        <w:tab/>
      </w:r>
    </w:p>
    <w:sectPr w:rsidR="00A20053" w:rsidRPr="00A20053" w:rsidSect="00BF42CB">
      <w:headerReference w:type="even" r:id="rId14"/>
      <w:headerReference w:type="default" r:id="rId15"/>
      <w:footerReference w:type="even" r:id="rId16"/>
      <w:footerReference w:type="default" r:id="rId17"/>
      <w:headerReference w:type="first" r:id="rId18"/>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7E3A1" w14:textId="77777777" w:rsidR="000F367B" w:rsidRDefault="000F367B"/>
  </w:endnote>
  <w:endnote w:type="continuationSeparator" w:id="0">
    <w:p w14:paraId="1B1B5713" w14:textId="77777777" w:rsidR="000F367B" w:rsidRDefault="000F367B"/>
  </w:endnote>
  <w:endnote w:type="continuationNotice" w:id="1">
    <w:p w14:paraId="1FFEFD1E" w14:textId="77777777" w:rsidR="000F367B" w:rsidRDefault="000F36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EUAlbertina">
    <w:altName w:val="Calibri"/>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siatische Schriftart verwend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6FF7A" w14:textId="634CF8F0" w:rsidR="003058BA" w:rsidRPr="009D2A5B" w:rsidRDefault="003058BA"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C93242">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0FE9B" w14:textId="323CE190" w:rsidR="003058BA" w:rsidRPr="009D2A5B" w:rsidRDefault="003058BA"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C93242">
      <w:rPr>
        <w:b/>
        <w:noProof/>
        <w:sz w:val="18"/>
      </w:rPr>
      <w:t>3</w:t>
    </w:r>
    <w:r w:rsidRPr="009D2A5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3958E" w14:textId="77777777" w:rsidR="003058BA" w:rsidRPr="00BF42CB" w:rsidRDefault="003058BA" w:rsidP="00BF42CB">
    <w:pPr>
      <w:pStyle w:val="Footer"/>
    </w:pPr>
    <w:r>
      <w:rPr>
        <w:noProof/>
        <w:lang w:eastAsia="en-GB"/>
      </w:rPr>
      <mc:AlternateContent>
        <mc:Choice Requires="wps">
          <w:drawing>
            <wp:anchor distT="0" distB="0" distL="114300" distR="114300" simplePos="0" relativeHeight="251657216" behindDoc="0" locked="0" layoutInCell="1" allowOverlap="1" wp14:anchorId="79EC822E" wp14:editId="014B207E">
              <wp:simplePos x="0" y="0"/>
              <wp:positionH relativeFrom="margin">
                <wp:posOffset>-431800</wp:posOffset>
              </wp:positionH>
              <wp:positionV relativeFrom="margin">
                <wp:posOffset>0</wp:posOffset>
              </wp:positionV>
              <wp:extent cx="219075" cy="6124575"/>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505818EA" w14:textId="1525E530" w:rsidR="003058BA" w:rsidRPr="009D2A5B" w:rsidRDefault="003058BA" w:rsidP="00BF42C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C93242">
                            <w:rPr>
                              <w:b/>
                              <w:noProof/>
                              <w:sz w:val="18"/>
                            </w:rPr>
                            <w:t>10</w:t>
                          </w:r>
                          <w:r w:rsidRPr="009D2A5B">
                            <w:rPr>
                              <w:b/>
                              <w:sz w:val="18"/>
                            </w:rPr>
                            <w:fldChar w:fldCharType="end"/>
                          </w:r>
                          <w:r>
                            <w:rPr>
                              <w:sz w:val="18"/>
                            </w:rPr>
                            <w:tab/>
                          </w:r>
                        </w:p>
                        <w:p w14:paraId="5EC09E33" w14:textId="77777777" w:rsidR="003058BA" w:rsidRDefault="003058B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9EC822E" id="_x0000_t202" coordsize="21600,21600" o:spt="202" path="m,l,21600r21600,l21600,xe">
              <v:stroke joinstyle="miter"/>
              <v:path gradientshapeok="t" o:connecttype="rect"/>
            </v:shapetype>
            <v:shape id="Text Box 3" o:spid="_x0000_s1028" type="#_x0000_t202" style="position:absolute;margin-left:-34pt;margin-top:0;width:17.25pt;height:482.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" filled="f" stroked="f">
              <v:stroke joinstyle="round"/>
              <v:textbox style="layout-flow:vertical" inset="0,0,0,0">
                <w:txbxContent>
                  <w:p w14:paraId="505818EA" w14:textId="1525E530" w:rsidR="003058BA" w:rsidRPr="009D2A5B" w:rsidRDefault="003058BA" w:rsidP="00BF42C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C93242">
                      <w:rPr>
                        <w:b/>
                        <w:noProof/>
                        <w:sz w:val="18"/>
                      </w:rPr>
                      <w:t>10</w:t>
                    </w:r>
                    <w:r w:rsidRPr="009D2A5B">
                      <w:rPr>
                        <w:b/>
                        <w:sz w:val="18"/>
                      </w:rPr>
                      <w:fldChar w:fldCharType="end"/>
                    </w:r>
                    <w:r>
                      <w:rPr>
                        <w:sz w:val="18"/>
                      </w:rPr>
                      <w:tab/>
                    </w:r>
                  </w:p>
                  <w:p w14:paraId="5EC09E33" w14:textId="77777777" w:rsidR="003058BA" w:rsidRDefault="003058BA"/>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8F6ED" w14:textId="77777777" w:rsidR="003058BA" w:rsidRPr="00BF42CB" w:rsidRDefault="003058BA" w:rsidP="00BF42CB">
    <w:pPr>
      <w:pStyle w:val="Footer"/>
    </w:pPr>
    <w:r>
      <w:rPr>
        <w:noProof/>
        <w:lang w:eastAsia="en-GB"/>
      </w:rPr>
      <mc:AlternateContent>
        <mc:Choice Requires="wps">
          <w:drawing>
            <wp:anchor distT="0" distB="0" distL="114300" distR="114300" simplePos="0" relativeHeight="251659264" behindDoc="0" locked="0" layoutInCell="1" allowOverlap="1" wp14:anchorId="3A2A25F7" wp14:editId="7DFF444D">
              <wp:simplePos x="0" y="0"/>
              <wp:positionH relativeFrom="margin">
                <wp:posOffset>-431800</wp:posOffset>
              </wp:positionH>
              <wp:positionV relativeFrom="margin">
                <wp:posOffset>0</wp:posOffset>
              </wp:positionV>
              <wp:extent cx="219075" cy="6124575"/>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7B27F907" w14:textId="7F525772" w:rsidR="003058BA" w:rsidRPr="009D2A5B" w:rsidRDefault="003058BA" w:rsidP="00BF42CB">
                          <w:pPr>
                            <w:pStyle w:val="Footer"/>
                            <w:tabs>
                              <w:tab w:val="right" w:pos="963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C93242">
                            <w:rPr>
                              <w:b/>
                              <w:noProof/>
                              <w:sz w:val="18"/>
                            </w:rPr>
                            <w:t>9</w:t>
                          </w:r>
                          <w:r w:rsidRPr="009D2A5B">
                            <w:rPr>
                              <w:b/>
                              <w:sz w:val="18"/>
                            </w:rPr>
                            <w:fldChar w:fldCharType="end"/>
                          </w:r>
                        </w:p>
                        <w:p w14:paraId="47898544" w14:textId="77777777" w:rsidR="003058BA" w:rsidRDefault="003058B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A2A25F7" id="_x0000_t202" coordsize="21600,21600" o:spt="202" path="m,l,21600r21600,l21600,xe">
              <v:stroke joinstyle="miter"/>
              <v:path gradientshapeok="t" o:connecttype="rect"/>
            </v:shapetype>
            <v:shape id="Text Box 5" o:spid="_x0000_s1029" type="#_x0000_t202" style="position:absolute;margin-left:-34pt;margin-top:0;width:17.25pt;height:48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" filled="f" stroked="f">
              <v:stroke joinstyle="round"/>
              <v:textbox style="layout-flow:vertical" inset="0,0,0,0">
                <w:txbxContent>
                  <w:p w14:paraId="7B27F907" w14:textId="7F525772" w:rsidR="003058BA" w:rsidRPr="009D2A5B" w:rsidRDefault="003058BA" w:rsidP="00BF42CB">
                    <w:pPr>
                      <w:pStyle w:val="Footer"/>
                      <w:tabs>
                        <w:tab w:val="right" w:pos="963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C93242">
                      <w:rPr>
                        <w:b/>
                        <w:noProof/>
                        <w:sz w:val="18"/>
                      </w:rPr>
                      <w:t>9</w:t>
                    </w:r>
                    <w:r w:rsidRPr="009D2A5B">
                      <w:rPr>
                        <w:b/>
                        <w:sz w:val="18"/>
                      </w:rPr>
                      <w:fldChar w:fldCharType="end"/>
                    </w:r>
                  </w:p>
                  <w:p w14:paraId="47898544" w14:textId="77777777" w:rsidR="003058BA" w:rsidRDefault="003058BA"/>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415DD" w14:textId="77777777" w:rsidR="000F367B" w:rsidRPr="000B175B" w:rsidRDefault="000F367B" w:rsidP="000B175B">
      <w:pPr>
        <w:tabs>
          <w:tab w:val="right" w:pos="2155"/>
        </w:tabs>
        <w:spacing w:after="80"/>
        <w:ind w:left="680"/>
        <w:rPr>
          <w:u w:val="single"/>
        </w:rPr>
      </w:pPr>
      <w:r>
        <w:rPr>
          <w:u w:val="single"/>
        </w:rPr>
        <w:tab/>
      </w:r>
    </w:p>
  </w:footnote>
  <w:footnote w:type="continuationSeparator" w:id="0">
    <w:p w14:paraId="76B45172" w14:textId="77777777" w:rsidR="000F367B" w:rsidRPr="00FC68B7" w:rsidRDefault="000F367B" w:rsidP="00FC68B7">
      <w:pPr>
        <w:tabs>
          <w:tab w:val="left" w:pos="2155"/>
        </w:tabs>
        <w:spacing w:after="80"/>
        <w:ind w:left="680"/>
        <w:rPr>
          <w:u w:val="single"/>
        </w:rPr>
      </w:pPr>
      <w:r>
        <w:rPr>
          <w:u w:val="single"/>
        </w:rPr>
        <w:tab/>
      </w:r>
    </w:p>
  </w:footnote>
  <w:footnote w:type="continuationNotice" w:id="1">
    <w:p w14:paraId="2CDBCCCE" w14:textId="77777777" w:rsidR="000F367B" w:rsidRDefault="000F36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0A3B5" w14:textId="1496AD91" w:rsidR="003058BA" w:rsidRPr="00A20053" w:rsidRDefault="00A20053" w:rsidP="009D2A5B">
    <w:pPr>
      <w:pStyle w:val="Header"/>
      <w:rPr>
        <w:lang w:val="fr-CH"/>
      </w:rPr>
    </w:pPr>
    <w:r>
      <w:rPr>
        <w:lang w:val="fr-CH"/>
      </w:rPr>
      <w:t>INF.32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1E58B" w14:textId="524B95F8" w:rsidR="003058BA" w:rsidRPr="009D2A5B" w:rsidRDefault="003058BA" w:rsidP="009D2A5B">
    <w:pPr>
      <w:pStyle w:val="Header"/>
      <w:jc w:val="right"/>
    </w:pPr>
    <w:r w:rsidRPr="009D2A5B">
      <w:t>ECE/TRANS/WP.15/AC.1/201</w:t>
    </w:r>
    <w: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C404C" w14:textId="78763CED" w:rsidR="00A20053" w:rsidRPr="00A20053" w:rsidRDefault="00A20053" w:rsidP="00A20053">
    <w:pPr>
      <w:pStyle w:val="Header"/>
      <w:jc w:val="right"/>
      <w:rPr>
        <w:sz w:val="28"/>
        <w:szCs w:val="28"/>
        <w:lang w:val="fr-CH"/>
      </w:rPr>
    </w:pPr>
    <w:r w:rsidRPr="00A20053">
      <w:rPr>
        <w:sz w:val="28"/>
        <w:szCs w:val="28"/>
        <w:lang w:val="fr-CH"/>
      </w:rPr>
      <w:t>INF.32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C2C1C" w14:textId="77777777" w:rsidR="003058BA" w:rsidRPr="00BF42CB" w:rsidRDefault="003058BA" w:rsidP="00BF42CB">
    <w:r>
      <w:rPr>
        <w:noProof/>
        <w:lang w:eastAsia="en-GB"/>
      </w:rPr>
      <mc:AlternateContent>
        <mc:Choice Requires="wps">
          <w:drawing>
            <wp:anchor distT="0" distB="0" distL="114300" distR="114300" simplePos="0" relativeHeight="251656192" behindDoc="0" locked="0" layoutInCell="1" allowOverlap="1" wp14:anchorId="6DF48A88" wp14:editId="59737226">
              <wp:simplePos x="0" y="0"/>
              <wp:positionH relativeFrom="page">
                <wp:posOffset>9839325</wp:posOffset>
              </wp:positionH>
              <wp:positionV relativeFrom="margin">
                <wp:posOffset>123825</wp:posOffset>
              </wp:positionV>
              <wp:extent cx="219075" cy="6124575"/>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37A673DA" w14:textId="12603112" w:rsidR="003058BA" w:rsidRDefault="00A20053" w:rsidP="00BF42CB">
                          <w:pPr>
                            <w:pStyle w:val="Header"/>
                          </w:pPr>
                          <w:r>
                            <w:t>INF.32</w:t>
                          </w:r>
                        </w:p>
                        <w:p w14:paraId="28F896D4" w14:textId="77777777" w:rsidR="003058BA" w:rsidRPr="009D2A5B" w:rsidRDefault="003058BA" w:rsidP="00BF42CB">
                          <w:pPr>
                            <w:pStyle w:val="Header"/>
                          </w:pPr>
                        </w:p>
                        <w:p w14:paraId="07B73928" w14:textId="77777777" w:rsidR="003058BA" w:rsidRDefault="003058B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DF48A88" id="_x0000_t202" coordsize="21600,21600" o:spt="202" path="m,l,21600r21600,l21600,xe">
              <v:stroke joinstyle="miter"/>
              <v:path gradientshapeok="t" o:connecttype="rect"/>
            </v:shapetype>
            <v:shape id="Text Box 2" o:spid="_x0000_s1026" type="#_x0000_t202" style="position:absolute;margin-left:774.75pt;margin-top:9.75pt;width:17.25pt;height:482.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" filled="f" stroked="f">
              <v:stroke joinstyle="round"/>
              <v:textbox style="layout-flow:vertical" inset="0,0,0,0">
                <w:txbxContent>
                  <w:p w14:paraId="37A673DA" w14:textId="12603112" w:rsidR="003058BA" w:rsidRDefault="00A20053" w:rsidP="00BF42CB">
                    <w:pPr>
                      <w:pStyle w:val="Header"/>
                    </w:pPr>
                    <w:r>
                      <w:t>INF.32</w:t>
                    </w:r>
                  </w:p>
                  <w:p w14:paraId="28F896D4" w14:textId="77777777" w:rsidR="003058BA" w:rsidRPr="009D2A5B" w:rsidRDefault="003058BA" w:rsidP="00BF42CB">
                    <w:pPr>
                      <w:pStyle w:val="Header"/>
                    </w:pPr>
                  </w:p>
                  <w:p w14:paraId="07B73928" w14:textId="77777777" w:rsidR="003058BA" w:rsidRDefault="003058BA"/>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7DADC" w14:textId="77777777" w:rsidR="003058BA" w:rsidRPr="00BF42CB" w:rsidRDefault="003058BA" w:rsidP="00BF42CB">
    <w:r>
      <w:rPr>
        <w:noProof/>
        <w:lang w:eastAsia="en-GB"/>
      </w:rPr>
      <mc:AlternateContent>
        <mc:Choice Requires="wps">
          <w:drawing>
            <wp:anchor distT="0" distB="0" distL="114300" distR="114300" simplePos="0" relativeHeight="251658240" behindDoc="0" locked="0" layoutInCell="1" allowOverlap="1" wp14:anchorId="3CEF07A1" wp14:editId="39046D93">
              <wp:simplePos x="0" y="0"/>
              <wp:positionH relativeFrom="page">
                <wp:posOffset>9791700</wp:posOffset>
              </wp:positionH>
              <wp:positionV relativeFrom="margin">
                <wp:posOffset>0</wp:posOffset>
              </wp:positionV>
              <wp:extent cx="219075" cy="6124575"/>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1248A87F" w14:textId="42BF6F10" w:rsidR="003058BA" w:rsidRDefault="00A20053" w:rsidP="00BF42CB">
                          <w:pPr>
                            <w:pStyle w:val="Header"/>
                            <w:jc w:val="right"/>
                          </w:pPr>
                          <w:r>
                            <w:t>INF.32</w:t>
                          </w:r>
                        </w:p>
                        <w:p w14:paraId="3475F659" w14:textId="77777777" w:rsidR="003058BA" w:rsidRPr="009D2A5B" w:rsidRDefault="003058BA" w:rsidP="00BF42CB">
                          <w:pPr>
                            <w:pStyle w:val="Header"/>
                            <w:jc w:val="right"/>
                          </w:pPr>
                        </w:p>
                        <w:p w14:paraId="0874CCAF" w14:textId="77777777" w:rsidR="003058BA" w:rsidRDefault="003058B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CEF07A1" id="_x0000_t202" coordsize="21600,21600" o:spt="202" path="m,l,21600r21600,l21600,xe">
              <v:stroke joinstyle="miter"/>
              <v:path gradientshapeok="t" o:connecttype="rect"/>
            </v:shapetype>
            <v:shape id="Text Box 4" o:spid="_x0000_s1027" type="#_x0000_t202" style="position:absolute;margin-left:771pt;margin-top:0;width:17.25pt;height:482.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" filled="f" stroked="f">
              <v:stroke joinstyle="round"/>
              <v:textbox style="layout-flow:vertical" inset="0,0,0,0">
                <w:txbxContent>
                  <w:p w14:paraId="1248A87F" w14:textId="42BF6F10" w:rsidR="003058BA" w:rsidRDefault="00A20053" w:rsidP="00BF42CB">
                    <w:pPr>
                      <w:pStyle w:val="Header"/>
                      <w:jc w:val="right"/>
                    </w:pPr>
                    <w:r>
                      <w:t>INF.32</w:t>
                    </w:r>
                  </w:p>
                  <w:p w14:paraId="3475F659" w14:textId="77777777" w:rsidR="003058BA" w:rsidRPr="009D2A5B" w:rsidRDefault="003058BA" w:rsidP="00BF42CB">
                    <w:pPr>
                      <w:pStyle w:val="Header"/>
                      <w:jc w:val="right"/>
                    </w:pPr>
                  </w:p>
                  <w:p w14:paraId="0874CCAF" w14:textId="77777777" w:rsidR="003058BA" w:rsidRDefault="003058BA"/>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8DC20" w14:textId="77777777" w:rsidR="003058BA" w:rsidRDefault="003058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4475C3"/>
    <w:multiLevelType w:val="hybridMultilevel"/>
    <w:tmpl w:val="05A4D50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0778F9"/>
    <w:multiLevelType w:val="hybridMultilevel"/>
    <w:tmpl w:val="9C0C223C"/>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3173C7"/>
    <w:multiLevelType w:val="hybridMultilevel"/>
    <w:tmpl w:val="5548FD62"/>
    <w:lvl w:ilvl="0" w:tplc="F11C89B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996648C"/>
    <w:multiLevelType w:val="hybridMultilevel"/>
    <w:tmpl w:val="1F2ADE9A"/>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2" w15:restartNumberingAfterBreak="0">
    <w:nsid w:val="3D482881"/>
    <w:multiLevelType w:val="hybridMultilevel"/>
    <w:tmpl w:val="75104C2E"/>
    <w:lvl w:ilvl="0" w:tplc="B05A0AF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3" w15:restartNumberingAfterBreak="0">
    <w:nsid w:val="426F59AF"/>
    <w:multiLevelType w:val="hybridMultilevel"/>
    <w:tmpl w:val="8F0AE816"/>
    <w:lvl w:ilvl="0" w:tplc="BAA001C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452B3812"/>
    <w:multiLevelType w:val="hybridMultilevel"/>
    <w:tmpl w:val="74E88006"/>
    <w:lvl w:ilvl="0" w:tplc="0409000F">
      <w:start w:val="1"/>
      <w:numFmt w:val="decimal"/>
      <w:lvlText w:val="%1."/>
      <w:lvlJc w:val="left"/>
      <w:pPr>
        <w:ind w:left="1850" w:hanging="360"/>
      </w:pPr>
    </w:lvl>
    <w:lvl w:ilvl="1" w:tplc="04090019" w:tentative="1">
      <w:start w:val="1"/>
      <w:numFmt w:val="lowerLetter"/>
      <w:lvlText w:val="%2."/>
      <w:lvlJc w:val="left"/>
      <w:pPr>
        <w:ind w:left="2570" w:hanging="360"/>
      </w:pPr>
    </w:lvl>
    <w:lvl w:ilvl="2" w:tplc="0409001B" w:tentative="1">
      <w:start w:val="1"/>
      <w:numFmt w:val="lowerRoman"/>
      <w:lvlText w:val="%3."/>
      <w:lvlJc w:val="right"/>
      <w:pPr>
        <w:ind w:left="3290" w:hanging="180"/>
      </w:pPr>
    </w:lvl>
    <w:lvl w:ilvl="3" w:tplc="0409000F" w:tentative="1">
      <w:start w:val="1"/>
      <w:numFmt w:val="decimal"/>
      <w:lvlText w:val="%4."/>
      <w:lvlJc w:val="left"/>
      <w:pPr>
        <w:ind w:left="4010" w:hanging="360"/>
      </w:pPr>
    </w:lvl>
    <w:lvl w:ilvl="4" w:tplc="04090019" w:tentative="1">
      <w:start w:val="1"/>
      <w:numFmt w:val="lowerLetter"/>
      <w:lvlText w:val="%5."/>
      <w:lvlJc w:val="left"/>
      <w:pPr>
        <w:ind w:left="4730" w:hanging="360"/>
      </w:pPr>
    </w:lvl>
    <w:lvl w:ilvl="5" w:tplc="0409001B" w:tentative="1">
      <w:start w:val="1"/>
      <w:numFmt w:val="lowerRoman"/>
      <w:lvlText w:val="%6."/>
      <w:lvlJc w:val="right"/>
      <w:pPr>
        <w:ind w:left="5450" w:hanging="180"/>
      </w:pPr>
    </w:lvl>
    <w:lvl w:ilvl="6" w:tplc="0409000F" w:tentative="1">
      <w:start w:val="1"/>
      <w:numFmt w:val="decimal"/>
      <w:lvlText w:val="%7."/>
      <w:lvlJc w:val="left"/>
      <w:pPr>
        <w:ind w:left="6170" w:hanging="360"/>
      </w:pPr>
    </w:lvl>
    <w:lvl w:ilvl="7" w:tplc="04090019" w:tentative="1">
      <w:start w:val="1"/>
      <w:numFmt w:val="lowerLetter"/>
      <w:lvlText w:val="%8."/>
      <w:lvlJc w:val="left"/>
      <w:pPr>
        <w:ind w:left="6890" w:hanging="360"/>
      </w:pPr>
    </w:lvl>
    <w:lvl w:ilvl="8" w:tplc="0409001B" w:tentative="1">
      <w:start w:val="1"/>
      <w:numFmt w:val="lowerRoman"/>
      <w:lvlText w:val="%9."/>
      <w:lvlJc w:val="right"/>
      <w:pPr>
        <w:ind w:left="7610" w:hanging="180"/>
      </w:pPr>
    </w:lvl>
  </w:abstractNum>
  <w:abstractNum w:abstractNumId="25" w15:restartNumberingAfterBreak="0">
    <w:nsid w:val="45552208"/>
    <w:multiLevelType w:val="hybridMultilevel"/>
    <w:tmpl w:val="409CFE46"/>
    <w:lvl w:ilvl="0" w:tplc="2D569E1C">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4A1B384F"/>
    <w:multiLevelType w:val="hybridMultilevel"/>
    <w:tmpl w:val="C29C7B4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4AB0091B"/>
    <w:multiLevelType w:val="hybridMultilevel"/>
    <w:tmpl w:val="15D62816"/>
    <w:lvl w:ilvl="0" w:tplc="2ACE8C3E">
      <w:start w:val="1"/>
      <w:numFmt w:val="bullet"/>
      <w:lvlText w:val="•"/>
      <w:lvlJc w:val="left"/>
      <w:pPr>
        <w:tabs>
          <w:tab w:val="num" w:pos="720"/>
        </w:tabs>
        <w:ind w:left="720" w:hanging="360"/>
      </w:pPr>
      <w:rPr>
        <w:rFonts w:ascii="Times New Roman" w:hAnsi="Times New Roman" w:hint="default"/>
      </w:rPr>
    </w:lvl>
    <w:lvl w:ilvl="1" w:tplc="ACE41D76" w:tentative="1">
      <w:start w:val="1"/>
      <w:numFmt w:val="bullet"/>
      <w:lvlText w:val="•"/>
      <w:lvlJc w:val="left"/>
      <w:pPr>
        <w:tabs>
          <w:tab w:val="num" w:pos="1440"/>
        </w:tabs>
        <w:ind w:left="1440" w:hanging="360"/>
      </w:pPr>
      <w:rPr>
        <w:rFonts w:ascii="Times New Roman" w:hAnsi="Times New Roman" w:hint="default"/>
      </w:rPr>
    </w:lvl>
    <w:lvl w:ilvl="2" w:tplc="8D70A5C4" w:tentative="1">
      <w:start w:val="1"/>
      <w:numFmt w:val="bullet"/>
      <w:lvlText w:val="•"/>
      <w:lvlJc w:val="left"/>
      <w:pPr>
        <w:tabs>
          <w:tab w:val="num" w:pos="2160"/>
        </w:tabs>
        <w:ind w:left="2160" w:hanging="360"/>
      </w:pPr>
      <w:rPr>
        <w:rFonts w:ascii="Times New Roman" w:hAnsi="Times New Roman" w:hint="default"/>
      </w:rPr>
    </w:lvl>
    <w:lvl w:ilvl="3" w:tplc="BC5CC340" w:tentative="1">
      <w:start w:val="1"/>
      <w:numFmt w:val="bullet"/>
      <w:lvlText w:val="•"/>
      <w:lvlJc w:val="left"/>
      <w:pPr>
        <w:tabs>
          <w:tab w:val="num" w:pos="2880"/>
        </w:tabs>
        <w:ind w:left="2880" w:hanging="360"/>
      </w:pPr>
      <w:rPr>
        <w:rFonts w:ascii="Times New Roman" w:hAnsi="Times New Roman" w:hint="default"/>
      </w:rPr>
    </w:lvl>
    <w:lvl w:ilvl="4" w:tplc="0E726908" w:tentative="1">
      <w:start w:val="1"/>
      <w:numFmt w:val="bullet"/>
      <w:lvlText w:val="•"/>
      <w:lvlJc w:val="left"/>
      <w:pPr>
        <w:tabs>
          <w:tab w:val="num" w:pos="3600"/>
        </w:tabs>
        <w:ind w:left="3600" w:hanging="360"/>
      </w:pPr>
      <w:rPr>
        <w:rFonts w:ascii="Times New Roman" w:hAnsi="Times New Roman" w:hint="default"/>
      </w:rPr>
    </w:lvl>
    <w:lvl w:ilvl="5" w:tplc="CB8EA202" w:tentative="1">
      <w:start w:val="1"/>
      <w:numFmt w:val="bullet"/>
      <w:lvlText w:val="•"/>
      <w:lvlJc w:val="left"/>
      <w:pPr>
        <w:tabs>
          <w:tab w:val="num" w:pos="4320"/>
        </w:tabs>
        <w:ind w:left="4320" w:hanging="360"/>
      </w:pPr>
      <w:rPr>
        <w:rFonts w:ascii="Times New Roman" w:hAnsi="Times New Roman" w:hint="default"/>
      </w:rPr>
    </w:lvl>
    <w:lvl w:ilvl="6" w:tplc="AEB62C02" w:tentative="1">
      <w:start w:val="1"/>
      <w:numFmt w:val="bullet"/>
      <w:lvlText w:val="•"/>
      <w:lvlJc w:val="left"/>
      <w:pPr>
        <w:tabs>
          <w:tab w:val="num" w:pos="5040"/>
        </w:tabs>
        <w:ind w:left="5040" w:hanging="360"/>
      </w:pPr>
      <w:rPr>
        <w:rFonts w:ascii="Times New Roman" w:hAnsi="Times New Roman" w:hint="default"/>
      </w:rPr>
    </w:lvl>
    <w:lvl w:ilvl="7" w:tplc="AC2EE77C" w:tentative="1">
      <w:start w:val="1"/>
      <w:numFmt w:val="bullet"/>
      <w:lvlText w:val="•"/>
      <w:lvlJc w:val="left"/>
      <w:pPr>
        <w:tabs>
          <w:tab w:val="num" w:pos="5760"/>
        </w:tabs>
        <w:ind w:left="5760" w:hanging="360"/>
      </w:pPr>
      <w:rPr>
        <w:rFonts w:ascii="Times New Roman" w:hAnsi="Times New Roman" w:hint="default"/>
      </w:rPr>
    </w:lvl>
    <w:lvl w:ilvl="8" w:tplc="046AD75E"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2793619"/>
    <w:multiLevelType w:val="hybridMultilevel"/>
    <w:tmpl w:val="1130DF16"/>
    <w:lvl w:ilvl="0" w:tplc="EDDE217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56553B26"/>
    <w:multiLevelType w:val="hybridMultilevel"/>
    <w:tmpl w:val="AFA26226"/>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30" w15:restartNumberingAfterBreak="0">
    <w:nsid w:val="57FA47BA"/>
    <w:multiLevelType w:val="hybridMultilevel"/>
    <w:tmpl w:val="E384E128"/>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79784E"/>
    <w:multiLevelType w:val="multilevel"/>
    <w:tmpl w:val="F6E44210"/>
    <w:lvl w:ilvl="0">
      <w:start w:val="6"/>
      <w:numFmt w:val="decimal"/>
      <w:lvlText w:val="%1"/>
      <w:lvlJc w:val="left"/>
      <w:pPr>
        <w:tabs>
          <w:tab w:val="num" w:pos="1125"/>
        </w:tabs>
        <w:ind w:left="1125" w:hanging="1125"/>
      </w:pPr>
      <w:rPr>
        <w:rFonts w:hint="default"/>
      </w:rPr>
    </w:lvl>
    <w:lvl w:ilvl="1">
      <w:start w:val="8"/>
      <w:numFmt w:val="decimal"/>
      <w:lvlText w:val="%1.%2"/>
      <w:lvlJc w:val="left"/>
      <w:pPr>
        <w:tabs>
          <w:tab w:val="num" w:pos="1408"/>
        </w:tabs>
        <w:ind w:left="1408" w:hanging="1125"/>
      </w:pPr>
      <w:rPr>
        <w:rFonts w:hint="default"/>
      </w:rPr>
    </w:lvl>
    <w:lvl w:ilvl="2">
      <w:start w:val="3"/>
      <w:numFmt w:val="decimal"/>
      <w:lvlText w:val="%1.%2.%3"/>
      <w:lvlJc w:val="left"/>
      <w:pPr>
        <w:tabs>
          <w:tab w:val="num" w:pos="1691"/>
        </w:tabs>
        <w:ind w:left="1691" w:hanging="1125"/>
      </w:pPr>
      <w:rPr>
        <w:rFonts w:hint="default"/>
      </w:rPr>
    </w:lvl>
    <w:lvl w:ilvl="3">
      <w:start w:val="5"/>
      <w:numFmt w:val="decimal"/>
      <w:lvlText w:val="%1.%2.%3.%4"/>
      <w:lvlJc w:val="left"/>
      <w:pPr>
        <w:tabs>
          <w:tab w:val="num" w:pos="1974"/>
        </w:tabs>
        <w:ind w:left="1974" w:hanging="1125"/>
      </w:pPr>
      <w:rPr>
        <w:rFonts w:hint="default"/>
      </w:rPr>
    </w:lvl>
    <w:lvl w:ilvl="4">
      <w:start w:val="4"/>
      <w:numFmt w:val="decimal"/>
      <w:lvlText w:val="%1.%2.%3.%4.%5"/>
      <w:lvlJc w:val="left"/>
      <w:pPr>
        <w:tabs>
          <w:tab w:val="num" w:pos="2257"/>
        </w:tabs>
        <w:ind w:left="2257" w:hanging="1125"/>
      </w:pPr>
      <w:rPr>
        <w:rFonts w:hint="default"/>
      </w:rPr>
    </w:lvl>
    <w:lvl w:ilvl="5">
      <w:start w:val="1"/>
      <w:numFmt w:val="decimal"/>
      <w:lvlText w:val="%1.%2.%3.%4.%5.%6"/>
      <w:lvlJc w:val="left"/>
      <w:pPr>
        <w:tabs>
          <w:tab w:val="num" w:pos="2540"/>
        </w:tabs>
        <w:ind w:left="2540" w:hanging="1125"/>
      </w:pPr>
      <w:rPr>
        <w:rFonts w:hint="default"/>
      </w:rPr>
    </w:lvl>
    <w:lvl w:ilvl="6">
      <w:start w:val="1"/>
      <w:numFmt w:val="decimal"/>
      <w:lvlText w:val="%1.%2.%3.%4.%5.%6.%7"/>
      <w:lvlJc w:val="left"/>
      <w:pPr>
        <w:tabs>
          <w:tab w:val="num" w:pos="2823"/>
        </w:tabs>
        <w:ind w:left="2823" w:hanging="1125"/>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abstractNum w:abstractNumId="34" w15:restartNumberingAfterBreak="0">
    <w:nsid w:val="72AB5FC3"/>
    <w:multiLevelType w:val="hybridMultilevel"/>
    <w:tmpl w:val="A5B0C018"/>
    <w:lvl w:ilvl="0" w:tplc="CFB6F5D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590048"/>
    <w:multiLevelType w:val="hybridMultilevel"/>
    <w:tmpl w:val="905481A8"/>
    <w:lvl w:ilvl="0" w:tplc="8CC01F0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6"/>
  </w:num>
  <w:num w:numId="13">
    <w:abstractNumId w:val="10"/>
  </w:num>
  <w:num w:numId="14">
    <w:abstractNumId w:val="31"/>
  </w:num>
  <w:num w:numId="15">
    <w:abstractNumId w:val="12"/>
  </w:num>
  <w:num w:numId="16">
    <w:abstractNumId w:val="11"/>
  </w:num>
  <w:num w:numId="17">
    <w:abstractNumId w:val="14"/>
  </w:num>
  <w:num w:numId="18">
    <w:abstractNumId w:val="13"/>
  </w:num>
  <w:num w:numId="19">
    <w:abstractNumId w:val="20"/>
  </w:num>
  <w:num w:numId="20">
    <w:abstractNumId w:val="15"/>
  </w:num>
  <w:num w:numId="21">
    <w:abstractNumId w:val="32"/>
  </w:num>
  <w:num w:numId="22">
    <w:abstractNumId w:val="35"/>
  </w:num>
  <w:num w:numId="23">
    <w:abstractNumId w:val="33"/>
  </w:num>
  <w:num w:numId="24">
    <w:abstractNumId w:val="21"/>
  </w:num>
  <w:num w:numId="25">
    <w:abstractNumId w:val="17"/>
  </w:num>
  <w:num w:numId="26">
    <w:abstractNumId w:val="30"/>
  </w:num>
  <w:num w:numId="27">
    <w:abstractNumId w:val="22"/>
  </w:num>
  <w:num w:numId="28">
    <w:abstractNumId w:val="27"/>
  </w:num>
  <w:num w:numId="29">
    <w:abstractNumId w:val="29"/>
  </w:num>
  <w:num w:numId="30">
    <w:abstractNumId w:val="25"/>
  </w:num>
  <w:num w:numId="31">
    <w:abstractNumId w:val="23"/>
  </w:num>
  <w:num w:numId="32">
    <w:abstractNumId w:val="26"/>
  </w:num>
  <w:num w:numId="33">
    <w:abstractNumId w:val="34"/>
  </w:num>
  <w:num w:numId="34">
    <w:abstractNumId w:val="28"/>
  </w:num>
  <w:num w:numId="35">
    <w:abstractNumId w:val="36"/>
  </w:num>
  <w:num w:numId="36">
    <w:abstractNumId w:val="19"/>
  </w:num>
  <w:num w:numId="37">
    <w:abstractNumId w:val="24"/>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fr-FR" w:vendorID="64" w:dllVersion="6" w:nlCheck="1" w:checkStyle="1"/>
  <w:activeWritingStyle w:appName="MSWord" w:lang="fr-CH" w:vendorID="64" w:dllVersion="6" w:nlCheck="1" w:checkStyle="1"/>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de-DE" w:vendorID="64" w:dllVersion="0" w:nlCheck="1" w:checkStyle="0"/>
  <w:activeWritingStyle w:appName="MSWord" w:lang="fr-FR"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012DA"/>
    <w:rsid w:val="00017666"/>
    <w:rsid w:val="000239F9"/>
    <w:rsid w:val="0002482A"/>
    <w:rsid w:val="0002489E"/>
    <w:rsid w:val="000269B0"/>
    <w:rsid w:val="00030E0F"/>
    <w:rsid w:val="000317E8"/>
    <w:rsid w:val="00031AED"/>
    <w:rsid w:val="00034A36"/>
    <w:rsid w:val="00034DE1"/>
    <w:rsid w:val="00037642"/>
    <w:rsid w:val="00037F90"/>
    <w:rsid w:val="000404BC"/>
    <w:rsid w:val="000429B9"/>
    <w:rsid w:val="00042B6C"/>
    <w:rsid w:val="00046B1F"/>
    <w:rsid w:val="00050F6B"/>
    <w:rsid w:val="0005244C"/>
    <w:rsid w:val="00053CCA"/>
    <w:rsid w:val="0005583C"/>
    <w:rsid w:val="00057E97"/>
    <w:rsid w:val="000663B3"/>
    <w:rsid w:val="000716E4"/>
    <w:rsid w:val="00072C8C"/>
    <w:rsid w:val="000733B5"/>
    <w:rsid w:val="00080491"/>
    <w:rsid w:val="00081815"/>
    <w:rsid w:val="00081EDA"/>
    <w:rsid w:val="00086738"/>
    <w:rsid w:val="00087FD0"/>
    <w:rsid w:val="000931C0"/>
    <w:rsid w:val="000A12D8"/>
    <w:rsid w:val="000A1929"/>
    <w:rsid w:val="000A1FEE"/>
    <w:rsid w:val="000B0595"/>
    <w:rsid w:val="000B1333"/>
    <w:rsid w:val="000B14AC"/>
    <w:rsid w:val="000B175B"/>
    <w:rsid w:val="000B3A0F"/>
    <w:rsid w:val="000B45C0"/>
    <w:rsid w:val="000B4EF7"/>
    <w:rsid w:val="000B5404"/>
    <w:rsid w:val="000B7688"/>
    <w:rsid w:val="000C0281"/>
    <w:rsid w:val="000C2C03"/>
    <w:rsid w:val="000C2D2E"/>
    <w:rsid w:val="000C494A"/>
    <w:rsid w:val="000C4D51"/>
    <w:rsid w:val="000C5701"/>
    <w:rsid w:val="000D2218"/>
    <w:rsid w:val="000E0415"/>
    <w:rsid w:val="000E06CD"/>
    <w:rsid w:val="000E0F30"/>
    <w:rsid w:val="000F367B"/>
    <w:rsid w:val="000F7E8C"/>
    <w:rsid w:val="00100629"/>
    <w:rsid w:val="0010268D"/>
    <w:rsid w:val="001034E3"/>
    <w:rsid w:val="001103AA"/>
    <w:rsid w:val="001118E2"/>
    <w:rsid w:val="001143CD"/>
    <w:rsid w:val="0011666B"/>
    <w:rsid w:val="00124602"/>
    <w:rsid w:val="001249F7"/>
    <w:rsid w:val="001323C4"/>
    <w:rsid w:val="00134194"/>
    <w:rsid w:val="00151A06"/>
    <w:rsid w:val="00155068"/>
    <w:rsid w:val="00165F3A"/>
    <w:rsid w:val="00166146"/>
    <w:rsid w:val="001678CC"/>
    <w:rsid w:val="001864F6"/>
    <w:rsid w:val="00195625"/>
    <w:rsid w:val="001A0D4C"/>
    <w:rsid w:val="001A2735"/>
    <w:rsid w:val="001A6CC5"/>
    <w:rsid w:val="001A76F1"/>
    <w:rsid w:val="001B13A5"/>
    <w:rsid w:val="001B31DE"/>
    <w:rsid w:val="001B40E2"/>
    <w:rsid w:val="001B4B04"/>
    <w:rsid w:val="001B6730"/>
    <w:rsid w:val="001C0EAE"/>
    <w:rsid w:val="001C6663"/>
    <w:rsid w:val="001C7895"/>
    <w:rsid w:val="001D0527"/>
    <w:rsid w:val="001D0C8C"/>
    <w:rsid w:val="001D1419"/>
    <w:rsid w:val="001D26DF"/>
    <w:rsid w:val="001D3A03"/>
    <w:rsid w:val="001D3AA1"/>
    <w:rsid w:val="001D7E04"/>
    <w:rsid w:val="001D7F46"/>
    <w:rsid w:val="001E0B9E"/>
    <w:rsid w:val="001E7B67"/>
    <w:rsid w:val="001F57F0"/>
    <w:rsid w:val="001F7435"/>
    <w:rsid w:val="00201C29"/>
    <w:rsid w:val="00202DA8"/>
    <w:rsid w:val="0021157B"/>
    <w:rsid w:val="002116E0"/>
    <w:rsid w:val="00211E0B"/>
    <w:rsid w:val="00217646"/>
    <w:rsid w:val="00227FE1"/>
    <w:rsid w:val="0023727B"/>
    <w:rsid w:val="00241885"/>
    <w:rsid w:val="002528A2"/>
    <w:rsid w:val="00254271"/>
    <w:rsid w:val="00255786"/>
    <w:rsid w:val="00261D3F"/>
    <w:rsid w:val="00264ED1"/>
    <w:rsid w:val="00264ED3"/>
    <w:rsid w:val="00267F5F"/>
    <w:rsid w:val="00271A2F"/>
    <w:rsid w:val="0027469C"/>
    <w:rsid w:val="00277C12"/>
    <w:rsid w:val="00286B4D"/>
    <w:rsid w:val="002874BC"/>
    <w:rsid w:val="002A3A5E"/>
    <w:rsid w:val="002A5E85"/>
    <w:rsid w:val="002A603B"/>
    <w:rsid w:val="002A765F"/>
    <w:rsid w:val="002C07C3"/>
    <w:rsid w:val="002C533C"/>
    <w:rsid w:val="002C68CF"/>
    <w:rsid w:val="002D4643"/>
    <w:rsid w:val="002D4B6C"/>
    <w:rsid w:val="002D4C86"/>
    <w:rsid w:val="002D56C4"/>
    <w:rsid w:val="002E0B8C"/>
    <w:rsid w:val="002E0BA1"/>
    <w:rsid w:val="002E1D70"/>
    <w:rsid w:val="002E334C"/>
    <w:rsid w:val="002E550E"/>
    <w:rsid w:val="002F175C"/>
    <w:rsid w:val="00302E18"/>
    <w:rsid w:val="00303A7B"/>
    <w:rsid w:val="003058BA"/>
    <w:rsid w:val="00311A67"/>
    <w:rsid w:val="003229D8"/>
    <w:rsid w:val="0032576A"/>
    <w:rsid w:val="003376E7"/>
    <w:rsid w:val="00352709"/>
    <w:rsid w:val="00371178"/>
    <w:rsid w:val="003725A3"/>
    <w:rsid w:val="00377284"/>
    <w:rsid w:val="00381475"/>
    <w:rsid w:val="003848FB"/>
    <w:rsid w:val="003A19A3"/>
    <w:rsid w:val="003A26E6"/>
    <w:rsid w:val="003A55A7"/>
    <w:rsid w:val="003A6810"/>
    <w:rsid w:val="003B4D02"/>
    <w:rsid w:val="003B556E"/>
    <w:rsid w:val="003B7864"/>
    <w:rsid w:val="003C03F6"/>
    <w:rsid w:val="003C2CC4"/>
    <w:rsid w:val="003D09E3"/>
    <w:rsid w:val="003D4B23"/>
    <w:rsid w:val="003D6455"/>
    <w:rsid w:val="003E11B0"/>
    <w:rsid w:val="003E16DD"/>
    <w:rsid w:val="003E4843"/>
    <w:rsid w:val="003F1014"/>
    <w:rsid w:val="004035F4"/>
    <w:rsid w:val="00403CCD"/>
    <w:rsid w:val="004059B4"/>
    <w:rsid w:val="0040748F"/>
    <w:rsid w:val="00407A20"/>
    <w:rsid w:val="00410C89"/>
    <w:rsid w:val="00411266"/>
    <w:rsid w:val="0041567A"/>
    <w:rsid w:val="00422547"/>
    <w:rsid w:val="00422E03"/>
    <w:rsid w:val="00426B9B"/>
    <w:rsid w:val="004315AA"/>
    <w:rsid w:val="004325CB"/>
    <w:rsid w:val="0043524A"/>
    <w:rsid w:val="0043714F"/>
    <w:rsid w:val="00442A83"/>
    <w:rsid w:val="004545F3"/>
    <w:rsid w:val="0045495B"/>
    <w:rsid w:val="00463298"/>
    <w:rsid w:val="00464162"/>
    <w:rsid w:val="00465658"/>
    <w:rsid w:val="004738B8"/>
    <w:rsid w:val="0048397A"/>
    <w:rsid w:val="00487B86"/>
    <w:rsid w:val="00490ADC"/>
    <w:rsid w:val="0049163A"/>
    <w:rsid w:val="004922C1"/>
    <w:rsid w:val="004943DC"/>
    <w:rsid w:val="004A12F2"/>
    <w:rsid w:val="004A1D3E"/>
    <w:rsid w:val="004A321A"/>
    <w:rsid w:val="004A3301"/>
    <w:rsid w:val="004A4D2E"/>
    <w:rsid w:val="004A6688"/>
    <w:rsid w:val="004B0B72"/>
    <w:rsid w:val="004B610B"/>
    <w:rsid w:val="004B66F0"/>
    <w:rsid w:val="004B6BD4"/>
    <w:rsid w:val="004C2461"/>
    <w:rsid w:val="004C4325"/>
    <w:rsid w:val="004C7462"/>
    <w:rsid w:val="004C78CB"/>
    <w:rsid w:val="004C79D6"/>
    <w:rsid w:val="004D01A7"/>
    <w:rsid w:val="004D4E04"/>
    <w:rsid w:val="004D5426"/>
    <w:rsid w:val="004E0C05"/>
    <w:rsid w:val="004E618D"/>
    <w:rsid w:val="004E77B2"/>
    <w:rsid w:val="004F6829"/>
    <w:rsid w:val="005024F8"/>
    <w:rsid w:val="00503DEB"/>
    <w:rsid w:val="00504B2D"/>
    <w:rsid w:val="00512C10"/>
    <w:rsid w:val="00515D21"/>
    <w:rsid w:val="0052136D"/>
    <w:rsid w:val="0052138C"/>
    <w:rsid w:val="00522B58"/>
    <w:rsid w:val="00526044"/>
    <w:rsid w:val="0052775E"/>
    <w:rsid w:val="005314BB"/>
    <w:rsid w:val="00534DB4"/>
    <w:rsid w:val="00535C90"/>
    <w:rsid w:val="00537DE2"/>
    <w:rsid w:val="005406A2"/>
    <w:rsid w:val="005420DE"/>
    <w:rsid w:val="005420F2"/>
    <w:rsid w:val="00545927"/>
    <w:rsid w:val="00546993"/>
    <w:rsid w:val="005535BC"/>
    <w:rsid w:val="00555A87"/>
    <w:rsid w:val="00555DAA"/>
    <w:rsid w:val="00560194"/>
    <w:rsid w:val="00560AD1"/>
    <w:rsid w:val="00561D16"/>
    <w:rsid w:val="005628B6"/>
    <w:rsid w:val="005703F3"/>
    <w:rsid w:val="0057222E"/>
    <w:rsid w:val="005768AA"/>
    <w:rsid w:val="00583E23"/>
    <w:rsid w:val="005853FD"/>
    <w:rsid w:val="00587CF4"/>
    <w:rsid w:val="00597EDC"/>
    <w:rsid w:val="005A30C3"/>
    <w:rsid w:val="005A575C"/>
    <w:rsid w:val="005B17A7"/>
    <w:rsid w:val="005B3DB3"/>
    <w:rsid w:val="005B4E13"/>
    <w:rsid w:val="005B7598"/>
    <w:rsid w:val="005C04E4"/>
    <w:rsid w:val="005D65AF"/>
    <w:rsid w:val="005E4227"/>
    <w:rsid w:val="005E6A71"/>
    <w:rsid w:val="005E6A77"/>
    <w:rsid w:val="005F28E2"/>
    <w:rsid w:val="005F7B75"/>
    <w:rsid w:val="006001EE"/>
    <w:rsid w:val="00603BE0"/>
    <w:rsid w:val="00605042"/>
    <w:rsid w:val="00605295"/>
    <w:rsid w:val="00610B5C"/>
    <w:rsid w:val="00611FC4"/>
    <w:rsid w:val="006126FC"/>
    <w:rsid w:val="0061459D"/>
    <w:rsid w:val="006176FB"/>
    <w:rsid w:val="00632536"/>
    <w:rsid w:val="006336F1"/>
    <w:rsid w:val="00640B26"/>
    <w:rsid w:val="00641514"/>
    <w:rsid w:val="00641765"/>
    <w:rsid w:val="00643699"/>
    <w:rsid w:val="006477F6"/>
    <w:rsid w:val="00652D0A"/>
    <w:rsid w:val="006623D5"/>
    <w:rsid w:val="00662BB6"/>
    <w:rsid w:val="00662FF4"/>
    <w:rsid w:val="00667788"/>
    <w:rsid w:val="00667F8F"/>
    <w:rsid w:val="006739DD"/>
    <w:rsid w:val="00682F29"/>
    <w:rsid w:val="00684A02"/>
    <w:rsid w:val="00684C21"/>
    <w:rsid w:val="00691390"/>
    <w:rsid w:val="0069165D"/>
    <w:rsid w:val="00691DF1"/>
    <w:rsid w:val="0069232B"/>
    <w:rsid w:val="006924C7"/>
    <w:rsid w:val="006A2530"/>
    <w:rsid w:val="006A52D7"/>
    <w:rsid w:val="006B677F"/>
    <w:rsid w:val="006C0CCA"/>
    <w:rsid w:val="006C3589"/>
    <w:rsid w:val="006C524E"/>
    <w:rsid w:val="006C576D"/>
    <w:rsid w:val="006C578A"/>
    <w:rsid w:val="006D05FE"/>
    <w:rsid w:val="006D27F9"/>
    <w:rsid w:val="006D37AF"/>
    <w:rsid w:val="006D48A1"/>
    <w:rsid w:val="006D51D0"/>
    <w:rsid w:val="006E0884"/>
    <w:rsid w:val="006E1357"/>
    <w:rsid w:val="006E1F8E"/>
    <w:rsid w:val="006E2505"/>
    <w:rsid w:val="006E47F2"/>
    <w:rsid w:val="006E5117"/>
    <w:rsid w:val="006E564B"/>
    <w:rsid w:val="006E7191"/>
    <w:rsid w:val="006F0301"/>
    <w:rsid w:val="006F3909"/>
    <w:rsid w:val="00701DB7"/>
    <w:rsid w:val="00703577"/>
    <w:rsid w:val="00704731"/>
    <w:rsid w:val="00705894"/>
    <w:rsid w:val="00707BD7"/>
    <w:rsid w:val="00712074"/>
    <w:rsid w:val="00712EED"/>
    <w:rsid w:val="00713D89"/>
    <w:rsid w:val="00715924"/>
    <w:rsid w:val="0072474C"/>
    <w:rsid w:val="00724A43"/>
    <w:rsid w:val="0072632A"/>
    <w:rsid w:val="00731E8D"/>
    <w:rsid w:val="00731FF0"/>
    <w:rsid w:val="007327D5"/>
    <w:rsid w:val="00733330"/>
    <w:rsid w:val="00741F52"/>
    <w:rsid w:val="00745CA5"/>
    <w:rsid w:val="00745D60"/>
    <w:rsid w:val="00746F7A"/>
    <w:rsid w:val="00747192"/>
    <w:rsid w:val="007611CF"/>
    <w:rsid w:val="0076298A"/>
    <w:rsid w:val="007629C8"/>
    <w:rsid w:val="007635EE"/>
    <w:rsid w:val="0077047D"/>
    <w:rsid w:val="007766B9"/>
    <w:rsid w:val="00776CE9"/>
    <w:rsid w:val="00786BDD"/>
    <w:rsid w:val="00791D4A"/>
    <w:rsid w:val="00795203"/>
    <w:rsid w:val="007A6A01"/>
    <w:rsid w:val="007B3D82"/>
    <w:rsid w:val="007B6BA5"/>
    <w:rsid w:val="007C3390"/>
    <w:rsid w:val="007C4800"/>
    <w:rsid w:val="007C4F4B"/>
    <w:rsid w:val="007C5B41"/>
    <w:rsid w:val="007D46D5"/>
    <w:rsid w:val="007E01E9"/>
    <w:rsid w:val="007E63F3"/>
    <w:rsid w:val="007E670B"/>
    <w:rsid w:val="007F2BFD"/>
    <w:rsid w:val="007F6611"/>
    <w:rsid w:val="007F7106"/>
    <w:rsid w:val="00804389"/>
    <w:rsid w:val="0080625A"/>
    <w:rsid w:val="00811920"/>
    <w:rsid w:val="008128C9"/>
    <w:rsid w:val="00815AD0"/>
    <w:rsid w:val="008217ED"/>
    <w:rsid w:val="00822A36"/>
    <w:rsid w:val="008242D7"/>
    <w:rsid w:val="008257B1"/>
    <w:rsid w:val="008339DB"/>
    <w:rsid w:val="00834879"/>
    <w:rsid w:val="0084086E"/>
    <w:rsid w:val="00843767"/>
    <w:rsid w:val="00846970"/>
    <w:rsid w:val="0085041A"/>
    <w:rsid w:val="008521A5"/>
    <w:rsid w:val="00855BEF"/>
    <w:rsid w:val="00863B75"/>
    <w:rsid w:val="00864AE3"/>
    <w:rsid w:val="00864E2F"/>
    <w:rsid w:val="008653D9"/>
    <w:rsid w:val="00865422"/>
    <w:rsid w:val="008679D9"/>
    <w:rsid w:val="00871389"/>
    <w:rsid w:val="00874CB6"/>
    <w:rsid w:val="00883999"/>
    <w:rsid w:val="008878DE"/>
    <w:rsid w:val="008905C5"/>
    <w:rsid w:val="00892DF8"/>
    <w:rsid w:val="008979B1"/>
    <w:rsid w:val="008979E2"/>
    <w:rsid w:val="008A3CCB"/>
    <w:rsid w:val="008A6B25"/>
    <w:rsid w:val="008A6C4F"/>
    <w:rsid w:val="008B191E"/>
    <w:rsid w:val="008B2335"/>
    <w:rsid w:val="008B67FB"/>
    <w:rsid w:val="008B717B"/>
    <w:rsid w:val="008B7716"/>
    <w:rsid w:val="008C4F35"/>
    <w:rsid w:val="008C690B"/>
    <w:rsid w:val="008C7237"/>
    <w:rsid w:val="008D2055"/>
    <w:rsid w:val="008D517A"/>
    <w:rsid w:val="008D6C99"/>
    <w:rsid w:val="008D7E0C"/>
    <w:rsid w:val="008E0678"/>
    <w:rsid w:val="00900921"/>
    <w:rsid w:val="009106DC"/>
    <w:rsid w:val="00910FB0"/>
    <w:rsid w:val="009152D4"/>
    <w:rsid w:val="0092212D"/>
    <w:rsid w:val="009223CA"/>
    <w:rsid w:val="00926442"/>
    <w:rsid w:val="009305DC"/>
    <w:rsid w:val="009321DA"/>
    <w:rsid w:val="0093296D"/>
    <w:rsid w:val="00933DC0"/>
    <w:rsid w:val="00940759"/>
    <w:rsid w:val="00940F93"/>
    <w:rsid w:val="0094558F"/>
    <w:rsid w:val="009464FF"/>
    <w:rsid w:val="009541E9"/>
    <w:rsid w:val="00960849"/>
    <w:rsid w:val="00961690"/>
    <w:rsid w:val="00961D15"/>
    <w:rsid w:val="009654CE"/>
    <w:rsid w:val="00966A2C"/>
    <w:rsid w:val="00972CAC"/>
    <w:rsid w:val="00972E82"/>
    <w:rsid w:val="009760F3"/>
    <w:rsid w:val="00981476"/>
    <w:rsid w:val="009823AF"/>
    <w:rsid w:val="00986B7D"/>
    <w:rsid w:val="009961E5"/>
    <w:rsid w:val="009A0E8D"/>
    <w:rsid w:val="009A7521"/>
    <w:rsid w:val="009B1518"/>
    <w:rsid w:val="009B26E7"/>
    <w:rsid w:val="009B2D37"/>
    <w:rsid w:val="009B6669"/>
    <w:rsid w:val="009C3453"/>
    <w:rsid w:val="009C3EED"/>
    <w:rsid w:val="009C454F"/>
    <w:rsid w:val="009D2A5B"/>
    <w:rsid w:val="009E2CA6"/>
    <w:rsid w:val="009E461F"/>
    <w:rsid w:val="009F5205"/>
    <w:rsid w:val="009F6796"/>
    <w:rsid w:val="00A00A3F"/>
    <w:rsid w:val="00A01489"/>
    <w:rsid w:val="00A0452E"/>
    <w:rsid w:val="00A074AB"/>
    <w:rsid w:val="00A14229"/>
    <w:rsid w:val="00A15ACE"/>
    <w:rsid w:val="00A16E31"/>
    <w:rsid w:val="00A20053"/>
    <w:rsid w:val="00A20C6A"/>
    <w:rsid w:val="00A21FCE"/>
    <w:rsid w:val="00A267DE"/>
    <w:rsid w:val="00A26B88"/>
    <w:rsid w:val="00A3009E"/>
    <w:rsid w:val="00A3026E"/>
    <w:rsid w:val="00A3038F"/>
    <w:rsid w:val="00A31F78"/>
    <w:rsid w:val="00A338F1"/>
    <w:rsid w:val="00A3633D"/>
    <w:rsid w:val="00A45776"/>
    <w:rsid w:val="00A63F16"/>
    <w:rsid w:val="00A70580"/>
    <w:rsid w:val="00A726E2"/>
    <w:rsid w:val="00A72F22"/>
    <w:rsid w:val="00A7360F"/>
    <w:rsid w:val="00A748A6"/>
    <w:rsid w:val="00A769F4"/>
    <w:rsid w:val="00A776B4"/>
    <w:rsid w:val="00A8037B"/>
    <w:rsid w:val="00A81407"/>
    <w:rsid w:val="00A83470"/>
    <w:rsid w:val="00A83C1E"/>
    <w:rsid w:val="00A87042"/>
    <w:rsid w:val="00A87FB9"/>
    <w:rsid w:val="00A90859"/>
    <w:rsid w:val="00A9093D"/>
    <w:rsid w:val="00A917E8"/>
    <w:rsid w:val="00A94361"/>
    <w:rsid w:val="00AA293C"/>
    <w:rsid w:val="00AA44AF"/>
    <w:rsid w:val="00AB5C6D"/>
    <w:rsid w:val="00AC7973"/>
    <w:rsid w:val="00AD22A5"/>
    <w:rsid w:val="00AD71ED"/>
    <w:rsid w:val="00AE08DA"/>
    <w:rsid w:val="00AE26D3"/>
    <w:rsid w:val="00AE4BC9"/>
    <w:rsid w:val="00AE53F8"/>
    <w:rsid w:val="00AE6620"/>
    <w:rsid w:val="00AE75BE"/>
    <w:rsid w:val="00AF288D"/>
    <w:rsid w:val="00AF3993"/>
    <w:rsid w:val="00AF59A9"/>
    <w:rsid w:val="00B0321F"/>
    <w:rsid w:val="00B03AF8"/>
    <w:rsid w:val="00B04BBF"/>
    <w:rsid w:val="00B057A9"/>
    <w:rsid w:val="00B11BB4"/>
    <w:rsid w:val="00B145CE"/>
    <w:rsid w:val="00B17302"/>
    <w:rsid w:val="00B175D8"/>
    <w:rsid w:val="00B17B1A"/>
    <w:rsid w:val="00B20957"/>
    <w:rsid w:val="00B2264C"/>
    <w:rsid w:val="00B22BC2"/>
    <w:rsid w:val="00B2572D"/>
    <w:rsid w:val="00B27081"/>
    <w:rsid w:val="00B2757E"/>
    <w:rsid w:val="00B30179"/>
    <w:rsid w:val="00B3156F"/>
    <w:rsid w:val="00B330F6"/>
    <w:rsid w:val="00B364EC"/>
    <w:rsid w:val="00B421C1"/>
    <w:rsid w:val="00B4432D"/>
    <w:rsid w:val="00B4762D"/>
    <w:rsid w:val="00B54D02"/>
    <w:rsid w:val="00B55C71"/>
    <w:rsid w:val="00B56E4A"/>
    <w:rsid w:val="00B56E9C"/>
    <w:rsid w:val="00B61320"/>
    <w:rsid w:val="00B64B1F"/>
    <w:rsid w:val="00B6553F"/>
    <w:rsid w:val="00B70F1E"/>
    <w:rsid w:val="00B77D05"/>
    <w:rsid w:val="00B81206"/>
    <w:rsid w:val="00B81E12"/>
    <w:rsid w:val="00B821B1"/>
    <w:rsid w:val="00B827DE"/>
    <w:rsid w:val="00B857E8"/>
    <w:rsid w:val="00B85BCF"/>
    <w:rsid w:val="00B87D1F"/>
    <w:rsid w:val="00BA1B73"/>
    <w:rsid w:val="00BA51F8"/>
    <w:rsid w:val="00BA5393"/>
    <w:rsid w:val="00BB236F"/>
    <w:rsid w:val="00BB34A7"/>
    <w:rsid w:val="00BB7479"/>
    <w:rsid w:val="00BB7CD1"/>
    <w:rsid w:val="00BC3FA0"/>
    <w:rsid w:val="00BC50F7"/>
    <w:rsid w:val="00BC676D"/>
    <w:rsid w:val="00BC74E9"/>
    <w:rsid w:val="00BE191A"/>
    <w:rsid w:val="00BE1D12"/>
    <w:rsid w:val="00BF099C"/>
    <w:rsid w:val="00BF0F0F"/>
    <w:rsid w:val="00BF42CB"/>
    <w:rsid w:val="00BF68A8"/>
    <w:rsid w:val="00C01728"/>
    <w:rsid w:val="00C06B44"/>
    <w:rsid w:val="00C073C9"/>
    <w:rsid w:val="00C10FE6"/>
    <w:rsid w:val="00C11A03"/>
    <w:rsid w:val="00C139BD"/>
    <w:rsid w:val="00C20E6B"/>
    <w:rsid w:val="00C22C0C"/>
    <w:rsid w:val="00C243C4"/>
    <w:rsid w:val="00C255AF"/>
    <w:rsid w:val="00C25CBA"/>
    <w:rsid w:val="00C25D46"/>
    <w:rsid w:val="00C308E7"/>
    <w:rsid w:val="00C30C61"/>
    <w:rsid w:val="00C33EB9"/>
    <w:rsid w:val="00C35502"/>
    <w:rsid w:val="00C36F9E"/>
    <w:rsid w:val="00C37440"/>
    <w:rsid w:val="00C40B11"/>
    <w:rsid w:val="00C4527F"/>
    <w:rsid w:val="00C463DD"/>
    <w:rsid w:val="00C4724C"/>
    <w:rsid w:val="00C53412"/>
    <w:rsid w:val="00C5737A"/>
    <w:rsid w:val="00C629A0"/>
    <w:rsid w:val="00C64629"/>
    <w:rsid w:val="00C64826"/>
    <w:rsid w:val="00C66EFC"/>
    <w:rsid w:val="00C679E1"/>
    <w:rsid w:val="00C728E6"/>
    <w:rsid w:val="00C73977"/>
    <w:rsid w:val="00C745C3"/>
    <w:rsid w:val="00C76F8B"/>
    <w:rsid w:val="00C82FC2"/>
    <w:rsid w:val="00C831FD"/>
    <w:rsid w:val="00C84264"/>
    <w:rsid w:val="00C850B6"/>
    <w:rsid w:val="00C9036C"/>
    <w:rsid w:val="00C92461"/>
    <w:rsid w:val="00C93242"/>
    <w:rsid w:val="00C9513C"/>
    <w:rsid w:val="00C97951"/>
    <w:rsid w:val="00CA202E"/>
    <w:rsid w:val="00CA442D"/>
    <w:rsid w:val="00CB3430"/>
    <w:rsid w:val="00CB3E03"/>
    <w:rsid w:val="00CB6456"/>
    <w:rsid w:val="00CE4A8F"/>
    <w:rsid w:val="00D018C5"/>
    <w:rsid w:val="00D04584"/>
    <w:rsid w:val="00D05F67"/>
    <w:rsid w:val="00D1298E"/>
    <w:rsid w:val="00D2031B"/>
    <w:rsid w:val="00D22340"/>
    <w:rsid w:val="00D25FE2"/>
    <w:rsid w:val="00D31F1A"/>
    <w:rsid w:val="00D346C8"/>
    <w:rsid w:val="00D379DC"/>
    <w:rsid w:val="00D43252"/>
    <w:rsid w:val="00D47EEA"/>
    <w:rsid w:val="00D53A37"/>
    <w:rsid w:val="00D54770"/>
    <w:rsid w:val="00D550D4"/>
    <w:rsid w:val="00D62873"/>
    <w:rsid w:val="00D66A25"/>
    <w:rsid w:val="00D671B7"/>
    <w:rsid w:val="00D74518"/>
    <w:rsid w:val="00D773DF"/>
    <w:rsid w:val="00D872AC"/>
    <w:rsid w:val="00D91CEF"/>
    <w:rsid w:val="00D9255F"/>
    <w:rsid w:val="00D93172"/>
    <w:rsid w:val="00D95303"/>
    <w:rsid w:val="00D978C6"/>
    <w:rsid w:val="00DA3C1C"/>
    <w:rsid w:val="00DB47FC"/>
    <w:rsid w:val="00DC051A"/>
    <w:rsid w:val="00DC11BA"/>
    <w:rsid w:val="00DC45EC"/>
    <w:rsid w:val="00DC4A4A"/>
    <w:rsid w:val="00DC518F"/>
    <w:rsid w:val="00DC60C6"/>
    <w:rsid w:val="00DC6B00"/>
    <w:rsid w:val="00DD29BD"/>
    <w:rsid w:val="00DE1C92"/>
    <w:rsid w:val="00DE27E7"/>
    <w:rsid w:val="00DE573B"/>
    <w:rsid w:val="00DF34F6"/>
    <w:rsid w:val="00E03686"/>
    <w:rsid w:val="00E046DF"/>
    <w:rsid w:val="00E100CF"/>
    <w:rsid w:val="00E15557"/>
    <w:rsid w:val="00E21531"/>
    <w:rsid w:val="00E240D2"/>
    <w:rsid w:val="00E2678D"/>
    <w:rsid w:val="00E27346"/>
    <w:rsid w:val="00E332F3"/>
    <w:rsid w:val="00E363C4"/>
    <w:rsid w:val="00E363D3"/>
    <w:rsid w:val="00E442A4"/>
    <w:rsid w:val="00E56572"/>
    <w:rsid w:val="00E66481"/>
    <w:rsid w:val="00E70729"/>
    <w:rsid w:val="00E7136A"/>
    <w:rsid w:val="00E71610"/>
    <w:rsid w:val="00E71BC8"/>
    <w:rsid w:val="00E7260F"/>
    <w:rsid w:val="00E73F5D"/>
    <w:rsid w:val="00E76FD2"/>
    <w:rsid w:val="00E77E4E"/>
    <w:rsid w:val="00E823AA"/>
    <w:rsid w:val="00E8675E"/>
    <w:rsid w:val="00E87AE8"/>
    <w:rsid w:val="00E94F0F"/>
    <w:rsid w:val="00E958B8"/>
    <w:rsid w:val="00E96630"/>
    <w:rsid w:val="00E97597"/>
    <w:rsid w:val="00EA39E5"/>
    <w:rsid w:val="00EB1ACF"/>
    <w:rsid w:val="00EB217C"/>
    <w:rsid w:val="00EB2ABE"/>
    <w:rsid w:val="00EB771D"/>
    <w:rsid w:val="00EC106A"/>
    <w:rsid w:val="00EC1E8A"/>
    <w:rsid w:val="00ED47AA"/>
    <w:rsid w:val="00ED7A2A"/>
    <w:rsid w:val="00EE05FE"/>
    <w:rsid w:val="00EE27F0"/>
    <w:rsid w:val="00EE421C"/>
    <w:rsid w:val="00EE474F"/>
    <w:rsid w:val="00EE555F"/>
    <w:rsid w:val="00EE6B3A"/>
    <w:rsid w:val="00EF1D7F"/>
    <w:rsid w:val="00F02D17"/>
    <w:rsid w:val="00F051B8"/>
    <w:rsid w:val="00F05B68"/>
    <w:rsid w:val="00F065AF"/>
    <w:rsid w:val="00F07FBD"/>
    <w:rsid w:val="00F1027B"/>
    <w:rsid w:val="00F10331"/>
    <w:rsid w:val="00F12514"/>
    <w:rsid w:val="00F15AC9"/>
    <w:rsid w:val="00F16696"/>
    <w:rsid w:val="00F16EB9"/>
    <w:rsid w:val="00F206B0"/>
    <w:rsid w:val="00F26C57"/>
    <w:rsid w:val="00F31E5F"/>
    <w:rsid w:val="00F32BB7"/>
    <w:rsid w:val="00F34636"/>
    <w:rsid w:val="00F35003"/>
    <w:rsid w:val="00F35B7D"/>
    <w:rsid w:val="00F403E5"/>
    <w:rsid w:val="00F41E7F"/>
    <w:rsid w:val="00F45AF7"/>
    <w:rsid w:val="00F54A8E"/>
    <w:rsid w:val="00F6100A"/>
    <w:rsid w:val="00F63C9D"/>
    <w:rsid w:val="00F66565"/>
    <w:rsid w:val="00F753B9"/>
    <w:rsid w:val="00F75A16"/>
    <w:rsid w:val="00F76A03"/>
    <w:rsid w:val="00F774E7"/>
    <w:rsid w:val="00F77958"/>
    <w:rsid w:val="00F83B63"/>
    <w:rsid w:val="00F85285"/>
    <w:rsid w:val="00F861CE"/>
    <w:rsid w:val="00F8668D"/>
    <w:rsid w:val="00F92A22"/>
    <w:rsid w:val="00F93781"/>
    <w:rsid w:val="00F94CCB"/>
    <w:rsid w:val="00F9750D"/>
    <w:rsid w:val="00FA0F7B"/>
    <w:rsid w:val="00FA61DC"/>
    <w:rsid w:val="00FA7575"/>
    <w:rsid w:val="00FA7EE4"/>
    <w:rsid w:val="00FB2802"/>
    <w:rsid w:val="00FB613B"/>
    <w:rsid w:val="00FB7677"/>
    <w:rsid w:val="00FC0C2A"/>
    <w:rsid w:val="00FC68B7"/>
    <w:rsid w:val="00FD707F"/>
    <w:rsid w:val="00FE106A"/>
    <w:rsid w:val="00FE3F26"/>
    <w:rsid w:val="00FE6DE4"/>
    <w:rsid w:val="00FF145D"/>
    <w:rsid w:val="00FF5D03"/>
    <w:rsid w:val="00FF7D0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84B5663"/>
  <w15:docId w15:val="{2F5DFC34-3B65-41CE-8FFF-62FC5EBB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18C5"/>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F77958"/>
    <w:pPr>
      <w:spacing w:line="240" w:lineRule="auto"/>
      <w:outlineLvl w:val="1"/>
    </w:pPr>
  </w:style>
  <w:style w:type="paragraph" w:styleId="Heading3">
    <w:name w:val="heading 3"/>
    <w:basedOn w:val="Normal"/>
    <w:next w:val="Normal"/>
    <w:qFormat/>
    <w:rsid w:val="00F77958"/>
    <w:pPr>
      <w:spacing w:line="240" w:lineRule="auto"/>
      <w:outlineLvl w:val="2"/>
    </w:pPr>
  </w:style>
  <w:style w:type="paragraph" w:styleId="Heading4">
    <w:name w:val="heading 4"/>
    <w:basedOn w:val="Normal"/>
    <w:next w:val="Normal"/>
    <w:qFormat/>
    <w:rsid w:val="00F77958"/>
    <w:pPr>
      <w:spacing w:line="240" w:lineRule="auto"/>
      <w:outlineLvl w:val="3"/>
    </w:pPr>
  </w:style>
  <w:style w:type="paragraph" w:styleId="Heading5">
    <w:name w:val="heading 5"/>
    <w:basedOn w:val="Normal"/>
    <w:next w:val="Normal"/>
    <w:qFormat/>
    <w:rsid w:val="00F77958"/>
    <w:pPr>
      <w:spacing w:line="240" w:lineRule="auto"/>
      <w:outlineLvl w:val="4"/>
    </w:pPr>
  </w:style>
  <w:style w:type="paragraph" w:styleId="Heading6">
    <w:name w:val="heading 6"/>
    <w:basedOn w:val="Normal"/>
    <w:next w:val="Normal"/>
    <w:qFormat/>
    <w:rsid w:val="00F77958"/>
    <w:pPr>
      <w:spacing w:line="240" w:lineRule="auto"/>
      <w:outlineLvl w:val="5"/>
    </w:pPr>
  </w:style>
  <w:style w:type="paragraph" w:styleId="Heading7">
    <w:name w:val="heading 7"/>
    <w:basedOn w:val="Normal"/>
    <w:next w:val="Normal"/>
    <w:qFormat/>
    <w:rsid w:val="00F77958"/>
    <w:pPr>
      <w:spacing w:line="240" w:lineRule="auto"/>
      <w:outlineLvl w:val="6"/>
    </w:pPr>
  </w:style>
  <w:style w:type="paragraph" w:styleId="Heading8">
    <w:name w:val="heading 8"/>
    <w:basedOn w:val="Normal"/>
    <w:next w:val="Normal"/>
    <w:qFormat/>
    <w:rsid w:val="00F77958"/>
    <w:pPr>
      <w:spacing w:line="240" w:lineRule="auto"/>
      <w:outlineLvl w:val="7"/>
    </w:pPr>
  </w:style>
  <w:style w:type="paragraph" w:styleId="Heading9">
    <w:name w:val="heading 9"/>
    <w:basedOn w:val="Normal"/>
    <w:next w:val="Normal"/>
    <w:qFormat/>
    <w:rsid w:val="00F7795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F7795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F77958"/>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F77958"/>
    <w:pPr>
      <w:numPr>
        <w:numId w:val="13"/>
      </w:numPr>
      <w:tabs>
        <w:tab w:val="clear" w:pos="1494"/>
      </w:tabs>
    </w:pPr>
  </w:style>
  <w:style w:type="paragraph" w:customStyle="1" w:styleId="SingleTxtG">
    <w:name w:val="_ Single Txt_G"/>
    <w:basedOn w:val="Normal"/>
    <w:link w:val="SingleTxtGChar"/>
    <w:rsid w:val="00F77958"/>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link w:val="PlainTextChar"/>
    <w:uiPriority w:val="99"/>
    <w:semiHidden/>
    <w:rsid w:val="00F77958"/>
    <w:rPr>
      <w:rFonts w:cs="Courier New"/>
    </w:rPr>
  </w:style>
  <w:style w:type="paragraph" w:styleId="BodyText">
    <w:name w:val="Body Text"/>
    <w:basedOn w:val="Normal"/>
    <w:next w:val="Normal"/>
    <w:semiHidden/>
    <w:rsid w:val="00F77958"/>
  </w:style>
  <w:style w:type="paragraph" w:styleId="BodyTextIndent">
    <w:name w:val="Body Text Indent"/>
    <w:basedOn w:val="Normal"/>
    <w:semiHidden/>
    <w:rsid w:val="00F77958"/>
    <w:pPr>
      <w:spacing w:after="120"/>
      <w:ind w:left="283"/>
    </w:pPr>
  </w:style>
  <w:style w:type="paragraph" w:styleId="BlockText">
    <w:name w:val="Block Text"/>
    <w:basedOn w:val="Normal"/>
    <w:semiHidden/>
    <w:rsid w:val="00F77958"/>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F77958"/>
    <w:rPr>
      <w:sz w:val="6"/>
    </w:rPr>
  </w:style>
  <w:style w:type="paragraph" w:styleId="CommentText">
    <w:name w:val="annotation text"/>
    <w:basedOn w:val="Normal"/>
    <w:link w:val="CommentTextChar"/>
    <w:semiHidden/>
    <w:rsid w:val="00F77958"/>
  </w:style>
  <w:style w:type="character" w:styleId="LineNumber">
    <w:name w:val="line number"/>
    <w:semiHidden/>
    <w:rsid w:val="00F77958"/>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F7795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F7795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F7795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F77958"/>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TitleChar">
    <w:name w:val="Title Char"/>
    <w:link w:val="Title"/>
    <w:rsid w:val="00BF42CB"/>
    <w:rPr>
      <w:rFonts w:ascii="Arial" w:hAnsi="Arial" w:cs="Arial"/>
      <w:b/>
      <w:bCs/>
      <w:kern w:val="28"/>
      <w:sz w:val="32"/>
      <w:szCs w:val="32"/>
      <w:lang w:eastAsia="en-US"/>
    </w:rPr>
  </w:style>
  <w:style w:type="paragraph" w:customStyle="1" w:styleId="NoteHead">
    <w:name w:val="NoteHead"/>
    <w:basedOn w:val="Normal"/>
    <w:next w:val="Normal"/>
    <w:rsid w:val="00BF42CB"/>
    <w:pPr>
      <w:suppressAutoHyphens w:val="0"/>
      <w:spacing w:before="720" w:after="720" w:line="240" w:lineRule="auto"/>
      <w:jc w:val="center"/>
    </w:pPr>
    <w:rPr>
      <w:b/>
      <w:smallCaps/>
      <w:sz w:val="24"/>
    </w:rPr>
  </w:style>
  <w:style w:type="character" w:customStyle="1" w:styleId="FooterChar">
    <w:name w:val="Footer Char"/>
    <w:aliases w:val="3_G Char"/>
    <w:link w:val="Footer"/>
    <w:uiPriority w:val="99"/>
    <w:rsid w:val="00BF42CB"/>
    <w:rPr>
      <w:sz w:val="16"/>
      <w:lang w:eastAsia="en-US"/>
    </w:rPr>
  </w:style>
  <w:style w:type="paragraph" w:styleId="ListParagraph">
    <w:name w:val="List Paragraph"/>
    <w:basedOn w:val="Normal"/>
    <w:uiPriority w:val="34"/>
    <w:qFormat/>
    <w:rsid w:val="00BF42CB"/>
    <w:pPr>
      <w:suppressAutoHyphens w:val="0"/>
      <w:spacing w:line="240" w:lineRule="auto"/>
      <w:ind w:left="720"/>
      <w:contextualSpacing/>
    </w:pPr>
    <w:rPr>
      <w:sz w:val="24"/>
      <w:szCs w:val="24"/>
      <w:lang w:val="de-DE" w:eastAsia="de-DE"/>
    </w:rPr>
  </w:style>
  <w:style w:type="paragraph" w:styleId="DocumentMap">
    <w:name w:val="Document Map"/>
    <w:basedOn w:val="Normal"/>
    <w:link w:val="DocumentMapChar"/>
    <w:rsid w:val="00BF42CB"/>
    <w:rPr>
      <w:rFonts w:ascii="Tahoma" w:hAnsi="Tahoma" w:cs="Tahoma"/>
      <w:sz w:val="16"/>
      <w:szCs w:val="16"/>
    </w:rPr>
  </w:style>
  <w:style w:type="character" w:customStyle="1" w:styleId="DocumentMapChar">
    <w:name w:val="Document Map Char"/>
    <w:basedOn w:val="DefaultParagraphFont"/>
    <w:link w:val="DocumentMap"/>
    <w:rsid w:val="00BF42CB"/>
    <w:rPr>
      <w:rFonts w:ascii="Tahoma" w:hAnsi="Tahoma" w:cs="Tahoma"/>
      <w:sz w:val="16"/>
      <w:szCs w:val="16"/>
      <w:lang w:eastAsia="en-US"/>
    </w:rPr>
  </w:style>
  <w:style w:type="paragraph" w:customStyle="1" w:styleId="ISOClause">
    <w:name w:val="ISO_Clause"/>
    <w:basedOn w:val="Normal"/>
    <w:rsid w:val="00BF42CB"/>
    <w:pPr>
      <w:suppressAutoHyphens w:val="0"/>
      <w:spacing w:before="210" w:line="210" w:lineRule="exact"/>
    </w:pPr>
    <w:rPr>
      <w:rFonts w:ascii="Arial" w:hAnsi="Arial"/>
      <w:sz w:val="18"/>
    </w:rPr>
  </w:style>
  <w:style w:type="paragraph" w:customStyle="1" w:styleId="ISOComments">
    <w:name w:val="ISO_Comments"/>
    <w:basedOn w:val="Normal"/>
    <w:rsid w:val="00BF42CB"/>
    <w:pPr>
      <w:suppressAutoHyphens w:val="0"/>
      <w:spacing w:before="210" w:line="210" w:lineRule="exact"/>
    </w:pPr>
    <w:rPr>
      <w:rFonts w:ascii="Arial" w:hAnsi="Arial"/>
      <w:sz w:val="18"/>
    </w:rPr>
  </w:style>
  <w:style w:type="paragraph" w:customStyle="1" w:styleId="ISOChange">
    <w:name w:val="ISO_Change"/>
    <w:basedOn w:val="Normal"/>
    <w:rsid w:val="00BF42CB"/>
    <w:pPr>
      <w:suppressAutoHyphens w:val="0"/>
      <w:spacing w:before="210" w:line="210" w:lineRule="exact"/>
    </w:pPr>
    <w:rPr>
      <w:rFonts w:ascii="Arial" w:hAnsi="Arial"/>
      <w:sz w:val="18"/>
    </w:rPr>
  </w:style>
  <w:style w:type="paragraph" w:customStyle="1" w:styleId="Default">
    <w:name w:val="Default"/>
    <w:rsid w:val="00BF42CB"/>
    <w:pPr>
      <w:autoSpaceDE w:val="0"/>
      <w:autoSpaceDN w:val="0"/>
      <w:adjustRightInd w:val="0"/>
    </w:pPr>
    <w:rPr>
      <w:rFonts w:ascii="Arial" w:hAnsi="Arial" w:cs="Arial"/>
      <w:color w:val="000000"/>
      <w:sz w:val="24"/>
      <w:szCs w:val="24"/>
      <w:lang w:val="en-GB" w:eastAsia="en-GB"/>
    </w:rPr>
  </w:style>
  <w:style w:type="paragraph" w:customStyle="1" w:styleId="ISOParagraph">
    <w:name w:val="ISO_Paragraph"/>
    <w:basedOn w:val="Normal"/>
    <w:rsid w:val="00BF42CB"/>
    <w:pPr>
      <w:suppressAutoHyphens w:val="0"/>
      <w:spacing w:before="210" w:line="210" w:lineRule="exact"/>
    </w:pPr>
    <w:rPr>
      <w:rFonts w:ascii="Arial" w:hAnsi="Arial"/>
      <w:sz w:val="18"/>
    </w:rPr>
  </w:style>
  <w:style w:type="character" w:customStyle="1" w:styleId="HeaderChar">
    <w:name w:val="Header Char"/>
    <w:aliases w:val="6_G Char"/>
    <w:basedOn w:val="DefaultParagraphFont"/>
    <w:link w:val="Header"/>
    <w:uiPriority w:val="99"/>
    <w:rsid w:val="00BF42CB"/>
    <w:rPr>
      <w:b/>
      <w:sz w:val="18"/>
      <w:lang w:eastAsia="en-US"/>
    </w:rPr>
  </w:style>
  <w:style w:type="paragraph" w:styleId="CommentSubject">
    <w:name w:val="annotation subject"/>
    <w:basedOn w:val="CommentText"/>
    <w:next w:val="CommentText"/>
    <w:link w:val="CommentSubjectChar"/>
    <w:semiHidden/>
    <w:unhideWhenUsed/>
    <w:rsid w:val="007C5B41"/>
    <w:pPr>
      <w:spacing w:line="240" w:lineRule="auto"/>
    </w:pPr>
    <w:rPr>
      <w:b/>
      <w:bCs/>
    </w:rPr>
  </w:style>
  <w:style w:type="character" w:customStyle="1" w:styleId="CommentTextChar">
    <w:name w:val="Comment Text Char"/>
    <w:basedOn w:val="DefaultParagraphFont"/>
    <w:link w:val="CommentText"/>
    <w:semiHidden/>
    <w:rsid w:val="007C5B41"/>
    <w:rPr>
      <w:lang w:val="en-GB" w:eastAsia="en-US"/>
    </w:rPr>
  </w:style>
  <w:style w:type="character" w:customStyle="1" w:styleId="CommentSubjectChar">
    <w:name w:val="Comment Subject Char"/>
    <w:basedOn w:val="CommentTextChar"/>
    <w:link w:val="CommentSubject"/>
    <w:semiHidden/>
    <w:rsid w:val="007C5B41"/>
    <w:rPr>
      <w:b/>
      <w:bCs/>
      <w:lang w:val="en-GB" w:eastAsia="en-US"/>
    </w:rPr>
  </w:style>
  <w:style w:type="paragraph" w:customStyle="1" w:styleId="Pa42">
    <w:name w:val="Pa42"/>
    <w:basedOn w:val="Normal"/>
    <w:next w:val="Normal"/>
    <w:uiPriority w:val="99"/>
    <w:rsid w:val="007C4800"/>
    <w:pPr>
      <w:suppressAutoHyphens w:val="0"/>
      <w:autoSpaceDE w:val="0"/>
      <w:autoSpaceDN w:val="0"/>
      <w:adjustRightInd w:val="0"/>
      <w:spacing w:line="201" w:lineRule="atLeast"/>
    </w:pPr>
    <w:rPr>
      <w:rFonts w:ascii="Cambria" w:hAnsi="Cambria"/>
      <w:sz w:val="24"/>
      <w:szCs w:val="24"/>
      <w:lang w:eastAsia="en-GB"/>
    </w:rPr>
  </w:style>
  <w:style w:type="character" w:customStyle="1" w:styleId="infoblocktitle">
    <w:name w:val="infoblocktitle"/>
    <w:basedOn w:val="DefaultParagraphFont"/>
    <w:rsid w:val="00786BDD"/>
  </w:style>
  <w:style w:type="character" w:customStyle="1" w:styleId="PlainTextChar">
    <w:name w:val="Plain Text Char"/>
    <w:basedOn w:val="DefaultParagraphFont"/>
    <w:link w:val="PlainText"/>
    <w:uiPriority w:val="99"/>
    <w:semiHidden/>
    <w:rsid w:val="00FE6DE4"/>
    <w:rPr>
      <w:rFonts w:cs="Courier New"/>
      <w:lang w:val="en-GB" w:eastAsia="en-US"/>
    </w:rPr>
  </w:style>
  <w:style w:type="paragraph" w:customStyle="1" w:styleId="ISOMB">
    <w:name w:val="ISO_MB"/>
    <w:basedOn w:val="Normal"/>
    <w:rsid w:val="00B2757E"/>
    <w:pPr>
      <w:suppressAutoHyphens w:val="0"/>
      <w:spacing w:before="210" w:line="210" w:lineRule="exact"/>
    </w:pPr>
    <w:rPr>
      <w:rFonts w:ascii="Arial" w:hAnsi="Arial"/>
      <w:sz w:val="18"/>
    </w:rPr>
  </w:style>
  <w:style w:type="paragraph" w:customStyle="1" w:styleId="CM4">
    <w:name w:val="CM4"/>
    <w:basedOn w:val="Default"/>
    <w:next w:val="Default"/>
    <w:uiPriority w:val="99"/>
    <w:rsid w:val="00B2757E"/>
    <w:rPr>
      <w:rFonts w:ascii="EUAlbertina" w:hAnsi="EUAlbertina" w:cs="Times New Roman"/>
      <w:color w:val="auto"/>
      <w:lang w:eastAsia="zh-CN"/>
    </w:rPr>
  </w:style>
  <w:style w:type="paragraph" w:customStyle="1" w:styleId="Pa0">
    <w:name w:val="Pa0"/>
    <w:basedOn w:val="Default"/>
    <w:next w:val="Default"/>
    <w:uiPriority w:val="99"/>
    <w:rsid w:val="00E442A4"/>
    <w:pPr>
      <w:spacing w:line="361" w:lineRule="atLeast"/>
    </w:pPr>
    <w:rPr>
      <w:rFonts w:ascii="Cambria" w:hAnsi="Cambria" w:cs="Times New Roman"/>
      <w:color w:val="auto"/>
      <w:lang w:eastAsia="zh-CN"/>
    </w:rPr>
  </w:style>
  <w:style w:type="paragraph" w:styleId="Revision">
    <w:name w:val="Revision"/>
    <w:hidden/>
    <w:uiPriority w:val="99"/>
    <w:semiHidden/>
    <w:rsid w:val="0060529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9532">
      <w:bodyDiv w:val="1"/>
      <w:marLeft w:val="0"/>
      <w:marRight w:val="0"/>
      <w:marTop w:val="0"/>
      <w:marBottom w:val="0"/>
      <w:divBdr>
        <w:top w:val="none" w:sz="0" w:space="0" w:color="auto"/>
        <w:left w:val="none" w:sz="0" w:space="0" w:color="auto"/>
        <w:bottom w:val="none" w:sz="0" w:space="0" w:color="auto"/>
        <w:right w:val="none" w:sz="0" w:space="0" w:color="auto"/>
      </w:divBdr>
    </w:div>
    <w:div w:id="118620197">
      <w:bodyDiv w:val="1"/>
      <w:marLeft w:val="0"/>
      <w:marRight w:val="0"/>
      <w:marTop w:val="0"/>
      <w:marBottom w:val="0"/>
      <w:divBdr>
        <w:top w:val="none" w:sz="0" w:space="0" w:color="auto"/>
        <w:left w:val="none" w:sz="0" w:space="0" w:color="auto"/>
        <w:bottom w:val="none" w:sz="0" w:space="0" w:color="auto"/>
        <w:right w:val="none" w:sz="0" w:space="0" w:color="auto"/>
      </w:divBdr>
    </w:div>
    <w:div w:id="384453589">
      <w:bodyDiv w:val="1"/>
      <w:marLeft w:val="0"/>
      <w:marRight w:val="0"/>
      <w:marTop w:val="0"/>
      <w:marBottom w:val="0"/>
      <w:divBdr>
        <w:top w:val="none" w:sz="0" w:space="0" w:color="auto"/>
        <w:left w:val="none" w:sz="0" w:space="0" w:color="auto"/>
        <w:bottom w:val="none" w:sz="0" w:space="0" w:color="auto"/>
        <w:right w:val="none" w:sz="0" w:space="0" w:color="auto"/>
      </w:divBdr>
    </w:div>
    <w:div w:id="729427446">
      <w:bodyDiv w:val="1"/>
      <w:marLeft w:val="0"/>
      <w:marRight w:val="0"/>
      <w:marTop w:val="0"/>
      <w:marBottom w:val="0"/>
      <w:divBdr>
        <w:top w:val="none" w:sz="0" w:space="0" w:color="auto"/>
        <w:left w:val="none" w:sz="0" w:space="0" w:color="auto"/>
        <w:bottom w:val="none" w:sz="0" w:space="0" w:color="auto"/>
        <w:right w:val="none" w:sz="0" w:space="0" w:color="auto"/>
      </w:divBdr>
    </w:div>
    <w:div w:id="741873796">
      <w:bodyDiv w:val="1"/>
      <w:marLeft w:val="0"/>
      <w:marRight w:val="0"/>
      <w:marTop w:val="0"/>
      <w:marBottom w:val="0"/>
      <w:divBdr>
        <w:top w:val="none" w:sz="0" w:space="0" w:color="auto"/>
        <w:left w:val="none" w:sz="0" w:space="0" w:color="auto"/>
        <w:bottom w:val="none" w:sz="0" w:space="0" w:color="auto"/>
        <w:right w:val="none" w:sz="0" w:space="0" w:color="auto"/>
      </w:divBdr>
    </w:div>
    <w:div w:id="870724571">
      <w:bodyDiv w:val="1"/>
      <w:marLeft w:val="0"/>
      <w:marRight w:val="0"/>
      <w:marTop w:val="0"/>
      <w:marBottom w:val="0"/>
      <w:divBdr>
        <w:top w:val="none" w:sz="0" w:space="0" w:color="auto"/>
        <w:left w:val="none" w:sz="0" w:space="0" w:color="auto"/>
        <w:bottom w:val="none" w:sz="0" w:space="0" w:color="auto"/>
        <w:right w:val="none" w:sz="0" w:space="0" w:color="auto"/>
      </w:divBdr>
    </w:div>
    <w:div w:id="1034425641">
      <w:bodyDiv w:val="1"/>
      <w:marLeft w:val="0"/>
      <w:marRight w:val="0"/>
      <w:marTop w:val="0"/>
      <w:marBottom w:val="0"/>
      <w:divBdr>
        <w:top w:val="none" w:sz="0" w:space="0" w:color="auto"/>
        <w:left w:val="none" w:sz="0" w:space="0" w:color="auto"/>
        <w:bottom w:val="none" w:sz="0" w:space="0" w:color="auto"/>
        <w:right w:val="none" w:sz="0" w:space="0" w:color="auto"/>
      </w:divBdr>
    </w:div>
    <w:div w:id="1073432275">
      <w:bodyDiv w:val="1"/>
      <w:marLeft w:val="0"/>
      <w:marRight w:val="0"/>
      <w:marTop w:val="0"/>
      <w:marBottom w:val="0"/>
      <w:divBdr>
        <w:top w:val="none" w:sz="0" w:space="0" w:color="auto"/>
        <w:left w:val="none" w:sz="0" w:space="0" w:color="auto"/>
        <w:bottom w:val="none" w:sz="0" w:space="0" w:color="auto"/>
        <w:right w:val="none" w:sz="0" w:space="0" w:color="auto"/>
      </w:divBdr>
    </w:div>
    <w:div w:id="1223759723">
      <w:bodyDiv w:val="1"/>
      <w:marLeft w:val="0"/>
      <w:marRight w:val="0"/>
      <w:marTop w:val="0"/>
      <w:marBottom w:val="0"/>
      <w:divBdr>
        <w:top w:val="none" w:sz="0" w:space="0" w:color="auto"/>
        <w:left w:val="none" w:sz="0" w:space="0" w:color="auto"/>
        <w:bottom w:val="none" w:sz="0" w:space="0" w:color="auto"/>
        <w:right w:val="none" w:sz="0" w:space="0" w:color="auto"/>
      </w:divBdr>
    </w:div>
    <w:div w:id="1444567850">
      <w:bodyDiv w:val="1"/>
      <w:marLeft w:val="0"/>
      <w:marRight w:val="0"/>
      <w:marTop w:val="0"/>
      <w:marBottom w:val="0"/>
      <w:divBdr>
        <w:top w:val="none" w:sz="0" w:space="0" w:color="auto"/>
        <w:left w:val="none" w:sz="0" w:space="0" w:color="auto"/>
        <w:bottom w:val="none" w:sz="0" w:space="0" w:color="auto"/>
        <w:right w:val="none" w:sz="0" w:space="0" w:color="auto"/>
      </w:divBdr>
    </w:div>
    <w:div w:id="1473982330">
      <w:bodyDiv w:val="1"/>
      <w:marLeft w:val="0"/>
      <w:marRight w:val="0"/>
      <w:marTop w:val="0"/>
      <w:marBottom w:val="0"/>
      <w:divBdr>
        <w:top w:val="none" w:sz="0" w:space="0" w:color="auto"/>
        <w:left w:val="none" w:sz="0" w:space="0" w:color="auto"/>
        <w:bottom w:val="none" w:sz="0" w:space="0" w:color="auto"/>
        <w:right w:val="none" w:sz="0" w:space="0" w:color="auto"/>
      </w:divBdr>
      <w:divsChild>
        <w:div w:id="1416122326">
          <w:marLeft w:val="0"/>
          <w:marRight w:val="0"/>
          <w:marTop w:val="0"/>
          <w:marBottom w:val="0"/>
          <w:divBdr>
            <w:top w:val="single" w:sz="12" w:space="4" w:color="D7DBFF"/>
            <w:left w:val="single" w:sz="12" w:space="4" w:color="D7DBFF"/>
            <w:bottom w:val="single" w:sz="12" w:space="4" w:color="D7DBFF"/>
            <w:right w:val="single" w:sz="12" w:space="4" w:color="D7DBFF"/>
          </w:divBdr>
          <w:divsChild>
            <w:div w:id="1809854509">
              <w:marLeft w:val="75"/>
              <w:marRight w:val="75"/>
              <w:marTop w:val="0"/>
              <w:marBottom w:val="75"/>
              <w:divBdr>
                <w:top w:val="none" w:sz="0" w:space="0" w:color="auto"/>
                <w:left w:val="none" w:sz="0" w:space="0" w:color="auto"/>
                <w:bottom w:val="none" w:sz="0" w:space="0" w:color="auto"/>
                <w:right w:val="none" w:sz="0" w:space="0" w:color="auto"/>
              </w:divBdr>
              <w:divsChild>
                <w:div w:id="928390913">
                  <w:marLeft w:val="0"/>
                  <w:marRight w:val="0"/>
                  <w:marTop w:val="0"/>
                  <w:marBottom w:val="0"/>
                  <w:divBdr>
                    <w:top w:val="none" w:sz="0" w:space="0" w:color="auto"/>
                    <w:left w:val="none" w:sz="0" w:space="0" w:color="auto"/>
                    <w:bottom w:val="none" w:sz="0" w:space="0" w:color="auto"/>
                    <w:right w:val="none" w:sz="0" w:space="0" w:color="auto"/>
                  </w:divBdr>
                  <w:divsChild>
                    <w:div w:id="263150834">
                      <w:marLeft w:val="0"/>
                      <w:marRight w:val="0"/>
                      <w:marTop w:val="0"/>
                      <w:marBottom w:val="0"/>
                      <w:divBdr>
                        <w:top w:val="single" w:sz="6" w:space="4" w:color="EEF2FF"/>
                        <w:left w:val="single" w:sz="6" w:space="4" w:color="EEF2FF"/>
                        <w:bottom w:val="single" w:sz="6" w:space="4" w:color="EEF2FF"/>
                        <w:right w:val="single" w:sz="6" w:space="4" w:color="EEF2FF"/>
                      </w:divBdr>
                      <w:divsChild>
                        <w:div w:id="1688020593">
                          <w:marLeft w:val="0"/>
                          <w:marRight w:val="0"/>
                          <w:marTop w:val="0"/>
                          <w:marBottom w:val="0"/>
                          <w:divBdr>
                            <w:top w:val="none" w:sz="0" w:space="0" w:color="auto"/>
                            <w:left w:val="none" w:sz="0" w:space="0" w:color="auto"/>
                            <w:bottom w:val="none" w:sz="0" w:space="0" w:color="auto"/>
                            <w:right w:val="none" w:sz="0" w:space="0" w:color="auto"/>
                          </w:divBdr>
                        </w:div>
                        <w:div w:id="1199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496575">
      <w:bodyDiv w:val="1"/>
      <w:marLeft w:val="0"/>
      <w:marRight w:val="0"/>
      <w:marTop w:val="0"/>
      <w:marBottom w:val="0"/>
      <w:divBdr>
        <w:top w:val="none" w:sz="0" w:space="0" w:color="auto"/>
        <w:left w:val="none" w:sz="0" w:space="0" w:color="auto"/>
        <w:bottom w:val="none" w:sz="0" w:space="0" w:color="auto"/>
        <w:right w:val="none" w:sz="0" w:space="0" w:color="auto"/>
      </w:divBdr>
    </w:div>
    <w:div w:id="182373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carreira@cencenelec.eu"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77CD9-DE3A-4636-AD22-BE40EA4A4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1902</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1126259</vt:lpstr>
    </vt:vector>
  </TitlesOfParts>
  <Company>CSD</Company>
  <LinksUpToDate>false</LinksUpToDate>
  <CharactersWithSpaces>12725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4</cp:revision>
  <cp:lastPrinted>2019-06-04T14:33:00Z</cp:lastPrinted>
  <dcterms:created xsi:type="dcterms:W3CDTF">2019-09-12T08:19:00Z</dcterms:created>
  <dcterms:modified xsi:type="dcterms:W3CDTF">2019-09-13T07:14:00Z</dcterms:modified>
</cp:coreProperties>
</file>