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9D7" w:rsidRPr="00AF09D7" w:rsidRDefault="00AF09D7" w:rsidP="00566FA5">
      <w:pPr>
        <w:suppressAutoHyphens w:val="0"/>
        <w:spacing w:line="240" w:lineRule="auto"/>
        <w:ind w:left="5387" w:right="-286"/>
        <w:outlineLvl w:val="0"/>
        <w:rPr>
          <w:rFonts w:ascii="Arial" w:eastAsia="Arial" w:hAnsi="Arial" w:cs="Arial"/>
          <w:bCs/>
          <w:snapToGrid/>
          <w:szCs w:val="24"/>
          <w:lang w:val="en-GB" w:eastAsia="de-DE"/>
        </w:rPr>
      </w:pPr>
      <w:bookmarkStart w:id="0" w:name="_GoBack"/>
      <w:bookmarkEnd w:id="0"/>
      <w:r w:rsidRPr="00AF09D7">
        <w:rPr>
          <w:rFonts w:ascii="Arial" w:eastAsia="Arial" w:hAnsi="Arial" w:cs="Arial"/>
          <w:bCs/>
          <w:noProof/>
          <w:snapToGrid/>
          <w:szCs w:val="24"/>
          <w:lang w:val="fr-FR"/>
        </w:rPr>
        <w:drawing>
          <wp:anchor distT="0" distB="0" distL="114300" distR="114300" simplePos="0" relativeHeight="251659264" behindDoc="0" locked="0" layoutInCell="1" allowOverlap="1" wp14:anchorId="41D88072" wp14:editId="29C47DC1">
            <wp:simplePos x="0" y="0"/>
            <wp:positionH relativeFrom="column">
              <wp:posOffset>0</wp:posOffset>
            </wp:positionH>
            <wp:positionV relativeFrom="paragraph">
              <wp:posOffset>-68580</wp:posOffset>
            </wp:positionV>
            <wp:extent cx="1713865" cy="604520"/>
            <wp:effectExtent l="0" t="0" r="635" b="508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09D7">
        <w:rPr>
          <w:rFonts w:ascii="Arial" w:eastAsia="Arial" w:hAnsi="Arial" w:cs="Arial"/>
          <w:bCs/>
          <w:snapToGrid/>
          <w:szCs w:val="24"/>
          <w:lang w:val="en-GB" w:eastAsia="de-DE"/>
        </w:rPr>
        <w:t>CCNR-ZKR/ADN/WP.15/AC.2/2019/</w:t>
      </w:r>
      <w:r>
        <w:rPr>
          <w:rFonts w:ascii="Arial" w:eastAsia="Arial" w:hAnsi="Arial" w:cs="Arial"/>
          <w:bCs/>
          <w:snapToGrid/>
          <w:szCs w:val="24"/>
          <w:lang w:val="en-GB" w:eastAsia="de-DE"/>
        </w:rPr>
        <w:t>19</w:t>
      </w:r>
    </w:p>
    <w:p w:rsidR="00AF09D7" w:rsidRPr="00AF09D7" w:rsidRDefault="00AF09D7" w:rsidP="00566FA5">
      <w:pPr>
        <w:suppressAutoHyphens w:val="0"/>
        <w:spacing w:line="240" w:lineRule="auto"/>
        <w:ind w:left="5387" w:right="-286"/>
        <w:outlineLvl w:val="0"/>
        <w:rPr>
          <w:rFonts w:ascii="Arial" w:eastAsia="Arial" w:hAnsi="Arial" w:cs="Arial"/>
          <w:bCs/>
          <w:snapToGrid/>
          <w:szCs w:val="24"/>
          <w:lang w:val="de-DE" w:eastAsia="de-DE"/>
        </w:rPr>
      </w:pPr>
      <w:r w:rsidRPr="00AF09D7">
        <w:rPr>
          <w:rFonts w:ascii="Arial" w:eastAsia="Arial" w:hAnsi="Arial" w:cs="Arial"/>
          <w:bCs/>
          <w:snapToGrid/>
          <w:szCs w:val="24"/>
          <w:lang w:val="de-DE" w:eastAsia="de-DE"/>
        </w:rPr>
        <w:t>Allgemeine Verteilung</w:t>
      </w:r>
    </w:p>
    <w:p w:rsidR="00AF09D7" w:rsidRPr="00AF09D7" w:rsidRDefault="00AF09D7" w:rsidP="00566FA5">
      <w:pPr>
        <w:tabs>
          <w:tab w:val="right" w:pos="3856"/>
          <w:tab w:val="left" w:pos="5670"/>
        </w:tabs>
        <w:suppressAutoHyphens w:val="0"/>
        <w:spacing w:line="240" w:lineRule="auto"/>
        <w:ind w:left="5387"/>
        <w:rPr>
          <w:rFonts w:ascii="Arial" w:eastAsia="Arial" w:hAnsi="Arial" w:cs="Arial"/>
          <w:snapToGrid/>
          <w:szCs w:val="24"/>
          <w:lang w:val="de-DE" w:eastAsia="de-DE"/>
        </w:rPr>
      </w:pPr>
      <w:r>
        <w:rPr>
          <w:rFonts w:ascii="Arial" w:eastAsia="Arial" w:hAnsi="Arial" w:cs="Arial"/>
          <w:snapToGrid/>
          <w:szCs w:val="24"/>
          <w:lang w:val="de-DE" w:eastAsia="de-DE"/>
        </w:rPr>
        <w:t>7</w:t>
      </w:r>
      <w:r w:rsidRPr="00AF09D7">
        <w:rPr>
          <w:rFonts w:ascii="Arial" w:eastAsia="Arial" w:hAnsi="Arial" w:cs="Arial"/>
          <w:snapToGrid/>
          <w:szCs w:val="24"/>
          <w:lang w:val="de-DE" w:eastAsia="de-DE"/>
        </w:rPr>
        <w:t>. Juni 2019</w:t>
      </w:r>
    </w:p>
    <w:p w:rsidR="00AF09D7" w:rsidRPr="00AF09D7" w:rsidRDefault="00AF09D7" w:rsidP="00566FA5">
      <w:pPr>
        <w:tabs>
          <w:tab w:val="right" w:pos="3856"/>
          <w:tab w:val="left" w:pos="5670"/>
        </w:tabs>
        <w:suppressAutoHyphens w:val="0"/>
        <w:spacing w:line="240" w:lineRule="auto"/>
        <w:ind w:left="5387" w:right="565"/>
        <w:rPr>
          <w:rFonts w:ascii="Arial" w:hAnsi="Arial" w:cs="Arial"/>
          <w:snapToGrid/>
          <w:sz w:val="16"/>
          <w:szCs w:val="24"/>
          <w:lang w:val="de-DE"/>
        </w:rPr>
      </w:pPr>
      <w:r w:rsidRPr="00AF09D7">
        <w:rPr>
          <w:rFonts w:ascii="Arial" w:eastAsia="Arial" w:hAnsi="Arial" w:cs="Arial"/>
          <w:snapToGrid/>
          <w:sz w:val="16"/>
          <w:szCs w:val="24"/>
          <w:lang w:val="de-DE"/>
        </w:rPr>
        <w:t xml:space="preserve">Or. </w:t>
      </w:r>
      <w:r>
        <w:rPr>
          <w:rFonts w:ascii="Arial" w:eastAsia="Arial" w:hAnsi="Arial" w:cs="Arial"/>
          <w:snapToGrid/>
          <w:sz w:val="16"/>
          <w:szCs w:val="24"/>
          <w:lang w:val="de-DE"/>
        </w:rPr>
        <w:t>DEUTSCH</w:t>
      </w:r>
    </w:p>
    <w:p w:rsidR="00AF09D7" w:rsidRPr="00AF09D7" w:rsidRDefault="00AF09D7" w:rsidP="002C2BAE">
      <w:pPr>
        <w:suppressAutoHyphens w:val="0"/>
        <w:rPr>
          <w:rFonts w:ascii="Arial" w:hAnsi="Arial" w:cs="Arial"/>
          <w:snapToGrid/>
          <w:sz w:val="16"/>
          <w:szCs w:val="24"/>
          <w:lang w:val="de-DE" w:eastAsia="de-DE"/>
        </w:rPr>
      </w:pPr>
    </w:p>
    <w:p w:rsidR="00AF09D7" w:rsidRPr="00AF09D7" w:rsidRDefault="00AF09D7" w:rsidP="002C2BAE">
      <w:pPr>
        <w:suppressAutoHyphens w:val="0"/>
        <w:rPr>
          <w:rFonts w:ascii="Arial" w:hAnsi="Arial" w:cs="Arial"/>
          <w:snapToGrid/>
          <w:sz w:val="16"/>
          <w:szCs w:val="24"/>
          <w:lang w:val="de-DE" w:eastAsia="de-DE"/>
        </w:rPr>
      </w:pPr>
    </w:p>
    <w:p w:rsidR="00AF09D7" w:rsidRPr="00AF09D7" w:rsidRDefault="00AF09D7" w:rsidP="00566FA5">
      <w:pPr>
        <w:tabs>
          <w:tab w:val="left" w:pos="2977"/>
        </w:tabs>
        <w:suppressAutoHyphens w:val="0"/>
        <w:spacing w:line="240" w:lineRule="auto"/>
        <w:ind w:left="3960"/>
        <w:jc w:val="both"/>
        <w:rPr>
          <w:rFonts w:ascii="Arial" w:hAnsi="Arial"/>
          <w:noProof/>
          <w:sz w:val="16"/>
          <w:szCs w:val="24"/>
          <w:lang w:val="de-DE"/>
        </w:rPr>
      </w:pPr>
      <w:r w:rsidRPr="00AF09D7">
        <w:rPr>
          <w:rFonts w:ascii="Arial" w:hAnsi="Arial"/>
          <w:noProof/>
          <w:sz w:val="16"/>
          <w:szCs w:val="24"/>
          <w:lang w:val="de-DE"/>
        </w:rPr>
        <w:t>GEMEINSAME EXPERTENTAGUNG FÜR DIE DEM ÜBEREINKOMMEN ÜBER DIE INTERNATIONALE BEFÖRDERUNG VON GEFÄHRLICHEN GÜTERN AUF BINNENWASSERSTRAẞEN (ADN) BEIGEFÜGTE VERORDNUNG (SICHERHEITSAUSSCHUSS)</w:t>
      </w:r>
    </w:p>
    <w:p w:rsidR="00AF09D7" w:rsidRPr="00AF09D7" w:rsidRDefault="00AF09D7" w:rsidP="00566FA5">
      <w:pPr>
        <w:tabs>
          <w:tab w:val="left" w:pos="2977"/>
        </w:tabs>
        <w:suppressAutoHyphens w:val="0"/>
        <w:spacing w:line="240" w:lineRule="auto"/>
        <w:ind w:left="3960"/>
        <w:jc w:val="both"/>
        <w:rPr>
          <w:rFonts w:ascii="Arial" w:hAnsi="Arial"/>
          <w:noProof/>
          <w:sz w:val="16"/>
          <w:szCs w:val="24"/>
          <w:lang w:val="de-DE"/>
        </w:rPr>
      </w:pPr>
      <w:r w:rsidRPr="00AF09D7">
        <w:rPr>
          <w:rFonts w:ascii="Arial" w:hAnsi="Arial"/>
          <w:noProof/>
          <w:sz w:val="16"/>
          <w:szCs w:val="24"/>
          <w:lang w:val="de-DE"/>
        </w:rPr>
        <w:t>(35. Tagung, Genf, 26.-30. August 2019)</w:t>
      </w:r>
    </w:p>
    <w:p w:rsidR="00AF09D7" w:rsidRPr="00AF09D7" w:rsidRDefault="00AF09D7" w:rsidP="00566FA5">
      <w:pPr>
        <w:tabs>
          <w:tab w:val="left" w:pos="2977"/>
        </w:tabs>
        <w:suppressAutoHyphens w:val="0"/>
        <w:spacing w:line="240" w:lineRule="auto"/>
        <w:ind w:left="3960"/>
        <w:jc w:val="both"/>
        <w:rPr>
          <w:rFonts w:ascii="Arial" w:hAnsi="Arial"/>
          <w:noProof/>
          <w:sz w:val="16"/>
          <w:szCs w:val="24"/>
          <w:lang w:val="de-DE"/>
        </w:rPr>
      </w:pPr>
      <w:r w:rsidRPr="00AF09D7">
        <w:rPr>
          <w:rFonts w:ascii="Arial" w:hAnsi="Arial"/>
          <w:noProof/>
          <w:sz w:val="16"/>
          <w:szCs w:val="24"/>
          <w:lang w:val="de-DE"/>
        </w:rPr>
        <w:t xml:space="preserve">Punkt </w:t>
      </w:r>
      <w:r>
        <w:rPr>
          <w:rFonts w:ascii="Arial" w:hAnsi="Arial"/>
          <w:noProof/>
          <w:sz w:val="16"/>
          <w:szCs w:val="24"/>
          <w:lang w:val="de-DE"/>
        </w:rPr>
        <w:t>4</w:t>
      </w:r>
      <w:r w:rsidRPr="00AF09D7">
        <w:rPr>
          <w:rFonts w:ascii="Arial" w:hAnsi="Arial"/>
          <w:noProof/>
          <w:sz w:val="16"/>
          <w:szCs w:val="24"/>
          <w:lang w:val="de-DE"/>
        </w:rPr>
        <w:t xml:space="preserve"> </w:t>
      </w:r>
      <w:r>
        <w:rPr>
          <w:rFonts w:ascii="Arial" w:hAnsi="Arial"/>
          <w:noProof/>
          <w:sz w:val="16"/>
          <w:szCs w:val="24"/>
          <w:lang w:val="de-DE"/>
        </w:rPr>
        <w:t>b</w:t>
      </w:r>
      <w:r w:rsidRPr="00AF09D7">
        <w:rPr>
          <w:rFonts w:ascii="Arial" w:hAnsi="Arial"/>
          <w:noProof/>
          <w:sz w:val="16"/>
          <w:szCs w:val="24"/>
          <w:lang w:val="de-DE"/>
        </w:rPr>
        <w:t>) zur vorläufigen Tagesordnung</w:t>
      </w:r>
    </w:p>
    <w:p w:rsidR="00AF09D7" w:rsidRPr="00AF09D7" w:rsidRDefault="00AF09D7" w:rsidP="00635088">
      <w:pPr>
        <w:widowControl w:val="0"/>
        <w:suppressAutoHyphens w:val="0"/>
        <w:overflowPunct w:val="0"/>
        <w:autoSpaceDE w:val="0"/>
        <w:autoSpaceDN w:val="0"/>
        <w:adjustRightInd w:val="0"/>
        <w:spacing w:line="240" w:lineRule="auto"/>
        <w:ind w:left="3960" w:firstLine="9"/>
        <w:jc w:val="both"/>
        <w:textAlignment w:val="baseline"/>
        <w:rPr>
          <w:rFonts w:ascii="Arial" w:hAnsi="Arial" w:cs="Arial"/>
          <w:b/>
          <w:snapToGrid/>
          <w:sz w:val="16"/>
          <w:szCs w:val="16"/>
          <w:lang w:val="de-DE" w:eastAsia="en-US"/>
        </w:rPr>
      </w:pPr>
      <w:r w:rsidRPr="00AF09D7">
        <w:rPr>
          <w:rFonts w:ascii="Arial" w:hAnsi="Arial" w:cs="Arial"/>
          <w:b/>
          <w:snapToGrid/>
          <w:sz w:val="16"/>
          <w:szCs w:val="16"/>
          <w:lang w:val="de-DE" w:eastAsia="en-US"/>
        </w:rPr>
        <w:t>Vorschläge für Änderungen der dem ADN beigefügten Verordnung: weitere Vorschläge</w:t>
      </w:r>
    </w:p>
    <w:p w:rsidR="003159A0" w:rsidRPr="00B27FCB" w:rsidRDefault="003159A0" w:rsidP="00566FA5">
      <w:pPr>
        <w:suppressAutoHyphens w:val="0"/>
        <w:spacing w:line="240" w:lineRule="auto"/>
        <w:rPr>
          <w:rFonts w:ascii="Arial" w:hAnsi="Arial"/>
          <w:szCs w:val="24"/>
          <w:lang w:val="de-DE"/>
        </w:rPr>
      </w:pPr>
    </w:p>
    <w:p w:rsidR="003159A0" w:rsidRPr="00CD1222" w:rsidRDefault="00BB7C53" w:rsidP="002C2BAE">
      <w:pPr>
        <w:pStyle w:val="HChG"/>
        <w:keepNext w:val="0"/>
        <w:keepLines w:val="0"/>
        <w:spacing w:after="360" w:line="240" w:lineRule="atLeast"/>
        <w:jc w:val="both"/>
        <w:rPr>
          <w:szCs w:val="24"/>
          <w:lang w:val="de-DE"/>
        </w:rPr>
      </w:pPr>
      <w:r w:rsidRPr="00BB77E8">
        <w:rPr>
          <w:bCs/>
          <w:szCs w:val="24"/>
          <w:lang w:val="de-DE"/>
        </w:rPr>
        <w:tab/>
      </w:r>
      <w:r w:rsidRPr="00BB77E8">
        <w:rPr>
          <w:bCs/>
          <w:szCs w:val="24"/>
          <w:lang w:val="de-DE"/>
        </w:rPr>
        <w:tab/>
      </w:r>
      <w:r w:rsidR="0076256D">
        <w:rPr>
          <w:bCs/>
          <w:szCs w:val="24"/>
          <w:lang w:val="de-DE"/>
        </w:rPr>
        <w:t xml:space="preserve">1.1.3.6 </w:t>
      </w:r>
      <w:r w:rsidR="002C2BAE">
        <w:rPr>
          <w:bCs/>
          <w:szCs w:val="24"/>
          <w:lang w:val="de-DE"/>
        </w:rPr>
        <w:t>und</w:t>
      </w:r>
      <w:r w:rsidR="00E77AE1">
        <w:rPr>
          <w:bCs/>
          <w:szCs w:val="24"/>
          <w:lang w:val="de-DE"/>
        </w:rPr>
        <w:t xml:space="preserve"> 1.10.4</w:t>
      </w:r>
      <w:r w:rsidR="002C2BAE">
        <w:rPr>
          <w:bCs/>
          <w:szCs w:val="24"/>
          <w:lang w:val="de-DE"/>
        </w:rPr>
        <w:t xml:space="preserve"> des ADN</w:t>
      </w:r>
      <w:r w:rsidR="0076256D">
        <w:rPr>
          <w:bCs/>
          <w:szCs w:val="24"/>
          <w:lang w:val="de-DE"/>
        </w:rPr>
        <w:t xml:space="preserve"> – Freistellungen im Zusammenhang mit </w:t>
      </w:r>
      <w:r w:rsidR="00E77AE1">
        <w:rPr>
          <w:bCs/>
          <w:szCs w:val="24"/>
          <w:lang w:val="de-DE"/>
        </w:rPr>
        <w:t>der</w:t>
      </w:r>
      <w:r w:rsidR="0076256D">
        <w:rPr>
          <w:bCs/>
          <w:szCs w:val="24"/>
          <w:lang w:val="de-DE"/>
        </w:rPr>
        <w:t xml:space="preserve"> </w:t>
      </w:r>
      <w:r w:rsidR="00E77AE1">
        <w:rPr>
          <w:bCs/>
          <w:szCs w:val="24"/>
          <w:lang w:val="de-DE"/>
        </w:rPr>
        <w:t>Beförderung von gefährlichen Gütern der Klasse 7</w:t>
      </w:r>
    </w:p>
    <w:p w:rsidR="00AF09D7" w:rsidRPr="00AF09D7" w:rsidRDefault="003159A0" w:rsidP="002C2BAE">
      <w:pPr>
        <w:keepNext/>
        <w:keepLines/>
        <w:spacing w:before="360" w:after="240"/>
        <w:ind w:left="1134" w:right="1134" w:hanging="1134"/>
        <w:rPr>
          <w:b/>
          <w:bCs/>
          <w:snapToGrid/>
          <w:sz w:val="28"/>
          <w:vertAlign w:val="superscript"/>
          <w:lang w:val="de-DE"/>
        </w:rPr>
      </w:pPr>
      <w:r w:rsidRPr="00CD1222">
        <w:rPr>
          <w:szCs w:val="24"/>
          <w:lang w:val="de-DE"/>
        </w:rPr>
        <w:tab/>
      </w:r>
      <w:r w:rsidRPr="00CD1222">
        <w:rPr>
          <w:szCs w:val="24"/>
          <w:lang w:val="de-DE"/>
        </w:rPr>
        <w:tab/>
      </w:r>
      <w:r w:rsidR="0099218A" w:rsidRPr="00AF09D7">
        <w:rPr>
          <w:b/>
          <w:bCs/>
          <w:sz w:val="28"/>
          <w:szCs w:val="24"/>
          <w:lang w:val="de-DE"/>
        </w:rPr>
        <w:t xml:space="preserve">Vorgelegt von </w:t>
      </w:r>
      <w:r w:rsidR="00A75EF1" w:rsidRPr="00AF09D7">
        <w:rPr>
          <w:b/>
          <w:bCs/>
          <w:sz w:val="28"/>
          <w:szCs w:val="24"/>
          <w:lang w:val="de-DE"/>
        </w:rPr>
        <w:t xml:space="preserve">Frankreich und </w:t>
      </w:r>
      <w:r w:rsidR="00BB77E8" w:rsidRPr="00AF09D7">
        <w:rPr>
          <w:b/>
          <w:bCs/>
          <w:sz w:val="28"/>
          <w:szCs w:val="24"/>
          <w:lang w:val="de-DE"/>
        </w:rPr>
        <w:t>Deutschland</w:t>
      </w:r>
      <w:r w:rsidR="00AF09D7" w:rsidRPr="00AF09D7">
        <w:rPr>
          <w:b/>
          <w:bCs/>
          <w:snapToGrid/>
          <w:sz w:val="28"/>
          <w:vertAlign w:val="superscript"/>
          <w:lang w:val="de-DE"/>
        </w:rPr>
        <w:footnoteReference w:customMarkFollows="1" w:id="2"/>
        <w:t>*,</w:t>
      </w:r>
      <w:r w:rsidR="00AF09D7" w:rsidRPr="00AF09D7">
        <w:rPr>
          <w:b/>
          <w:bCs/>
          <w:snapToGrid/>
          <w:sz w:val="28"/>
          <w:vertAlign w:val="superscript"/>
          <w:lang w:val="de-DE"/>
        </w:rPr>
        <w:footnoteReference w:customMarkFollows="1" w:id="3"/>
        <w:t>**</w:t>
      </w:r>
    </w:p>
    <w:p w:rsidR="0099218A" w:rsidRDefault="0099218A" w:rsidP="002C2BAE">
      <w:pPr>
        <w:ind w:left="1134"/>
        <w:rPr>
          <w:lang w:val="de-DE"/>
        </w:rPr>
      </w:pPr>
    </w:p>
    <w:p w:rsidR="00C87C29" w:rsidRPr="00566FA5" w:rsidRDefault="00C87C29" w:rsidP="002C2BAE">
      <w:pPr>
        <w:ind w:left="1134"/>
        <w:rPr>
          <w:b/>
          <w:sz w:val="24"/>
          <w:szCs w:val="24"/>
          <w:lang w:val="de-DE"/>
        </w:rPr>
      </w:pPr>
      <w:r w:rsidRPr="00566FA5">
        <w:rPr>
          <w:b/>
          <w:sz w:val="24"/>
          <w:szCs w:val="24"/>
          <w:lang w:val="de-DE"/>
        </w:rPr>
        <w:t>Verbundene Dokumente:</w:t>
      </w:r>
    </w:p>
    <w:p w:rsidR="00C87C29" w:rsidRPr="002C2BAE" w:rsidRDefault="00C87C29" w:rsidP="002C2BAE">
      <w:pPr>
        <w:ind w:left="1134"/>
        <w:rPr>
          <w:lang w:val="de-DE"/>
        </w:rPr>
      </w:pPr>
    </w:p>
    <w:p w:rsidR="00C87C29" w:rsidRPr="002C2BAE" w:rsidRDefault="00AF09D7" w:rsidP="002C2BAE">
      <w:pPr>
        <w:ind w:left="1134"/>
        <w:rPr>
          <w:lang w:val="de-DE"/>
        </w:rPr>
      </w:pPr>
      <w:r w:rsidRPr="002C2BAE">
        <w:rPr>
          <w:lang w:val="de-DE"/>
        </w:rPr>
        <w:t xml:space="preserve">Informelles Dokument </w:t>
      </w:r>
      <w:r w:rsidR="00CE4EC5" w:rsidRPr="002C2BAE">
        <w:rPr>
          <w:lang w:val="de-DE"/>
        </w:rPr>
        <w:t>INF.19 (Frankreich) zur 34. Sitzung</w:t>
      </w:r>
      <w:r w:rsidR="00C87C29" w:rsidRPr="002C2BAE">
        <w:rPr>
          <w:lang w:val="de-DE"/>
        </w:rPr>
        <w:t>;</w:t>
      </w:r>
    </w:p>
    <w:p w:rsidR="00C87C29" w:rsidRPr="002C2BAE" w:rsidRDefault="00C87C29" w:rsidP="002C2BAE">
      <w:pPr>
        <w:ind w:left="1134"/>
        <w:rPr>
          <w:lang w:val="de-DE"/>
        </w:rPr>
      </w:pPr>
      <w:r w:rsidRPr="002C2BAE">
        <w:rPr>
          <w:lang w:val="de-DE"/>
        </w:rPr>
        <w:t xml:space="preserve">CCNR-ZKR/ADN/WP.15/AC.2/70, Nr. </w:t>
      </w:r>
      <w:r w:rsidR="00CE4EC5" w:rsidRPr="002C2BAE">
        <w:rPr>
          <w:lang w:val="de-DE"/>
        </w:rPr>
        <w:t>18</w:t>
      </w:r>
    </w:p>
    <w:p w:rsidR="00C87C29" w:rsidRPr="002C2BAE" w:rsidRDefault="00C87C29" w:rsidP="002C2BAE">
      <w:pPr>
        <w:ind w:left="1134"/>
        <w:rPr>
          <w:lang w:val="de-DE"/>
        </w:rPr>
      </w:pPr>
    </w:p>
    <w:p w:rsidR="00CE4EC5" w:rsidRPr="000974A4" w:rsidRDefault="00AF09D7" w:rsidP="002C2BAE">
      <w:pPr>
        <w:pStyle w:val="SingleTxtG"/>
        <w:rPr>
          <w:lang w:val="de-DE"/>
        </w:rPr>
      </w:pPr>
      <w:r w:rsidRPr="002C2BAE">
        <w:rPr>
          <w:lang w:val="de-DE"/>
        </w:rPr>
        <w:t>„</w:t>
      </w:r>
      <w:r w:rsidR="00CE4EC5" w:rsidRPr="002C2BAE">
        <w:rPr>
          <w:lang w:val="de-DE"/>
        </w:rPr>
        <w:t>18.</w:t>
      </w:r>
      <w:r w:rsidR="00CE4EC5" w:rsidRPr="002C2BAE">
        <w:rPr>
          <w:lang w:val="de-DE"/>
        </w:rPr>
        <w:tab/>
        <w:t>Der Sicherheitsausschuss</w:t>
      </w:r>
      <w:r w:rsidR="00CE4EC5" w:rsidRPr="000974A4">
        <w:rPr>
          <w:lang w:val="de-DE"/>
        </w:rPr>
        <w:t xml:space="preserve"> kam überein, dass die Bestimmungen des ADN über Sicherheitstrainings, die für freigestellte Versandstücke der UN-Nr. 2908 und 2909 sowie für freigestellte Versandstücke der UN-Nr. 2910 und 2911 mit einer Aktivität unterhalb des Wertes A</w:t>
      </w:r>
      <w:r w:rsidR="00CE4EC5" w:rsidRPr="00122C44">
        <w:rPr>
          <w:vertAlign w:val="subscript"/>
          <w:lang w:val="de-DE"/>
        </w:rPr>
        <w:t>2</w:t>
      </w:r>
      <w:r w:rsidR="00CE4EC5" w:rsidRPr="000974A4">
        <w:rPr>
          <w:lang w:val="de-DE"/>
        </w:rPr>
        <w:t xml:space="preserve"> gelten, mit den anwendbaren Bestimmungen anderer Verkehrsträger harmonisiert werden sollten. Der Vertreter Deutschlands wies auch auf einen Widerspruch zwischen den Bestimmungen des Unterabschnitts 1.1.3.6 und des Abschnitts 1.10.4 ADN in Bezug auf die an Bord beförderten freigestellten Mengen hin. Die Vertreter Frankreichs und Deutschlands boten sich an, bei der nächsten Sitzung einen Vorschlag zu diesen Themen vorzulegen.</w:t>
      </w:r>
      <w:r>
        <w:rPr>
          <w:lang w:val="de-DE"/>
        </w:rPr>
        <w:t>“</w:t>
      </w:r>
      <w:r w:rsidR="002C2BAE">
        <w:rPr>
          <w:lang w:val="de-DE"/>
        </w:rPr>
        <w:t>.</w:t>
      </w:r>
    </w:p>
    <w:p w:rsidR="00CE4EC5" w:rsidRPr="00E66F3C" w:rsidRDefault="00CE4EC5" w:rsidP="002C2BAE">
      <w:pPr>
        <w:rPr>
          <w:lang w:val="de-DE"/>
        </w:rPr>
      </w:pPr>
    </w:p>
    <w:p w:rsidR="002C2BAE" w:rsidRDefault="002C2BAE" w:rsidP="002C2BAE">
      <w:pPr>
        <w:suppressAutoHyphens w:val="0"/>
        <w:rPr>
          <w:b/>
          <w:sz w:val="24"/>
          <w:szCs w:val="24"/>
          <w:lang w:val="de-DE"/>
        </w:rPr>
      </w:pPr>
      <w:r>
        <w:rPr>
          <w:b/>
          <w:sz w:val="24"/>
          <w:szCs w:val="24"/>
          <w:lang w:val="de-DE"/>
        </w:rPr>
        <w:br w:type="page"/>
      </w:r>
    </w:p>
    <w:p w:rsidR="00C87C29" w:rsidRPr="002C2BAE" w:rsidRDefault="00C87C29" w:rsidP="002C2BAE">
      <w:pPr>
        <w:rPr>
          <w:b/>
          <w:sz w:val="28"/>
          <w:szCs w:val="28"/>
          <w:lang w:val="de-DE"/>
        </w:rPr>
      </w:pPr>
      <w:r w:rsidRPr="002C2BAE">
        <w:rPr>
          <w:b/>
          <w:sz w:val="28"/>
          <w:szCs w:val="28"/>
          <w:lang w:val="de-DE"/>
        </w:rPr>
        <w:lastRenderedPageBreak/>
        <w:t>Einleitung</w:t>
      </w:r>
    </w:p>
    <w:p w:rsidR="00C87C29" w:rsidRPr="00C87C29" w:rsidRDefault="00C87C29" w:rsidP="002C2BAE">
      <w:pPr>
        <w:ind w:right="1134"/>
        <w:rPr>
          <w:sz w:val="24"/>
          <w:szCs w:val="24"/>
          <w:lang w:val="de-DE"/>
        </w:rPr>
      </w:pPr>
    </w:p>
    <w:p w:rsidR="00790090" w:rsidRPr="002C2BAE" w:rsidRDefault="00C87C29" w:rsidP="002C2BAE">
      <w:pPr>
        <w:spacing w:after="60"/>
        <w:ind w:right="1134"/>
        <w:jc w:val="both"/>
        <w:rPr>
          <w:lang w:val="de-DE"/>
        </w:rPr>
      </w:pPr>
      <w:r w:rsidRPr="002C2BAE">
        <w:rPr>
          <w:lang w:val="de-DE"/>
        </w:rPr>
        <w:t>1.</w:t>
      </w:r>
      <w:r w:rsidRPr="002C2BAE">
        <w:rPr>
          <w:lang w:val="de-DE"/>
        </w:rPr>
        <w:tab/>
      </w:r>
      <w:r w:rsidR="00B931C4" w:rsidRPr="002C2BAE">
        <w:rPr>
          <w:lang w:val="de-DE"/>
        </w:rPr>
        <w:t xml:space="preserve">Die </w:t>
      </w:r>
      <w:r w:rsidR="00A85596" w:rsidRPr="002C2BAE">
        <w:rPr>
          <w:lang w:val="de-DE"/>
        </w:rPr>
        <w:t>F</w:t>
      </w:r>
      <w:r w:rsidR="00B931C4" w:rsidRPr="002C2BAE">
        <w:rPr>
          <w:lang w:val="de-DE"/>
        </w:rPr>
        <w:t xml:space="preserve">ranzösische Delegation hatte in der 33. Sitzung mit ihrem Informellen Dokument INF.19 den Sicherheitsausschuss darauf hingewiesen, dass die Vorschriften über </w:t>
      </w:r>
      <w:r w:rsidR="002C5BB3" w:rsidRPr="002C2BAE">
        <w:rPr>
          <w:lang w:val="de-DE"/>
        </w:rPr>
        <w:t xml:space="preserve">die </w:t>
      </w:r>
      <w:r w:rsidR="002C5BB3" w:rsidRPr="002C2BAE">
        <w:rPr>
          <w:b/>
          <w:lang w:val="de-DE"/>
        </w:rPr>
        <w:t xml:space="preserve">Unterweisung im Bereich der Sicherung (das ist Abschnitt 1.10.2 ADN) </w:t>
      </w:r>
      <w:r w:rsidR="00462248" w:rsidRPr="002C2BAE">
        <w:rPr>
          <w:lang w:val="de-DE"/>
        </w:rPr>
        <w:t>für freigestellte Versandstücke der</w:t>
      </w:r>
    </w:p>
    <w:p w:rsidR="00790090" w:rsidRPr="002C2BAE" w:rsidRDefault="00462248" w:rsidP="002C2BAE">
      <w:pPr>
        <w:numPr>
          <w:ilvl w:val="0"/>
          <w:numId w:val="4"/>
        </w:numPr>
        <w:spacing w:after="60"/>
        <w:ind w:left="851" w:right="1134" w:hanging="284"/>
        <w:jc w:val="both"/>
        <w:rPr>
          <w:lang w:val="de-DE"/>
        </w:rPr>
      </w:pPr>
      <w:r w:rsidRPr="002C2BAE">
        <w:rPr>
          <w:lang w:val="de-DE"/>
        </w:rPr>
        <w:t xml:space="preserve">UN-Nr. </w:t>
      </w:r>
      <w:r w:rsidRPr="002C2BAE">
        <w:rPr>
          <w:b/>
          <w:lang w:val="de-DE"/>
        </w:rPr>
        <w:t>2908</w:t>
      </w:r>
      <w:r w:rsidRPr="002C2BAE">
        <w:rPr>
          <w:lang w:val="de-DE"/>
        </w:rPr>
        <w:t xml:space="preserve"> </w:t>
      </w:r>
      <w:r w:rsidR="00BC32F5" w:rsidRPr="002C2BAE">
        <w:rPr>
          <w:rFonts w:cs="Arial"/>
          <w:lang w:val="de-DE"/>
        </w:rPr>
        <w:t>RADIOAKTIVE STOFFE, FREIGESTELLTES VERSANDSTÜCK - LEERE VERPACKUNG</w:t>
      </w:r>
    </w:p>
    <w:p w:rsidR="00790090" w:rsidRPr="002C2BAE" w:rsidRDefault="008E3E4F" w:rsidP="002C2BAE">
      <w:pPr>
        <w:numPr>
          <w:ilvl w:val="0"/>
          <w:numId w:val="4"/>
        </w:numPr>
        <w:spacing w:after="60"/>
        <w:ind w:left="851" w:right="1134" w:hanging="284"/>
        <w:jc w:val="both"/>
        <w:rPr>
          <w:lang w:val="de-DE"/>
        </w:rPr>
      </w:pPr>
      <w:r w:rsidRPr="002C2BAE">
        <w:rPr>
          <w:lang w:val="de-DE"/>
        </w:rPr>
        <w:t xml:space="preserve">UN-Nr. </w:t>
      </w:r>
      <w:r w:rsidR="00462248" w:rsidRPr="002C2BAE">
        <w:rPr>
          <w:b/>
          <w:lang w:val="de-DE"/>
        </w:rPr>
        <w:t>2909</w:t>
      </w:r>
      <w:r w:rsidR="00462248" w:rsidRPr="002C2BAE">
        <w:rPr>
          <w:lang w:val="de-DE"/>
        </w:rPr>
        <w:t xml:space="preserve"> </w:t>
      </w:r>
      <w:r w:rsidR="00BC32F5" w:rsidRPr="002C2BAE">
        <w:rPr>
          <w:rFonts w:cs="Arial"/>
          <w:lang w:val="de-DE"/>
        </w:rPr>
        <w:t>RADIOAKTIVE STOFFE, FREIGESTELLTES VERSANDSTÜCK - FABRIKATE AUS NATÜRLICHEM URAN oder AUS ABGEREICHERTEM URAN oder AUS NATÜRLICHEM THORIUM</w:t>
      </w:r>
    </w:p>
    <w:p w:rsidR="00790090" w:rsidRPr="002C2BAE" w:rsidRDefault="00462248" w:rsidP="002C2BAE">
      <w:pPr>
        <w:numPr>
          <w:ilvl w:val="0"/>
          <w:numId w:val="4"/>
        </w:numPr>
        <w:spacing w:after="60"/>
        <w:ind w:left="851" w:right="1134" w:hanging="284"/>
        <w:jc w:val="both"/>
        <w:rPr>
          <w:lang w:val="de-DE"/>
        </w:rPr>
      </w:pPr>
      <w:r w:rsidRPr="002C2BAE">
        <w:rPr>
          <w:lang w:val="de-DE"/>
        </w:rPr>
        <w:t xml:space="preserve">UN-Nr. </w:t>
      </w:r>
      <w:r w:rsidRPr="002C2BAE">
        <w:rPr>
          <w:b/>
          <w:lang w:val="de-DE"/>
        </w:rPr>
        <w:t>2910</w:t>
      </w:r>
      <w:r w:rsidRPr="002C2BAE">
        <w:rPr>
          <w:lang w:val="de-DE"/>
        </w:rPr>
        <w:t xml:space="preserve"> </w:t>
      </w:r>
      <w:r w:rsidR="00BC32F5" w:rsidRPr="002C2BAE">
        <w:rPr>
          <w:rFonts w:cs="Arial"/>
          <w:lang w:val="de-DE"/>
        </w:rPr>
        <w:t>RADIOAKTIVE STOFFE, FREIGESTELLTES VERSANDSTÜCK - BEGRENZTE STOFFMENGE</w:t>
      </w:r>
      <w:r w:rsidR="00BC32F5" w:rsidRPr="002C2BAE">
        <w:rPr>
          <w:lang w:val="de-DE"/>
        </w:rPr>
        <w:t xml:space="preserve"> </w:t>
      </w:r>
      <w:r w:rsidR="00790090" w:rsidRPr="002C2BAE">
        <w:rPr>
          <w:lang w:val="de-DE"/>
        </w:rPr>
        <w:t>mit einer Aktivität unterhalb des Aktivitätswertes A</w:t>
      </w:r>
      <w:r w:rsidR="00790090" w:rsidRPr="002C2BAE">
        <w:rPr>
          <w:vertAlign w:val="subscript"/>
          <w:lang w:val="de-DE"/>
        </w:rPr>
        <w:t>2</w:t>
      </w:r>
    </w:p>
    <w:p w:rsidR="00790090" w:rsidRPr="002C2BAE" w:rsidRDefault="008E3E4F" w:rsidP="002C2BAE">
      <w:pPr>
        <w:numPr>
          <w:ilvl w:val="0"/>
          <w:numId w:val="4"/>
        </w:numPr>
        <w:spacing w:after="60"/>
        <w:ind w:left="851" w:right="1134" w:hanging="284"/>
        <w:jc w:val="both"/>
        <w:rPr>
          <w:lang w:val="de-DE"/>
        </w:rPr>
      </w:pPr>
      <w:r w:rsidRPr="002C2BAE">
        <w:rPr>
          <w:lang w:val="de-DE"/>
        </w:rPr>
        <w:t xml:space="preserve">UN-Nr. </w:t>
      </w:r>
      <w:r w:rsidR="00462248" w:rsidRPr="002C2BAE">
        <w:rPr>
          <w:lang w:val="de-DE"/>
        </w:rPr>
        <w:t xml:space="preserve">2911 </w:t>
      </w:r>
      <w:r w:rsidR="00BC32F5" w:rsidRPr="002C2BAE">
        <w:rPr>
          <w:lang w:val="de-DE"/>
        </w:rPr>
        <w:t xml:space="preserve">RADIOAKTIVE STOFFE, FREIGESTELLTES VERSANDSTÜCK - FABRIKATE oder RADIOAKTIVE STOFFE, FREIGESTELLTES VERSANDSTÜCK - FABRIKATE oder RADIOAKTIVE STOFFE, FREIGESTELLTES VERSANDSTÜCK - INSTRUMENTE </w:t>
      </w:r>
      <w:r w:rsidR="00462248" w:rsidRPr="002C2BAE">
        <w:rPr>
          <w:lang w:val="de-DE"/>
        </w:rPr>
        <w:t xml:space="preserve">mit einer Aktivität unterhalb des </w:t>
      </w:r>
      <w:r w:rsidR="008135CC" w:rsidRPr="002C2BAE">
        <w:rPr>
          <w:lang w:val="de-DE"/>
        </w:rPr>
        <w:t>Aktivitätsw</w:t>
      </w:r>
      <w:r w:rsidR="00462248" w:rsidRPr="002C2BAE">
        <w:rPr>
          <w:lang w:val="de-DE"/>
        </w:rPr>
        <w:t>ertes A2</w:t>
      </w:r>
    </w:p>
    <w:p w:rsidR="00790090" w:rsidRPr="002C2BAE" w:rsidRDefault="006542D5" w:rsidP="002C2BAE">
      <w:pPr>
        <w:spacing w:after="60"/>
        <w:ind w:left="851" w:right="1134"/>
        <w:jc w:val="both"/>
        <w:rPr>
          <w:lang w:val="de-DE"/>
        </w:rPr>
      </w:pPr>
      <w:r w:rsidRPr="002C2BAE">
        <w:rPr>
          <w:lang w:val="de-DE"/>
        </w:rPr>
        <w:t>(</w:t>
      </w:r>
      <w:r w:rsidR="00790090" w:rsidRPr="002C2BAE">
        <w:rPr>
          <w:lang w:val="de-DE"/>
        </w:rPr>
        <w:t>alle</w:t>
      </w:r>
      <w:r w:rsidRPr="002C2BAE">
        <w:rPr>
          <w:lang w:val="de-DE"/>
        </w:rPr>
        <w:t xml:space="preserve"> Klasse 7)</w:t>
      </w:r>
    </w:p>
    <w:p w:rsidR="00C87C29" w:rsidRPr="002C2BAE" w:rsidRDefault="00D26B20" w:rsidP="002C2BAE">
      <w:pPr>
        <w:spacing w:before="120"/>
        <w:ind w:right="1134"/>
        <w:jc w:val="both"/>
        <w:rPr>
          <w:lang w:val="de-DE"/>
        </w:rPr>
      </w:pPr>
      <w:r w:rsidRPr="002C2BAE">
        <w:rPr>
          <w:lang w:val="de-DE"/>
        </w:rPr>
        <w:t xml:space="preserve">genauso </w:t>
      </w:r>
      <w:r w:rsidR="000C2433" w:rsidRPr="002C2BAE">
        <w:rPr>
          <w:lang w:val="de-DE"/>
        </w:rPr>
        <w:t xml:space="preserve">wie in den Modellvorschriften, im ADR und RID und im IMDG-Code </w:t>
      </w:r>
      <w:r w:rsidR="006542D5" w:rsidRPr="002C2BAE">
        <w:rPr>
          <w:lang w:val="de-DE"/>
        </w:rPr>
        <w:t xml:space="preserve">auch im ADN </w:t>
      </w:r>
      <w:r w:rsidR="006542D5" w:rsidRPr="002C2BAE">
        <w:rPr>
          <w:b/>
          <w:lang w:val="de-DE"/>
        </w:rPr>
        <w:t>nicht</w:t>
      </w:r>
      <w:r w:rsidR="006542D5" w:rsidRPr="002C2BAE">
        <w:rPr>
          <w:lang w:val="de-DE"/>
        </w:rPr>
        <w:t xml:space="preserve"> anwendbar sein sollten.</w:t>
      </w:r>
    </w:p>
    <w:p w:rsidR="00C87C29" w:rsidRPr="002C2BAE" w:rsidRDefault="00C87C29" w:rsidP="002C2BAE">
      <w:pPr>
        <w:ind w:right="1134"/>
        <w:jc w:val="both"/>
        <w:rPr>
          <w:lang w:val="de-DE"/>
        </w:rPr>
      </w:pPr>
    </w:p>
    <w:p w:rsidR="00B76249" w:rsidRPr="002C2BAE" w:rsidRDefault="00CF4325" w:rsidP="002C2BAE">
      <w:pPr>
        <w:ind w:right="1134"/>
        <w:jc w:val="both"/>
        <w:rPr>
          <w:lang w:val="de-DE"/>
        </w:rPr>
      </w:pPr>
      <w:r w:rsidRPr="002C2BAE">
        <w:rPr>
          <w:rFonts w:eastAsia="Arial Unicode MS"/>
          <w:bdr w:val="nil"/>
          <w:lang w:val="de-DE" w:eastAsia="nl-NL"/>
        </w:rPr>
        <w:t>2</w:t>
      </w:r>
      <w:r w:rsidR="000C2433" w:rsidRPr="002C2BAE">
        <w:rPr>
          <w:rFonts w:eastAsia="Arial Unicode MS"/>
          <w:bdr w:val="nil"/>
          <w:lang w:val="de-DE" w:eastAsia="nl-NL"/>
        </w:rPr>
        <w:t>.</w:t>
      </w:r>
      <w:r w:rsidR="000C2433" w:rsidRPr="002C2BAE">
        <w:rPr>
          <w:rFonts w:eastAsia="Arial Unicode MS"/>
          <w:bdr w:val="nil"/>
          <w:lang w:val="de-DE" w:eastAsia="nl-NL"/>
        </w:rPr>
        <w:tab/>
      </w:r>
      <w:r w:rsidR="007D1465" w:rsidRPr="002C2BAE">
        <w:rPr>
          <w:rFonts w:eastAsia="Arial Unicode MS"/>
          <w:bdr w:val="nil"/>
          <w:lang w:val="de-DE" w:eastAsia="nl-NL"/>
        </w:rPr>
        <w:t xml:space="preserve">Nach ADN (1.10.4) </w:t>
      </w:r>
      <w:r w:rsidR="00E83D7E" w:rsidRPr="002C2BAE">
        <w:rPr>
          <w:rFonts w:eastAsia="Arial Unicode MS"/>
          <w:bdr w:val="nil"/>
          <w:lang w:val="de-DE" w:eastAsia="nl-NL"/>
        </w:rPr>
        <w:t>sind die Vorschriften für die Sicherung einschließlich der Unterweisung</w:t>
      </w:r>
      <w:r w:rsidRPr="002C2BAE">
        <w:rPr>
          <w:rFonts w:eastAsia="Arial Unicode MS"/>
          <w:bdr w:val="nil"/>
          <w:lang w:val="de-DE" w:eastAsia="nl-NL"/>
        </w:rPr>
        <w:t xml:space="preserve"> </w:t>
      </w:r>
      <w:r w:rsidR="00E83D7E" w:rsidRPr="002C2BAE">
        <w:rPr>
          <w:rFonts w:eastAsia="Arial Unicode MS"/>
          <w:bdr w:val="nil"/>
          <w:lang w:val="de-DE" w:eastAsia="nl-NL"/>
        </w:rPr>
        <w:t xml:space="preserve">gemäß Abschnitt 1.10.2 ADN </w:t>
      </w:r>
      <w:r w:rsidRPr="002C2BAE">
        <w:rPr>
          <w:rFonts w:eastAsia="Arial Unicode MS"/>
          <w:bdr w:val="nil"/>
          <w:lang w:val="de-DE" w:eastAsia="nl-NL"/>
        </w:rPr>
        <w:t>für alle radioaktiven Stoffe</w:t>
      </w:r>
      <w:r w:rsidR="007D1465" w:rsidRPr="002C2BAE">
        <w:rPr>
          <w:rFonts w:eastAsia="Arial Unicode MS"/>
          <w:b/>
          <w:bdr w:val="nil"/>
          <w:lang w:val="de-DE" w:eastAsia="nl-NL"/>
        </w:rPr>
        <w:t xml:space="preserve"> </w:t>
      </w:r>
      <w:r w:rsidR="00E83D7E" w:rsidRPr="002C2BAE">
        <w:rPr>
          <w:rFonts w:eastAsia="Arial Unicode MS"/>
          <w:bdr w:val="nil"/>
          <w:lang w:val="de-DE" w:eastAsia="nl-NL"/>
        </w:rPr>
        <w:t>der Klasse 7</w:t>
      </w:r>
      <w:r w:rsidR="00C7524C" w:rsidRPr="002C2BAE">
        <w:rPr>
          <w:lang w:val="de-DE"/>
        </w:rPr>
        <w:t xml:space="preserve">, daher </w:t>
      </w:r>
      <w:r w:rsidR="003F44A5" w:rsidRPr="002C2BAE">
        <w:rPr>
          <w:lang w:val="de-DE"/>
        </w:rPr>
        <w:t>sowohl</w:t>
      </w:r>
      <w:r w:rsidR="003F44A5" w:rsidRPr="002C2BAE">
        <w:rPr>
          <w:b/>
          <w:lang w:val="de-DE"/>
        </w:rPr>
        <w:t xml:space="preserve"> </w:t>
      </w:r>
      <w:r w:rsidR="007D1465" w:rsidRPr="002C2BAE">
        <w:rPr>
          <w:lang w:val="de-DE"/>
        </w:rPr>
        <w:t>für</w:t>
      </w:r>
      <w:r w:rsidR="003F44A5" w:rsidRPr="002C2BAE">
        <w:rPr>
          <w:lang w:val="de-DE"/>
        </w:rPr>
        <w:t xml:space="preserve"> </w:t>
      </w:r>
      <w:r w:rsidR="000C7355" w:rsidRPr="002C2BAE">
        <w:rPr>
          <w:lang w:val="de-DE"/>
        </w:rPr>
        <w:t xml:space="preserve">Versandstücke </w:t>
      </w:r>
      <w:r w:rsidR="003F44A5" w:rsidRPr="002C2BAE">
        <w:rPr>
          <w:u w:val="single"/>
          <w:lang w:val="de-DE"/>
        </w:rPr>
        <w:t>UN-Nr. 2908 und 2909</w:t>
      </w:r>
      <w:r w:rsidR="003F44A5" w:rsidRPr="002C2BAE">
        <w:rPr>
          <w:lang w:val="de-DE"/>
        </w:rPr>
        <w:t xml:space="preserve"> als auch für Versandstücke der </w:t>
      </w:r>
      <w:r w:rsidR="003F44A5" w:rsidRPr="002C2BAE">
        <w:rPr>
          <w:u w:val="single"/>
          <w:lang w:val="de-DE"/>
        </w:rPr>
        <w:t>UN-Nr. 2910 und 2911</w:t>
      </w:r>
      <w:r w:rsidR="003F44A5" w:rsidRPr="002C2BAE">
        <w:rPr>
          <w:lang w:val="de-DE"/>
        </w:rPr>
        <w:t xml:space="preserve"> </w:t>
      </w:r>
      <w:r w:rsidR="00E83D7E" w:rsidRPr="002C2BAE">
        <w:rPr>
          <w:lang w:val="de-DE"/>
        </w:rPr>
        <w:t>anzuwenden.</w:t>
      </w:r>
      <w:r w:rsidR="000C7355" w:rsidRPr="002C2BAE">
        <w:rPr>
          <w:lang w:val="de-DE"/>
        </w:rPr>
        <w:t xml:space="preserve"> Das gilt auch dann, wenn die Beförderung im Übrigen nach Unterabschnitt 1.1.3.6 ADN freigestellt ist.</w:t>
      </w:r>
    </w:p>
    <w:p w:rsidR="003F44A5" w:rsidRPr="002C2BAE" w:rsidRDefault="003F44A5" w:rsidP="002C2BAE">
      <w:pPr>
        <w:ind w:right="1134"/>
        <w:jc w:val="both"/>
        <w:rPr>
          <w:lang w:val="de-DE"/>
        </w:rPr>
      </w:pPr>
    </w:p>
    <w:p w:rsidR="003F44A5" w:rsidRPr="002C2BAE" w:rsidRDefault="00E83D7E" w:rsidP="002C2BAE">
      <w:pPr>
        <w:ind w:right="1134"/>
        <w:jc w:val="both"/>
        <w:rPr>
          <w:lang w:val="de-DE"/>
        </w:rPr>
      </w:pPr>
      <w:r w:rsidRPr="002C2BAE">
        <w:rPr>
          <w:lang w:val="de-DE"/>
        </w:rPr>
        <w:t>3</w:t>
      </w:r>
      <w:r w:rsidR="003F44A5" w:rsidRPr="002C2BAE">
        <w:rPr>
          <w:lang w:val="de-DE"/>
        </w:rPr>
        <w:t>.</w:t>
      </w:r>
      <w:r w:rsidR="003F44A5" w:rsidRPr="002C2BAE">
        <w:rPr>
          <w:lang w:val="de-DE"/>
        </w:rPr>
        <w:tab/>
      </w:r>
      <w:r w:rsidR="009E45C0" w:rsidRPr="002C2BAE">
        <w:rPr>
          <w:lang w:val="de-DE"/>
        </w:rPr>
        <w:t>Nach der für das In-Kraft-Treten am 1. Januar 2021 beschlossenen Fassung des Absatzes 1.1.3.6.</w:t>
      </w:r>
      <w:r w:rsidR="00975930" w:rsidRPr="002C2BAE">
        <w:rPr>
          <w:lang w:val="de-DE"/>
        </w:rPr>
        <w:t>1</w:t>
      </w:r>
      <w:r w:rsidR="009E45C0" w:rsidRPr="002C2BAE">
        <w:rPr>
          <w:lang w:val="de-DE"/>
        </w:rPr>
        <w:t xml:space="preserve"> ADN gilt folgende Freistellung bezüglich der Klasse 7:</w:t>
      </w:r>
    </w:p>
    <w:p w:rsidR="002C2BAE" w:rsidRPr="002C2BAE" w:rsidRDefault="002C2BAE" w:rsidP="002C2BAE">
      <w:pPr>
        <w:ind w:left="1134" w:right="1134"/>
        <w:jc w:val="both"/>
        <w:rPr>
          <w:lang w:val="de-DE"/>
        </w:rPr>
      </w:pPr>
    </w:p>
    <w:p w:rsidR="00975930" w:rsidRPr="002C2BAE" w:rsidRDefault="00566FA5" w:rsidP="002C2BAE">
      <w:pPr>
        <w:spacing w:after="120"/>
        <w:ind w:left="1134" w:right="1134"/>
        <w:jc w:val="both"/>
        <w:rPr>
          <w:iCs/>
          <w:lang w:val="de-DE"/>
        </w:rPr>
      </w:pPr>
      <w:r>
        <w:rPr>
          <w:lang w:val="de-DE"/>
        </w:rPr>
        <w:t xml:space="preserve">„ </w:t>
      </w:r>
      <w:r w:rsidR="00C7524C" w:rsidRPr="002C2BAE">
        <w:rPr>
          <w:lang w:val="de-DE"/>
        </w:rPr>
        <w:t xml:space="preserve">... </w:t>
      </w:r>
      <w:r w:rsidR="00975930" w:rsidRPr="002C2BAE">
        <w:rPr>
          <w:lang w:val="de-DE"/>
        </w:rPr>
        <w:t>wenn die Bruttomasse aller beförderten gefährlichen Güter insgesamt 3 000 kg nicht überschreitet und für die einzelnen Klassen die in der nachfolgenden Tabelle angegebene Menge nicht überschreitet</w:t>
      </w:r>
      <w:r w:rsidR="00975930" w:rsidRPr="002C2BAE">
        <w:rPr>
          <w:iCs/>
          <w:lang w:val="de-DE"/>
        </w:rPr>
        <w:t>.</w:t>
      </w:r>
      <w:r w:rsidR="00C7524C" w:rsidRPr="002C2BAE">
        <w:rPr>
          <w:iCs/>
          <w:lang w:val="de-DE"/>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95"/>
        <w:gridCol w:w="96"/>
        <w:gridCol w:w="4437"/>
        <w:gridCol w:w="2342"/>
      </w:tblGrid>
      <w:tr w:rsidR="00975930" w:rsidRPr="000974A4" w:rsidTr="00095065">
        <w:trPr>
          <w:trHeight w:hRule="exact" w:val="688"/>
          <w:tblHeader/>
        </w:trPr>
        <w:tc>
          <w:tcPr>
            <w:tcW w:w="495" w:type="dxa"/>
            <w:tcBorders>
              <w:top w:val="single" w:sz="4" w:space="0" w:color="auto"/>
              <w:bottom w:val="single" w:sz="12" w:space="0" w:color="auto"/>
            </w:tcBorders>
            <w:shd w:val="clear" w:color="auto" w:fill="auto"/>
            <w:vAlign w:val="bottom"/>
          </w:tcPr>
          <w:p w:rsidR="00975930" w:rsidRPr="000974A4" w:rsidRDefault="00975930" w:rsidP="002C2BAE">
            <w:pPr>
              <w:keepNext/>
              <w:keepLines/>
              <w:suppressAutoHyphens w:val="0"/>
              <w:kinsoku w:val="0"/>
              <w:overflowPunct w:val="0"/>
              <w:autoSpaceDE w:val="0"/>
              <w:autoSpaceDN w:val="0"/>
              <w:adjustRightInd w:val="0"/>
              <w:spacing w:after="80"/>
              <w:rPr>
                <w:rFonts w:eastAsia="Calibri"/>
                <w:i/>
                <w:sz w:val="16"/>
                <w:szCs w:val="18"/>
                <w:lang w:val="de-DE"/>
              </w:rPr>
            </w:pPr>
            <w:r w:rsidRPr="000974A4">
              <w:rPr>
                <w:rFonts w:eastAsia="Calibri"/>
                <w:bCs/>
                <w:i/>
                <w:sz w:val="16"/>
                <w:szCs w:val="18"/>
                <w:lang w:val="de-DE"/>
              </w:rPr>
              <w:t>Klasse</w:t>
            </w:r>
          </w:p>
        </w:tc>
        <w:tc>
          <w:tcPr>
            <w:tcW w:w="96" w:type="dxa"/>
            <w:tcBorders>
              <w:top w:val="single" w:sz="4" w:space="0" w:color="auto"/>
              <w:bottom w:val="single" w:sz="12" w:space="0" w:color="auto"/>
            </w:tcBorders>
            <w:shd w:val="clear" w:color="auto" w:fill="auto"/>
            <w:vAlign w:val="bottom"/>
          </w:tcPr>
          <w:p w:rsidR="00975930" w:rsidRPr="000974A4" w:rsidRDefault="00975930" w:rsidP="002C2BAE">
            <w:pPr>
              <w:keepNext/>
              <w:keepLines/>
              <w:suppressAutoHyphens w:val="0"/>
              <w:autoSpaceDE w:val="0"/>
              <w:autoSpaceDN w:val="0"/>
              <w:adjustRightInd w:val="0"/>
              <w:spacing w:after="80"/>
              <w:ind w:right="113"/>
              <w:rPr>
                <w:rFonts w:eastAsia="Calibri"/>
                <w:i/>
                <w:sz w:val="16"/>
                <w:szCs w:val="18"/>
                <w:lang w:val="de-DE"/>
              </w:rPr>
            </w:pPr>
          </w:p>
        </w:tc>
        <w:tc>
          <w:tcPr>
            <w:tcW w:w="4437" w:type="dxa"/>
            <w:tcBorders>
              <w:top w:val="single" w:sz="4" w:space="0" w:color="auto"/>
              <w:bottom w:val="single" w:sz="12" w:space="0" w:color="auto"/>
            </w:tcBorders>
            <w:shd w:val="clear" w:color="auto" w:fill="auto"/>
            <w:vAlign w:val="bottom"/>
          </w:tcPr>
          <w:p w:rsidR="00975930" w:rsidRPr="000974A4" w:rsidRDefault="00975930" w:rsidP="002C2BAE">
            <w:pPr>
              <w:keepNext/>
              <w:keepLines/>
              <w:suppressAutoHyphens w:val="0"/>
              <w:kinsoku w:val="0"/>
              <w:overflowPunct w:val="0"/>
              <w:autoSpaceDE w:val="0"/>
              <w:autoSpaceDN w:val="0"/>
              <w:adjustRightInd w:val="0"/>
              <w:spacing w:after="80"/>
              <w:ind w:right="113"/>
              <w:rPr>
                <w:rFonts w:eastAsia="Calibri"/>
                <w:i/>
                <w:sz w:val="16"/>
                <w:szCs w:val="18"/>
                <w:lang w:val="de-DE"/>
              </w:rPr>
            </w:pPr>
            <w:r w:rsidRPr="000974A4">
              <w:rPr>
                <w:rFonts w:eastAsia="Calibri"/>
                <w:bCs/>
                <w:i/>
                <w:sz w:val="16"/>
                <w:szCs w:val="18"/>
                <w:lang w:val="de-DE"/>
              </w:rPr>
              <w:t xml:space="preserve">Stoffe oder Gegenstände in Versandstücken </w:t>
            </w:r>
          </w:p>
        </w:tc>
        <w:tc>
          <w:tcPr>
            <w:tcW w:w="2342" w:type="dxa"/>
            <w:tcBorders>
              <w:top w:val="single" w:sz="4" w:space="0" w:color="auto"/>
              <w:bottom w:val="single" w:sz="12" w:space="0" w:color="auto"/>
            </w:tcBorders>
            <w:shd w:val="clear" w:color="auto" w:fill="auto"/>
            <w:vAlign w:val="bottom"/>
          </w:tcPr>
          <w:p w:rsidR="00975930" w:rsidRPr="000974A4" w:rsidRDefault="00975930" w:rsidP="002C2BAE">
            <w:pPr>
              <w:keepNext/>
              <w:keepLines/>
              <w:suppressAutoHyphens w:val="0"/>
              <w:kinsoku w:val="0"/>
              <w:overflowPunct w:val="0"/>
              <w:autoSpaceDE w:val="0"/>
              <w:autoSpaceDN w:val="0"/>
              <w:adjustRightInd w:val="0"/>
              <w:spacing w:after="80"/>
              <w:ind w:right="113"/>
              <w:rPr>
                <w:rFonts w:eastAsia="Calibri"/>
                <w:i/>
                <w:sz w:val="16"/>
                <w:szCs w:val="18"/>
                <w:lang w:val="de-DE"/>
              </w:rPr>
            </w:pPr>
            <w:r w:rsidRPr="000974A4">
              <w:rPr>
                <w:rFonts w:eastAsia="Calibri"/>
                <w:bCs/>
                <w:i/>
                <w:sz w:val="16"/>
                <w:szCs w:val="18"/>
                <w:lang w:val="de-DE"/>
              </w:rPr>
              <w:t>Freigestellte Mengen in kg:</w:t>
            </w:r>
          </w:p>
        </w:tc>
      </w:tr>
    </w:tbl>
    <w:p w:rsidR="009E45C0" w:rsidRDefault="009E45C0" w:rsidP="002C2BAE">
      <w:pPr>
        <w:rPr>
          <w:sz w:val="22"/>
          <w:szCs w:val="22"/>
          <w:lang w:val="de-DE"/>
        </w:rPr>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591"/>
        <w:gridCol w:w="4233"/>
        <w:gridCol w:w="204"/>
        <w:gridCol w:w="687"/>
        <w:gridCol w:w="133"/>
        <w:gridCol w:w="760"/>
        <w:gridCol w:w="61"/>
        <w:gridCol w:w="701"/>
      </w:tblGrid>
      <w:tr w:rsidR="009E45C0" w:rsidRPr="000974A4" w:rsidTr="00095065">
        <w:trPr>
          <w:trHeight w:val="57"/>
        </w:trPr>
        <w:tc>
          <w:tcPr>
            <w:tcW w:w="591" w:type="dxa"/>
            <w:tcBorders>
              <w:top w:val="single" w:sz="4" w:space="0" w:color="auto"/>
              <w:bottom w:val="single" w:sz="4" w:space="0" w:color="auto"/>
            </w:tcBorders>
            <w:shd w:val="clear" w:color="auto" w:fill="auto"/>
          </w:tcPr>
          <w:p w:rsidR="009E45C0" w:rsidRPr="000974A4" w:rsidRDefault="009E45C0" w:rsidP="002C2BAE">
            <w:pPr>
              <w:keepNext/>
              <w:keepLines/>
              <w:suppressAutoHyphens w:val="0"/>
              <w:kinsoku w:val="0"/>
              <w:overflowPunct w:val="0"/>
              <w:autoSpaceDE w:val="0"/>
              <w:autoSpaceDN w:val="0"/>
              <w:adjustRightInd w:val="0"/>
              <w:spacing w:before="40" w:after="120"/>
              <w:ind w:right="113"/>
              <w:rPr>
                <w:rFonts w:eastAsia="Calibri"/>
                <w:b/>
                <w:szCs w:val="18"/>
                <w:lang w:val="de-DE"/>
              </w:rPr>
            </w:pPr>
            <w:r w:rsidRPr="000974A4">
              <w:rPr>
                <w:rFonts w:eastAsia="Calibri"/>
                <w:b/>
                <w:szCs w:val="18"/>
                <w:lang w:val="de-DE"/>
              </w:rPr>
              <w:t>7</w:t>
            </w:r>
          </w:p>
        </w:tc>
        <w:tc>
          <w:tcPr>
            <w:tcW w:w="4437" w:type="dxa"/>
            <w:gridSpan w:val="2"/>
            <w:tcBorders>
              <w:top w:val="single" w:sz="4" w:space="0" w:color="auto"/>
              <w:bottom w:val="single" w:sz="4" w:space="0" w:color="auto"/>
            </w:tcBorders>
            <w:shd w:val="clear" w:color="auto" w:fill="auto"/>
          </w:tcPr>
          <w:p w:rsidR="009E45C0" w:rsidRPr="000974A4" w:rsidRDefault="009E45C0" w:rsidP="002C2BAE">
            <w:pPr>
              <w:keepNext/>
              <w:keepLines/>
              <w:suppressAutoHyphens w:val="0"/>
              <w:kinsoku w:val="0"/>
              <w:overflowPunct w:val="0"/>
              <w:autoSpaceDE w:val="0"/>
              <w:autoSpaceDN w:val="0"/>
              <w:adjustRightInd w:val="0"/>
              <w:spacing w:before="40" w:after="120"/>
              <w:ind w:right="113"/>
              <w:rPr>
                <w:rFonts w:eastAsia="Calibri"/>
                <w:szCs w:val="18"/>
                <w:lang w:val="de-DE"/>
              </w:rPr>
            </w:pPr>
            <w:r w:rsidRPr="000974A4">
              <w:rPr>
                <w:rFonts w:eastAsia="Calibri"/>
                <w:szCs w:val="18"/>
                <w:lang w:val="de-DE"/>
              </w:rPr>
              <w:t>Stoffe und Gegenstände der Klasse 7, die den UN-Nummern 2908, 2909, 2910 und 2911 zugeordnet sind</w:t>
            </w:r>
          </w:p>
        </w:tc>
        <w:tc>
          <w:tcPr>
            <w:tcW w:w="820" w:type="dxa"/>
            <w:gridSpan w:val="2"/>
            <w:tcBorders>
              <w:top w:val="single" w:sz="4" w:space="0" w:color="auto"/>
              <w:bottom w:val="single" w:sz="4" w:space="0" w:color="auto"/>
            </w:tcBorders>
            <w:shd w:val="clear" w:color="auto" w:fill="auto"/>
          </w:tcPr>
          <w:p w:rsidR="009E45C0" w:rsidRPr="000974A4" w:rsidRDefault="009E45C0" w:rsidP="002C2BAE">
            <w:pPr>
              <w:keepNext/>
              <w:keepLines/>
              <w:suppressAutoHyphens w:val="0"/>
              <w:kinsoku w:val="0"/>
              <w:overflowPunct w:val="0"/>
              <w:autoSpaceDE w:val="0"/>
              <w:autoSpaceDN w:val="0"/>
              <w:adjustRightInd w:val="0"/>
              <w:spacing w:before="40" w:after="120"/>
              <w:ind w:right="113"/>
              <w:rPr>
                <w:rFonts w:eastAsia="Calibri"/>
                <w:szCs w:val="18"/>
                <w:lang w:val="de-DE"/>
              </w:rPr>
            </w:pPr>
            <w:r w:rsidRPr="000974A4">
              <w:rPr>
                <w:rFonts w:eastAsia="Calibri"/>
                <w:szCs w:val="18"/>
                <w:lang w:val="de-DE"/>
              </w:rPr>
              <w:t>3000</w:t>
            </w:r>
          </w:p>
        </w:tc>
        <w:tc>
          <w:tcPr>
            <w:tcW w:w="821" w:type="dxa"/>
            <w:gridSpan w:val="2"/>
            <w:tcBorders>
              <w:top w:val="single" w:sz="4" w:space="0" w:color="auto"/>
              <w:bottom w:val="single" w:sz="4" w:space="0" w:color="auto"/>
            </w:tcBorders>
            <w:shd w:val="clear" w:color="auto" w:fill="auto"/>
          </w:tcPr>
          <w:p w:rsidR="009E45C0" w:rsidRPr="000974A4" w:rsidRDefault="009E45C0" w:rsidP="002C2BAE">
            <w:pPr>
              <w:keepNext/>
              <w:keepLines/>
              <w:suppressAutoHyphens w:val="0"/>
              <w:kinsoku w:val="0"/>
              <w:overflowPunct w:val="0"/>
              <w:autoSpaceDE w:val="0"/>
              <w:autoSpaceDN w:val="0"/>
              <w:adjustRightInd w:val="0"/>
              <w:spacing w:before="40" w:after="120"/>
              <w:ind w:right="113"/>
              <w:rPr>
                <w:rFonts w:eastAsia="Calibri"/>
                <w:szCs w:val="18"/>
                <w:lang w:val="de-DE"/>
              </w:rPr>
            </w:pPr>
          </w:p>
        </w:tc>
        <w:tc>
          <w:tcPr>
            <w:tcW w:w="701" w:type="dxa"/>
            <w:tcBorders>
              <w:top w:val="single" w:sz="4" w:space="0" w:color="auto"/>
              <w:bottom w:val="single" w:sz="4" w:space="0" w:color="auto"/>
            </w:tcBorders>
            <w:shd w:val="clear" w:color="auto" w:fill="auto"/>
          </w:tcPr>
          <w:p w:rsidR="009E45C0" w:rsidRPr="000974A4" w:rsidRDefault="009E45C0" w:rsidP="002C2BAE">
            <w:pPr>
              <w:keepNext/>
              <w:keepLines/>
              <w:suppressAutoHyphens w:val="0"/>
              <w:kinsoku w:val="0"/>
              <w:overflowPunct w:val="0"/>
              <w:autoSpaceDE w:val="0"/>
              <w:autoSpaceDN w:val="0"/>
              <w:adjustRightInd w:val="0"/>
              <w:spacing w:before="40" w:after="120"/>
              <w:ind w:right="113"/>
              <w:rPr>
                <w:rFonts w:eastAsia="Calibri"/>
                <w:szCs w:val="18"/>
                <w:lang w:val="de-DE"/>
              </w:rPr>
            </w:pPr>
          </w:p>
        </w:tc>
      </w:tr>
      <w:tr w:rsidR="00EC1A7D" w:rsidRPr="000974A4" w:rsidTr="00EC1A7D">
        <w:trPr>
          <w:trHeight w:val="57"/>
        </w:trPr>
        <w:tc>
          <w:tcPr>
            <w:tcW w:w="4824" w:type="dxa"/>
            <w:gridSpan w:val="2"/>
            <w:tcBorders>
              <w:top w:val="single" w:sz="4" w:space="0" w:color="auto"/>
              <w:bottom w:val="single" w:sz="4" w:space="0" w:color="auto"/>
            </w:tcBorders>
            <w:shd w:val="clear" w:color="auto" w:fill="auto"/>
          </w:tcPr>
          <w:p w:rsidR="00EC1A7D" w:rsidRPr="000974A4" w:rsidRDefault="00EC1A7D" w:rsidP="002C2BAE">
            <w:pPr>
              <w:keepNext/>
              <w:keepLines/>
              <w:suppressAutoHyphens w:val="0"/>
              <w:kinsoku w:val="0"/>
              <w:overflowPunct w:val="0"/>
              <w:autoSpaceDE w:val="0"/>
              <w:autoSpaceDN w:val="0"/>
              <w:adjustRightInd w:val="0"/>
              <w:spacing w:before="40" w:after="120"/>
              <w:ind w:left="567" w:right="113"/>
              <w:rPr>
                <w:rFonts w:eastAsia="Calibri"/>
                <w:szCs w:val="18"/>
                <w:lang w:val="de-DE"/>
              </w:rPr>
            </w:pPr>
            <w:r w:rsidRPr="000974A4">
              <w:rPr>
                <w:rFonts w:eastAsia="Calibri"/>
                <w:szCs w:val="18"/>
                <w:lang w:val="de-DE"/>
              </w:rPr>
              <w:t>sonstige Stoffe und Gegenstände der Klasse 7</w:t>
            </w:r>
          </w:p>
        </w:tc>
        <w:tc>
          <w:tcPr>
            <w:tcW w:w="891" w:type="dxa"/>
            <w:gridSpan w:val="2"/>
            <w:tcBorders>
              <w:top w:val="single" w:sz="4" w:space="0" w:color="auto"/>
              <w:bottom w:val="single" w:sz="4" w:space="0" w:color="auto"/>
            </w:tcBorders>
            <w:shd w:val="clear" w:color="auto" w:fill="auto"/>
          </w:tcPr>
          <w:p w:rsidR="00EC1A7D" w:rsidRPr="000974A4" w:rsidRDefault="00EC1A7D" w:rsidP="002C2BAE">
            <w:pPr>
              <w:keepNext/>
              <w:keepLines/>
              <w:suppressAutoHyphens w:val="0"/>
              <w:kinsoku w:val="0"/>
              <w:overflowPunct w:val="0"/>
              <w:autoSpaceDE w:val="0"/>
              <w:autoSpaceDN w:val="0"/>
              <w:adjustRightInd w:val="0"/>
              <w:spacing w:before="40" w:after="120"/>
              <w:ind w:right="113"/>
              <w:rPr>
                <w:rFonts w:eastAsia="Calibri"/>
                <w:szCs w:val="18"/>
                <w:lang w:val="de-DE"/>
              </w:rPr>
            </w:pPr>
          </w:p>
        </w:tc>
        <w:tc>
          <w:tcPr>
            <w:tcW w:w="893" w:type="dxa"/>
            <w:gridSpan w:val="2"/>
            <w:tcBorders>
              <w:top w:val="single" w:sz="4" w:space="0" w:color="auto"/>
              <w:bottom w:val="single" w:sz="4" w:space="0" w:color="auto"/>
            </w:tcBorders>
            <w:shd w:val="clear" w:color="auto" w:fill="auto"/>
          </w:tcPr>
          <w:p w:rsidR="00EC1A7D" w:rsidRPr="000974A4" w:rsidRDefault="00EC1A7D" w:rsidP="002C2BAE">
            <w:pPr>
              <w:keepNext/>
              <w:keepLines/>
              <w:suppressAutoHyphens w:val="0"/>
              <w:kinsoku w:val="0"/>
              <w:overflowPunct w:val="0"/>
              <w:autoSpaceDE w:val="0"/>
              <w:autoSpaceDN w:val="0"/>
              <w:adjustRightInd w:val="0"/>
              <w:spacing w:before="40" w:after="120"/>
              <w:ind w:right="113"/>
              <w:rPr>
                <w:rFonts w:eastAsia="Calibri"/>
                <w:szCs w:val="18"/>
                <w:lang w:val="de-DE"/>
              </w:rPr>
            </w:pPr>
          </w:p>
        </w:tc>
        <w:tc>
          <w:tcPr>
            <w:tcW w:w="762" w:type="dxa"/>
            <w:gridSpan w:val="2"/>
            <w:tcBorders>
              <w:top w:val="single" w:sz="4" w:space="0" w:color="auto"/>
              <w:bottom w:val="single" w:sz="4" w:space="0" w:color="auto"/>
            </w:tcBorders>
            <w:shd w:val="clear" w:color="auto" w:fill="auto"/>
          </w:tcPr>
          <w:p w:rsidR="00EC1A7D" w:rsidRPr="00566FA5" w:rsidRDefault="00EC1A7D" w:rsidP="002C2BAE">
            <w:pPr>
              <w:keepNext/>
              <w:keepLines/>
              <w:suppressAutoHyphens w:val="0"/>
              <w:kinsoku w:val="0"/>
              <w:overflowPunct w:val="0"/>
              <w:autoSpaceDE w:val="0"/>
              <w:autoSpaceDN w:val="0"/>
              <w:adjustRightInd w:val="0"/>
              <w:spacing w:before="40" w:after="120"/>
              <w:ind w:right="113"/>
              <w:rPr>
                <w:rFonts w:eastAsia="Calibri"/>
                <w:b/>
                <w:bCs/>
                <w:szCs w:val="18"/>
                <w:lang w:val="de-DE"/>
              </w:rPr>
            </w:pPr>
            <w:r w:rsidRPr="00566FA5">
              <w:rPr>
                <w:rFonts w:eastAsia="Calibri"/>
                <w:b/>
                <w:bCs/>
                <w:szCs w:val="18"/>
                <w:lang w:val="de-DE"/>
              </w:rPr>
              <w:t>0</w:t>
            </w:r>
          </w:p>
        </w:tc>
      </w:tr>
    </w:tbl>
    <w:p w:rsidR="009E45C0" w:rsidRPr="002C2BAE" w:rsidRDefault="009E45C0" w:rsidP="002C2BAE">
      <w:pPr>
        <w:rPr>
          <w:rFonts w:eastAsia="Arial Unicode MS"/>
          <w:bdr w:val="nil"/>
          <w:lang w:val="de-DE" w:eastAsia="nl-NL"/>
        </w:rPr>
      </w:pPr>
    </w:p>
    <w:p w:rsidR="00975930" w:rsidRPr="002C2BAE" w:rsidRDefault="00A85596" w:rsidP="002C2BAE">
      <w:pPr>
        <w:ind w:right="1134"/>
        <w:jc w:val="both"/>
        <w:rPr>
          <w:lang w:val="de-DE"/>
        </w:rPr>
      </w:pPr>
      <w:r w:rsidRPr="002C2BAE">
        <w:rPr>
          <w:rFonts w:eastAsia="Arial Unicode MS"/>
          <w:bdr w:val="nil"/>
          <w:lang w:val="de-DE" w:eastAsia="nl-NL"/>
        </w:rPr>
        <w:t>4</w:t>
      </w:r>
      <w:r w:rsidR="00FE3C0A" w:rsidRPr="002C2BAE">
        <w:rPr>
          <w:rFonts w:eastAsia="Arial Unicode MS"/>
          <w:bdr w:val="nil"/>
          <w:lang w:val="de-DE" w:eastAsia="nl-NL"/>
        </w:rPr>
        <w:t>.</w:t>
      </w:r>
      <w:r w:rsidR="00FE3C0A" w:rsidRPr="002C2BAE">
        <w:rPr>
          <w:rFonts w:eastAsia="Arial Unicode MS"/>
          <w:bdr w:val="nil"/>
          <w:lang w:val="de-DE" w:eastAsia="nl-NL"/>
        </w:rPr>
        <w:tab/>
      </w:r>
      <w:r w:rsidR="006D3C37" w:rsidRPr="002C2BAE">
        <w:rPr>
          <w:rFonts w:eastAsia="Arial Unicode MS"/>
          <w:bdr w:val="nil"/>
          <w:lang w:val="de-DE" w:eastAsia="nl-NL"/>
        </w:rPr>
        <w:t>In</w:t>
      </w:r>
      <w:r w:rsidR="00975930" w:rsidRPr="002C2BAE">
        <w:rPr>
          <w:rFonts w:eastAsia="Arial Unicode MS"/>
          <w:bdr w:val="nil"/>
          <w:lang w:val="de-DE" w:eastAsia="nl-NL"/>
        </w:rPr>
        <w:t xml:space="preserve"> dem unverändert gebliebenen Absatz 1.1.3.6.2 ADN</w:t>
      </w:r>
      <w:r w:rsidR="006D3C37" w:rsidRPr="002C2BAE">
        <w:rPr>
          <w:rFonts w:eastAsia="Arial Unicode MS"/>
          <w:bdr w:val="nil"/>
          <w:lang w:val="de-DE" w:eastAsia="nl-NL"/>
        </w:rPr>
        <w:t xml:space="preserve">, </w:t>
      </w:r>
      <w:r w:rsidR="00880074" w:rsidRPr="002C2BAE">
        <w:rPr>
          <w:rFonts w:eastAsia="Arial Unicode MS"/>
          <w:bdr w:val="nil"/>
          <w:lang w:val="de-DE" w:eastAsia="nl-NL"/>
        </w:rPr>
        <w:t>welcher</w:t>
      </w:r>
      <w:r w:rsidR="006D3C37" w:rsidRPr="002C2BAE">
        <w:rPr>
          <w:rFonts w:eastAsia="Arial Unicode MS"/>
          <w:bdr w:val="nil"/>
          <w:lang w:val="de-DE" w:eastAsia="nl-NL"/>
        </w:rPr>
        <w:t xml:space="preserve"> die bei </w:t>
      </w:r>
      <w:r w:rsidR="00880074" w:rsidRPr="002C2BAE">
        <w:rPr>
          <w:rFonts w:eastAsia="Arial Unicode MS"/>
          <w:bdr w:val="nil"/>
          <w:lang w:val="de-DE" w:eastAsia="nl-NL"/>
        </w:rPr>
        <w:t xml:space="preserve">der </w:t>
      </w:r>
      <w:r w:rsidR="006D3C37" w:rsidRPr="002C2BAE">
        <w:rPr>
          <w:rFonts w:eastAsia="Arial Unicode MS"/>
          <w:bdr w:val="nil"/>
          <w:lang w:val="de-DE" w:eastAsia="nl-NL"/>
        </w:rPr>
        <w:t xml:space="preserve">Nutzung der Freistellung im Zusammenhang mit den beförderten Mengen </w:t>
      </w:r>
      <w:r w:rsidR="006D3C37" w:rsidRPr="002C2BAE">
        <w:rPr>
          <w:rFonts w:eastAsia="Arial Unicode MS"/>
          <w:b/>
          <w:bdr w:val="nil"/>
          <w:lang w:val="de-DE" w:eastAsia="nl-NL"/>
        </w:rPr>
        <w:t>weiterhin anwendbaren Vorschriften</w:t>
      </w:r>
      <w:r w:rsidR="006D3C37" w:rsidRPr="002C2BAE">
        <w:rPr>
          <w:rFonts w:eastAsia="Arial Unicode MS"/>
          <w:bdr w:val="nil"/>
          <w:lang w:val="de-DE" w:eastAsia="nl-NL"/>
        </w:rPr>
        <w:t xml:space="preserve"> des ADN enthält,</w:t>
      </w:r>
      <w:r w:rsidR="00711562" w:rsidRPr="002C2BAE">
        <w:rPr>
          <w:rFonts w:eastAsia="Arial Unicode MS"/>
          <w:bdr w:val="nil"/>
          <w:lang w:val="de-DE" w:eastAsia="nl-NL"/>
        </w:rPr>
        <w:t xml:space="preserve"> </w:t>
      </w:r>
      <w:r w:rsidR="006D3C37" w:rsidRPr="002C2BAE">
        <w:rPr>
          <w:rFonts w:eastAsia="Arial Unicode MS"/>
          <w:bdr w:val="nil"/>
          <w:lang w:val="de-DE" w:eastAsia="nl-NL"/>
        </w:rPr>
        <w:t xml:space="preserve">ist Kapitel 1.10 über die Sicherung </w:t>
      </w:r>
      <w:r w:rsidR="006D3C37" w:rsidRPr="002C2BAE">
        <w:rPr>
          <w:rFonts w:eastAsia="Arial Unicode MS"/>
          <w:b/>
          <w:bdr w:val="nil"/>
          <w:lang w:val="de-DE" w:eastAsia="nl-NL"/>
        </w:rPr>
        <w:t>nicht</w:t>
      </w:r>
      <w:r w:rsidR="006D3C37" w:rsidRPr="002C2BAE">
        <w:rPr>
          <w:rFonts w:eastAsia="Arial Unicode MS"/>
          <w:bdr w:val="nil"/>
          <w:lang w:val="de-DE" w:eastAsia="nl-NL"/>
        </w:rPr>
        <w:t xml:space="preserve"> aufgeführt. Das bedeutet,</w:t>
      </w:r>
      <w:r w:rsidR="00711562" w:rsidRPr="002C2BAE">
        <w:rPr>
          <w:rFonts w:eastAsia="Arial Unicode MS"/>
          <w:bdr w:val="nil"/>
          <w:lang w:val="de-DE" w:eastAsia="nl-NL"/>
        </w:rPr>
        <w:t xml:space="preserve"> bis zu einer freigestellten Menge von 3.000 kg je Schiff </w:t>
      </w:r>
      <w:r w:rsidR="00880074" w:rsidRPr="002C2BAE">
        <w:rPr>
          <w:rFonts w:eastAsia="Arial Unicode MS"/>
          <w:bdr w:val="nil"/>
          <w:lang w:val="de-DE" w:eastAsia="nl-NL"/>
        </w:rPr>
        <w:t>an Versandstücken</w:t>
      </w:r>
      <w:r w:rsidR="00711562" w:rsidRPr="002C2BAE">
        <w:rPr>
          <w:rFonts w:eastAsia="Arial Unicode MS"/>
          <w:bdr w:val="nil"/>
          <w:lang w:val="de-DE" w:eastAsia="nl-NL"/>
        </w:rPr>
        <w:t xml:space="preserve"> </w:t>
      </w:r>
      <w:r w:rsidR="00711562" w:rsidRPr="002C2BAE">
        <w:rPr>
          <w:rFonts w:eastAsia="Arial Unicode MS"/>
          <w:u w:val="single"/>
          <w:bdr w:val="nil"/>
          <w:lang w:val="de-DE" w:eastAsia="nl-NL"/>
        </w:rPr>
        <w:t xml:space="preserve">der </w:t>
      </w:r>
      <w:r w:rsidR="00711562" w:rsidRPr="002C2BAE">
        <w:rPr>
          <w:u w:val="single"/>
          <w:lang w:val="de-DE"/>
        </w:rPr>
        <w:t>UN-N</w:t>
      </w:r>
      <w:r w:rsidR="00880074" w:rsidRPr="002C2BAE">
        <w:rPr>
          <w:u w:val="single"/>
          <w:lang w:val="de-DE"/>
        </w:rPr>
        <w:t>ummern</w:t>
      </w:r>
      <w:r w:rsidR="00711562" w:rsidRPr="002C2BAE">
        <w:rPr>
          <w:u w:val="single"/>
          <w:lang w:val="de-DE"/>
        </w:rPr>
        <w:t xml:space="preserve"> 2908 und 2909</w:t>
      </w:r>
      <w:r w:rsidR="00711562" w:rsidRPr="002C2BAE">
        <w:rPr>
          <w:lang w:val="de-DE"/>
        </w:rPr>
        <w:t xml:space="preserve"> sowie der </w:t>
      </w:r>
      <w:r w:rsidR="00711562" w:rsidRPr="00B50562">
        <w:rPr>
          <w:u w:val="single"/>
          <w:lang w:val="de-DE"/>
        </w:rPr>
        <w:t>UN-</w:t>
      </w:r>
      <w:r w:rsidR="00880074" w:rsidRPr="002C2BAE">
        <w:rPr>
          <w:u w:val="single"/>
          <w:lang w:val="de-DE"/>
        </w:rPr>
        <w:t>Nummern</w:t>
      </w:r>
      <w:r w:rsidR="00711562" w:rsidRPr="002C2BAE">
        <w:rPr>
          <w:u w:val="single"/>
          <w:lang w:val="de-DE"/>
        </w:rPr>
        <w:t xml:space="preserve"> 2910 und 2911</w:t>
      </w:r>
      <w:r w:rsidR="00711562" w:rsidRPr="002C2BAE">
        <w:rPr>
          <w:lang w:val="de-DE"/>
        </w:rPr>
        <w:t xml:space="preserve"> </w:t>
      </w:r>
      <w:r w:rsidR="005A1582" w:rsidRPr="002C2BAE">
        <w:rPr>
          <w:lang w:val="de-DE"/>
        </w:rPr>
        <w:t>sind</w:t>
      </w:r>
      <w:r w:rsidR="005A1582" w:rsidRPr="002C2BAE">
        <w:rPr>
          <w:vertAlign w:val="subscript"/>
          <w:lang w:val="de-DE"/>
        </w:rPr>
        <w:t xml:space="preserve"> </w:t>
      </w:r>
      <w:r w:rsidR="00B91AF9" w:rsidRPr="002C2BAE">
        <w:rPr>
          <w:lang w:val="de-DE"/>
        </w:rPr>
        <w:t xml:space="preserve">die Vorschriften über die Sicherung </w:t>
      </w:r>
      <w:r w:rsidR="00D04769" w:rsidRPr="002C2BAE">
        <w:rPr>
          <w:lang w:val="de-DE"/>
        </w:rPr>
        <w:t xml:space="preserve">(Kapitel 1.10) </w:t>
      </w:r>
      <w:r w:rsidR="00B76249" w:rsidRPr="002C2BAE">
        <w:rPr>
          <w:lang w:val="de-DE"/>
        </w:rPr>
        <w:t>einschließlich der</w:t>
      </w:r>
      <w:r w:rsidR="00C7524C" w:rsidRPr="002C2BAE">
        <w:rPr>
          <w:lang w:val="de-DE"/>
        </w:rPr>
        <w:t xml:space="preserve"> </w:t>
      </w:r>
      <w:r w:rsidR="00B76249" w:rsidRPr="002C2BAE">
        <w:rPr>
          <w:lang w:val="de-DE"/>
        </w:rPr>
        <w:t xml:space="preserve">Unterweisung </w:t>
      </w:r>
      <w:r w:rsidR="00B91AF9" w:rsidRPr="002C2BAE">
        <w:rPr>
          <w:b/>
          <w:lang w:val="de-DE"/>
        </w:rPr>
        <w:t>nicht</w:t>
      </w:r>
      <w:r w:rsidR="00B91AF9" w:rsidRPr="002C2BAE">
        <w:rPr>
          <w:lang w:val="de-DE"/>
        </w:rPr>
        <w:t xml:space="preserve"> anwendbar.</w:t>
      </w:r>
    </w:p>
    <w:p w:rsidR="00B91AF9" w:rsidRPr="002C2BAE" w:rsidRDefault="00B91AF9" w:rsidP="002C2BAE">
      <w:pPr>
        <w:ind w:right="1134"/>
        <w:jc w:val="both"/>
        <w:rPr>
          <w:lang w:val="de-DE"/>
        </w:rPr>
      </w:pPr>
    </w:p>
    <w:p w:rsidR="00B91AF9" w:rsidRPr="002C2BAE" w:rsidRDefault="00A85596" w:rsidP="002C2BAE">
      <w:pPr>
        <w:ind w:right="1134"/>
        <w:jc w:val="both"/>
        <w:rPr>
          <w:rFonts w:eastAsia="Arial Unicode MS"/>
          <w:bdr w:val="nil"/>
          <w:lang w:val="de-DE" w:eastAsia="nl-NL"/>
        </w:rPr>
      </w:pPr>
      <w:r w:rsidRPr="002C2BAE">
        <w:rPr>
          <w:lang w:val="de-DE"/>
        </w:rPr>
        <w:t>5</w:t>
      </w:r>
      <w:r w:rsidR="00B91AF9" w:rsidRPr="002C2BAE">
        <w:rPr>
          <w:lang w:val="de-DE"/>
        </w:rPr>
        <w:t>.</w:t>
      </w:r>
      <w:r w:rsidR="00B91AF9" w:rsidRPr="002C2BAE">
        <w:rPr>
          <w:lang w:val="de-DE"/>
        </w:rPr>
        <w:tab/>
      </w:r>
      <w:r w:rsidR="00161CAD" w:rsidRPr="002C2BAE">
        <w:rPr>
          <w:lang w:val="de-DE"/>
        </w:rPr>
        <w:t>Es gibt also</w:t>
      </w:r>
      <w:r w:rsidR="00B91AF9" w:rsidRPr="002C2BAE">
        <w:rPr>
          <w:lang w:val="de-DE"/>
        </w:rPr>
        <w:t xml:space="preserve"> </w:t>
      </w:r>
      <w:r w:rsidR="00161CAD" w:rsidRPr="002C2BAE">
        <w:rPr>
          <w:lang w:val="de-DE"/>
        </w:rPr>
        <w:t>zur</w:t>
      </w:r>
      <w:r w:rsidR="00B91AF9" w:rsidRPr="002C2BAE">
        <w:rPr>
          <w:lang w:val="de-DE"/>
        </w:rPr>
        <w:t xml:space="preserve"> Anwendbarkeit der Vorschriften über die Sicherung </w:t>
      </w:r>
      <w:r w:rsidR="00161CAD" w:rsidRPr="002C2BAE">
        <w:rPr>
          <w:b/>
          <w:lang w:val="de-DE"/>
        </w:rPr>
        <w:t>widersprüchliche</w:t>
      </w:r>
      <w:r w:rsidR="00161CAD" w:rsidRPr="002C2BAE">
        <w:rPr>
          <w:lang w:val="de-DE"/>
        </w:rPr>
        <w:t xml:space="preserve"> </w:t>
      </w:r>
      <w:r w:rsidR="00161CAD" w:rsidRPr="002C2BAE">
        <w:rPr>
          <w:b/>
          <w:lang w:val="de-DE"/>
        </w:rPr>
        <w:t>Aussagen</w:t>
      </w:r>
      <w:r w:rsidR="00161CAD" w:rsidRPr="002C2BAE">
        <w:rPr>
          <w:lang w:val="de-DE"/>
        </w:rPr>
        <w:t xml:space="preserve"> </w:t>
      </w:r>
      <w:r w:rsidR="00B91AF9" w:rsidRPr="002C2BAE">
        <w:rPr>
          <w:lang w:val="de-DE"/>
        </w:rPr>
        <w:t>in Unterabschnitt 1.1.3.6 ADN einerseits und i</w:t>
      </w:r>
      <w:r w:rsidR="00161CAD" w:rsidRPr="002C2BAE">
        <w:rPr>
          <w:lang w:val="de-DE"/>
        </w:rPr>
        <w:t>n Abschnitt 1.10.4 andererseits</w:t>
      </w:r>
      <w:r w:rsidR="00B91AF9" w:rsidRPr="002C2BAE">
        <w:rPr>
          <w:lang w:val="de-DE"/>
        </w:rPr>
        <w:t>.</w:t>
      </w:r>
    </w:p>
    <w:p w:rsidR="00C87C29" w:rsidRPr="002C2BAE" w:rsidRDefault="00C87C29" w:rsidP="002C2BAE">
      <w:pPr>
        <w:ind w:right="1134"/>
        <w:jc w:val="both"/>
        <w:rPr>
          <w:rFonts w:eastAsia="Arial Unicode MS"/>
          <w:bdr w:val="nil"/>
          <w:lang w:val="de-DE" w:eastAsia="nl-NL"/>
        </w:rPr>
      </w:pPr>
    </w:p>
    <w:p w:rsidR="00EA0FCD" w:rsidRPr="002C2BAE" w:rsidRDefault="001C4238" w:rsidP="002C2BAE">
      <w:pPr>
        <w:ind w:right="1134"/>
        <w:jc w:val="both"/>
        <w:rPr>
          <w:lang w:val="de-DE"/>
        </w:rPr>
      </w:pPr>
      <w:r w:rsidRPr="002C2BAE">
        <w:rPr>
          <w:lang w:val="de-DE"/>
        </w:rPr>
        <w:t>6</w:t>
      </w:r>
      <w:r w:rsidR="00EA0FCD" w:rsidRPr="002C2BAE">
        <w:rPr>
          <w:lang w:val="de-DE"/>
        </w:rPr>
        <w:t>.</w:t>
      </w:r>
      <w:r w:rsidR="00EA0FCD" w:rsidRPr="002C2BAE">
        <w:rPr>
          <w:lang w:val="de-DE"/>
        </w:rPr>
        <w:tab/>
        <w:t xml:space="preserve">Nach ADR und RID (1.10.4) </w:t>
      </w:r>
      <w:r w:rsidR="00D04769" w:rsidRPr="002C2BAE">
        <w:rPr>
          <w:lang w:val="de-DE"/>
        </w:rPr>
        <w:t>gelten die</w:t>
      </w:r>
      <w:r w:rsidR="00EA0FCD" w:rsidRPr="002C2BAE">
        <w:rPr>
          <w:lang w:val="de-DE"/>
        </w:rPr>
        <w:t xml:space="preserve"> Abschnitt</w:t>
      </w:r>
      <w:r w:rsidR="00D04769" w:rsidRPr="002C2BAE">
        <w:rPr>
          <w:lang w:val="de-DE"/>
        </w:rPr>
        <w:t>e</w:t>
      </w:r>
      <w:r w:rsidR="00EA0FCD" w:rsidRPr="002C2BAE">
        <w:rPr>
          <w:lang w:val="de-DE"/>
        </w:rPr>
        <w:t xml:space="preserve"> </w:t>
      </w:r>
      <w:r w:rsidR="00D04769" w:rsidRPr="002C2BAE">
        <w:rPr>
          <w:lang w:val="de-DE"/>
        </w:rPr>
        <w:t xml:space="preserve">1.10.1, </w:t>
      </w:r>
      <w:r w:rsidR="00EA0FCD" w:rsidRPr="002C2BAE">
        <w:rPr>
          <w:lang w:val="de-DE"/>
        </w:rPr>
        <w:t>1.10.2</w:t>
      </w:r>
      <w:r w:rsidR="00D04769" w:rsidRPr="002C2BAE">
        <w:rPr>
          <w:lang w:val="de-DE"/>
        </w:rPr>
        <w:t xml:space="preserve"> und 1.10.3</w:t>
      </w:r>
      <w:r w:rsidR="00EA0FCD" w:rsidRPr="002C2BAE">
        <w:rPr>
          <w:lang w:val="de-DE"/>
        </w:rPr>
        <w:t xml:space="preserve"> ADR über die Sicherung </w:t>
      </w:r>
      <w:r w:rsidR="00EA0FCD" w:rsidRPr="002C2BAE">
        <w:rPr>
          <w:b/>
          <w:lang w:val="de-DE"/>
        </w:rPr>
        <w:t>nicht</w:t>
      </w:r>
      <w:r w:rsidR="00EA0FCD" w:rsidRPr="002C2BAE">
        <w:rPr>
          <w:lang w:val="de-DE"/>
        </w:rPr>
        <w:t xml:space="preserve"> für die </w:t>
      </w:r>
      <w:r w:rsidR="00EA0FCD" w:rsidRPr="002C2BAE">
        <w:rPr>
          <w:u w:val="single"/>
          <w:lang w:val="de-DE"/>
        </w:rPr>
        <w:t>UN-Nr. 2910 und 2911</w:t>
      </w:r>
      <w:r w:rsidR="00EA0FCD" w:rsidRPr="002C2BAE">
        <w:rPr>
          <w:lang w:val="de-DE"/>
        </w:rPr>
        <w:t xml:space="preserve"> wenn der Aktivitätswert A</w:t>
      </w:r>
      <w:r w:rsidR="00EA0FCD" w:rsidRPr="002C2BAE">
        <w:rPr>
          <w:vertAlign w:val="subscript"/>
          <w:lang w:val="de-DE"/>
        </w:rPr>
        <w:t xml:space="preserve">2 </w:t>
      </w:r>
      <w:r w:rsidR="00EA0FCD" w:rsidRPr="002C2BAE">
        <w:rPr>
          <w:b/>
          <w:lang w:val="de-DE"/>
        </w:rPr>
        <w:t>nicht</w:t>
      </w:r>
      <w:r w:rsidR="00EA0FCD" w:rsidRPr="002C2BAE">
        <w:rPr>
          <w:lang w:val="de-DE"/>
        </w:rPr>
        <w:t xml:space="preserve"> überschritten</w:t>
      </w:r>
      <w:r w:rsidR="00EA0FCD" w:rsidRPr="002C2BAE">
        <w:rPr>
          <w:vertAlign w:val="subscript"/>
          <w:lang w:val="de-DE"/>
        </w:rPr>
        <w:t xml:space="preserve"> </w:t>
      </w:r>
      <w:r w:rsidR="00EA0FCD" w:rsidRPr="002C2BAE">
        <w:rPr>
          <w:lang w:val="de-DE"/>
        </w:rPr>
        <w:t xml:space="preserve">wird, und wenn die beförderten Mengen die in Absatz 1.1.3.6.3 ADR/RID aufgeführten Mengen nicht </w:t>
      </w:r>
      <w:r w:rsidR="00D04769" w:rsidRPr="002C2BAE">
        <w:rPr>
          <w:lang w:val="de-DE"/>
        </w:rPr>
        <w:t>überschreiten</w:t>
      </w:r>
      <w:r w:rsidR="00EA0FCD" w:rsidRPr="002C2BAE">
        <w:rPr>
          <w:lang w:val="de-DE"/>
        </w:rPr>
        <w:t>.</w:t>
      </w:r>
    </w:p>
    <w:p w:rsidR="001C4238" w:rsidRPr="002C2BAE" w:rsidRDefault="001C4238" w:rsidP="002C2BAE">
      <w:pPr>
        <w:ind w:right="1134"/>
        <w:jc w:val="both"/>
        <w:rPr>
          <w:lang w:val="de-DE"/>
        </w:rPr>
      </w:pPr>
    </w:p>
    <w:p w:rsidR="00E83D7E" w:rsidRPr="002C2BAE" w:rsidRDefault="001C4238" w:rsidP="002C2BAE">
      <w:pPr>
        <w:ind w:right="1134"/>
        <w:jc w:val="both"/>
        <w:rPr>
          <w:lang w:val="de-DE"/>
        </w:rPr>
      </w:pPr>
      <w:r w:rsidRPr="002C2BAE">
        <w:rPr>
          <w:lang w:val="de-DE"/>
        </w:rPr>
        <w:t>7.</w:t>
      </w:r>
      <w:r w:rsidRPr="002C2BAE">
        <w:rPr>
          <w:lang w:val="de-DE"/>
        </w:rPr>
        <w:tab/>
      </w:r>
      <w:r w:rsidR="00E83D7E" w:rsidRPr="002C2BAE">
        <w:rPr>
          <w:lang w:val="de-DE"/>
        </w:rPr>
        <w:t>Die</w:t>
      </w:r>
      <w:r w:rsidR="00BA5DD7" w:rsidRPr="002C2BAE">
        <w:rPr>
          <w:lang w:val="de-DE"/>
        </w:rPr>
        <w:t>se</w:t>
      </w:r>
      <w:r w:rsidR="00E83D7E" w:rsidRPr="002C2BAE">
        <w:rPr>
          <w:lang w:val="de-DE"/>
        </w:rPr>
        <w:t xml:space="preserve"> in 1.10.4 ADR/RID enthaltene Ausnahmeregelung zu den </w:t>
      </w:r>
      <w:r w:rsidR="00BA5DD7" w:rsidRPr="002C2BAE">
        <w:rPr>
          <w:lang w:val="de-DE"/>
        </w:rPr>
        <w:t>UN-Nummern</w:t>
      </w:r>
      <w:r w:rsidR="00E83D7E" w:rsidRPr="002C2BAE">
        <w:rPr>
          <w:lang w:val="de-DE"/>
        </w:rPr>
        <w:t xml:space="preserve"> 2910 und 2911 mit einem Aktivitätswert bis zum A</w:t>
      </w:r>
      <w:r w:rsidR="00E83D7E" w:rsidRPr="002C2BAE">
        <w:rPr>
          <w:vertAlign w:val="subscript"/>
          <w:lang w:val="de-DE"/>
        </w:rPr>
        <w:t>2</w:t>
      </w:r>
      <w:r w:rsidR="00E83D7E" w:rsidRPr="002C2BAE">
        <w:rPr>
          <w:lang w:val="de-DE"/>
        </w:rPr>
        <w:t>-Wert fehlt in 1.10.4 ADN.</w:t>
      </w:r>
    </w:p>
    <w:p w:rsidR="00EA0FCD" w:rsidRPr="002C2BAE" w:rsidRDefault="00EA0FCD" w:rsidP="002C2BAE">
      <w:pPr>
        <w:rPr>
          <w:lang w:val="de-DE"/>
        </w:rPr>
      </w:pPr>
    </w:p>
    <w:p w:rsidR="00EA0FCD" w:rsidRPr="002C2BAE" w:rsidRDefault="001C4238" w:rsidP="002C2BAE">
      <w:pPr>
        <w:ind w:right="1134"/>
        <w:jc w:val="both"/>
        <w:rPr>
          <w:lang w:val="de-DE"/>
        </w:rPr>
      </w:pPr>
      <w:r w:rsidRPr="002C2BAE">
        <w:rPr>
          <w:lang w:val="de-DE"/>
        </w:rPr>
        <w:t>8</w:t>
      </w:r>
      <w:r w:rsidR="00EA0FCD" w:rsidRPr="002C2BAE">
        <w:rPr>
          <w:lang w:val="de-DE"/>
        </w:rPr>
        <w:t>.</w:t>
      </w:r>
      <w:r w:rsidR="00EA0FCD" w:rsidRPr="002C2BAE">
        <w:rPr>
          <w:lang w:val="de-DE"/>
        </w:rPr>
        <w:tab/>
        <w:t>Nach Abs</w:t>
      </w:r>
      <w:r w:rsidR="00BA5DD7" w:rsidRPr="002C2BAE">
        <w:rPr>
          <w:lang w:val="de-DE"/>
        </w:rPr>
        <w:t>ä</w:t>
      </w:r>
      <w:r w:rsidR="00EA0FCD" w:rsidRPr="002C2BAE">
        <w:rPr>
          <w:lang w:val="de-DE"/>
        </w:rPr>
        <w:t>tz</w:t>
      </w:r>
      <w:r w:rsidR="00BA5DD7" w:rsidRPr="002C2BAE">
        <w:rPr>
          <w:lang w:val="de-DE"/>
        </w:rPr>
        <w:t>en</w:t>
      </w:r>
      <w:r w:rsidR="00EA0FCD" w:rsidRPr="002C2BAE">
        <w:rPr>
          <w:lang w:val="de-DE"/>
        </w:rPr>
        <w:t xml:space="preserve"> </w:t>
      </w:r>
      <w:r w:rsidR="00BA5DD7" w:rsidRPr="002C2BAE">
        <w:rPr>
          <w:lang w:val="de-DE"/>
        </w:rPr>
        <w:t xml:space="preserve">1.1.3.6.2 und </w:t>
      </w:r>
      <w:r w:rsidR="00EA0FCD" w:rsidRPr="002C2BAE">
        <w:rPr>
          <w:lang w:val="de-DE"/>
        </w:rPr>
        <w:t xml:space="preserve">1.1.3.6.3 ADR/RID </w:t>
      </w:r>
      <w:r w:rsidR="00BA5DD7" w:rsidRPr="002C2BAE">
        <w:rPr>
          <w:lang w:val="de-DE"/>
        </w:rPr>
        <w:t>dürfen</w:t>
      </w:r>
      <w:r w:rsidR="00EA0FCD" w:rsidRPr="002C2BAE">
        <w:rPr>
          <w:lang w:val="de-DE"/>
        </w:rPr>
        <w:t xml:space="preserve"> die UN-Nummern 2908 und UN 2909 in unbegrenzter Menge befördert werden </w:t>
      </w:r>
      <w:r w:rsidR="00EA0FCD" w:rsidRPr="002C2BAE">
        <w:rPr>
          <w:bCs/>
          <w:lang w:val="de-DE"/>
        </w:rPr>
        <w:t xml:space="preserve">ohne Kapitel 1.10. </w:t>
      </w:r>
      <w:r w:rsidR="00DF0029" w:rsidRPr="002C2BAE">
        <w:rPr>
          <w:bCs/>
          <w:lang w:val="de-DE"/>
        </w:rPr>
        <w:t xml:space="preserve">über die Sicherung </w:t>
      </w:r>
      <w:r w:rsidR="00EA0FCD" w:rsidRPr="002C2BAE">
        <w:rPr>
          <w:bCs/>
          <w:lang w:val="de-DE"/>
        </w:rPr>
        <w:t>anzuwenden.</w:t>
      </w:r>
      <w:r w:rsidR="00EA0FCD" w:rsidRPr="002C2BAE">
        <w:rPr>
          <w:lang w:val="de-DE"/>
        </w:rPr>
        <w:t xml:space="preserve"> Für die UN-Nummern 2910 und 2911 gilt diese Freistellung </w:t>
      </w:r>
      <w:r w:rsidR="00DF0029" w:rsidRPr="002C2BAE">
        <w:rPr>
          <w:lang w:val="de-DE"/>
        </w:rPr>
        <w:t xml:space="preserve">von Kapitel 1.10 </w:t>
      </w:r>
      <w:r w:rsidR="00EA0FCD" w:rsidRPr="002C2BAE">
        <w:rPr>
          <w:b/>
          <w:lang w:val="de-DE"/>
        </w:rPr>
        <w:t>nur, wenn</w:t>
      </w:r>
      <w:r w:rsidR="00EA0FCD" w:rsidRPr="002C2BAE">
        <w:rPr>
          <w:lang w:val="de-DE"/>
        </w:rPr>
        <w:t xml:space="preserve"> der Aktivitätsw</w:t>
      </w:r>
      <w:r w:rsidR="00DF0029" w:rsidRPr="002C2BAE">
        <w:rPr>
          <w:lang w:val="de-DE"/>
        </w:rPr>
        <w:t xml:space="preserve">ert den </w:t>
      </w:r>
      <w:r w:rsidR="00EA0FCD" w:rsidRPr="002C2BAE">
        <w:rPr>
          <w:lang w:val="de-DE"/>
        </w:rPr>
        <w:t>A</w:t>
      </w:r>
      <w:r w:rsidR="00EA0FCD" w:rsidRPr="002C2BAE">
        <w:rPr>
          <w:vertAlign w:val="subscript"/>
          <w:lang w:val="de-DE"/>
        </w:rPr>
        <w:t>2</w:t>
      </w:r>
      <w:r w:rsidR="00DF0029" w:rsidRPr="002C2BAE">
        <w:rPr>
          <w:lang w:val="de-DE"/>
        </w:rPr>
        <w:t>-Wert</w:t>
      </w:r>
      <w:r w:rsidR="00EA0FCD" w:rsidRPr="002C2BAE">
        <w:rPr>
          <w:vertAlign w:val="subscript"/>
          <w:lang w:val="de-DE"/>
        </w:rPr>
        <w:t xml:space="preserve"> </w:t>
      </w:r>
      <w:r w:rsidR="00DF0029" w:rsidRPr="002C2BAE">
        <w:rPr>
          <w:lang w:val="de-DE"/>
        </w:rPr>
        <w:t>nicht überschreitet</w:t>
      </w:r>
      <w:r w:rsidR="00EA0FCD" w:rsidRPr="002C2BAE">
        <w:rPr>
          <w:lang w:val="de-DE"/>
        </w:rPr>
        <w:t>.</w:t>
      </w:r>
    </w:p>
    <w:p w:rsidR="00EA0FCD" w:rsidRPr="002C2BAE" w:rsidRDefault="00EA0FCD" w:rsidP="002C2BAE">
      <w:pPr>
        <w:ind w:right="1134"/>
        <w:jc w:val="both"/>
        <w:rPr>
          <w:rFonts w:eastAsia="Arial Unicode MS"/>
          <w:bdr w:val="nil"/>
          <w:lang w:val="de-DE" w:eastAsia="nl-NL"/>
        </w:rPr>
      </w:pPr>
    </w:p>
    <w:p w:rsidR="00DF0029" w:rsidRPr="002C2BAE" w:rsidRDefault="001C4238" w:rsidP="002C2BAE">
      <w:pPr>
        <w:ind w:right="1134"/>
        <w:jc w:val="both"/>
        <w:rPr>
          <w:rFonts w:eastAsia="Arial Unicode MS"/>
          <w:bdr w:val="nil"/>
          <w:lang w:val="de-DE" w:eastAsia="nl-NL"/>
        </w:rPr>
      </w:pPr>
      <w:r w:rsidRPr="002C2BAE">
        <w:rPr>
          <w:rFonts w:eastAsia="Arial Unicode MS"/>
          <w:bdr w:val="nil"/>
          <w:lang w:val="de-DE" w:eastAsia="nl-NL"/>
        </w:rPr>
        <w:t>9</w:t>
      </w:r>
      <w:r w:rsidR="00DF0029" w:rsidRPr="002C2BAE">
        <w:rPr>
          <w:rFonts w:eastAsia="Arial Unicode MS"/>
          <w:bdr w:val="nil"/>
          <w:lang w:val="de-DE" w:eastAsia="nl-NL"/>
        </w:rPr>
        <w:t xml:space="preserve">. </w:t>
      </w:r>
      <w:r w:rsidR="001B0692" w:rsidRPr="002C2BAE">
        <w:rPr>
          <w:rFonts w:eastAsia="Arial Unicode MS"/>
          <w:bdr w:val="nil"/>
          <w:lang w:val="de-DE" w:eastAsia="nl-NL"/>
        </w:rPr>
        <w:tab/>
      </w:r>
      <w:r w:rsidR="00DF0029" w:rsidRPr="002C2BAE">
        <w:rPr>
          <w:rFonts w:eastAsia="Arial Unicode MS"/>
          <w:bdr w:val="nil"/>
          <w:lang w:val="de-DE" w:eastAsia="nl-NL"/>
        </w:rPr>
        <w:t xml:space="preserve">Anders als im ADN </w:t>
      </w:r>
      <w:r w:rsidR="00FB052A" w:rsidRPr="002C2BAE">
        <w:rPr>
          <w:rFonts w:eastAsia="Arial Unicode MS"/>
          <w:bdr w:val="nil"/>
          <w:lang w:val="de-DE" w:eastAsia="nl-NL"/>
        </w:rPr>
        <w:t>stimmen</w:t>
      </w:r>
      <w:r w:rsidR="00DF0029" w:rsidRPr="002C2BAE">
        <w:rPr>
          <w:rFonts w:eastAsia="Arial Unicode MS"/>
          <w:bdr w:val="nil"/>
          <w:lang w:val="de-DE" w:eastAsia="nl-NL"/>
        </w:rPr>
        <w:t xml:space="preserve"> die Vorschriften in 1.1.3.6 und 1.10 </w:t>
      </w:r>
      <w:r w:rsidR="00FB052A" w:rsidRPr="002C2BAE">
        <w:rPr>
          <w:rFonts w:eastAsia="Arial Unicode MS"/>
          <w:bdr w:val="nil"/>
          <w:lang w:val="de-DE" w:eastAsia="nl-NL"/>
        </w:rPr>
        <w:t>ADR/RID überein</w:t>
      </w:r>
      <w:r w:rsidR="00DF0029" w:rsidRPr="002C2BAE">
        <w:rPr>
          <w:rFonts w:eastAsia="Arial Unicode MS"/>
          <w:bdr w:val="nil"/>
          <w:lang w:val="de-DE" w:eastAsia="nl-NL"/>
        </w:rPr>
        <w:t>.</w:t>
      </w:r>
      <w:r w:rsidR="00CA567F" w:rsidRPr="002C2BAE">
        <w:rPr>
          <w:rFonts w:eastAsia="Arial Unicode MS"/>
          <w:bdr w:val="nil"/>
          <w:lang w:val="de-DE" w:eastAsia="nl-NL"/>
        </w:rPr>
        <w:t xml:space="preserve"> Deswegen erfordert das vom Sicherheitsausschuss erteilte Mandat (siehe oben) eine Änderung des ADN, nach der die </w:t>
      </w:r>
      <w:r w:rsidR="0089517D" w:rsidRPr="002C2BAE">
        <w:rPr>
          <w:rFonts w:eastAsia="Arial Unicode MS"/>
          <w:bdr w:val="nil"/>
          <w:lang w:val="de-DE" w:eastAsia="nl-NL"/>
        </w:rPr>
        <w:t>Vorschriften über die Sicherung</w:t>
      </w:r>
    </w:p>
    <w:p w:rsidR="00CA567F" w:rsidRPr="002C2BAE" w:rsidRDefault="00CA567F" w:rsidP="002C2BAE">
      <w:pPr>
        <w:spacing w:before="60"/>
        <w:ind w:left="568" w:right="1134" w:hanging="284"/>
        <w:jc w:val="both"/>
        <w:rPr>
          <w:rFonts w:eastAsia="Arial Unicode MS"/>
          <w:bdr w:val="nil"/>
          <w:lang w:val="de-DE" w:eastAsia="nl-NL"/>
        </w:rPr>
      </w:pPr>
      <w:r w:rsidRPr="002C2BAE">
        <w:rPr>
          <w:rFonts w:eastAsia="Arial Unicode MS"/>
          <w:bdr w:val="nil"/>
          <w:lang w:val="de-DE" w:eastAsia="nl-NL"/>
        </w:rPr>
        <w:t>a)</w:t>
      </w:r>
      <w:r w:rsidR="00B50562">
        <w:rPr>
          <w:rFonts w:eastAsia="Arial Unicode MS"/>
          <w:bdr w:val="nil"/>
          <w:lang w:val="de-DE" w:eastAsia="nl-NL"/>
        </w:rPr>
        <w:tab/>
      </w:r>
      <w:r w:rsidRPr="002C2BAE">
        <w:rPr>
          <w:rFonts w:eastAsia="Arial Unicode MS"/>
          <w:bdr w:val="nil"/>
          <w:lang w:val="de-DE" w:eastAsia="nl-NL"/>
        </w:rPr>
        <w:t>nicht für UN 2908 und 2909 gelten,</w:t>
      </w:r>
    </w:p>
    <w:p w:rsidR="00CA567F" w:rsidRPr="002C2BAE" w:rsidRDefault="00CA567F" w:rsidP="002C2BAE">
      <w:pPr>
        <w:spacing w:before="60"/>
        <w:ind w:left="568" w:right="1134" w:hanging="284"/>
        <w:jc w:val="both"/>
        <w:rPr>
          <w:rFonts w:eastAsia="Arial Unicode MS"/>
          <w:bdr w:val="nil"/>
          <w:lang w:val="de-DE" w:eastAsia="nl-NL"/>
        </w:rPr>
      </w:pPr>
      <w:r w:rsidRPr="002C2BAE">
        <w:rPr>
          <w:rFonts w:eastAsia="Arial Unicode MS"/>
          <w:bdr w:val="nil"/>
          <w:lang w:val="de-DE" w:eastAsia="nl-NL"/>
        </w:rPr>
        <w:t>b)</w:t>
      </w:r>
      <w:r w:rsidR="00B50562">
        <w:rPr>
          <w:rFonts w:eastAsia="Arial Unicode MS"/>
          <w:bdr w:val="nil"/>
          <w:lang w:val="de-DE" w:eastAsia="nl-NL"/>
        </w:rPr>
        <w:tab/>
      </w:r>
      <w:r w:rsidRPr="002C2BAE">
        <w:rPr>
          <w:rFonts w:eastAsia="Arial Unicode MS"/>
          <w:bdr w:val="nil"/>
          <w:lang w:val="de-DE" w:eastAsia="nl-NL"/>
        </w:rPr>
        <w:t xml:space="preserve">nicht für UN 2910 und 2911 gelten, wenn bei den Versandstücken </w:t>
      </w:r>
      <w:r w:rsidRPr="002C2BAE">
        <w:rPr>
          <w:lang w:val="de-DE"/>
        </w:rPr>
        <w:t>der Aktivitätswert den A</w:t>
      </w:r>
      <w:r w:rsidRPr="002C2BAE">
        <w:rPr>
          <w:vertAlign w:val="subscript"/>
          <w:lang w:val="de-DE"/>
        </w:rPr>
        <w:t>2</w:t>
      </w:r>
      <w:r w:rsidRPr="002C2BAE">
        <w:rPr>
          <w:lang w:val="de-DE"/>
        </w:rPr>
        <w:t>-Wert</w:t>
      </w:r>
      <w:r w:rsidRPr="002C2BAE">
        <w:rPr>
          <w:vertAlign w:val="subscript"/>
          <w:lang w:val="de-DE"/>
        </w:rPr>
        <w:t xml:space="preserve"> </w:t>
      </w:r>
      <w:r w:rsidRPr="002C2BAE">
        <w:rPr>
          <w:lang w:val="de-DE"/>
        </w:rPr>
        <w:t>nicht überschreitet.</w:t>
      </w:r>
    </w:p>
    <w:p w:rsidR="00DF0029" w:rsidRPr="002C2BAE" w:rsidRDefault="00DF0029" w:rsidP="002C2BAE">
      <w:pPr>
        <w:ind w:right="1134"/>
        <w:jc w:val="both"/>
        <w:rPr>
          <w:rFonts w:eastAsia="Arial Unicode MS"/>
          <w:bdr w:val="nil"/>
          <w:lang w:val="de-DE" w:eastAsia="nl-NL"/>
        </w:rPr>
      </w:pPr>
    </w:p>
    <w:p w:rsidR="001B0692" w:rsidRPr="002C2BAE" w:rsidRDefault="001B0692" w:rsidP="002C2BAE">
      <w:pPr>
        <w:ind w:right="1134"/>
        <w:jc w:val="both"/>
        <w:rPr>
          <w:rFonts w:eastAsia="Arial Unicode MS"/>
          <w:bdr w:val="nil"/>
          <w:lang w:val="de-DE" w:eastAsia="nl-NL"/>
        </w:rPr>
      </w:pPr>
      <w:r w:rsidRPr="002C2BAE">
        <w:rPr>
          <w:rFonts w:eastAsia="Arial Unicode MS"/>
          <w:bdr w:val="nil"/>
          <w:lang w:val="de-DE" w:eastAsia="nl-NL"/>
        </w:rPr>
        <w:t>1</w:t>
      </w:r>
      <w:r w:rsidR="001C4238" w:rsidRPr="002C2BAE">
        <w:rPr>
          <w:rFonts w:eastAsia="Arial Unicode MS"/>
          <w:bdr w:val="nil"/>
          <w:lang w:val="de-DE" w:eastAsia="nl-NL"/>
        </w:rPr>
        <w:t>0</w:t>
      </w:r>
      <w:r w:rsidRPr="002C2BAE">
        <w:rPr>
          <w:rFonts w:eastAsia="Arial Unicode MS"/>
          <w:bdr w:val="nil"/>
          <w:lang w:val="de-DE" w:eastAsia="nl-NL"/>
        </w:rPr>
        <w:t>.</w:t>
      </w:r>
      <w:r w:rsidRPr="002C2BAE">
        <w:rPr>
          <w:rFonts w:eastAsia="Arial Unicode MS"/>
          <w:bdr w:val="nil"/>
          <w:lang w:val="de-DE" w:eastAsia="nl-NL"/>
        </w:rPr>
        <w:tab/>
        <w:t xml:space="preserve">Während bei der Freistellungsregelung in Unterabschnitt 1.1.3.6 ADN abschließend aufgelistet wird, welche Bedingungen dennoch </w:t>
      </w:r>
      <w:r w:rsidRPr="002C2BAE">
        <w:rPr>
          <w:rFonts w:eastAsia="Arial Unicode MS"/>
          <w:b/>
          <w:bdr w:val="nil"/>
          <w:lang w:val="de-DE" w:eastAsia="nl-NL"/>
        </w:rPr>
        <w:t>erfüllt sein müssen</w:t>
      </w:r>
      <w:r w:rsidRPr="002C2BAE">
        <w:rPr>
          <w:rFonts w:eastAsia="Arial Unicode MS"/>
          <w:bdr w:val="nil"/>
          <w:lang w:val="de-DE" w:eastAsia="nl-NL"/>
        </w:rPr>
        <w:t xml:space="preserve">, werden in ADR/RID diejenigen Vorschriften aufgelistet, die </w:t>
      </w:r>
      <w:r w:rsidR="00002E3B" w:rsidRPr="002C2BAE">
        <w:rPr>
          <w:rFonts w:eastAsia="Arial Unicode MS"/>
          <w:b/>
          <w:bdr w:val="nil"/>
          <w:lang w:val="de-DE" w:eastAsia="nl-NL"/>
        </w:rPr>
        <w:t>nicht anzuwenden</w:t>
      </w:r>
      <w:r w:rsidR="00002E3B" w:rsidRPr="002C2BAE">
        <w:rPr>
          <w:rFonts w:eastAsia="Arial Unicode MS"/>
          <w:bdr w:val="nil"/>
          <w:lang w:val="de-DE" w:eastAsia="nl-NL"/>
        </w:rPr>
        <w:t xml:space="preserve"> sind.</w:t>
      </w:r>
    </w:p>
    <w:p w:rsidR="00002E3B" w:rsidRPr="002C2BAE" w:rsidRDefault="00002E3B" w:rsidP="002C2BAE">
      <w:pPr>
        <w:jc w:val="both"/>
        <w:rPr>
          <w:rFonts w:eastAsia="Arial Unicode MS"/>
          <w:bdr w:val="nil"/>
          <w:lang w:val="de-DE" w:eastAsia="nl-NL"/>
        </w:rPr>
      </w:pPr>
    </w:p>
    <w:p w:rsidR="001C4238" w:rsidRPr="002C2BAE" w:rsidRDefault="001C4238" w:rsidP="002C2BAE">
      <w:pPr>
        <w:jc w:val="both"/>
        <w:rPr>
          <w:rFonts w:eastAsia="Arial Unicode MS"/>
          <w:bdr w:val="nil"/>
          <w:lang w:val="de-DE" w:eastAsia="nl-NL"/>
        </w:rPr>
      </w:pPr>
    </w:p>
    <w:p w:rsidR="00C87C29" w:rsidRPr="002C2BAE" w:rsidRDefault="001C4238" w:rsidP="002C2BAE">
      <w:pPr>
        <w:jc w:val="both"/>
        <w:rPr>
          <w:b/>
          <w:sz w:val="28"/>
          <w:szCs w:val="28"/>
          <w:lang w:val="de-DE"/>
        </w:rPr>
      </w:pPr>
      <w:r w:rsidRPr="002C2BAE">
        <w:rPr>
          <w:b/>
          <w:sz w:val="28"/>
          <w:szCs w:val="28"/>
          <w:lang w:val="de-DE"/>
        </w:rPr>
        <w:t>II.</w:t>
      </w:r>
      <w:r w:rsidRPr="002C2BAE">
        <w:rPr>
          <w:b/>
          <w:sz w:val="28"/>
          <w:szCs w:val="28"/>
          <w:lang w:val="de-DE"/>
        </w:rPr>
        <w:tab/>
      </w:r>
      <w:r w:rsidR="00C87C29" w:rsidRPr="002C2BAE">
        <w:rPr>
          <w:b/>
          <w:sz w:val="28"/>
          <w:szCs w:val="28"/>
          <w:lang w:val="de-DE"/>
        </w:rPr>
        <w:t>Antrag</w:t>
      </w:r>
    </w:p>
    <w:p w:rsidR="00C87C29" w:rsidRPr="00463546" w:rsidRDefault="00C87C29" w:rsidP="002C2BAE">
      <w:pPr>
        <w:jc w:val="both"/>
        <w:rPr>
          <w:b/>
          <w:sz w:val="24"/>
          <w:szCs w:val="24"/>
          <w:lang w:val="de-DE"/>
        </w:rPr>
      </w:pPr>
    </w:p>
    <w:p w:rsidR="00C87C29" w:rsidRPr="002C2BAE" w:rsidRDefault="0089517D" w:rsidP="002C2BAE">
      <w:pPr>
        <w:ind w:right="1134"/>
        <w:jc w:val="both"/>
        <w:rPr>
          <w:lang w:val="de-DE"/>
        </w:rPr>
      </w:pPr>
      <w:r w:rsidRPr="002C2BAE">
        <w:rPr>
          <w:lang w:val="de-DE"/>
        </w:rPr>
        <w:t>1</w:t>
      </w:r>
      <w:r w:rsidR="001C4238" w:rsidRPr="002C2BAE">
        <w:rPr>
          <w:lang w:val="de-DE"/>
        </w:rPr>
        <w:t>1</w:t>
      </w:r>
      <w:r w:rsidR="00C87C29" w:rsidRPr="002C2BAE">
        <w:rPr>
          <w:lang w:val="de-DE"/>
        </w:rPr>
        <w:t>.</w:t>
      </w:r>
      <w:r w:rsidR="00C87C29" w:rsidRPr="002C2BAE">
        <w:rPr>
          <w:lang w:val="de-DE"/>
        </w:rPr>
        <w:tab/>
        <w:t>Deutschland schlägt dem Sicherheit</w:t>
      </w:r>
      <w:r w:rsidRPr="002C2BAE">
        <w:rPr>
          <w:lang w:val="de-DE"/>
        </w:rPr>
        <w:t>s</w:t>
      </w:r>
      <w:r w:rsidR="00C87C29" w:rsidRPr="002C2BAE">
        <w:rPr>
          <w:lang w:val="de-DE"/>
        </w:rPr>
        <w:t xml:space="preserve">ausschuss vor, </w:t>
      </w:r>
      <w:r w:rsidRPr="002C2BAE">
        <w:rPr>
          <w:lang w:val="de-DE"/>
        </w:rPr>
        <w:t>die Vorlage von</w:t>
      </w:r>
      <w:r w:rsidR="00EC1A7D" w:rsidRPr="002C2BAE">
        <w:rPr>
          <w:lang w:val="de-DE"/>
        </w:rPr>
        <w:t xml:space="preserve"> ADR und RID auch in das ADN zu übernehmen.</w:t>
      </w:r>
      <w:r w:rsidR="005A1582" w:rsidRPr="002C2BAE">
        <w:rPr>
          <w:lang w:val="de-DE"/>
        </w:rPr>
        <w:t xml:space="preserve"> Die Ausnahme von der Anwendung der Vorschriften über die Sicherung bei </w:t>
      </w:r>
      <w:r w:rsidRPr="002C2BAE">
        <w:rPr>
          <w:lang w:val="de-DE"/>
        </w:rPr>
        <w:t>radioaktiven Stoffen</w:t>
      </w:r>
      <w:r w:rsidR="005A1582" w:rsidRPr="002C2BAE">
        <w:rPr>
          <w:lang w:val="de-DE"/>
        </w:rPr>
        <w:t xml:space="preserve"> der UN-Nummern 2908 bis 2911 sollte sowohl im Unterabschnitt 1.1.3.6 </w:t>
      </w:r>
      <w:r w:rsidR="009A4F4C" w:rsidRPr="002C2BAE">
        <w:rPr>
          <w:lang w:val="de-DE"/>
        </w:rPr>
        <w:t>über Freistellungen im Zusammenhang mit den an Bord beförderten Mengen, als auch im Abschnitt 1.10.4 über Freistellungen von den Vorschriften der Sicherung wiederzufinden sein.</w:t>
      </w:r>
    </w:p>
    <w:p w:rsidR="00EC1A7D" w:rsidRPr="002C2BAE" w:rsidRDefault="00EC1A7D" w:rsidP="002C2BAE">
      <w:pPr>
        <w:ind w:right="1134"/>
        <w:jc w:val="both"/>
        <w:rPr>
          <w:lang w:val="de-DE"/>
        </w:rPr>
      </w:pPr>
    </w:p>
    <w:p w:rsidR="007B6471" w:rsidRPr="002C2BAE" w:rsidRDefault="0089517D" w:rsidP="002C2BAE">
      <w:pPr>
        <w:ind w:right="1134"/>
        <w:jc w:val="both"/>
        <w:rPr>
          <w:lang w:val="de-DE"/>
        </w:rPr>
      </w:pPr>
      <w:r w:rsidRPr="002C2BAE">
        <w:rPr>
          <w:lang w:val="de-DE"/>
        </w:rPr>
        <w:t>1</w:t>
      </w:r>
      <w:r w:rsidR="001C4238" w:rsidRPr="002C2BAE">
        <w:rPr>
          <w:lang w:val="de-DE"/>
        </w:rPr>
        <w:t>2</w:t>
      </w:r>
      <w:r w:rsidR="007B6471" w:rsidRPr="002C2BAE">
        <w:rPr>
          <w:lang w:val="de-DE"/>
        </w:rPr>
        <w:t>.</w:t>
      </w:r>
      <w:r w:rsidR="001C4238" w:rsidRPr="002C2BAE">
        <w:rPr>
          <w:lang w:val="de-DE"/>
        </w:rPr>
        <w:tab/>
      </w:r>
      <w:r w:rsidR="007B6471" w:rsidRPr="002C2BAE">
        <w:rPr>
          <w:lang w:val="de-DE"/>
        </w:rPr>
        <w:t>Es wird beantragt, in Absatz 1.1.3.6.2 ADN die folgende Änderung vorzunehmen:</w:t>
      </w:r>
    </w:p>
    <w:p w:rsidR="007B6471" w:rsidRPr="002C2BAE" w:rsidRDefault="007B6471" w:rsidP="002C2BAE">
      <w:pPr>
        <w:ind w:right="1134"/>
        <w:jc w:val="both"/>
        <w:rPr>
          <w:lang w:val="de-DE"/>
        </w:rPr>
      </w:pPr>
    </w:p>
    <w:p w:rsidR="00C45A38" w:rsidRPr="002C2BAE" w:rsidRDefault="00C45A38" w:rsidP="002C2BAE">
      <w:pPr>
        <w:ind w:left="567" w:right="1134"/>
        <w:jc w:val="both"/>
        <w:rPr>
          <w:lang w:val="de-DE"/>
        </w:rPr>
      </w:pPr>
      <w:r w:rsidRPr="002C2BAE">
        <w:rPr>
          <w:lang w:val="de-DE"/>
        </w:rPr>
        <w:t>Einen neuen Buchstaben b) einfügen:</w:t>
      </w:r>
    </w:p>
    <w:p w:rsidR="00C45A38" w:rsidRPr="002C2BAE" w:rsidRDefault="00C45A38" w:rsidP="002C2BAE">
      <w:pPr>
        <w:pStyle w:val="N5"/>
        <w:tabs>
          <w:tab w:val="left" w:pos="1701"/>
        </w:tabs>
        <w:spacing w:before="60" w:line="240" w:lineRule="atLeast"/>
        <w:ind w:left="1701" w:right="1134" w:hanging="567"/>
        <w:rPr>
          <w:rFonts w:ascii="Times New Roman" w:hAnsi="Times New Roman"/>
        </w:rPr>
      </w:pPr>
      <w:r w:rsidRPr="002C2BAE">
        <w:rPr>
          <w:rFonts w:ascii="Times New Roman" w:hAnsi="Times New Roman"/>
        </w:rPr>
        <w:t>„b)</w:t>
      </w:r>
      <w:r w:rsidR="001C4238" w:rsidRPr="002C2BAE">
        <w:rPr>
          <w:rFonts w:ascii="Times New Roman" w:hAnsi="Times New Roman"/>
        </w:rPr>
        <w:tab/>
      </w:r>
      <w:r w:rsidRPr="002C2BAE">
        <w:rPr>
          <w:rFonts w:ascii="Times New Roman" w:hAnsi="Times New Roman"/>
        </w:rPr>
        <w:t xml:space="preserve">Die </w:t>
      </w:r>
      <w:r w:rsidR="00B4732E" w:rsidRPr="002C2BAE">
        <w:rPr>
          <w:rFonts w:ascii="Times New Roman" w:hAnsi="Times New Roman"/>
        </w:rPr>
        <w:t>Vorschriften der Abschnitte</w:t>
      </w:r>
      <w:r w:rsidR="0089517D" w:rsidRPr="002C2BAE">
        <w:rPr>
          <w:rFonts w:ascii="Times New Roman" w:hAnsi="Times New Roman"/>
        </w:rPr>
        <w:t xml:space="preserve"> 1.10.1, 1.10.2 und 1.10.3 </w:t>
      </w:r>
      <w:r w:rsidR="00B4732E" w:rsidRPr="002C2BAE">
        <w:rPr>
          <w:rFonts w:ascii="Times New Roman" w:hAnsi="Times New Roman"/>
        </w:rPr>
        <w:t>gelten</w:t>
      </w:r>
      <w:r w:rsidRPr="002C2BAE">
        <w:rPr>
          <w:rFonts w:ascii="Times New Roman" w:hAnsi="Times New Roman"/>
        </w:rPr>
        <w:t xml:space="preserve"> für </w:t>
      </w:r>
      <w:r w:rsidR="001B0692" w:rsidRPr="002C2BAE">
        <w:rPr>
          <w:rFonts w:ascii="Times New Roman" w:hAnsi="Times New Roman"/>
        </w:rPr>
        <w:t>Versandstücke</w:t>
      </w:r>
      <w:r w:rsidRPr="002C2BAE">
        <w:rPr>
          <w:rFonts w:ascii="Times New Roman" w:hAnsi="Times New Roman"/>
        </w:rPr>
        <w:t xml:space="preserve"> der UN-Nummern 2910 und 2911</w:t>
      </w:r>
      <w:r w:rsidR="007127A8" w:rsidRPr="002C2BAE">
        <w:rPr>
          <w:rFonts w:ascii="Times New Roman" w:hAnsi="Times New Roman"/>
        </w:rPr>
        <w:t xml:space="preserve"> </w:t>
      </w:r>
      <w:r w:rsidR="001B0692" w:rsidRPr="002C2BAE">
        <w:rPr>
          <w:rFonts w:ascii="Times New Roman" w:hAnsi="Times New Roman"/>
        </w:rPr>
        <w:t>der Klasse 7</w:t>
      </w:r>
      <w:r w:rsidRPr="002C2BAE">
        <w:rPr>
          <w:rFonts w:ascii="Times New Roman" w:hAnsi="Times New Roman"/>
        </w:rPr>
        <w:t xml:space="preserve">, wenn der Aktivitätswert </w:t>
      </w:r>
      <w:r w:rsidR="00B4732E" w:rsidRPr="002C2BAE">
        <w:rPr>
          <w:rFonts w:ascii="Times New Roman" w:hAnsi="Times New Roman"/>
        </w:rPr>
        <w:t>(</w:t>
      </w:r>
      <w:r w:rsidR="007127A8" w:rsidRPr="002C2BAE">
        <w:rPr>
          <w:rFonts w:ascii="Times New Roman" w:hAnsi="Times New Roman"/>
        </w:rPr>
        <w:t xml:space="preserve">je </w:t>
      </w:r>
      <w:r w:rsidRPr="002C2BAE">
        <w:rPr>
          <w:rFonts w:ascii="Times New Roman" w:hAnsi="Times New Roman"/>
        </w:rPr>
        <w:t>Ver</w:t>
      </w:r>
      <w:r w:rsidR="003E3F49" w:rsidRPr="002C2BAE">
        <w:rPr>
          <w:rFonts w:ascii="Times New Roman" w:hAnsi="Times New Roman"/>
        </w:rPr>
        <w:t>s</w:t>
      </w:r>
      <w:r w:rsidRPr="002C2BAE">
        <w:rPr>
          <w:rFonts w:ascii="Times New Roman" w:hAnsi="Times New Roman"/>
        </w:rPr>
        <w:t>andstück</w:t>
      </w:r>
      <w:r w:rsidR="00B4732E" w:rsidRPr="002C2BAE">
        <w:rPr>
          <w:rFonts w:ascii="Times New Roman" w:hAnsi="Times New Roman"/>
        </w:rPr>
        <w:t>)</w:t>
      </w:r>
      <w:r w:rsidRPr="002C2BAE">
        <w:rPr>
          <w:rFonts w:ascii="Times New Roman" w:hAnsi="Times New Roman"/>
        </w:rPr>
        <w:t xml:space="preserve"> den A</w:t>
      </w:r>
      <w:r w:rsidRPr="002C2BAE">
        <w:rPr>
          <w:rFonts w:ascii="Times New Roman" w:hAnsi="Times New Roman"/>
          <w:vertAlign w:val="subscript"/>
        </w:rPr>
        <w:t>2</w:t>
      </w:r>
      <w:r w:rsidRPr="002C2BAE">
        <w:rPr>
          <w:rFonts w:ascii="Times New Roman" w:hAnsi="Times New Roman"/>
        </w:rPr>
        <w:t>-Wert überschreitet.“</w:t>
      </w:r>
    </w:p>
    <w:p w:rsidR="00C45A38" w:rsidRPr="002C2BAE" w:rsidRDefault="00222852" w:rsidP="00B50562">
      <w:pPr>
        <w:pStyle w:val="N5"/>
        <w:spacing w:before="60" w:line="240" w:lineRule="atLeast"/>
        <w:ind w:left="567" w:right="1134" w:firstLine="0"/>
        <w:rPr>
          <w:rFonts w:ascii="Times New Roman" w:hAnsi="Times New Roman"/>
        </w:rPr>
      </w:pPr>
      <w:r w:rsidRPr="002C2BAE">
        <w:rPr>
          <w:rFonts w:ascii="Times New Roman" w:hAnsi="Times New Roman"/>
        </w:rPr>
        <w:t xml:space="preserve">Die bisherigen </w:t>
      </w:r>
      <w:r w:rsidR="00C45A38" w:rsidRPr="002C2BAE">
        <w:rPr>
          <w:rFonts w:ascii="Times New Roman" w:hAnsi="Times New Roman"/>
        </w:rPr>
        <w:t xml:space="preserve">Buchstabe b) </w:t>
      </w:r>
      <w:r w:rsidRPr="002C2BAE">
        <w:rPr>
          <w:rFonts w:ascii="Times New Roman" w:hAnsi="Times New Roman"/>
        </w:rPr>
        <w:t>bis e) entsprechend ändern in Buchstaben c) bis f).</w:t>
      </w:r>
    </w:p>
    <w:p w:rsidR="00222852" w:rsidRPr="002C2BAE" w:rsidRDefault="00222852" w:rsidP="00B50562">
      <w:pPr>
        <w:pStyle w:val="N5"/>
        <w:spacing w:before="60" w:line="240" w:lineRule="atLeast"/>
        <w:ind w:left="567" w:right="1134" w:firstLine="0"/>
        <w:rPr>
          <w:rFonts w:ascii="Times New Roman" w:hAnsi="Times New Roman"/>
        </w:rPr>
      </w:pPr>
      <w:r w:rsidRPr="002C2BAE">
        <w:rPr>
          <w:rFonts w:ascii="Times New Roman" w:hAnsi="Times New Roman"/>
        </w:rPr>
        <w:t>Der bisherige Buchstabe f) wird Buchstabe g) und</w:t>
      </w:r>
      <w:r w:rsidR="00293564" w:rsidRPr="002C2BAE">
        <w:rPr>
          <w:rFonts w:ascii="Times New Roman" w:hAnsi="Times New Roman"/>
        </w:rPr>
        <w:t xml:space="preserve"> die Angabe „in d) und e)“ wird ersetzt durch „in e) und f)“.</w:t>
      </w:r>
    </w:p>
    <w:p w:rsidR="007B6471" w:rsidRPr="002C2BAE" w:rsidRDefault="007B6471" w:rsidP="002C2BAE">
      <w:pPr>
        <w:tabs>
          <w:tab w:val="left" w:pos="1701"/>
        </w:tabs>
        <w:ind w:right="1134"/>
        <w:jc w:val="both"/>
        <w:rPr>
          <w:rFonts w:eastAsia="Arial Unicode MS"/>
          <w:bdr w:val="nil"/>
          <w:lang w:val="de-DE" w:eastAsia="nl-NL"/>
        </w:rPr>
      </w:pPr>
    </w:p>
    <w:p w:rsidR="00304E2D" w:rsidRPr="002C2BAE" w:rsidRDefault="00304E2D" w:rsidP="002C2BAE">
      <w:pPr>
        <w:ind w:right="1134"/>
        <w:jc w:val="both"/>
        <w:rPr>
          <w:lang w:val="de-DE"/>
        </w:rPr>
      </w:pPr>
      <w:r w:rsidRPr="002C2BAE">
        <w:rPr>
          <w:lang w:val="de-DE"/>
        </w:rPr>
        <w:t>1</w:t>
      </w:r>
      <w:r w:rsidR="001C4238" w:rsidRPr="002C2BAE">
        <w:rPr>
          <w:lang w:val="de-DE"/>
        </w:rPr>
        <w:t>3</w:t>
      </w:r>
      <w:r w:rsidRPr="002C2BAE">
        <w:rPr>
          <w:lang w:val="de-DE"/>
        </w:rPr>
        <w:t>.</w:t>
      </w:r>
      <w:r w:rsidR="00B50562">
        <w:rPr>
          <w:lang w:val="de-DE"/>
        </w:rPr>
        <w:tab/>
      </w:r>
      <w:r w:rsidRPr="002C2BAE">
        <w:rPr>
          <w:lang w:val="de-DE"/>
        </w:rPr>
        <w:t xml:space="preserve">Es wird beantragt, Abschnitt 1.10.4 ADN wie folgt </w:t>
      </w:r>
      <w:r w:rsidR="00293564" w:rsidRPr="002C2BAE">
        <w:rPr>
          <w:lang w:val="de-DE"/>
        </w:rPr>
        <w:t xml:space="preserve">zu ändern (einzufügender Text </w:t>
      </w:r>
      <w:r w:rsidR="00293564" w:rsidRPr="002C2BAE">
        <w:rPr>
          <w:u w:val="single"/>
          <w:lang w:val="de-DE"/>
        </w:rPr>
        <w:t>unterstrichen</w:t>
      </w:r>
      <w:r w:rsidR="00293564" w:rsidRPr="002C2BAE">
        <w:rPr>
          <w:lang w:val="de-DE"/>
        </w:rPr>
        <w:t>)</w:t>
      </w:r>
      <w:r w:rsidRPr="002C2BAE">
        <w:rPr>
          <w:lang w:val="de-DE"/>
        </w:rPr>
        <w:t>:</w:t>
      </w:r>
    </w:p>
    <w:p w:rsidR="00C87C29" w:rsidRPr="002C2BAE" w:rsidRDefault="00C87C29" w:rsidP="002C2BAE">
      <w:pPr>
        <w:ind w:right="1134"/>
        <w:jc w:val="both"/>
        <w:rPr>
          <w:lang w:val="de-DE"/>
        </w:rPr>
      </w:pPr>
    </w:p>
    <w:p w:rsidR="00152EBD" w:rsidRDefault="00152EBD" w:rsidP="00B50562">
      <w:pPr>
        <w:ind w:left="1276" w:right="1134" w:hanging="709"/>
        <w:jc w:val="both"/>
        <w:rPr>
          <w:b/>
          <w:sz w:val="24"/>
          <w:szCs w:val="24"/>
          <w:lang w:val="de-DE"/>
        </w:rPr>
      </w:pPr>
      <w:r w:rsidRPr="002C2BAE">
        <w:rPr>
          <w:lang w:val="de-DE"/>
        </w:rPr>
        <w:t>„1.10.4</w:t>
      </w:r>
      <w:r w:rsidRPr="002C2BAE">
        <w:rPr>
          <w:lang w:val="de-DE"/>
        </w:rPr>
        <w:tab/>
        <w:t xml:space="preserve">Außer für radioaktive Stoffe </w:t>
      </w:r>
      <w:r w:rsidR="007B6471" w:rsidRPr="002C2BAE">
        <w:rPr>
          <w:u w:val="single"/>
          <w:lang w:val="de-DE"/>
        </w:rPr>
        <w:t xml:space="preserve">der UN-Nummern 2910 und 2911, wenn der Aktivitätswert </w:t>
      </w:r>
      <w:r w:rsidR="007127A8" w:rsidRPr="002C2BAE">
        <w:rPr>
          <w:u w:val="single"/>
          <w:lang w:val="de-DE"/>
        </w:rPr>
        <w:t>(</w:t>
      </w:r>
      <w:r w:rsidR="007B6471" w:rsidRPr="002C2BAE">
        <w:rPr>
          <w:u w:val="single"/>
          <w:lang w:val="de-DE"/>
        </w:rPr>
        <w:t xml:space="preserve">je </w:t>
      </w:r>
      <w:r w:rsidR="00E62B4A" w:rsidRPr="002C2BAE">
        <w:rPr>
          <w:u w:val="single"/>
          <w:lang w:val="de-DE"/>
        </w:rPr>
        <w:t>Versandstück</w:t>
      </w:r>
      <w:r w:rsidR="007127A8" w:rsidRPr="002C2BAE">
        <w:rPr>
          <w:u w:val="single"/>
          <w:lang w:val="de-DE"/>
        </w:rPr>
        <w:t>)</w:t>
      </w:r>
      <w:r w:rsidR="00E62B4A" w:rsidRPr="002C2BAE">
        <w:rPr>
          <w:u w:val="single"/>
          <w:lang w:val="de-DE"/>
        </w:rPr>
        <w:t xml:space="preserve"> </w:t>
      </w:r>
      <w:r w:rsidR="007B6471" w:rsidRPr="002C2BAE">
        <w:rPr>
          <w:u w:val="single"/>
          <w:lang w:val="de-DE"/>
        </w:rPr>
        <w:t>den A</w:t>
      </w:r>
      <w:r w:rsidR="007B6471" w:rsidRPr="002C2BAE">
        <w:rPr>
          <w:u w:val="single"/>
          <w:vertAlign w:val="subscript"/>
          <w:lang w:val="de-DE"/>
        </w:rPr>
        <w:t>2</w:t>
      </w:r>
      <w:r w:rsidR="007B6471" w:rsidRPr="002C2BAE">
        <w:rPr>
          <w:u w:val="single"/>
          <w:lang w:val="de-DE"/>
        </w:rPr>
        <w:t>-Wert überschreitet</w:t>
      </w:r>
      <w:r w:rsidR="007B6471" w:rsidRPr="002C2BAE">
        <w:rPr>
          <w:lang w:val="de-DE"/>
        </w:rPr>
        <w:t xml:space="preserve"> </w:t>
      </w:r>
      <w:r w:rsidRPr="002C2BAE">
        <w:rPr>
          <w:lang w:val="de-DE"/>
        </w:rPr>
        <w:t>gelten die Vorschriften der Abschnitte 1.10.1. 1.10.2 und 1.10.3 nicht, wenn die Mengen je Schiff nicht größer sind als die in 1.1.3.6.1 aufgeführten Mengen.</w:t>
      </w:r>
      <w:r w:rsidR="00B50562">
        <w:rPr>
          <w:lang w:val="de-DE"/>
        </w:rPr>
        <w:t xml:space="preserve"> </w:t>
      </w:r>
      <w:r w:rsidRPr="002C2BAE">
        <w:rPr>
          <w:lang w:val="de-DE"/>
        </w:rPr>
        <w:t>Darüber hinaus gelten die Vorschriften dieses Kapitels nicht für die Beförderung von UN 2912 RADIOAKTIVE STOFFE MIT GERINGER SPEZIFISCHER AKTIVITÄT (LSA-I) und UN 2913 RADIOAKTIVE STOFFE, OBERFLÄCHENKONTAMINIERTE GEGENSTÄNDE (SCO-I).“.</w:t>
      </w:r>
    </w:p>
    <w:p w:rsidR="002C2BAE" w:rsidRDefault="002C2BAE">
      <w:pPr>
        <w:suppressAutoHyphens w:val="0"/>
        <w:spacing w:line="240" w:lineRule="auto"/>
        <w:rPr>
          <w:b/>
          <w:sz w:val="24"/>
          <w:szCs w:val="24"/>
          <w:lang w:val="de-DE"/>
        </w:rPr>
      </w:pPr>
      <w:r>
        <w:rPr>
          <w:b/>
          <w:sz w:val="24"/>
          <w:szCs w:val="24"/>
          <w:lang w:val="de-DE"/>
        </w:rPr>
        <w:br w:type="page"/>
      </w:r>
    </w:p>
    <w:p w:rsidR="00C87C29" w:rsidRPr="002C2BAE" w:rsidRDefault="001C4238" w:rsidP="002C2BAE">
      <w:pPr>
        <w:jc w:val="both"/>
        <w:rPr>
          <w:b/>
          <w:sz w:val="28"/>
          <w:szCs w:val="28"/>
          <w:lang w:val="de-DE"/>
        </w:rPr>
      </w:pPr>
      <w:r w:rsidRPr="002C2BAE">
        <w:rPr>
          <w:b/>
          <w:sz w:val="28"/>
          <w:szCs w:val="28"/>
          <w:lang w:val="de-DE"/>
        </w:rPr>
        <w:t>III.</w:t>
      </w:r>
      <w:r w:rsidRPr="002C2BAE">
        <w:rPr>
          <w:b/>
          <w:sz w:val="28"/>
          <w:szCs w:val="28"/>
          <w:lang w:val="de-DE"/>
        </w:rPr>
        <w:tab/>
      </w:r>
      <w:r w:rsidR="00C87C29" w:rsidRPr="002C2BAE">
        <w:rPr>
          <w:b/>
          <w:sz w:val="28"/>
          <w:szCs w:val="28"/>
          <w:lang w:val="de-DE"/>
        </w:rPr>
        <w:t>Begründung</w:t>
      </w:r>
    </w:p>
    <w:p w:rsidR="00C87C29" w:rsidRPr="00304E2D" w:rsidRDefault="00C87C29" w:rsidP="002C2BAE">
      <w:pPr>
        <w:jc w:val="both"/>
        <w:rPr>
          <w:sz w:val="24"/>
          <w:szCs w:val="24"/>
          <w:lang w:val="de-DE"/>
        </w:rPr>
      </w:pPr>
    </w:p>
    <w:p w:rsidR="005F51A3" w:rsidRPr="002C2BAE" w:rsidRDefault="0016777E" w:rsidP="002C2BAE">
      <w:pPr>
        <w:ind w:right="1134"/>
        <w:jc w:val="both"/>
        <w:rPr>
          <w:lang w:val="de-DE"/>
        </w:rPr>
      </w:pPr>
      <w:r w:rsidRPr="002C2BAE">
        <w:rPr>
          <w:lang w:val="de-DE"/>
        </w:rPr>
        <w:t>1</w:t>
      </w:r>
      <w:r w:rsidR="002C2BAE">
        <w:rPr>
          <w:lang w:val="de-DE"/>
        </w:rPr>
        <w:t>4</w:t>
      </w:r>
      <w:r w:rsidR="00C87C29" w:rsidRPr="002C2BAE">
        <w:rPr>
          <w:lang w:val="de-DE"/>
        </w:rPr>
        <w:t>.</w:t>
      </w:r>
      <w:r w:rsidR="00C87C29" w:rsidRPr="002C2BAE">
        <w:rPr>
          <w:lang w:val="de-DE"/>
        </w:rPr>
        <w:tab/>
      </w:r>
      <w:r w:rsidR="00AB7BEB" w:rsidRPr="002C2BAE">
        <w:rPr>
          <w:lang w:val="de-DE"/>
        </w:rPr>
        <w:t>Die Gemeinsame Tagung RID/ADR/ADN im September 2011 hatte auf der Grundlage des Dokumentes</w:t>
      </w:r>
      <w:r w:rsidR="001C4238" w:rsidRPr="002C2BAE">
        <w:rPr>
          <w:lang w:val="de-DE"/>
        </w:rPr>
        <w:t xml:space="preserve"> </w:t>
      </w:r>
      <w:r w:rsidR="00AB7BEB" w:rsidRPr="002C2BAE">
        <w:rPr>
          <w:rFonts w:cs="Arial"/>
          <w:bCs/>
          <w:i/>
          <w:lang w:val="de-DE"/>
        </w:rPr>
        <w:t xml:space="preserve">ECE/TRANS/WP.15/AC.1/2011/30/Add.1 </w:t>
      </w:r>
      <w:r w:rsidR="00AB7BEB" w:rsidRPr="002C2BAE">
        <w:rPr>
          <w:i/>
          <w:lang w:val="de-DE"/>
        </w:rPr>
        <w:t xml:space="preserve">- </w:t>
      </w:r>
      <w:r w:rsidR="005D08F7" w:rsidRPr="002C2BAE">
        <w:rPr>
          <w:rFonts w:cs="Arial"/>
          <w:bCs/>
          <w:lang w:val="de-DE"/>
        </w:rPr>
        <w:t>f</w:t>
      </w:r>
      <w:r w:rsidR="005F51A3" w:rsidRPr="002C2BAE">
        <w:rPr>
          <w:rFonts w:cs="Arial"/>
          <w:bCs/>
          <w:lang w:val="de-DE"/>
        </w:rPr>
        <w:t>ür alle drei Regelwerke ADR/RID/ADN die folgende Änderung vorgeschlagen</w:t>
      </w:r>
      <w:r w:rsidR="005F51A3" w:rsidRPr="002C2BAE">
        <w:rPr>
          <w:lang w:val="de-DE"/>
        </w:rPr>
        <w:t>:</w:t>
      </w:r>
    </w:p>
    <w:p w:rsidR="005D08F7" w:rsidRPr="002C2BAE" w:rsidRDefault="005D08F7" w:rsidP="002C2BAE">
      <w:pPr>
        <w:ind w:right="1134"/>
        <w:jc w:val="both"/>
        <w:rPr>
          <w:rFonts w:cs="Arial"/>
          <w:bCs/>
          <w:lang w:val="de-DE"/>
        </w:rPr>
      </w:pPr>
    </w:p>
    <w:p w:rsidR="005F51A3" w:rsidRPr="002C2BAE" w:rsidRDefault="001C4238" w:rsidP="002C2BAE">
      <w:pPr>
        <w:ind w:left="567" w:right="1134"/>
        <w:jc w:val="both"/>
        <w:rPr>
          <w:rFonts w:cs="Arial"/>
          <w:bCs/>
          <w:i/>
          <w:lang w:val="de-DE"/>
        </w:rPr>
      </w:pPr>
      <w:r w:rsidRPr="002C2BAE">
        <w:rPr>
          <w:rFonts w:cs="Arial"/>
          <w:bCs/>
          <w:i/>
          <w:lang w:val="de-DE"/>
        </w:rPr>
        <w:t>„</w:t>
      </w:r>
      <w:r w:rsidR="005F51A3" w:rsidRPr="002C2BAE">
        <w:rPr>
          <w:rFonts w:cs="Arial"/>
          <w:bCs/>
          <w:i/>
          <w:lang w:val="de-DE"/>
        </w:rPr>
        <w:t xml:space="preserve">1.1.3.6.2 </w:t>
      </w:r>
      <w:r w:rsidR="003E3F49" w:rsidRPr="002C2BAE">
        <w:rPr>
          <w:rFonts w:cs="Arial"/>
          <w:bCs/>
          <w:i/>
          <w:lang w:val="de-DE"/>
        </w:rPr>
        <w:tab/>
      </w:r>
      <w:r w:rsidR="005F51A3" w:rsidRPr="002C2BAE">
        <w:rPr>
          <w:rFonts w:cs="Arial"/>
          <w:bCs/>
          <w:i/>
          <w:lang w:val="de-DE"/>
        </w:rPr>
        <w:t>Im ersten Spiegelstrich am Ende vor dem Strichpunkt einfügen:</w:t>
      </w:r>
    </w:p>
    <w:p w:rsidR="00515A69" w:rsidRPr="002C2BAE" w:rsidRDefault="003E3F49" w:rsidP="002C2BAE">
      <w:pPr>
        <w:ind w:left="1701" w:right="1134"/>
        <w:jc w:val="both"/>
        <w:rPr>
          <w:rFonts w:cs="Arial"/>
          <w:bCs/>
          <w:i/>
          <w:lang w:val="de-DE"/>
        </w:rPr>
      </w:pPr>
      <w:r w:rsidRPr="002C2BAE">
        <w:rPr>
          <w:rFonts w:cs="Arial"/>
          <w:bCs/>
          <w:i/>
          <w:lang w:val="de-DE"/>
        </w:rPr>
        <w:t>„und ausgenommen freigestellt</w:t>
      </w:r>
      <w:r w:rsidR="007127A8" w:rsidRPr="002C2BAE">
        <w:rPr>
          <w:rFonts w:cs="Arial"/>
          <w:bCs/>
          <w:i/>
          <w:lang w:val="de-DE"/>
        </w:rPr>
        <w:t>e</w:t>
      </w:r>
      <w:r w:rsidRPr="002C2BAE">
        <w:rPr>
          <w:rFonts w:cs="Arial"/>
          <w:bCs/>
          <w:i/>
          <w:lang w:val="de-DE"/>
        </w:rPr>
        <w:t xml:space="preserve"> Versandstücke der UN-Nummern 2910 und 2911 der Klasse 7, sofern der Aktivitätswert </w:t>
      </w:r>
      <w:r w:rsidR="00515A69" w:rsidRPr="002C2BAE">
        <w:rPr>
          <w:rFonts w:cs="Arial"/>
          <w:bCs/>
          <w:i/>
          <w:lang w:val="de-DE"/>
        </w:rPr>
        <w:t>den A</w:t>
      </w:r>
      <w:r w:rsidR="00515A69" w:rsidRPr="002C2BAE">
        <w:rPr>
          <w:rFonts w:cs="Arial"/>
          <w:bCs/>
          <w:i/>
          <w:vertAlign w:val="subscript"/>
          <w:lang w:val="de-DE"/>
        </w:rPr>
        <w:t>2</w:t>
      </w:r>
      <w:r w:rsidR="00515A69" w:rsidRPr="002C2BAE">
        <w:rPr>
          <w:rFonts w:cs="Arial"/>
          <w:bCs/>
          <w:i/>
          <w:lang w:val="de-DE"/>
        </w:rPr>
        <w:t>-Wert überschreitet.“</w:t>
      </w:r>
    </w:p>
    <w:p w:rsidR="00515A69" w:rsidRPr="002C2BAE" w:rsidRDefault="00515A69" w:rsidP="002C2BAE">
      <w:pPr>
        <w:ind w:left="1701" w:right="1134"/>
        <w:jc w:val="both"/>
        <w:rPr>
          <w:rFonts w:cs="Arial"/>
          <w:bCs/>
          <w:i/>
          <w:lang w:val="de-DE"/>
        </w:rPr>
      </w:pPr>
    </w:p>
    <w:p w:rsidR="003E3F49" w:rsidRPr="002C2BAE" w:rsidRDefault="003E3F49" w:rsidP="00B50562">
      <w:pPr>
        <w:ind w:left="709" w:right="1134"/>
        <w:jc w:val="both"/>
        <w:rPr>
          <w:rFonts w:cs="Arial"/>
          <w:bCs/>
          <w:i/>
          <w:lang w:val="de-DE"/>
        </w:rPr>
      </w:pPr>
      <w:r w:rsidRPr="002C2BAE">
        <w:rPr>
          <w:rFonts w:cs="Arial"/>
          <w:bCs/>
          <w:i/>
          <w:lang w:val="de-DE"/>
        </w:rPr>
        <w:t>[Folgeänderung im Zusammenhang mit 1.10.4]</w:t>
      </w:r>
    </w:p>
    <w:p w:rsidR="003E3F49" w:rsidRPr="002C2BAE" w:rsidRDefault="003E3F49" w:rsidP="002C2BAE">
      <w:pPr>
        <w:ind w:left="567" w:right="1134"/>
        <w:jc w:val="both"/>
        <w:rPr>
          <w:rFonts w:cs="Arial"/>
          <w:bCs/>
          <w:i/>
          <w:lang w:val="de-DE"/>
        </w:rPr>
      </w:pPr>
    </w:p>
    <w:p w:rsidR="003E3F49" w:rsidRPr="002C2BAE" w:rsidRDefault="003E3F49" w:rsidP="002C2BAE">
      <w:pPr>
        <w:ind w:left="567" w:right="1134"/>
        <w:jc w:val="both"/>
        <w:rPr>
          <w:rFonts w:cs="Arial"/>
          <w:bCs/>
          <w:i/>
          <w:lang w:val="de-DE"/>
        </w:rPr>
      </w:pPr>
      <w:r w:rsidRPr="002C2BAE">
        <w:rPr>
          <w:rFonts w:cs="Arial"/>
          <w:bCs/>
          <w:i/>
          <w:lang w:val="de-DE"/>
        </w:rPr>
        <w:t>1.10.4</w:t>
      </w:r>
      <w:r w:rsidRPr="002C2BAE">
        <w:rPr>
          <w:rFonts w:cs="Arial"/>
          <w:bCs/>
          <w:i/>
          <w:lang w:val="de-DE"/>
        </w:rPr>
        <w:tab/>
      </w:r>
      <w:r w:rsidRPr="002C2BAE">
        <w:rPr>
          <w:rFonts w:cs="Arial"/>
          <w:bCs/>
          <w:i/>
          <w:lang w:val="de-DE"/>
        </w:rPr>
        <w:tab/>
      </w:r>
      <w:r w:rsidR="00B51BE7" w:rsidRPr="002C2BAE">
        <w:rPr>
          <w:rFonts w:cs="Arial"/>
          <w:bCs/>
          <w:i/>
          <w:lang w:val="de-DE"/>
        </w:rPr>
        <w:t>Nach „der Klasse 1/Unterklasse 1.4“/nach „0500“ einfügen:</w:t>
      </w:r>
    </w:p>
    <w:p w:rsidR="005D08F7" w:rsidRDefault="00B51BE7" w:rsidP="002C2BAE">
      <w:pPr>
        <w:ind w:left="1701" w:right="1134"/>
        <w:jc w:val="both"/>
        <w:rPr>
          <w:rFonts w:cs="Arial"/>
          <w:bCs/>
          <w:i/>
          <w:lang w:val="de-DE"/>
        </w:rPr>
      </w:pPr>
      <w:r w:rsidRPr="002C2BAE">
        <w:rPr>
          <w:rFonts w:cs="Arial"/>
          <w:bCs/>
          <w:i/>
          <w:lang w:val="de-DE"/>
        </w:rPr>
        <w:t>„und mit Ausnahme der UN-Nummern 2910 und 2911, sofern der Aktivitätswert den A</w:t>
      </w:r>
      <w:r w:rsidRPr="002C2BAE">
        <w:rPr>
          <w:rFonts w:cs="Arial"/>
          <w:bCs/>
          <w:i/>
          <w:vertAlign w:val="subscript"/>
          <w:lang w:val="de-DE"/>
        </w:rPr>
        <w:t>2</w:t>
      </w:r>
      <w:r w:rsidRPr="002C2BAE">
        <w:rPr>
          <w:rFonts w:cs="Arial"/>
          <w:bCs/>
          <w:i/>
          <w:lang w:val="de-DE"/>
        </w:rPr>
        <w:t xml:space="preserve">-Wert </w:t>
      </w:r>
      <w:r w:rsidR="005D08F7" w:rsidRPr="002C2BAE">
        <w:rPr>
          <w:rFonts w:cs="Arial"/>
          <w:bCs/>
          <w:i/>
          <w:lang w:val="de-DE"/>
        </w:rPr>
        <w:t>überschreitet.</w:t>
      </w:r>
      <w:r w:rsidR="00B50562">
        <w:rPr>
          <w:rFonts w:cs="Arial"/>
          <w:bCs/>
          <w:i/>
          <w:lang w:val="de-DE"/>
        </w:rPr>
        <w:t>“</w:t>
      </w:r>
    </w:p>
    <w:p w:rsidR="00B50562" w:rsidRPr="002C2BAE" w:rsidRDefault="00B50562" w:rsidP="002C2BAE">
      <w:pPr>
        <w:ind w:left="1701" w:right="1134"/>
        <w:jc w:val="both"/>
        <w:rPr>
          <w:rFonts w:cs="Arial"/>
          <w:bCs/>
          <w:i/>
          <w:lang w:val="de-DE"/>
        </w:rPr>
      </w:pPr>
    </w:p>
    <w:p w:rsidR="00B51BE7" w:rsidRPr="002C2BAE" w:rsidRDefault="00B51BE7" w:rsidP="00B50562">
      <w:pPr>
        <w:ind w:left="709" w:right="1134"/>
        <w:jc w:val="both"/>
        <w:rPr>
          <w:rFonts w:cs="Arial"/>
          <w:bCs/>
          <w:i/>
          <w:lang w:val="de-DE"/>
        </w:rPr>
      </w:pPr>
      <w:r w:rsidRPr="002C2BAE">
        <w:rPr>
          <w:rFonts w:cs="Arial"/>
          <w:bCs/>
          <w:i/>
          <w:lang w:val="de-DE"/>
        </w:rPr>
        <w:t>[Folgeänderung siehe unter 1.1.3.2.6]</w:t>
      </w:r>
    </w:p>
    <w:p w:rsidR="005D08F7" w:rsidRPr="002C2BAE" w:rsidRDefault="005D08F7" w:rsidP="002C2BAE">
      <w:pPr>
        <w:ind w:left="1134" w:right="1134" w:firstLine="567"/>
        <w:jc w:val="both"/>
        <w:rPr>
          <w:rFonts w:cs="Arial"/>
          <w:bCs/>
          <w:i/>
          <w:lang w:val="de-DE"/>
        </w:rPr>
      </w:pPr>
    </w:p>
    <w:p w:rsidR="00B51BE7" w:rsidRPr="002C2BAE" w:rsidRDefault="00B51BE7" w:rsidP="00B50562">
      <w:pPr>
        <w:ind w:left="709" w:right="1134"/>
        <w:jc w:val="both"/>
        <w:rPr>
          <w:rFonts w:cs="Arial"/>
          <w:bCs/>
          <w:i/>
          <w:lang w:val="de-DE"/>
        </w:rPr>
      </w:pPr>
      <w:r w:rsidRPr="002C2BAE">
        <w:rPr>
          <w:rFonts w:cs="Arial"/>
          <w:bCs/>
          <w:i/>
          <w:lang w:val="de-DE"/>
        </w:rPr>
        <w:t>Am Ende folgenden Satz hinzufügen:</w:t>
      </w:r>
    </w:p>
    <w:p w:rsidR="005D08F7" w:rsidRPr="002C2BAE" w:rsidRDefault="005D08F7" w:rsidP="002C2BAE">
      <w:pPr>
        <w:ind w:left="1701" w:right="1134"/>
        <w:jc w:val="both"/>
        <w:rPr>
          <w:rFonts w:cs="Arial"/>
          <w:bCs/>
          <w:i/>
          <w:lang w:val="de-DE"/>
        </w:rPr>
      </w:pPr>
    </w:p>
    <w:p w:rsidR="00B51BE7" w:rsidRPr="002C2BAE" w:rsidRDefault="005D08F7" w:rsidP="002C2BAE">
      <w:pPr>
        <w:ind w:left="1701" w:right="1134"/>
        <w:jc w:val="both"/>
        <w:rPr>
          <w:rFonts w:cs="Arial"/>
          <w:bCs/>
          <w:i/>
          <w:lang w:val="de-DE"/>
        </w:rPr>
      </w:pPr>
      <w:r w:rsidRPr="002C2BAE">
        <w:rPr>
          <w:rFonts w:cs="Arial"/>
          <w:bCs/>
          <w:i/>
          <w:lang w:val="de-DE"/>
        </w:rPr>
        <w:t>„</w:t>
      </w:r>
      <w:r w:rsidR="00B51BE7" w:rsidRPr="002C2BAE">
        <w:rPr>
          <w:rFonts w:cs="Arial"/>
          <w:bCs/>
          <w:i/>
          <w:lang w:val="de-DE"/>
        </w:rPr>
        <w:t>Darüber hinaus gelten die Vorschriften dieses Kapitels nicht für die Beförderung von UN 2912 RADIOAKTIVE STOFFE MIT GERINGER SPEZIFISCHER AKTIVITÄT (LSA-I) und UN 2913 RADIOAKTIVE STOFFE, OBERFLÄCHENKONTAMINIERTE GEGENSTÄNDE (SCO-I).“</w:t>
      </w:r>
    </w:p>
    <w:p w:rsidR="00B51BE7" w:rsidRPr="002C2BAE" w:rsidRDefault="00B51BE7" w:rsidP="002C2BAE">
      <w:pPr>
        <w:ind w:right="1134"/>
        <w:jc w:val="both"/>
        <w:rPr>
          <w:lang w:val="de-DE"/>
        </w:rPr>
      </w:pPr>
    </w:p>
    <w:p w:rsidR="00863036" w:rsidRPr="002C2BAE" w:rsidRDefault="005D08F7" w:rsidP="002C2BAE">
      <w:pPr>
        <w:ind w:right="1134"/>
        <w:jc w:val="both"/>
        <w:rPr>
          <w:rFonts w:cs="Arial"/>
          <w:bCs/>
          <w:lang w:val="de-DE"/>
        </w:rPr>
      </w:pPr>
      <w:r w:rsidRPr="002C2BAE">
        <w:rPr>
          <w:rFonts w:cs="Arial"/>
          <w:bCs/>
          <w:lang w:val="de-DE"/>
        </w:rPr>
        <w:t>1</w:t>
      </w:r>
      <w:r w:rsidR="001C4238" w:rsidRPr="002C2BAE">
        <w:rPr>
          <w:rFonts w:cs="Arial"/>
          <w:bCs/>
          <w:lang w:val="de-DE"/>
        </w:rPr>
        <w:t>5</w:t>
      </w:r>
      <w:r w:rsidRPr="002C2BAE">
        <w:rPr>
          <w:rFonts w:cs="Arial"/>
          <w:bCs/>
          <w:lang w:val="de-DE"/>
        </w:rPr>
        <w:t>.</w:t>
      </w:r>
      <w:r w:rsidRPr="002C2BAE">
        <w:rPr>
          <w:rFonts w:cs="Arial"/>
          <w:bCs/>
          <w:lang w:val="de-DE"/>
        </w:rPr>
        <w:tab/>
        <w:t>Der letzte Satz wurde auch im ADN 2013 angefügt. Die Änderungen bezüglich der UN-Nummern</w:t>
      </w:r>
      <w:r w:rsidR="00B50562">
        <w:rPr>
          <w:rFonts w:cs="Arial"/>
          <w:bCs/>
          <w:lang w:val="de-DE"/>
        </w:rPr>
        <w:t> </w:t>
      </w:r>
      <w:r w:rsidRPr="002C2BAE">
        <w:rPr>
          <w:rFonts w:cs="Arial"/>
          <w:bCs/>
          <w:lang w:val="de-DE"/>
        </w:rPr>
        <w:t>2910 und 2911 wurden nicht übernommen. Nach Recherche der deutschen Delegation gab es dafür keine besondere Begründung, sodass von einem Versehen ausgegangen werden muss.</w:t>
      </w:r>
    </w:p>
    <w:p w:rsidR="001C4238" w:rsidRPr="002C2BAE" w:rsidRDefault="001C4238" w:rsidP="002C2BAE">
      <w:pPr>
        <w:ind w:right="1134"/>
        <w:jc w:val="both"/>
        <w:rPr>
          <w:rFonts w:cs="Arial"/>
          <w:bCs/>
          <w:lang w:val="de-DE"/>
        </w:rPr>
      </w:pPr>
    </w:p>
    <w:p w:rsidR="00515A69" w:rsidRPr="002C2BAE" w:rsidRDefault="001C4238" w:rsidP="002C2BAE">
      <w:pPr>
        <w:ind w:right="1134"/>
        <w:jc w:val="both"/>
        <w:rPr>
          <w:rFonts w:cs="Arial"/>
          <w:bCs/>
          <w:lang w:val="de-DE"/>
        </w:rPr>
      </w:pPr>
      <w:r w:rsidRPr="002C2BAE">
        <w:rPr>
          <w:rFonts w:cs="Arial"/>
          <w:bCs/>
          <w:lang w:val="de-DE"/>
        </w:rPr>
        <w:t>16.</w:t>
      </w:r>
      <w:r w:rsidRPr="002C2BAE">
        <w:rPr>
          <w:rFonts w:cs="Arial"/>
          <w:bCs/>
          <w:lang w:val="de-DE"/>
        </w:rPr>
        <w:tab/>
      </w:r>
      <w:r w:rsidR="00FE72D9" w:rsidRPr="002C2BAE">
        <w:rPr>
          <w:rFonts w:cs="Arial"/>
          <w:bCs/>
          <w:lang w:val="de-DE"/>
        </w:rPr>
        <w:t>Die f</w:t>
      </w:r>
      <w:r w:rsidR="00515A69" w:rsidRPr="002C2BAE">
        <w:rPr>
          <w:rFonts w:cs="Arial"/>
          <w:bCs/>
          <w:lang w:val="de-DE"/>
        </w:rPr>
        <w:t>ür ADR und RID 2013 vorgenommene Änderung sollte also – mit Verspätung – auch für das ADN übernommen werden.</w:t>
      </w:r>
    </w:p>
    <w:p w:rsidR="00002E3B" w:rsidRPr="002C2BAE" w:rsidRDefault="00002E3B" w:rsidP="002C2BAE">
      <w:pPr>
        <w:ind w:right="1134"/>
        <w:jc w:val="both"/>
        <w:rPr>
          <w:rFonts w:cs="Arial"/>
          <w:bCs/>
          <w:lang w:val="de-DE"/>
        </w:rPr>
      </w:pPr>
    </w:p>
    <w:p w:rsidR="00002E3B" w:rsidRPr="002C2BAE" w:rsidRDefault="00602653" w:rsidP="002C2BAE">
      <w:pPr>
        <w:ind w:right="1134"/>
        <w:jc w:val="both"/>
        <w:rPr>
          <w:rFonts w:cs="Arial"/>
          <w:bCs/>
          <w:lang w:val="de-DE"/>
        </w:rPr>
      </w:pPr>
      <w:r w:rsidRPr="002C2BAE">
        <w:rPr>
          <w:rFonts w:cs="Arial"/>
          <w:bCs/>
          <w:lang w:val="de-DE"/>
        </w:rPr>
        <w:t>1</w:t>
      </w:r>
      <w:r w:rsidR="001C4238" w:rsidRPr="002C2BAE">
        <w:rPr>
          <w:rFonts w:cs="Arial"/>
          <w:bCs/>
          <w:lang w:val="de-DE"/>
        </w:rPr>
        <w:t>7</w:t>
      </w:r>
      <w:r w:rsidRPr="002C2BAE">
        <w:rPr>
          <w:rFonts w:cs="Arial"/>
          <w:bCs/>
          <w:lang w:val="de-DE"/>
        </w:rPr>
        <w:t>.</w:t>
      </w:r>
      <w:r w:rsidR="001C4238" w:rsidRPr="002C2BAE">
        <w:rPr>
          <w:rFonts w:cs="Arial"/>
          <w:bCs/>
          <w:lang w:val="de-DE"/>
        </w:rPr>
        <w:tab/>
      </w:r>
      <w:r w:rsidRPr="002C2BAE">
        <w:rPr>
          <w:rFonts w:cs="Arial"/>
          <w:bCs/>
          <w:lang w:val="de-DE"/>
        </w:rPr>
        <w:t xml:space="preserve">Es besteht keine Veranlassung, für Stoffe der </w:t>
      </w:r>
      <w:r w:rsidRPr="002C2BAE">
        <w:rPr>
          <w:lang w:val="de-DE"/>
        </w:rPr>
        <w:t xml:space="preserve">UN-Nummern 2910 und 2911, </w:t>
      </w:r>
      <w:r w:rsidR="001F6810" w:rsidRPr="002C2BAE">
        <w:rPr>
          <w:lang w:val="de-DE"/>
        </w:rPr>
        <w:t>mit einem</w:t>
      </w:r>
      <w:r w:rsidRPr="002C2BAE">
        <w:rPr>
          <w:lang w:val="de-DE"/>
        </w:rPr>
        <w:t xml:space="preserve"> Aktivitätswert (je Versandstück) </w:t>
      </w:r>
      <w:r w:rsidR="001F6810" w:rsidRPr="002C2BAE">
        <w:rPr>
          <w:lang w:val="de-DE"/>
        </w:rPr>
        <w:t xml:space="preserve">über dem </w:t>
      </w:r>
      <w:r w:rsidRPr="002C2BAE">
        <w:rPr>
          <w:lang w:val="de-DE"/>
        </w:rPr>
        <w:t>A</w:t>
      </w:r>
      <w:r w:rsidRPr="002C2BAE">
        <w:rPr>
          <w:vertAlign w:val="subscript"/>
          <w:lang w:val="de-DE"/>
        </w:rPr>
        <w:t>2</w:t>
      </w:r>
      <w:r w:rsidRPr="002C2BAE">
        <w:rPr>
          <w:lang w:val="de-DE"/>
        </w:rPr>
        <w:t xml:space="preserve">-Wert, </w:t>
      </w:r>
      <w:r w:rsidR="001F6810" w:rsidRPr="002C2BAE">
        <w:rPr>
          <w:lang w:val="de-DE"/>
        </w:rPr>
        <w:t>neben</w:t>
      </w:r>
      <w:r w:rsidRPr="002C2BAE">
        <w:rPr>
          <w:lang w:val="de-DE"/>
        </w:rPr>
        <w:t xml:space="preserve"> </w:t>
      </w:r>
      <w:r w:rsidR="001F6810" w:rsidRPr="002C2BAE">
        <w:rPr>
          <w:lang w:val="de-DE"/>
        </w:rPr>
        <w:t xml:space="preserve">Kapitel </w:t>
      </w:r>
      <w:r w:rsidRPr="002C2BAE">
        <w:rPr>
          <w:lang w:val="de-DE"/>
        </w:rPr>
        <w:t>1.10 das ADN insgesamt anzuwenden oder mehr Bedingungen als bisher (1.1.3.6.2 ADN) aufzustellen.</w:t>
      </w:r>
    </w:p>
    <w:p w:rsidR="00C87C29" w:rsidRDefault="00C87C29" w:rsidP="002C2BAE">
      <w:pPr>
        <w:ind w:right="1134"/>
        <w:jc w:val="both"/>
        <w:rPr>
          <w:lang w:val="de-DE"/>
        </w:rPr>
      </w:pPr>
    </w:p>
    <w:p w:rsidR="002C2BAE" w:rsidRPr="002C2BAE" w:rsidRDefault="002C2BAE" w:rsidP="002C2BAE">
      <w:pPr>
        <w:ind w:right="1134"/>
        <w:jc w:val="both"/>
        <w:rPr>
          <w:lang w:val="de-DE"/>
        </w:rPr>
      </w:pPr>
    </w:p>
    <w:p w:rsidR="00C87C29" w:rsidRPr="002C2BAE" w:rsidRDefault="001C4238" w:rsidP="002C2BAE">
      <w:pPr>
        <w:ind w:right="1134"/>
        <w:jc w:val="both"/>
        <w:rPr>
          <w:b/>
          <w:sz w:val="28"/>
          <w:szCs w:val="28"/>
          <w:lang w:val="de-DE"/>
        </w:rPr>
      </w:pPr>
      <w:r w:rsidRPr="002C2BAE">
        <w:rPr>
          <w:b/>
          <w:sz w:val="28"/>
          <w:szCs w:val="28"/>
          <w:lang w:val="de-DE"/>
        </w:rPr>
        <w:t>IV.</w:t>
      </w:r>
      <w:r w:rsidRPr="002C2BAE">
        <w:rPr>
          <w:b/>
          <w:sz w:val="28"/>
          <w:szCs w:val="28"/>
          <w:lang w:val="de-DE"/>
        </w:rPr>
        <w:tab/>
      </w:r>
      <w:r w:rsidR="00C87C29" w:rsidRPr="002C2BAE">
        <w:rPr>
          <w:b/>
          <w:sz w:val="28"/>
          <w:szCs w:val="28"/>
          <w:lang w:val="de-DE"/>
        </w:rPr>
        <w:t>Sicherheit</w:t>
      </w:r>
    </w:p>
    <w:p w:rsidR="00C87C29" w:rsidRPr="002C2BAE" w:rsidRDefault="00C87C29" w:rsidP="002C2BAE">
      <w:pPr>
        <w:ind w:right="1134"/>
        <w:jc w:val="both"/>
        <w:rPr>
          <w:lang w:val="de-DE"/>
        </w:rPr>
      </w:pPr>
    </w:p>
    <w:p w:rsidR="00C87C29" w:rsidRPr="002C2BAE" w:rsidRDefault="0000499B" w:rsidP="002C2BAE">
      <w:pPr>
        <w:ind w:right="1134"/>
        <w:jc w:val="both"/>
        <w:rPr>
          <w:lang w:val="de-DE"/>
        </w:rPr>
      </w:pPr>
      <w:r w:rsidRPr="002C2BAE">
        <w:rPr>
          <w:lang w:val="de-DE"/>
        </w:rPr>
        <w:t>1</w:t>
      </w:r>
      <w:r w:rsidR="001C4238" w:rsidRPr="002C2BAE">
        <w:rPr>
          <w:lang w:val="de-DE"/>
        </w:rPr>
        <w:t>8</w:t>
      </w:r>
      <w:r w:rsidR="00C87C29" w:rsidRPr="002C2BAE">
        <w:rPr>
          <w:lang w:val="de-DE"/>
        </w:rPr>
        <w:t>.</w:t>
      </w:r>
      <w:r w:rsidR="00C87C29" w:rsidRPr="002C2BAE">
        <w:rPr>
          <w:lang w:val="de-DE"/>
        </w:rPr>
        <w:tab/>
      </w:r>
      <w:r w:rsidRPr="002C2BAE">
        <w:rPr>
          <w:lang w:val="de-DE"/>
        </w:rPr>
        <w:t xml:space="preserve">Sicherheitsbedenken bestehen nicht, weil sich die Freistellung von den Vorschriften der Sicherung bei Beförderungen </w:t>
      </w:r>
      <w:r w:rsidR="000928BC" w:rsidRPr="002C2BAE">
        <w:rPr>
          <w:lang w:val="de-DE"/>
        </w:rPr>
        <w:t xml:space="preserve">der UN-Nummern 2908 bis 2911 </w:t>
      </w:r>
      <w:r w:rsidRPr="002C2BAE">
        <w:rPr>
          <w:lang w:val="de-DE"/>
        </w:rPr>
        <w:t>im Straßenverkehr und im Eisenbahnverkehr als unproblematisch erwiesen hat</w:t>
      </w:r>
      <w:r w:rsidR="00C87C29" w:rsidRPr="002C2BAE">
        <w:rPr>
          <w:lang w:val="de-DE"/>
        </w:rPr>
        <w:t>.</w:t>
      </w:r>
    </w:p>
    <w:p w:rsidR="001C4238" w:rsidRPr="002C2BAE" w:rsidRDefault="001C4238" w:rsidP="002C2BAE">
      <w:pPr>
        <w:ind w:right="1134"/>
        <w:jc w:val="both"/>
        <w:rPr>
          <w:lang w:val="de-DE"/>
        </w:rPr>
      </w:pPr>
    </w:p>
    <w:p w:rsidR="000928BC" w:rsidRPr="002C2BAE" w:rsidRDefault="001C4238" w:rsidP="002C2BAE">
      <w:pPr>
        <w:ind w:right="1134"/>
        <w:jc w:val="both"/>
        <w:rPr>
          <w:lang w:val="de-DE"/>
        </w:rPr>
      </w:pPr>
      <w:r w:rsidRPr="002C2BAE">
        <w:rPr>
          <w:lang w:val="de-DE"/>
        </w:rPr>
        <w:t>19.</w:t>
      </w:r>
      <w:r w:rsidRPr="002C2BAE">
        <w:rPr>
          <w:lang w:val="de-DE"/>
        </w:rPr>
        <w:tab/>
      </w:r>
      <w:r w:rsidR="000928BC" w:rsidRPr="002C2BAE">
        <w:rPr>
          <w:lang w:val="de-DE"/>
        </w:rPr>
        <w:t>Widersprüchliche Vorschriften, die aufgrund von Auslegungsschwierigkeiten zu einem Verlust an Sicherheit führen könnten, werden bereinigt.</w:t>
      </w:r>
    </w:p>
    <w:p w:rsidR="00C87C29" w:rsidRDefault="00C87C29" w:rsidP="002C2BAE">
      <w:pPr>
        <w:ind w:right="1134"/>
        <w:jc w:val="both"/>
        <w:rPr>
          <w:lang w:val="de-DE"/>
        </w:rPr>
      </w:pPr>
    </w:p>
    <w:p w:rsidR="002C2BAE" w:rsidRPr="002C2BAE" w:rsidRDefault="002C2BAE" w:rsidP="002C2BAE">
      <w:pPr>
        <w:ind w:right="1134"/>
        <w:jc w:val="both"/>
        <w:rPr>
          <w:lang w:val="de-DE"/>
        </w:rPr>
      </w:pPr>
    </w:p>
    <w:p w:rsidR="00C87C29" w:rsidRPr="002C2BAE" w:rsidRDefault="00C87C29" w:rsidP="002C2BAE">
      <w:pPr>
        <w:ind w:right="1134"/>
        <w:jc w:val="both"/>
        <w:rPr>
          <w:b/>
          <w:sz w:val="28"/>
          <w:szCs w:val="28"/>
          <w:lang w:val="de-DE"/>
        </w:rPr>
      </w:pPr>
      <w:r w:rsidRPr="002C2BAE">
        <w:rPr>
          <w:b/>
          <w:sz w:val="28"/>
          <w:szCs w:val="28"/>
          <w:lang w:val="de-DE"/>
        </w:rPr>
        <w:t>Umsetzbarkeit</w:t>
      </w:r>
    </w:p>
    <w:p w:rsidR="00C87C29" w:rsidRPr="002C2BAE" w:rsidRDefault="00C87C29" w:rsidP="002C2BAE">
      <w:pPr>
        <w:ind w:right="1134"/>
        <w:jc w:val="both"/>
        <w:rPr>
          <w:lang w:val="de-DE"/>
        </w:rPr>
      </w:pPr>
    </w:p>
    <w:p w:rsidR="004448D3" w:rsidRPr="002C2BAE" w:rsidRDefault="001C4238" w:rsidP="002C2BAE">
      <w:pPr>
        <w:ind w:right="1134"/>
        <w:jc w:val="both"/>
        <w:rPr>
          <w:lang w:val="de-DE"/>
        </w:rPr>
      </w:pPr>
      <w:r w:rsidRPr="002C2BAE">
        <w:rPr>
          <w:lang w:val="de-DE"/>
        </w:rPr>
        <w:t>20</w:t>
      </w:r>
      <w:r w:rsidR="00C87C29" w:rsidRPr="002C2BAE">
        <w:rPr>
          <w:lang w:val="de-DE"/>
        </w:rPr>
        <w:t>.</w:t>
      </w:r>
      <w:r w:rsidR="00C87C29" w:rsidRPr="002C2BAE">
        <w:rPr>
          <w:lang w:val="de-DE"/>
        </w:rPr>
        <w:tab/>
        <w:t xml:space="preserve">Aus dem Antrag ergeben sich keine organisatorischen oder schiffbaulichen Änderungen bei der Beförderung von </w:t>
      </w:r>
      <w:r w:rsidR="0000499B" w:rsidRPr="002C2BAE">
        <w:rPr>
          <w:lang w:val="de-DE"/>
        </w:rPr>
        <w:t>Versandstücken</w:t>
      </w:r>
      <w:r w:rsidR="00C87C29" w:rsidRPr="002C2BAE">
        <w:rPr>
          <w:lang w:val="de-DE"/>
        </w:rPr>
        <w:t xml:space="preserve"> der Klasse </w:t>
      </w:r>
      <w:r w:rsidR="00ED6A0E" w:rsidRPr="002C2BAE">
        <w:rPr>
          <w:lang w:val="de-DE"/>
        </w:rPr>
        <w:t>7</w:t>
      </w:r>
      <w:r w:rsidR="00C87C29" w:rsidRPr="002C2BAE">
        <w:rPr>
          <w:lang w:val="de-DE"/>
        </w:rPr>
        <w:t>.</w:t>
      </w:r>
    </w:p>
    <w:p w:rsidR="001C4238" w:rsidRPr="002C2BAE" w:rsidRDefault="001C4238" w:rsidP="002C2BAE">
      <w:pPr>
        <w:ind w:right="1134"/>
        <w:jc w:val="both"/>
        <w:rPr>
          <w:lang w:val="de-DE"/>
        </w:rPr>
      </w:pPr>
    </w:p>
    <w:p w:rsidR="00C87C29" w:rsidRPr="002C2BAE" w:rsidRDefault="001C4238" w:rsidP="002C2BAE">
      <w:pPr>
        <w:ind w:right="1134"/>
        <w:jc w:val="both"/>
        <w:rPr>
          <w:lang w:val="de-DE"/>
        </w:rPr>
      </w:pPr>
      <w:r w:rsidRPr="002C2BAE">
        <w:rPr>
          <w:lang w:val="de-DE"/>
        </w:rPr>
        <w:t>21.</w:t>
      </w:r>
      <w:r w:rsidRPr="002C2BAE">
        <w:rPr>
          <w:lang w:val="de-DE"/>
        </w:rPr>
        <w:tab/>
      </w:r>
      <w:r w:rsidR="0000499B" w:rsidRPr="002C2BAE">
        <w:rPr>
          <w:lang w:val="de-DE"/>
        </w:rPr>
        <w:t xml:space="preserve">Es erfolgt eine Erleichterung, in dem Vorschriften der Sicherung </w:t>
      </w:r>
      <w:r w:rsidR="004448D3" w:rsidRPr="002C2BAE">
        <w:rPr>
          <w:lang w:val="de-DE"/>
        </w:rPr>
        <w:t xml:space="preserve">für </w:t>
      </w:r>
      <w:r w:rsidR="002811AE" w:rsidRPr="002C2BAE">
        <w:rPr>
          <w:lang w:val="de-DE"/>
        </w:rPr>
        <w:t>die UN-Nummern</w:t>
      </w:r>
      <w:r w:rsidR="004448D3" w:rsidRPr="002C2BAE">
        <w:rPr>
          <w:lang w:val="de-DE"/>
        </w:rPr>
        <w:t xml:space="preserve"> 2908 und 2909 </w:t>
      </w:r>
      <w:r w:rsidR="000928BC" w:rsidRPr="002C2BAE">
        <w:rPr>
          <w:lang w:val="de-DE"/>
        </w:rPr>
        <w:t>und der</w:t>
      </w:r>
      <w:r w:rsidR="002811AE" w:rsidRPr="002C2BAE">
        <w:rPr>
          <w:lang w:val="de-DE"/>
        </w:rPr>
        <w:t xml:space="preserve"> </w:t>
      </w:r>
      <w:r w:rsidR="000928BC" w:rsidRPr="002C2BAE">
        <w:rPr>
          <w:rFonts w:cs="Arial"/>
          <w:bCs/>
          <w:lang w:val="de-DE"/>
        </w:rPr>
        <w:t>UN-Nummern 2910 und 2911, sofern der Aktivitätswert den A</w:t>
      </w:r>
      <w:r w:rsidR="000928BC" w:rsidRPr="002C2BAE">
        <w:rPr>
          <w:rFonts w:cs="Arial"/>
          <w:bCs/>
          <w:vertAlign w:val="subscript"/>
          <w:lang w:val="de-DE"/>
        </w:rPr>
        <w:t>2</w:t>
      </w:r>
      <w:r w:rsidR="000928BC" w:rsidRPr="002C2BAE">
        <w:rPr>
          <w:rFonts w:cs="Arial"/>
          <w:bCs/>
          <w:lang w:val="de-DE"/>
        </w:rPr>
        <w:t>-Wert nicht überschreitet,</w:t>
      </w:r>
      <w:r w:rsidR="000928BC" w:rsidRPr="002C2BAE">
        <w:rPr>
          <w:lang w:val="de-DE"/>
        </w:rPr>
        <w:t xml:space="preserve"> </w:t>
      </w:r>
      <w:r w:rsidR="0000499B" w:rsidRPr="002C2BAE">
        <w:rPr>
          <w:lang w:val="de-DE"/>
        </w:rPr>
        <w:t xml:space="preserve">nicht </w:t>
      </w:r>
      <w:r w:rsidR="004448D3" w:rsidRPr="002C2BAE">
        <w:rPr>
          <w:lang w:val="de-DE"/>
        </w:rPr>
        <w:t xml:space="preserve">(mehr) </w:t>
      </w:r>
      <w:r w:rsidR="0000499B" w:rsidRPr="002C2BAE">
        <w:rPr>
          <w:lang w:val="de-DE"/>
        </w:rPr>
        <w:t>beachtet werden müssen.</w:t>
      </w:r>
    </w:p>
    <w:p w:rsidR="003159A0" w:rsidRPr="002C2BAE" w:rsidRDefault="00C87C29" w:rsidP="002C2BAE">
      <w:pPr>
        <w:jc w:val="center"/>
        <w:rPr>
          <w:lang w:val="de-DE"/>
        </w:rPr>
      </w:pPr>
      <w:r w:rsidRPr="002C2BAE">
        <w:t>***</w:t>
      </w:r>
    </w:p>
    <w:sectPr w:rsidR="003159A0" w:rsidRPr="002C2BAE" w:rsidSect="006E6B39">
      <w:headerReference w:type="even" r:id="rId8"/>
      <w:headerReference w:type="default" r:id="rId9"/>
      <w:footerReference w:type="even" r:id="rId10"/>
      <w:footerReference w:type="default" r:id="rId11"/>
      <w:endnotePr>
        <w:numFmt w:val="decimal"/>
      </w:endnotePr>
      <w:pgSz w:w="11907" w:h="16840" w:code="9"/>
      <w:pgMar w:top="1701" w:right="1134" w:bottom="1134" w:left="1134" w:header="1134" w:footer="113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1E52" w:rsidRDefault="000A1E52">
      <w:pPr>
        <w:rPr>
          <w:szCs w:val="24"/>
        </w:rPr>
      </w:pPr>
    </w:p>
  </w:endnote>
  <w:endnote w:type="continuationSeparator" w:id="0">
    <w:p w:rsidR="000A1E52" w:rsidRDefault="000A1E52">
      <w:pPr>
        <w:rPr>
          <w:szCs w:val="24"/>
        </w:rPr>
      </w:pPr>
    </w:p>
  </w:endnote>
  <w:endnote w:type="continuationNotice" w:id="1">
    <w:p w:rsidR="000A1E52" w:rsidRDefault="000A1E52">
      <w:pPr>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CFF" w:rsidRPr="007E7CFF" w:rsidRDefault="007E7CFF" w:rsidP="007E7CFF">
    <w:pPr>
      <w:autoSpaceDN w:val="0"/>
      <w:spacing w:line="240" w:lineRule="auto"/>
      <w:jc w:val="right"/>
      <w:rPr>
        <w:lang w:val="fr-FR"/>
      </w:rPr>
    </w:pPr>
    <w:r>
      <w:rPr>
        <w:rFonts w:ascii="Arial" w:hAnsi="Arial"/>
        <w:noProof/>
        <w:sz w:val="12"/>
        <w:szCs w:val="24"/>
        <w:lang w:val="fr-FR"/>
      </w:rPr>
      <w:t>m</w:t>
    </w:r>
    <w:r w:rsidRPr="007E7CFF">
      <w:rPr>
        <w:rFonts w:ascii="Arial" w:hAnsi="Arial"/>
        <w:noProof/>
        <w:sz w:val="12"/>
        <w:szCs w:val="24"/>
        <w:lang w:val="fr-FR"/>
      </w:rPr>
      <w:t>m</w:t>
    </w:r>
    <w:r>
      <w:rPr>
        <w:rFonts w:ascii="Arial" w:hAnsi="Arial"/>
        <w:noProof/>
        <w:sz w:val="12"/>
        <w:szCs w:val="24"/>
        <w:lang w:val="fr-FR"/>
      </w:rPr>
      <w:t>_mw</w:t>
    </w:r>
    <w:r w:rsidRPr="007E7CFF">
      <w:rPr>
        <w:rFonts w:ascii="Arial" w:hAnsi="Arial"/>
        <w:noProof/>
        <w:sz w:val="12"/>
        <w:szCs w:val="24"/>
        <w:lang w:val="fr-FR"/>
      </w:rPr>
      <w:t>/adn_wp15_ac2_2019_</w:t>
    </w:r>
    <w:r>
      <w:rPr>
        <w:rFonts w:ascii="Arial" w:hAnsi="Arial"/>
        <w:noProof/>
        <w:sz w:val="12"/>
        <w:szCs w:val="24"/>
        <w:lang w:val="fr-FR"/>
      </w:rPr>
      <w:t>19</w:t>
    </w:r>
    <w:r w:rsidRPr="007E7CFF">
      <w:rPr>
        <w:rFonts w:ascii="Arial" w:hAnsi="Arial"/>
        <w:noProof/>
        <w:sz w:val="12"/>
        <w:szCs w:val="24"/>
        <w:lang w:val="fr-FR"/>
      </w:rPr>
      <w: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222" w:rsidRPr="008D7F64" w:rsidRDefault="007E7CFF" w:rsidP="007E7CFF">
    <w:pPr>
      <w:autoSpaceDN w:val="0"/>
      <w:spacing w:line="240" w:lineRule="auto"/>
      <w:jc w:val="right"/>
      <w:rPr>
        <w:b/>
        <w:sz w:val="18"/>
        <w:szCs w:val="24"/>
        <w:lang w:val="fr-FR"/>
      </w:rPr>
    </w:pPr>
    <w:bookmarkStart w:id="1" w:name="_Hlk11845443"/>
    <w:bookmarkStart w:id="2" w:name="_Hlk11845444"/>
    <w:r>
      <w:rPr>
        <w:rFonts w:ascii="Arial" w:hAnsi="Arial"/>
        <w:noProof/>
        <w:sz w:val="12"/>
        <w:szCs w:val="24"/>
        <w:lang w:val="fr-FR"/>
      </w:rPr>
      <w:t>m</w:t>
    </w:r>
    <w:r w:rsidRPr="007E7CFF">
      <w:rPr>
        <w:rFonts w:ascii="Arial" w:hAnsi="Arial"/>
        <w:noProof/>
        <w:sz w:val="12"/>
        <w:szCs w:val="24"/>
        <w:lang w:val="fr-FR"/>
      </w:rPr>
      <w:t>m</w:t>
    </w:r>
    <w:r>
      <w:rPr>
        <w:rFonts w:ascii="Arial" w:hAnsi="Arial"/>
        <w:noProof/>
        <w:sz w:val="12"/>
        <w:szCs w:val="24"/>
        <w:lang w:val="fr-FR"/>
      </w:rPr>
      <w:t>_mw</w:t>
    </w:r>
    <w:r w:rsidRPr="007E7CFF">
      <w:rPr>
        <w:rFonts w:ascii="Arial" w:hAnsi="Arial"/>
        <w:noProof/>
        <w:sz w:val="12"/>
        <w:szCs w:val="24"/>
        <w:lang w:val="fr-FR"/>
      </w:rPr>
      <w:t>/adn_wp15_ac2_2019_</w:t>
    </w:r>
    <w:r>
      <w:rPr>
        <w:rFonts w:ascii="Arial" w:hAnsi="Arial"/>
        <w:noProof/>
        <w:sz w:val="12"/>
        <w:szCs w:val="24"/>
        <w:lang w:val="fr-FR"/>
      </w:rPr>
      <w:t>19</w:t>
    </w:r>
    <w:r w:rsidRPr="007E7CFF">
      <w:rPr>
        <w:rFonts w:ascii="Arial" w:hAnsi="Arial"/>
        <w:noProof/>
        <w:sz w:val="12"/>
        <w:szCs w:val="24"/>
        <w:lang w:val="fr-FR"/>
      </w:rPr>
      <w:t>de</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1E52" w:rsidRDefault="000A1E52">
      <w:pPr>
        <w:tabs>
          <w:tab w:val="right" w:pos="2155"/>
        </w:tabs>
        <w:spacing w:after="80"/>
        <w:ind w:left="680"/>
        <w:rPr>
          <w:szCs w:val="24"/>
          <w:u w:val="single"/>
        </w:rPr>
      </w:pPr>
      <w:r>
        <w:rPr>
          <w:szCs w:val="24"/>
          <w:u w:val="single"/>
        </w:rPr>
        <w:tab/>
      </w:r>
    </w:p>
  </w:footnote>
  <w:footnote w:type="continuationSeparator" w:id="0">
    <w:p w:rsidR="000A1E52" w:rsidRDefault="000A1E52">
      <w:pPr>
        <w:tabs>
          <w:tab w:val="right" w:pos="2155"/>
        </w:tabs>
        <w:spacing w:after="80"/>
        <w:ind w:left="680"/>
        <w:rPr>
          <w:szCs w:val="24"/>
          <w:u w:val="single"/>
        </w:rPr>
      </w:pPr>
      <w:r>
        <w:rPr>
          <w:szCs w:val="24"/>
          <w:u w:val="single"/>
        </w:rPr>
        <w:tab/>
      </w:r>
    </w:p>
  </w:footnote>
  <w:footnote w:type="continuationNotice" w:id="1">
    <w:p w:rsidR="000A1E52" w:rsidRDefault="000A1E52">
      <w:pPr>
        <w:rPr>
          <w:szCs w:val="24"/>
        </w:rPr>
      </w:pPr>
    </w:p>
  </w:footnote>
  <w:footnote w:id="2">
    <w:p w:rsidR="00AF09D7" w:rsidRPr="00AF09D7" w:rsidRDefault="00AF09D7" w:rsidP="00AF09D7">
      <w:pPr>
        <w:pStyle w:val="FootnoteText"/>
        <w:ind w:left="284" w:hanging="284"/>
        <w:rPr>
          <w:sz w:val="16"/>
          <w:szCs w:val="16"/>
          <w:lang w:val="de-DE"/>
        </w:rPr>
      </w:pPr>
      <w:r w:rsidRPr="00AF09D7">
        <w:rPr>
          <w:rStyle w:val="FootnoteReference"/>
          <w:sz w:val="16"/>
          <w:szCs w:val="16"/>
          <w:lang w:val="de-DE"/>
        </w:rPr>
        <w:t>*</w:t>
      </w:r>
      <w:r w:rsidRPr="00AF09D7">
        <w:rPr>
          <w:sz w:val="16"/>
          <w:szCs w:val="16"/>
          <w:lang w:val="de-DE"/>
        </w:rPr>
        <w:tab/>
        <w:t>Von der UN-ECE in Englisch, Französisch und Russisch unter dem Aktenzeichen CCNR-ZKR/ADN/WP.15/AC.2/2019/</w:t>
      </w:r>
      <w:r w:rsidR="002C2BAE">
        <w:rPr>
          <w:sz w:val="16"/>
          <w:szCs w:val="16"/>
          <w:lang w:val="de-DE"/>
        </w:rPr>
        <w:t>19</w:t>
      </w:r>
      <w:r w:rsidRPr="00AF09D7">
        <w:rPr>
          <w:sz w:val="16"/>
          <w:szCs w:val="16"/>
          <w:lang w:val="de-DE"/>
        </w:rPr>
        <w:t xml:space="preserve"> verteilt.</w:t>
      </w:r>
    </w:p>
  </w:footnote>
  <w:footnote w:id="3">
    <w:p w:rsidR="00AF09D7" w:rsidRPr="00AF09D7" w:rsidRDefault="00AF09D7" w:rsidP="00AF09D7">
      <w:pPr>
        <w:pStyle w:val="FootnoteText"/>
        <w:ind w:left="284" w:hanging="284"/>
        <w:rPr>
          <w:sz w:val="16"/>
          <w:szCs w:val="16"/>
          <w:lang w:val="de-DE"/>
        </w:rPr>
      </w:pPr>
      <w:r w:rsidRPr="00AF09D7">
        <w:rPr>
          <w:rStyle w:val="FootnoteReference"/>
          <w:rFonts w:ascii="Arial" w:hAnsi="Arial" w:cs="Arial"/>
          <w:sz w:val="16"/>
          <w:szCs w:val="16"/>
          <w:lang w:val="de-DE"/>
        </w:rPr>
        <w:t>**</w:t>
      </w:r>
      <w:r w:rsidRPr="00AF09D7">
        <w:rPr>
          <w:sz w:val="16"/>
          <w:szCs w:val="16"/>
          <w:lang w:val="de-DE"/>
        </w:rPr>
        <w:tab/>
        <w:t>Gemäß dem Arbeitsprogramm des Binnenverkehrsausschusses für 2018-2019 (ECE/TRANS/2018/21/Add.1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222" w:rsidRPr="000C7355" w:rsidRDefault="00CD1222">
    <w:pPr>
      <w:tabs>
        <w:tab w:val="center" w:pos="4320"/>
        <w:tab w:val="right" w:pos="8640"/>
      </w:tabs>
      <w:suppressAutoHyphens w:val="0"/>
      <w:spacing w:line="240" w:lineRule="auto"/>
      <w:rPr>
        <w:rFonts w:ascii="Arial" w:hAnsi="Arial"/>
        <w:sz w:val="16"/>
        <w:szCs w:val="24"/>
        <w:lang w:val="fr-FR"/>
      </w:rPr>
    </w:pPr>
    <w:r w:rsidRPr="000C7355">
      <w:rPr>
        <w:rFonts w:ascii="Arial" w:hAnsi="Arial"/>
        <w:sz w:val="16"/>
        <w:szCs w:val="24"/>
        <w:lang w:val="fr-FR"/>
      </w:rPr>
      <w:t>C</w:t>
    </w:r>
    <w:r w:rsidR="000C7355" w:rsidRPr="000C7355">
      <w:rPr>
        <w:rFonts w:ascii="Arial" w:hAnsi="Arial"/>
        <w:sz w:val="16"/>
        <w:szCs w:val="24"/>
        <w:lang w:val="fr-FR"/>
      </w:rPr>
      <w:t>CNR-ZKR/ADN/WP.15/AC.2/2019/</w:t>
    </w:r>
    <w:r w:rsidR="00BD50D1">
      <w:rPr>
        <w:rFonts w:ascii="Arial" w:hAnsi="Arial"/>
        <w:sz w:val="16"/>
        <w:szCs w:val="24"/>
        <w:lang w:val="fr-FR"/>
      </w:rPr>
      <w:t>19</w:t>
    </w:r>
  </w:p>
  <w:p w:rsidR="00CD1222" w:rsidRDefault="00CD1222">
    <w:pPr>
      <w:tabs>
        <w:tab w:val="center" w:pos="4320"/>
        <w:tab w:val="right" w:pos="8640"/>
      </w:tabs>
      <w:suppressAutoHyphens w:val="0"/>
      <w:spacing w:line="240" w:lineRule="auto"/>
      <w:rPr>
        <w:rFonts w:ascii="Arial" w:hAnsi="Arial"/>
        <w:sz w:val="16"/>
        <w:szCs w:val="24"/>
        <w:lang w:val="en-GB"/>
      </w:rPr>
    </w:pPr>
    <w:r>
      <w:rPr>
        <w:rFonts w:ascii="Arial" w:hAnsi="Arial"/>
        <w:sz w:val="16"/>
        <w:szCs w:val="24"/>
        <w:lang w:val="en-GB"/>
      </w:rPr>
      <w:t xml:space="preserve">Seite </w:t>
    </w:r>
    <w:r>
      <w:rPr>
        <w:rFonts w:ascii="Arial" w:hAnsi="Arial"/>
        <w:sz w:val="16"/>
        <w:szCs w:val="24"/>
        <w:lang w:val="en-GB"/>
      </w:rPr>
      <w:fldChar w:fldCharType="begin"/>
    </w:r>
    <w:r>
      <w:rPr>
        <w:rFonts w:ascii="Arial" w:hAnsi="Arial"/>
        <w:sz w:val="16"/>
        <w:szCs w:val="24"/>
        <w:lang w:val="en-GB"/>
      </w:rPr>
      <w:instrText xml:space="preserve"> PAGE  \* MERGEFORMAT </w:instrText>
    </w:r>
    <w:r>
      <w:rPr>
        <w:rFonts w:ascii="Arial" w:hAnsi="Arial"/>
        <w:sz w:val="16"/>
        <w:szCs w:val="24"/>
        <w:lang w:val="en-GB"/>
      </w:rPr>
      <w:fldChar w:fldCharType="separate"/>
    </w:r>
    <w:r w:rsidR="00A75EF1" w:rsidRPr="00A75EF1">
      <w:rPr>
        <w:rFonts w:ascii="Arial" w:hAnsi="Arial"/>
        <w:noProof/>
        <w:sz w:val="16"/>
        <w:szCs w:val="24"/>
      </w:rPr>
      <w:t>4</w:t>
    </w:r>
    <w:r>
      <w:rPr>
        <w:rFonts w:ascii="Arial" w:hAnsi="Arial"/>
        <w:sz w:val="16"/>
        <w:szCs w:val="24"/>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222" w:rsidRPr="000C7355" w:rsidRDefault="00CD1222">
    <w:pPr>
      <w:tabs>
        <w:tab w:val="center" w:pos="4320"/>
        <w:tab w:val="right" w:pos="8640"/>
      </w:tabs>
      <w:suppressAutoHyphens w:val="0"/>
      <w:spacing w:line="240" w:lineRule="auto"/>
      <w:jc w:val="right"/>
      <w:rPr>
        <w:rFonts w:ascii="Arial" w:hAnsi="Arial"/>
        <w:sz w:val="16"/>
        <w:szCs w:val="24"/>
        <w:lang w:val="fr-FR"/>
      </w:rPr>
    </w:pPr>
    <w:r w:rsidRPr="000C7355">
      <w:rPr>
        <w:rFonts w:ascii="Arial" w:hAnsi="Arial"/>
        <w:sz w:val="16"/>
        <w:szCs w:val="24"/>
        <w:lang w:val="fr-FR"/>
      </w:rPr>
      <w:t>CCNR-ZKR/ADN/WP.15/AC.2/</w:t>
    </w:r>
    <w:r w:rsidR="000C7355" w:rsidRPr="000C7355">
      <w:rPr>
        <w:rFonts w:ascii="Arial" w:hAnsi="Arial"/>
        <w:sz w:val="16"/>
        <w:szCs w:val="24"/>
        <w:lang w:val="fr-FR"/>
      </w:rPr>
      <w:t>2019/</w:t>
    </w:r>
    <w:r w:rsidR="00BD50D1">
      <w:rPr>
        <w:rFonts w:ascii="Arial" w:hAnsi="Arial"/>
        <w:sz w:val="16"/>
        <w:szCs w:val="24"/>
        <w:lang w:val="fr-FR"/>
      </w:rPr>
      <w:t>19</w:t>
    </w:r>
  </w:p>
  <w:p w:rsidR="00CD1222" w:rsidRDefault="00CD1222">
    <w:pPr>
      <w:tabs>
        <w:tab w:val="center" w:pos="4320"/>
        <w:tab w:val="right" w:pos="8640"/>
      </w:tabs>
      <w:suppressAutoHyphens w:val="0"/>
      <w:spacing w:line="240" w:lineRule="auto"/>
      <w:jc w:val="right"/>
      <w:rPr>
        <w:rFonts w:ascii="Arial" w:hAnsi="Arial"/>
        <w:sz w:val="16"/>
        <w:szCs w:val="24"/>
        <w:lang w:val="en-GB"/>
      </w:rPr>
    </w:pPr>
    <w:r>
      <w:rPr>
        <w:rFonts w:ascii="Arial" w:hAnsi="Arial"/>
        <w:sz w:val="16"/>
        <w:szCs w:val="24"/>
        <w:lang w:val="en-GB"/>
      </w:rPr>
      <w:t xml:space="preserve">Seite </w:t>
    </w:r>
    <w:r>
      <w:rPr>
        <w:rFonts w:ascii="Arial" w:hAnsi="Arial"/>
        <w:sz w:val="16"/>
        <w:szCs w:val="24"/>
        <w:lang w:val="en-GB"/>
      </w:rPr>
      <w:fldChar w:fldCharType="begin"/>
    </w:r>
    <w:r>
      <w:rPr>
        <w:rFonts w:ascii="Arial" w:hAnsi="Arial"/>
        <w:sz w:val="16"/>
        <w:szCs w:val="24"/>
        <w:lang w:val="en-GB"/>
      </w:rPr>
      <w:instrText xml:space="preserve"> PAGE  \* MERGEFORMAT </w:instrText>
    </w:r>
    <w:r>
      <w:rPr>
        <w:rFonts w:ascii="Arial" w:hAnsi="Arial"/>
        <w:sz w:val="16"/>
        <w:szCs w:val="24"/>
        <w:lang w:val="en-GB"/>
      </w:rPr>
      <w:fldChar w:fldCharType="separate"/>
    </w:r>
    <w:r w:rsidR="00A75EF1" w:rsidRPr="00A75EF1">
      <w:rPr>
        <w:rFonts w:ascii="Arial" w:hAnsi="Arial"/>
        <w:noProof/>
        <w:sz w:val="16"/>
        <w:szCs w:val="24"/>
      </w:rPr>
      <w:t>3</w:t>
    </w:r>
    <w:r>
      <w:rPr>
        <w:rFonts w:ascii="Arial" w:hAnsi="Arial"/>
        <w:sz w:val="16"/>
        <w:szCs w:val="24"/>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B20ADD"/>
    <w:multiLevelType w:val="hybridMultilevel"/>
    <w:tmpl w:val="FAE23972"/>
    <w:lvl w:ilvl="0" w:tplc="ABC67AC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Times New Roman" w:hAnsi="Times New Roman" w:hint="default"/>
      </w:rPr>
    </w:lvl>
    <w:lvl w:ilvl="3" w:tplc="040C0001" w:tentative="1">
      <w:start w:val="1"/>
      <w:numFmt w:val="bullet"/>
      <w:lvlText w:val=""/>
      <w:lvlJc w:val="left"/>
      <w:pPr>
        <w:tabs>
          <w:tab w:val="num" w:pos="5148"/>
        </w:tabs>
        <w:ind w:left="5148" w:hanging="360"/>
      </w:pPr>
      <w:rPr>
        <w:rFonts w:ascii="Times New Roman" w:hAnsi="Times New Roman"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Times New Roman" w:hAnsi="Times New Roman" w:hint="default"/>
      </w:rPr>
    </w:lvl>
    <w:lvl w:ilvl="6" w:tplc="040C0001" w:tentative="1">
      <w:start w:val="1"/>
      <w:numFmt w:val="bullet"/>
      <w:lvlText w:val=""/>
      <w:lvlJc w:val="left"/>
      <w:pPr>
        <w:tabs>
          <w:tab w:val="num" w:pos="7308"/>
        </w:tabs>
        <w:ind w:left="7308" w:hanging="360"/>
      </w:pPr>
      <w:rPr>
        <w:rFonts w:ascii="Times New Roman" w:hAnsi="Times New Roman"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Times New Roman" w:hAnsi="Times New Roman" w:hint="default"/>
      </w:rPr>
    </w:lvl>
  </w:abstractNum>
  <w:abstractNum w:abstractNumId="2" w15:restartNumberingAfterBreak="0">
    <w:nsid w:val="3DA2391E"/>
    <w:multiLevelType w:val="hybridMultilevel"/>
    <w:tmpl w:val="DB04BD7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0FE3B1E"/>
    <w:multiLevelType w:val="hybridMultilevel"/>
    <w:tmpl w:val="7856DB7C"/>
    <w:lvl w:ilvl="0" w:tplc="FC029946">
      <w:numFmt w:val="bullet"/>
      <w:lvlText w:val="-"/>
      <w:lvlJc w:val="left"/>
      <w:pPr>
        <w:ind w:left="720" w:hanging="360"/>
      </w:pPr>
      <w:rPr>
        <w:rFonts w:ascii="Times New Roman" w:eastAsia="Arial Unicode MS"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Times New Roman" w:hAnsi="Times New Roman" w:hint="default"/>
      </w:rPr>
    </w:lvl>
    <w:lvl w:ilvl="3" w:tplc="040C0001" w:tentative="1">
      <w:start w:val="1"/>
      <w:numFmt w:val="bullet"/>
      <w:lvlText w:val=""/>
      <w:lvlJc w:val="left"/>
      <w:pPr>
        <w:tabs>
          <w:tab w:val="num" w:pos="4581"/>
        </w:tabs>
        <w:ind w:left="4581" w:hanging="360"/>
      </w:pPr>
      <w:rPr>
        <w:rFonts w:ascii="Times New Roman" w:hAnsi="Times New Roman"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Times New Roman" w:hAnsi="Times New Roman" w:hint="default"/>
      </w:rPr>
    </w:lvl>
    <w:lvl w:ilvl="6" w:tplc="040C0001" w:tentative="1">
      <w:start w:val="1"/>
      <w:numFmt w:val="bullet"/>
      <w:lvlText w:val=""/>
      <w:lvlJc w:val="left"/>
      <w:pPr>
        <w:tabs>
          <w:tab w:val="num" w:pos="6741"/>
        </w:tabs>
        <w:ind w:left="6741" w:hanging="360"/>
      </w:pPr>
      <w:rPr>
        <w:rFonts w:ascii="Times New Roman" w:hAnsi="Times New Roman"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Times New Roman" w:hAnsi="Times New Roman" w:hint="default"/>
      </w:rPr>
    </w:lvl>
  </w:abstractNum>
  <w:num w:numId="1">
    <w:abstractNumId w:val="4"/>
  </w:num>
  <w:num w:numId="2">
    <w:abstractNumId w:val="1"/>
  </w:num>
  <w:num w:numId="3">
    <w:abstractNumId w:val="3"/>
  </w:num>
  <w:num w:numId="4">
    <w:abstractNumId w:val="2"/>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57"/>
  <w:evenAndOddHeaders/>
  <w:drawingGridHorizontalSpacing w:val="100"/>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751"/>
    <w:rsid w:val="0000105D"/>
    <w:rsid w:val="00002E3B"/>
    <w:rsid w:val="0000499B"/>
    <w:rsid w:val="00021967"/>
    <w:rsid w:val="000669CD"/>
    <w:rsid w:val="00066D20"/>
    <w:rsid w:val="000800A0"/>
    <w:rsid w:val="000928BC"/>
    <w:rsid w:val="00095065"/>
    <w:rsid w:val="00096ECF"/>
    <w:rsid w:val="00097827"/>
    <w:rsid w:val="000A1E52"/>
    <w:rsid w:val="000A23E2"/>
    <w:rsid w:val="000A61D3"/>
    <w:rsid w:val="000C2433"/>
    <w:rsid w:val="000C57E8"/>
    <w:rsid w:val="000C7355"/>
    <w:rsid w:val="000E1197"/>
    <w:rsid w:val="000F0B87"/>
    <w:rsid w:val="000F3804"/>
    <w:rsid w:val="0010285A"/>
    <w:rsid w:val="00113033"/>
    <w:rsid w:val="0011353C"/>
    <w:rsid w:val="00122C44"/>
    <w:rsid w:val="001354AC"/>
    <w:rsid w:val="00135E95"/>
    <w:rsid w:val="001372A5"/>
    <w:rsid w:val="00152EBD"/>
    <w:rsid w:val="00156FA7"/>
    <w:rsid w:val="001616F5"/>
    <w:rsid w:val="00161CAD"/>
    <w:rsid w:val="001645B6"/>
    <w:rsid w:val="0016777E"/>
    <w:rsid w:val="00184E9E"/>
    <w:rsid w:val="00185403"/>
    <w:rsid w:val="00186EAF"/>
    <w:rsid w:val="0018778A"/>
    <w:rsid w:val="00187A1E"/>
    <w:rsid w:val="00195E81"/>
    <w:rsid w:val="001A11CC"/>
    <w:rsid w:val="001B0692"/>
    <w:rsid w:val="001C1827"/>
    <w:rsid w:val="001C4238"/>
    <w:rsid w:val="001D7195"/>
    <w:rsid w:val="001F6810"/>
    <w:rsid w:val="002119BD"/>
    <w:rsid w:val="00216870"/>
    <w:rsid w:val="002179D8"/>
    <w:rsid w:val="00222852"/>
    <w:rsid w:val="0023569D"/>
    <w:rsid w:val="002469B3"/>
    <w:rsid w:val="002515D9"/>
    <w:rsid w:val="0026439D"/>
    <w:rsid w:val="00275717"/>
    <w:rsid w:val="002773A3"/>
    <w:rsid w:val="002811AE"/>
    <w:rsid w:val="0028250D"/>
    <w:rsid w:val="00293564"/>
    <w:rsid w:val="002A2479"/>
    <w:rsid w:val="002A52FA"/>
    <w:rsid w:val="002A7DE3"/>
    <w:rsid w:val="002B0FBD"/>
    <w:rsid w:val="002B59CE"/>
    <w:rsid w:val="002C206D"/>
    <w:rsid w:val="002C24EF"/>
    <w:rsid w:val="002C2BAE"/>
    <w:rsid w:val="002C5361"/>
    <w:rsid w:val="002C5BB3"/>
    <w:rsid w:val="002D7991"/>
    <w:rsid w:val="00304E2D"/>
    <w:rsid w:val="00307B57"/>
    <w:rsid w:val="00310EE4"/>
    <w:rsid w:val="003159A0"/>
    <w:rsid w:val="00322AD8"/>
    <w:rsid w:val="0033107F"/>
    <w:rsid w:val="00331140"/>
    <w:rsid w:val="003A1334"/>
    <w:rsid w:val="003B4E6C"/>
    <w:rsid w:val="003B5B54"/>
    <w:rsid w:val="003C0CCD"/>
    <w:rsid w:val="003E2D46"/>
    <w:rsid w:val="003E3F49"/>
    <w:rsid w:val="003F44A5"/>
    <w:rsid w:val="003F5D6F"/>
    <w:rsid w:val="004027E1"/>
    <w:rsid w:val="00404F6E"/>
    <w:rsid w:val="004057E4"/>
    <w:rsid w:val="004102C7"/>
    <w:rsid w:val="004301E1"/>
    <w:rsid w:val="004315E6"/>
    <w:rsid w:val="00431D2E"/>
    <w:rsid w:val="004448D3"/>
    <w:rsid w:val="0044643E"/>
    <w:rsid w:val="0045027F"/>
    <w:rsid w:val="004551CF"/>
    <w:rsid w:val="00462248"/>
    <w:rsid w:val="00463546"/>
    <w:rsid w:val="00464320"/>
    <w:rsid w:val="004900F5"/>
    <w:rsid w:val="00493450"/>
    <w:rsid w:val="00495139"/>
    <w:rsid w:val="004B3978"/>
    <w:rsid w:val="004B4F1C"/>
    <w:rsid w:val="004F28DE"/>
    <w:rsid w:val="004F2E0A"/>
    <w:rsid w:val="00501F38"/>
    <w:rsid w:val="00515A69"/>
    <w:rsid w:val="005243CC"/>
    <w:rsid w:val="00541B7D"/>
    <w:rsid w:val="00545C26"/>
    <w:rsid w:val="0055693A"/>
    <w:rsid w:val="00566FA5"/>
    <w:rsid w:val="00575D5D"/>
    <w:rsid w:val="00576621"/>
    <w:rsid w:val="0058087E"/>
    <w:rsid w:val="00586DCC"/>
    <w:rsid w:val="00597CD0"/>
    <w:rsid w:val="005A0230"/>
    <w:rsid w:val="005A1582"/>
    <w:rsid w:val="005C2269"/>
    <w:rsid w:val="005C3775"/>
    <w:rsid w:val="005D08F7"/>
    <w:rsid w:val="005D2332"/>
    <w:rsid w:val="005D5AD5"/>
    <w:rsid w:val="005F2212"/>
    <w:rsid w:val="005F51A3"/>
    <w:rsid w:val="00602653"/>
    <w:rsid w:val="00612757"/>
    <w:rsid w:val="00617235"/>
    <w:rsid w:val="00635088"/>
    <w:rsid w:val="00636A2C"/>
    <w:rsid w:val="00637726"/>
    <w:rsid w:val="00642C5F"/>
    <w:rsid w:val="006477B5"/>
    <w:rsid w:val="00651EE7"/>
    <w:rsid w:val="006542D5"/>
    <w:rsid w:val="00662275"/>
    <w:rsid w:val="00674A0D"/>
    <w:rsid w:val="006852B0"/>
    <w:rsid w:val="0069478F"/>
    <w:rsid w:val="006A007F"/>
    <w:rsid w:val="006A1271"/>
    <w:rsid w:val="006B4EE9"/>
    <w:rsid w:val="006B787E"/>
    <w:rsid w:val="006B7E45"/>
    <w:rsid w:val="006C2F2D"/>
    <w:rsid w:val="006D3C37"/>
    <w:rsid w:val="006D5371"/>
    <w:rsid w:val="006E22A1"/>
    <w:rsid w:val="006E4D95"/>
    <w:rsid w:val="006E53A7"/>
    <w:rsid w:val="006E6B39"/>
    <w:rsid w:val="006E78FC"/>
    <w:rsid w:val="006F26B5"/>
    <w:rsid w:val="00700375"/>
    <w:rsid w:val="00701DA3"/>
    <w:rsid w:val="0070721D"/>
    <w:rsid w:val="0071010E"/>
    <w:rsid w:val="00711562"/>
    <w:rsid w:val="007117FD"/>
    <w:rsid w:val="007127A8"/>
    <w:rsid w:val="007234BA"/>
    <w:rsid w:val="007373C3"/>
    <w:rsid w:val="0076256D"/>
    <w:rsid w:val="00770885"/>
    <w:rsid w:val="00774DF3"/>
    <w:rsid w:val="0078497D"/>
    <w:rsid w:val="00784A9B"/>
    <w:rsid w:val="00785509"/>
    <w:rsid w:val="007858F7"/>
    <w:rsid w:val="00790090"/>
    <w:rsid w:val="007A04E2"/>
    <w:rsid w:val="007A27D5"/>
    <w:rsid w:val="007B6471"/>
    <w:rsid w:val="007D1465"/>
    <w:rsid w:val="007D367E"/>
    <w:rsid w:val="007E3D28"/>
    <w:rsid w:val="007E7CFF"/>
    <w:rsid w:val="007F1098"/>
    <w:rsid w:val="007F683E"/>
    <w:rsid w:val="007F6D90"/>
    <w:rsid w:val="007F781E"/>
    <w:rsid w:val="00803A5D"/>
    <w:rsid w:val="008135CC"/>
    <w:rsid w:val="00830524"/>
    <w:rsid w:val="008411EB"/>
    <w:rsid w:val="008415E6"/>
    <w:rsid w:val="00841D5C"/>
    <w:rsid w:val="00863036"/>
    <w:rsid w:val="0087481F"/>
    <w:rsid w:val="00880074"/>
    <w:rsid w:val="0089517D"/>
    <w:rsid w:val="008A3E70"/>
    <w:rsid w:val="008A6F70"/>
    <w:rsid w:val="008B1D0A"/>
    <w:rsid w:val="008C1ADA"/>
    <w:rsid w:val="008D3A69"/>
    <w:rsid w:val="008D7F64"/>
    <w:rsid w:val="008E3E4F"/>
    <w:rsid w:val="008E3E6D"/>
    <w:rsid w:val="008E4DFC"/>
    <w:rsid w:val="00912AE0"/>
    <w:rsid w:val="00932333"/>
    <w:rsid w:val="00954869"/>
    <w:rsid w:val="009605EF"/>
    <w:rsid w:val="00960998"/>
    <w:rsid w:val="0097328D"/>
    <w:rsid w:val="009742A7"/>
    <w:rsid w:val="00975930"/>
    <w:rsid w:val="009849E0"/>
    <w:rsid w:val="0099218A"/>
    <w:rsid w:val="009A4F4C"/>
    <w:rsid w:val="009A5E17"/>
    <w:rsid w:val="009C3B59"/>
    <w:rsid w:val="009C695B"/>
    <w:rsid w:val="009D6949"/>
    <w:rsid w:val="009E45C0"/>
    <w:rsid w:val="009F1FF4"/>
    <w:rsid w:val="00A13DCE"/>
    <w:rsid w:val="00A240FF"/>
    <w:rsid w:val="00A344B1"/>
    <w:rsid w:val="00A3688D"/>
    <w:rsid w:val="00A634E2"/>
    <w:rsid w:val="00A648B4"/>
    <w:rsid w:val="00A75EF1"/>
    <w:rsid w:val="00A830D6"/>
    <w:rsid w:val="00A85596"/>
    <w:rsid w:val="00A950E6"/>
    <w:rsid w:val="00A95B45"/>
    <w:rsid w:val="00AA44DB"/>
    <w:rsid w:val="00AB7BEB"/>
    <w:rsid w:val="00AC2036"/>
    <w:rsid w:val="00AC50A9"/>
    <w:rsid w:val="00AC6CE1"/>
    <w:rsid w:val="00AF09D7"/>
    <w:rsid w:val="00AF1733"/>
    <w:rsid w:val="00AF1A7E"/>
    <w:rsid w:val="00B0751A"/>
    <w:rsid w:val="00B15C59"/>
    <w:rsid w:val="00B27FCB"/>
    <w:rsid w:val="00B42344"/>
    <w:rsid w:val="00B4732E"/>
    <w:rsid w:val="00B50562"/>
    <w:rsid w:val="00B51BE7"/>
    <w:rsid w:val="00B5228D"/>
    <w:rsid w:val="00B626EA"/>
    <w:rsid w:val="00B76249"/>
    <w:rsid w:val="00B91AF9"/>
    <w:rsid w:val="00B931C4"/>
    <w:rsid w:val="00B96BC9"/>
    <w:rsid w:val="00BA5DD7"/>
    <w:rsid w:val="00BB77E8"/>
    <w:rsid w:val="00BB7C53"/>
    <w:rsid w:val="00BC32F5"/>
    <w:rsid w:val="00BD296E"/>
    <w:rsid w:val="00BD3101"/>
    <w:rsid w:val="00BD50D1"/>
    <w:rsid w:val="00BE02F0"/>
    <w:rsid w:val="00BE7E78"/>
    <w:rsid w:val="00BF14FC"/>
    <w:rsid w:val="00C00CE0"/>
    <w:rsid w:val="00C108FB"/>
    <w:rsid w:val="00C15CE6"/>
    <w:rsid w:val="00C170C4"/>
    <w:rsid w:val="00C22C55"/>
    <w:rsid w:val="00C40C8A"/>
    <w:rsid w:val="00C43E56"/>
    <w:rsid w:val="00C45A38"/>
    <w:rsid w:val="00C554EE"/>
    <w:rsid w:val="00C5763F"/>
    <w:rsid w:val="00C707F6"/>
    <w:rsid w:val="00C7524C"/>
    <w:rsid w:val="00C83210"/>
    <w:rsid w:val="00C87C29"/>
    <w:rsid w:val="00C91C70"/>
    <w:rsid w:val="00CA1C63"/>
    <w:rsid w:val="00CA567F"/>
    <w:rsid w:val="00CA7067"/>
    <w:rsid w:val="00CB3137"/>
    <w:rsid w:val="00CB7081"/>
    <w:rsid w:val="00CD1222"/>
    <w:rsid w:val="00CE4EC5"/>
    <w:rsid w:val="00CE6312"/>
    <w:rsid w:val="00CF3E87"/>
    <w:rsid w:val="00CF4325"/>
    <w:rsid w:val="00D04769"/>
    <w:rsid w:val="00D14A03"/>
    <w:rsid w:val="00D150C3"/>
    <w:rsid w:val="00D15B55"/>
    <w:rsid w:val="00D24209"/>
    <w:rsid w:val="00D24808"/>
    <w:rsid w:val="00D26751"/>
    <w:rsid w:val="00D26B20"/>
    <w:rsid w:val="00D32497"/>
    <w:rsid w:val="00D37129"/>
    <w:rsid w:val="00D63AEF"/>
    <w:rsid w:val="00D766E4"/>
    <w:rsid w:val="00D814A7"/>
    <w:rsid w:val="00D82CF9"/>
    <w:rsid w:val="00D84C17"/>
    <w:rsid w:val="00D8537C"/>
    <w:rsid w:val="00DA0941"/>
    <w:rsid w:val="00DB1A71"/>
    <w:rsid w:val="00DD01D6"/>
    <w:rsid w:val="00DD0AAD"/>
    <w:rsid w:val="00DD6ECD"/>
    <w:rsid w:val="00DF0029"/>
    <w:rsid w:val="00DF1527"/>
    <w:rsid w:val="00E069EE"/>
    <w:rsid w:val="00E15A53"/>
    <w:rsid w:val="00E32965"/>
    <w:rsid w:val="00E62B4A"/>
    <w:rsid w:val="00E66452"/>
    <w:rsid w:val="00E674B1"/>
    <w:rsid w:val="00E77AE1"/>
    <w:rsid w:val="00E83D7E"/>
    <w:rsid w:val="00E848A5"/>
    <w:rsid w:val="00E9666A"/>
    <w:rsid w:val="00EA0FCD"/>
    <w:rsid w:val="00EA76EE"/>
    <w:rsid w:val="00EB67AD"/>
    <w:rsid w:val="00EC1A7D"/>
    <w:rsid w:val="00ED6A0E"/>
    <w:rsid w:val="00EE236B"/>
    <w:rsid w:val="00EE6099"/>
    <w:rsid w:val="00EF0390"/>
    <w:rsid w:val="00EF5A9B"/>
    <w:rsid w:val="00F23D0D"/>
    <w:rsid w:val="00F57DB2"/>
    <w:rsid w:val="00F650ED"/>
    <w:rsid w:val="00F651F5"/>
    <w:rsid w:val="00F670E2"/>
    <w:rsid w:val="00F72780"/>
    <w:rsid w:val="00F942B1"/>
    <w:rsid w:val="00F95F50"/>
    <w:rsid w:val="00FA0C80"/>
    <w:rsid w:val="00FB052A"/>
    <w:rsid w:val="00FC0A01"/>
    <w:rsid w:val="00FC3F50"/>
    <w:rsid w:val="00FD65FB"/>
    <w:rsid w:val="00FE3C0A"/>
    <w:rsid w:val="00FE5F7D"/>
    <w:rsid w:val="00FE72D9"/>
    <w:rsid w:val="00FF320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2ED251B-1BD3-4708-B8C0-26067B441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B6471"/>
    <w:pPr>
      <w:suppressAutoHyphens/>
      <w:spacing w:line="240" w:lineRule="atLeast"/>
    </w:pPr>
    <w:rPr>
      <w:snapToGrid w:val="0"/>
      <w:lang w:val="fr-CH"/>
    </w:rPr>
  </w:style>
  <w:style w:type="paragraph" w:styleId="Heading1">
    <w:name w:val="heading 1"/>
    <w:aliases w:val="Table_G"/>
    <w:basedOn w:val="SingleTxtG"/>
    <w:next w:val="SingleTxtG"/>
    <w:qFormat/>
    <w:pPr>
      <w:keepNext/>
      <w:keepLines/>
      <w:spacing w:after="0" w:line="240" w:lineRule="auto"/>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pPr>
      <w:spacing w:after="120"/>
      <w:ind w:left="1134" w:right="1134"/>
      <w:jc w:val="both"/>
    </w:p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paragraph" w:customStyle="1" w:styleId="Bullet2G">
    <w:name w:val="_Bullet 2_G"/>
    <w:basedOn w:val="Normal"/>
    <w:pPr>
      <w:numPr>
        <w:numId w:val="2"/>
      </w:numPr>
      <w:spacing w:after="120"/>
      <w:ind w:right="1134"/>
      <w:jc w:val="both"/>
    </w:pPr>
  </w:style>
  <w:style w:type="character" w:styleId="FootnoteReference">
    <w:name w:val="footnote reference"/>
    <w:aliases w:val="4_G"/>
    <w:semiHidden/>
    <w:rPr>
      <w:rFonts w:ascii="Times New Roman" w:hAnsi="Times New Roman"/>
      <w:sz w:val="18"/>
      <w:vertAlign w:val="superscript"/>
      <w:lang w:val="fr-CH"/>
    </w:rPr>
  </w:style>
  <w:style w:type="character" w:styleId="EndnoteReference">
    <w:name w:val="endnote reference"/>
    <w:aliases w:val="1_G"/>
    <w:semiHidden/>
    <w:rPr>
      <w:rFonts w:ascii="Times New Roman" w:hAnsi="Times New Roman" w:cs="Times New Roman"/>
      <w:sz w:val="18"/>
      <w:vertAlign w:val="superscript"/>
      <w:lang w:val="fr-CH"/>
    </w:rPr>
  </w:style>
  <w:style w:type="paragraph" w:styleId="Header">
    <w:name w:val="header"/>
    <w:aliases w:val="6_G"/>
    <w:basedOn w:val="Normal"/>
    <w:next w:val="Normal"/>
    <w:pPr>
      <w:pBdr>
        <w:bottom w:val="single" w:sz="4" w:space="4" w:color="auto"/>
      </w:pBdr>
      <w:spacing w:line="240" w:lineRule="auto"/>
    </w:pPr>
    <w:rPr>
      <w:b/>
      <w:sz w:val="18"/>
    </w:rPr>
  </w:style>
  <w:style w:type="paragraph" w:styleId="FootnoteText">
    <w:name w:val="footnote text"/>
    <w:aliases w:val="5_G"/>
    <w:basedOn w:val="Normal"/>
    <w:semiHidden/>
    <w:pPr>
      <w:tabs>
        <w:tab w:val="right" w:pos="1021"/>
      </w:tabs>
      <w:spacing w:line="220" w:lineRule="exact"/>
      <w:ind w:left="1134" w:right="1134" w:hanging="1134"/>
    </w:pPr>
    <w:rPr>
      <w:sz w:val="18"/>
    </w:rPr>
  </w:style>
  <w:style w:type="paragraph" w:styleId="EndnoteText">
    <w:name w:val="endnote text"/>
    <w:aliases w:val="2_G"/>
    <w:basedOn w:val="FootnoteText"/>
    <w:semiHidden/>
  </w:style>
  <w:style w:type="character" w:styleId="PageNumber">
    <w:name w:val="page number"/>
    <w:aliases w:val="7_G"/>
    <w:rPr>
      <w:rFonts w:ascii="Times New Roman" w:hAnsi="Times New Roman"/>
      <w:b/>
      <w:sz w:val="18"/>
      <w:lang w:val="fr-CH"/>
    </w:rPr>
  </w:style>
  <w:style w:type="paragraph" w:styleId="Footer">
    <w:name w:val="footer"/>
    <w:aliases w:val="3_G"/>
    <w:basedOn w:val="Normal"/>
    <w:next w:val="Normal"/>
    <w:pPr>
      <w:spacing w:line="240" w:lineRule="auto"/>
    </w:pPr>
    <w:rPr>
      <w:sz w:val="16"/>
    </w:rPr>
  </w:style>
  <w:style w:type="character" w:styleId="Hyperlink">
    <w:name w:val="Hyperlink"/>
    <w:rPr>
      <w:color w:val="auto"/>
      <w:u w:val="none"/>
    </w:rPr>
  </w:style>
  <w:style w:type="character" w:styleId="FollowedHyperlink">
    <w:name w:val="FollowedHyperlink"/>
    <w:rPr>
      <w:color w:val="auto"/>
      <w:u w:val="none"/>
    </w:rPr>
  </w:style>
  <w:style w:type="paragraph" w:customStyle="1" w:styleId="Default">
    <w:name w:val="Default"/>
    <w:pPr>
      <w:autoSpaceDE w:val="0"/>
      <w:autoSpaceDN w:val="0"/>
      <w:adjustRightInd w:val="0"/>
    </w:pPr>
    <w:rPr>
      <w:color w:val="000000"/>
      <w:sz w:val="24"/>
      <w:szCs w:val="24"/>
      <w:lang w:val="de-DE"/>
    </w:rPr>
  </w:style>
  <w:style w:type="table" w:styleId="TableGrid">
    <w:name w:val="Table Grid"/>
    <w:basedOn w:val="TableNormal"/>
    <w:pPr>
      <w:suppressAutoHyphens/>
      <w:spacing w:line="240" w:lineRule="atLeast"/>
    </w:pPr>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pPr>
      <w:spacing w:line="240" w:lineRule="auto"/>
    </w:pPr>
    <w:rPr>
      <w:sz w:val="16"/>
      <w:szCs w:val="16"/>
    </w:rPr>
  </w:style>
  <w:style w:type="character" w:customStyle="1" w:styleId="CarCar">
    <w:name w:val="Car Car"/>
    <w:locked/>
    <w:rPr>
      <w:rFonts w:ascii="Times New Roman" w:hAnsi="Times New Roman"/>
      <w:sz w:val="16"/>
      <w:lang w:val="fr-CH"/>
    </w:rPr>
  </w:style>
  <w:style w:type="paragraph" w:styleId="Revision">
    <w:name w:val="Revision"/>
    <w:hidden/>
    <w:semiHidden/>
    <w:rPr>
      <w:snapToGrid w:val="0"/>
      <w:lang w:val="fr-CH"/>
    </w:rPr>
  </w:style>
  <w:style w:type="character" w:customStyle="1" w:styleId="H1GChar">
    <w:name w:val="_ H_1_G Char"/>
    <w:locked/>
    <w:rPr>
      <w:b/>
      <w:sz w:val="24"/>
      <w:lang w:val="fr-CH"/>
    </w:rPr>
  </w:style>
  <w:style w:type="character" w:styleId="CommentReference">
    <w:name w:val="annotation reference"/>
    <w:semiHidden/>
    <w:rPr>
      <w:sz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PlainText">
    <w:name w:val="Plain Text"/>
    <w:basedOn w:val="Normal"/>
    <w:link w:val="PlainTextChar"/>
    <w:uiPriority w:val="99"/>
    <w:unhideWhenUsed/>
    <w:rsid w:val="008D7F64"/>
    <w:pPr>
      <w:suppressAutoHyphens w:val="0"/>
      <w:spacing w:line="240" w:lineRule="auto"/>
    </w:pPr>
    <w:rPr>
      <w:rFonts w:ascii="Calibri" w:eastAsia="Calibri" w:hAnsi="Calibri"/>
      <w:snapToGrid/>
      <w:sz w:val="22"/>
      <w:szCs w:val="21"/>
      <w:lang w:val="fr-FR" w:eastAsia="en-US"/>
    </w:rPr>
  </w:style>
  <w:style w:type="character" w:customStyle="1" w:styleId="PlainTextChar">
    <w:name w:val="Plain Text Char"/>
    <w:link w:val="PlainText"/>
    <w:uiPriority w:val="99"/>
    <w:rsid w:val="008D7F64"/>
    <w:rPr>
      <w:rFonts w:ascii="Calibri" w:eastAsia="Calibri" w:hAnsi="Calibri"/>
      <w:sz w:val="22"/>
      <w:szCs w:val="21"/>
      <w:lang w:eastAsia="en-US"/>
    </w:rPr>
  </w:style>
  <w:style w:type="character" w:customStyle="1" w:styleId="SingleTxtGChar">
    <w:name w:val="_ Single Txt_G Char"/>
    <w:link w:val="SingleTxtG"/>
    <w:qFormat/>
    <w:rsid w:val="00CE4EC5"/>
    <w:rPr>
      <w:snapToGrid w:val="0"/>
      <w:lang w:val="fr-CH" w:eastAsia="fr-FR"/>
    </w:rPr>
  </w:style>
  <w:style w:type="paragraph" w:customStyle="1" w:styleId="N2">
    <w:name w:val="N2"/>
    <w:basedOn w:val="Normal"/>
    <w:rsid w:val="00C45A38"/>
    <w:pPr>
      <w:widowControl w:val="0"/>
      <w:suppressAutoHyphens w:val="0"/>
      <w:overflowPunct w:val="0"/>
      <w:autoSpaceDE w:val="0"/>
      <w:autoSpaceDN w:val="0"/>
      <w:adjustRightInd w:val="0"/>
      <w:spacing w:line="240" w:lineRule="auto"/>
      <w:ind w:left="1134" w:hanging="1134"/>
      <w:jc w:val="both"/>
      <w:textAlignment w:val="baseline"/>
    </w:pPr>
    <w:rPr>
      <w:rFonts w:ascii="Arial" w:hAnsi="Arial"/>
      <w:snapToGrid/>
      <w:lang w:val="de-DE"/>
    </w:rPr>
  </w:style>
  <w:style w:type="paragraph" w:customStyle="1" w:styleId="N5">
    <w:name w:val="N5"/>
    <w:basedOn w:val="Normal"/>
    <w:rsid w:val="00C45A38"/>
    <w:pPr>
      <w:widowControl w:val="0"/>
      <w:suppressAutoHyphens w:val="0"/>
      <w:overflowPunct w:val="0"/>
      <w:autoSpaceDE w:val="0"/>
      <w:autoSpaceDN w:val="0"/>
      <w:adjustRightInd w:val="0"/>
      <w:spacing w:line="240" w:lineRule="auto"/>
      <w:ind w:left="1418" w:hanging="284"/>
      <w:jc w:val="both"/>
      <w:textAlignment w:val="baseline"/>
    </w:pPr>
    <w:rPr>
      <w:rFonts w:ascii="Arial" w:hAnsi="Arial"/>
      <w:snapToGrid/>
      <w:lang w:val="de-DE"/>
    </w:rPr>
  </w:style>
  <w:style w:type="paragraph" w:customStyle="1" w:styleId="N10">
    <w:name w:val="N10"/>
    <w:basedOn w:val="Normal"/>
    <w:rsid w:val="00C45A38"/>
    <w:pPr>
      <w:widowControl w:val="0"/>
      <w:suppressAutoHyphens w:val="0"/>
      <w:overflowPunct w:val="0"/>
      <w:autoSpaceDE w:val="0"/>
      <w:autoSpaceDN w:val="0"/>
      <w:adjustRightInd w:val="0"/>
      <w:spacing w:line="240" w:lineRule="auto"/>
      <w:ind w:left="1702" w:hanging="284"/>
      <w:jc w:val="both"/>
      <w:textAlignment w:val="baseline"/>
    </w:pPr>
    <w:rPr>
      <w:rFonts w:ascii="Arial" w:hAnsi="Arial"/>
      <w:snapToGrid/>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37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1416</Words>
  <Characters>8074</Characters>
  <Application>Microsoft Office Word</Application>
  <DocSecurity>4</DocSecurity>
  <Lines>67</Lines>
  <Paragraphs>18</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ECE/TRANS/WP.15/AC.2/2011/20</vt:lpstr>
      <vt:lpstr>ECE/TRANS/WP.15/AC.2/2011/20</vt:lpstr>
      <vt:lpstr>ECE/TRANS/WP.15/AC.2/2011/20</vt:lpstr>
    </vt:vector>
  </TitlesOfParts>
  <Company>Kocarek Übersetzungen e.K.</Company>
  <LinksUpToDate>false</LinksUpToDate>
  <CharactersWithSpaces>9472</CharactersWithSpaces>
  <SharedDoc>false</SharedDoc>
  <HLinks>
    <vt:vector size="6" baseType="variant">
      <vt:variant>
        <vt:i4>6619175</vt:i4>
      </vt:variant>
      <vt:variant>
        <vt:i4>0</vt:i4>
      </vt:variant>
      <vt:variant>
        <vt:i4>0</vt:i4>
      </vt:variant>
      <vt:variant>
        <vt:i4>5</vt:i4>
      </vt:variant>
      <vt:variant>
        <vt:lpwstr>http://otif.org/fileadmin/user_upload/otif_verlinkte_files/05_gef_guet/01_gem_tagung/01_2011_gem_tagung/RC_2011-30_D.pdf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ECE/TRANS/WP.15/AC.2/2011/20</dc:title>
  <dc:subject>FINAL (1-2)</dc:subject>
  <dc:creator>www.kocarek-uebersetzungen.com</dc:creator>
  <cp:keywords/>
  <cp:lastModifiedBy>Marie-Claude Collet</cp:lastModifiedBy>
  <cp:revision>2</cp:revision>
  <cp:lastPrinted>2019-06-19T12:15:00Z</cp:lastPrinted>
  <dcterms:created xsi:type="dcterms:W3CDTF">2019-06-19T13:44:00Z</dcterms:created>
  <dcterms:modified xsi:type="dcterms:W3CDTF">2019-06-19T13:44:00Z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472045616</vt:i4>
  </property>
  <property fmtid="{D5CDD505-2E9C-101B-9397-08002B2CF9AE}" pid="3" name="_NewReviewCycle">
    <vt:lpwstr/>
  </property>
  <property fmtid="{D5CDD505-2E9C-101B-9397-08002B2CF9AE}" pid="4" name="_EmailEntryID">
    <vt:lpwstr>000000008EEAEE6AE5E0934689D920D253773AE607006D8CC1FAF44DBB4D912AECC6A59188E800000103AFA60000F02B87042A63564C81683A3442E15BD40004121620B70000</vt:lpwstr>
  </property>
  <property fmtid="{D5CDD505-2E9C-101B-9397-08002B2CF9AE}" pid="5" name="_EmailStoreID0">
    <vt:lpwstr>0000000038A1BB1005E5101AA1BB08002B2A56C20000454D534D44422E444C4C00000000000000001B55FA20AA6611CD9BC800AA002FC45A0C0000004D2E4D6F656E6368406363722D7A6B722E6F7267002F6F3D43434E522F6F753D5072656D6965722067726F75706520642761646D696E697374726174696F6E2F636E3D5</vt:lpwstr>
  </property>
  <property fmtid="{D5CDD505-2E9C-101B-9397-08002B2CF9AE}" pid="6" name="_EmailStoreID1">
    <vt:lpwstr>26563697069656E74732F636E3D6D2E6D6F656E636800E94632F43C00000002000000100000004D002E004D006F0065006E006300680040006300630072002D007A006B0072002E006F007200670000000000</vt:lpwstr>
  </property>
  <property fmtid="{D5CDD505-2E9C-101B-9397-08002B2CF9AE}" pid="7" name="_ReviewingToolsShownOnce">
    <vt:lpwstr/>
  </property>
</Properties>
</file>