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2A0656" w:rsidP="002A0656">
            <w:pPr>
              <w:jc w:val="right"/>
            </w:pPr>
            <w:r w:rsidRPr="002A0656">
              <w:rPr>
                <w:sz w:val="40"/>
              </w:rPr>
              <w:t>ECE</w:t>
            </w:r>
            <w:r>
              <w:t>/TRANS/WP.15/AC.2/2019</w:t>
            </w:r>
            <w:r w:rsidR="003E5E6F">
              <w:t>/</w:t>
            </w:r>
            <w:r w:rsidR="005F1244">
              <w:t>21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</w:t>
            </w:r>
            <w:r w:rsidR="003E5E6F">
              <w:rPr>
                <w:b/>
                <w:sz w:val="40"/>
                <w:szCs w:val="40"/>
              </w:rPr>
              <w:t>c</w:t>
            </w:r>
            <w:r w:rsidRPr="00FB77FF">
              <w:rPr>
                <w:b/>
                <w:sz w:val="40"/>
                <w:szCs w:val="40"/>
              </w:rPr>
              <w:t>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1207F" w:rsidRDefault="002A0656" w:rsidP="002A0656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2A0656" w:rsidRDefault="00D13DEC" w:rsidP="002A0656">
            <w:pPr>
              <w:spacing w:line="240" w:lineRule="exact"/>
            </w:pPr>
            <w:r>
              <w:t>7</w:t>
            </w:r>
            <w:r w:rsidR="00F24E50">
              <w:t xml:space="preserve"> </w:t>
            </w:r>
            <w:r w:rsidR="00180774">
              <w:t>juin</w:t>
            </w:r>
            <w:r w:rsidR="002A0656">
              <w:t xml:space="preserve"> 2019</w:t>
            </w:r>
          </w:p>
          <w:p w:rsidR="002A0656" w:rsidRDefault="002A0656" w:rsidP="002A0656">
            <w:pPr>
              <w:spacing w:line="240" w:lineRule="exact"/>
            </w:pPr>
          </w:p>
          <w:p w:rsidR="002A0656" w:rsidRPr="00DB58B5" w:rsidRDefault="002A0656" w:rsidP="002A0656">
            <w:pPr>
              <w:spacing w:line="240" w:lineRule="exact"/>
            </w:pPr>
            <w:r>
              <w:t>Original : français</w:t>
            </w:r>
          </w:p>
        </w:tc>
      </w:tr>
    </w:tbl>
    <w:p w:rsidR="002A0656" w:rsidRDefault="002A0656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:rsidR="002A0656" w:rsidRDefault="002A0656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</w:t>
      </w:r>
      <w:r w:rsidR="00BC03E0">
        <w:rPr>
          <w:sz w:val="28"/>
          <w:szCs w:val="28"/>
        </w:rPr>
        <w:t>rs</w:t>
      </w:r>
    </w:p>
    <w:p w:rsidR="002A0656" w:rsidRPr="009E01B8" w:rsidRDefault="002A0656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2A0656" w:rsidRPr="004812F5" w:rsidRDefault="002A0656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2A0656" w:rsidRPr="00234E40" w:rsidRDefault="001120F0" w:rsidP="00FD1581">
      <w:pPr>
        <w:spacing w:before="120"/>
        <w:rPr>
          <w:b/>
        </w:rPr>
      </w:pPr>
      <w:r>
        <w:rPr>
          <w:b/>
        </w:rPr>
        <w:t>T</w:t>
      </w:r>
      <w:r w:rsidR="00180774">
        <w:rPr>
          <w:b/>
        </w:rPr>
        <w:t xml:space="preserve">rente-cinquième </w:t>
      </w:r>
      <w:r w:rsidR="002A0656" w:rsidRPr="00234E40">
        <w:rPr>
          <w:b/>
        </w:rPr>
        <w:t>session</w:t>
      </w:r>
    </w:p>
    <w:p w:rsidR="002A0656" w:rsidRDefault="002A0656" w:rsidP="00FD1581">
      <w:r>
        <w:t xml:space="preserve">Genève, </w:t>
      </w:r>
      <w:r w:rsidR="001120F0">
        <w:t>26-30 août 2019</w:t>
      </w:r>
    </w:p>
    <w:p w:rsidR="002A0656" w:rsidRDefault="002A0656" w:rsidP="00FD1581">
      <w:r w:rsidRPr="00B93E72">
        <w:t xml:space="preserve">Point </w:t>
      </w:r>
      <w:r w:rsidR="005F1244">
        <w:t>4</w:t>
      </w:r>
      <w:r w:rsidR="004B18F9">
        <w:t xml:space="preserve"> </w:t>
      </w:r>
      <w:r w:rsidR="005F1244">
        <w:t>b)</w:t>
      </w:r>
      <w:r>
        <w:t xml:space="preserve"> </w:t>
      </w:r>
      <w:r w:rsidRPr="00B93E72">
        <w:t>de l’ordre du jour provisoire</w:t>
      </w:r>
    </w:p>
    <w:p w:rsidR="001120F0" w:rsidRDefault="001120F0" w:rsidP="00FD1581">
      <w:pPr>
        <w:rPr>
          <w:b/>
          <w:bCs/>
        </w:rPr>
      </w:pPr>
      <w:r w:rsidRPr="001120F0">
        <w:rPr>
          <w:b/>
          <w:bCs/>
        </w:rPr>
        <w:t>Propositions d’amendements au Règlement annexé à l’ADN :</w:t>
      </w:r>
      <w:r w:rsidRPr="001120F0">
        <w:rPr>
          <w:b/>
          <w:bCs/>
        </w:rPr>
        <w:br/>
        <w:t>autres propositions</w:t>
      </w:r>
    </w:p>
    <w:p w:rsidR="00F24E50" w:rsidRPr="00B23BE3" w:rsidRDefault="00F24E50" w:rsidP="00F24E5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23BE3">
        <w:rPr>
          <w:lang w:val="fr-FR"/>
        </w:rPr>
        <w:t>Correction dans l’ADN 2019</w:t>
      </w:r>
    </w:p>
    <w:p w:rsidR="00F24E50" w:rsidRPr="00B23BE3" w:rsidRDefault="00F24E50" w:rsidP="00F24E5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23BE3">
        <w:rPr>
          <w:lang w:val="fr-FR"/>
        </w:rPr>
        <w:t>Communication de la Commission Centrale pour la Navigation du Rhin (CCNR)</w:t>
      </w:r>
      <w:r w:rsidR="005F1244" w:rsidRPr="005F124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5F1244">
        <w:rPr>
          <w:b w:val="0"/>
          <w:bCs/>
          <w:sz w:val="20"/>
          <w:vertAlign w:val="superscript"/>
          <w:lang w:val="fr-FR"/>
        </w:rPr>
        <w:t>,</w:t>
      </w:r>
      <w:r>
        <w:rPr>
          <w:vertAlign w:val="superscript"/>
          <w:lang w:val="fr-FR"/>
        </w:rPr>
        <w:t xml:space="preserve"> </w:t>
      </w:r>
      <w:r w:rsidRPr="00D26EF8">
        <w:rPr>
          <w:rStyle w:val="FootnoteReference"/>
          <w:b w:val="0"/>
          <w:sz w:val="20"/>
          <w:vertAlign w:val="baseline"/>
          <w:lang w:val="fr-FR"/>
        </w:rPr>
        <w:footnoteReference w:customMarkFollows="1" w:id="3"/>
        <w:t>**</w:t>
      </w:r>
      <w:r w:rsidRPr="00D26EF8">
        <w:rPr>
          <w:b w:val="0"/>
          <w:sz w:val="20"/>
          <w:lang w:val="fr-FR"/>
        </w:rPr>
        <w:t xml:space="preserve"> </w:t>
      </w:r>
    </w:p>
    <w:p w:rsidR="00F24E50" w:rsidRPr="008F497E" w:rsidRDefault="00F24E50" w:rsidP="00F24E50">
      <w:pPr>
        <w:pStyle w:val="SingleTxtG"/>
        <w:rPr>
          <w:lang w:val="fr-FR"/>
        </w:rPr>
      </w:pPr>
      <w:r w:rsidRPr="008F497E">
        <w:rPr>
          <w:lang w:val="fr-FR"/>
        </w:rPr>
        <w:t>Le secrétariat de la CCNR propose les corrections suivantes dans l’ADN 2019 :</w:t>
      </w:r>
    </w:p>
    <w:p w:rsidR="00F24E50" w:rsidRPr="008F497E" w:rsidRDefault="00F24E50" w:rsidP="00F24E50">
      <w:pPr>
        <w:pStyle w:val="H23G"/>
        <w:rPr>
          <w:lang w:val="fr-FR"/>
        </w:rPr>
      </w:pPr>
      <w:r>
        <w:rPr>
          <w:lang w:val="fr-FR"/>
        </w:rPr>
        <w:tab/>
      </w:r>
      <w:r w:rsidRPr="008F497E">
        <w:rPr>
          <w:lang w:val="fr-FR"/>
        </w:rPr>
        <w:t>1.</w:t>
      </w:r>
      <w:r w:rsidRPr="008F497E">
        <w:rPr>
          <w:lang w:val="fr-FR"/>
        </w:rPr>
        <w:tab/>
        <w:t>Ad Table des matières</w:t>
      </w:r>
    </w:p>
    <w:p w:rsidR="00F24E50" w:rsidRPr="008F497E" w:rsidRDefault="00F24E50" w:rsidP="00F24E50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La référence à « 7.1.7 » manque dans la table des matières.</w:t>
      </w:r>
    </w:p>
    <w:p w:rsidR="00F24E50" w:rsidRPr="00F24E50" w:rsidRDefault="00F24E50" w:rsidP="00F24E50">
      <w:pPr>
        <w:pStyle w:val="SingleTxtG"/>
        <w:rPr>
          <w:b/>
          <w:bCs/>
          <w:lang w:val="fr-FR" w:eastAsia="en-US"/>
        </w:rPr>
      </w:pPr>
      <w:r w:rsidRPr="00F24E50">
        <w:rPr>
          <w:b/>
          <w:bCs/>
          <w:lang w:val="fr-FR" w:eastAsia="de-DE"/>
        </w:rPr>
        <w:t xml:space="preserve">Proposition </w:t>
      </w:r>
      <w:r w:rsidRPr="00FD04E0">
        <w:rPr>
          <w:lang w:val="fr-FR" w:eastAsia="en-US"/>
        </w:rPr>
        <w:t>:</w:t>
      </w:r>
    </w:p>
    <w:p w:rsidR="00F24E50" w:rsidRPr="008F497E" w:rsidRDefault="00F24E50" w:rsidP="002A321C">
      <w:pPr>
        <w:pStyle w:val="SingleTxtG"/>
        <w:spacing w:after="240"/>
        <w:rPr>
          <w:lang w:val="fr-FR"/>
        </w:rPr>
      </w:pPr>
      <w:r w:rsidRPr="00666666">
        <w:rPr>
          <w:i/>
          <w:iCs/>
          <w:lang w:val="fr-FR"/>
        </w:rPr>
        <w:t>Insérer</w:t>
      </w:r>
      <w:r w:rsidRPr="008F497E">
        <w:rPr>
          <w:lang w:val="fr-FR"/>
        </w:rPr>
        <w:t xml:space="preserve"> : « 7.1.7 Dispositions particulières applicables au transport des matières </w:t>
      </w:r>
      <w:proofErr w:type="spellStart"/>
      <w:r w:rsidRPr="008F497E">
        <w:rPr>
          <w:lang w:val="fr-FR"/>
        </w:rPr>
        <w:t>autoréactives</w:t>
      </w:r>
      <w:proofErr w:type="spellEnd"/>
      <w:r w:rsidRPr="008F497E">
        <w:rPr>
          <w:lang w:val="fr-FR"/>
        </w:rPr>
        <w:t xml:space="preserve"> de la classe 4.1, des peroxydes organiques de la classe 5.2 et des matières stabilisées par régulation de température (autres que les matières </w:t>
      </w:r>
      <w:proofErr w:type="spellStart"/>
      <w:r w:rsidRPr="008F497E">
        <w:rPr>
          <w:lang w:val="fr-FR"/>
        </w:rPr>
        <w:t>autoréactives</w:t>
      </w:r>
      <w:proofErr w:type="spellEnd"/>
      <w:r w:rsidRPr="008F497E">
        <w:rPr>
          <w:lang w:val="fr-FR"/>
        </w:rPr>
        <w:t xml:space="preserve"> ou les peroxydes organiques) ».</w:t>
      </w:r>
    </w:p>
    <w:p w:rsidR="00F24E50" w:rsidRPr="008F497E" w:rsidRDefault="00FD04E0" w:rsidP="002A321C">
      <w:pPr>
        <w:pStyle w:val="H23G"/>
        <w:spacing w:before="120"/>
        <w:rPr>
          <w:lang w:val="fr-FR" w:eastAsia="en-US"/>
        </w:rPr>
      </w:pPr>
      <w:r>
        <w:rPr>
          <w:lang w:val="fr-FR" w:eastAsia="en-US"/>
        </w:rPr>
        <w:tab/>
      </w:r>
      <w:r w:rsidR="00F24E50" w:rsidRPr="008F497E">
        <w:rPr>
          <w:lang w:val="fr-FR" w:eastAsia="en-US"/>
        </w:rPr>
        <w:t>2.</w:t>
      </w:r>
      <w:r w:rsidR="00F24E50" w:rsidRPr="008F497E">
        <w:rPr>
          <w:lang w:val="fr-FR" w:eastAsia="en-US"/>
        </w:rPr>
        <w:tab/>
        <w:t>Ad 1.6.7.2.1.3</w:t>
      </w:r>
    </w:p>
    <w:p w:rsidR="00F24E50" w:rsidRPr="008F497E" w:rsidRDefault="00F24E50" w:rsidP="00FD04E0">
      <w:pPr>
        <w:pStyle w:val="SingleTxtG"/>
        <w:rPr>
          <w:lang w:val="fr-FR" w:eastAsia="de-DE"/>
        </w:rPr>
      </w:pPr>
      <w:bookmarkStart w:id="0" w:name="_Hlk8049076"/>
      <w:bookmarkStart w:id="1" w:name="_Hlk7184184"/>
      <w:r w:rsidRPr="008F497E">
        <w:rPr>
          <w:lang w:val="fr-FR" w:eastAsia="de-DE"/>
        </w:rPr>
        <w:t>Suppression de la disposition transitoire en raison de l</w:t>
      </w:r>
      <w:r w:rsidR="001B18EC">
        <w:rPr>
          <w:lang w:val="fr-FR" w:eastAsia="de-DE"/>
        </w:rPr>
        <w:t>’</w:t>
      </w:r>
      <w:r w:rsidRPr="008F497E">
        <w:rPr>
          <w:lang w:val="fr-FR" w:eastAsia="de-DE"/>
        </w:rPr>
        <w:t>expiration du délai.</w:t>
      </w:r>
    </w:p>
    <w:bookmarkEnd w:id="0"/>
    <w:p w:rsidR="00F24E50" w:rsidRPr="008F497E" w:rsidRDefault="00F24E50" w:rsidP="00267D81">
      <w:pPr>
        <w:pStyle w:val="SingleTxtG"/>
        <w:keepNext/>
        <w:keepLines/>
        <w:tabs>
          <w:tab w:val="left" w:pos="8505"/>
        </w:tabs>
        <w:rPr>
          <w:lang w:val="fr-FR" w:eastAsia="en-US"/>
        </w:rPr>
      </w:pPr>
      <w:r w:rsidRPr="00FD04E0">
        <w:rPr>
          <w:b/>
          <w:bCs/>
          <w:lang w:val="fr-FR" w:eastAsia="de-DE"/>
        </w:rPr>
        <w:lastRenderedPageBreak/>
        <w:t>Proposition</w:t>
      </w:r>
      <w:r w:rsidRPr="008F497E">
        <w:rPr>
          <w:lang w:val="fr-FR" w:eastAsia="de-DE"/>
        </w:rPr>
        <w:t xml:space="preserve"> </w:t>
      </w:r>
      <w:r w:rsidRPr="008F497E">
        <w:rPr>
          <w:lang w:val="fr-FR" w:eastAsia="en-US"/>
        </w:rPr>
        <w:t>:</w:t>
      </w:r>
    </w:p>
    <w:bookmarkEnd w:id="1"/>
    <w:p w:rsidR="00F24E50" w:rsidRPr="008F497E" w:rsidRDefault="00F24E50" w:rsidP="00267D81">
      <w:pPr>
        <w:pStyle w:val="SingleTxtG"/>
        <w:keepNext/>
        <w:keepLines/>
        <w:rPr>
          <w:lang w:val="fr-FR" w:eastAsia="en-US"/>
        </w:rPr>
      </w:pPr>
      <w:r w:rsidRPr="00FD04E0">
        <w:rPr>
          <w:i/>
          <w:iCs/>
          <w:lang w:val="fr-FR" w:eastAsia="en-US"/>
        </w:rPr>
        <w:t>Remplacer</w:t>
      </w:r>
      <w:r w:rsidRPr="008F497E">
        <w:rPr>
          <w:lang w:val="fr-FR" w:eastAsia="en-US"/>
        </w:rPr>
        <w:t xml:space="preserve"> « 1.6.7.2.1.3</w:t>
      </w:r>
      <w:r w:rsidR="00FD04E0">
        <w:rPr>
          <w:lang w:val="fr-FR" w:eastAsia="en-US"/>
        </w:rPr>
        <w:t xml:space="preserve"> </w:t>
      </w:r>
      <w:r w:rsidRPr="008F497E">
        <w:rPr>
          <w:lang w:val="fr-FR" w:eastAsia="en-US"/>
        </w:rPr>
        <w:t>Par dérogation au paragraphe 7.1.4.1, le transport en vrac</w:t>
      </w:r>
      <w:r w:rsidR="00651FAA">
        <w:rPr>
          <w:lang w:val="fr-FR" w:eastAsia="en-US"/>
        </w:rPr>
        <w:t xml:space="preserve"> </w:t>
      </w:r>
      <w:proofErr w:type="spellStart"/>
      <w:r w:rsidRPr="008F497E">
        <w:rPr>
          <w:lang w:val="fr-FR" w:eastAsia="en-US"/>
        </w:rPr>
        <w:t>des</w:t>
      </w:r>
      <w:proofErr w:type="spellEnd"/>
      <w:r w:rsidRPr="008F497E">
        <w:rPr>
          <w:lang w:val="fr-FR" w:eastAsia="en-US"/>
        </w:rPr>
        <w:t xml:space="preserve"> Nos</w:t>
      </w:r>
      <w:r w:rsidR="001B18EC">
        <w:rPr>
          <w:lang w:val="fr-FR" w:eastAsia="en-US"/>
        </w:rPr>
        <w:t> </w:t>
      </w:r>
      <w:r w:rsidRPr="008F497E">
        <w:rPr>
          <w:lang w:val="fr-FR" w:eastAsia="en-US"/>
        </w:rPr>
        <w:t>ONU 1690, 1812 et 2505 peut être effectué dans un bateau à coque simple jusqu’au 31</w:t>
      </w:r>
      <w:r w:rsidR="00FD04E0">
        <w:rPr>
          <w:lang w:val="fr-FR" w:eastAsia="en-US"/>
        </w:rPr>
        <w:t> </w:t>
      </w:r>
      <w:r w:rsidRPr="008F497E">
        <w:rPr>
          <w:lang w:val="fr-FR" w:eastAsia="en-US"/>
        </w:rPr>
        <w:t>décembre 2018. »</w:t>
      </w:r>
    </w:p>
    <w:p w:rsidR="00F24E50" w:rsidRPr="00FD04E0" w:rsidRDefault="00F24E50" w:rsidP="00FD04E0">
      <w:pPr>
        <w:pStyle w:val="SingleTxtG"/>
        <w:rPr>
          <w:i/>
          <w:iCs/>
          <w:lang w:val="fr-FR" w:eastAsia="en-US"/>
        </w:rPr>
      </w:pPr>
      <w:proofErr w:type="gramStart"/>
      <w:r w:rsidRPr="00FD04E0">
        <w:rPr>
          <w:i/>
          <w:iCs/>
          <w:lang w:val="fr-FR" w:eastAsia="en-US"/>
        </w:rPr>
        <w:t>par</w:t>
      </w:r>
      <w:proofErr w:type="gramEnd"/>
    </w:p>
    <w:p w:rsidR="00F24E50" w:rsidRDefault="00F24E50" w:rsidP="00FD04E0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« 1.6.7.2.1.3</w:t>
      </w:r>
      <w:r w:rsidRPr="008F497E">
        <w:rPr>
          <w:lang w:val="fr-FR" w:eastAsia="en-US"/>
        </w:rPr>
        <w:tab/>
        <w:t>(Supprimé) ».</w:t>
      </w:r>
    </w:p>
    <w:p w:rsidR="00FD04E0" w:rsidRDefault="00FD04E0" w:rsidP="00FD04E0">
      <w:pPr>
        <w:pStyle w:val="H23G"/>
        <w:rPr>
          <w:lang w:val="fr-FR" w:eastAsia="en-US"/>
        </w:rPr>
      </w:pPr>
      <w:r>
        <w:rPr>
          <w:lang w:val="fr-FR" w:eastAsia="en-US"/>
        </w:rPr>
        <w:tab/>
        <w:t>3.</w:t>
      </w:r>
      <w:r>
        <w:rPr>
          <w:lang w:val="fr-FR" w:eastAsia="en-US"/>
        </w:rPr>
        <w:tab/>
        <w:t>Ad 1.6.7.2.2.2</w:t>
      </w:r>
    </w:p>
    <w:p w:rsidR="00FD04E0" w:rsidRPr="008F497E" w:rsidRDefault="00FD04E0" w:rsidP="00FD04E0">
      <w:pPr>
        <w:pStyle w:val="SingleTxtG"/>
        <w:rPr>
          <w:lang w:val="fr-FR" w:eastAsia="de-DE"/>
        </w:rPr>
      </w:pPr>
      <w:r w:rsidRPr="008F497E">
        <w:rPr>
          <w:lang w:val="fr-FR" w:eastAsia="de-DE"/>
        </w:rPr>
        <w:t>Suppression de la disposition transitoire en raison de l</w:t>
      </w:r>
      <w:r w:rsidR="00C7447A">
        <w:rPr>
          <w:lang w:val="fr-FR" w:eastAsia="de-DE"/>
        </w:rPr>
        <w:t>’</w:t>
      </w:r>
      <w:r w:rsidRPr="008F497E">
        <w:rPr>
          <w:lang w:val="fr-FR" w:eastAsia="de-DE"/>
        </w:rPr>
        <w:t>expiration du délai.</w:t>
      </w:r>
    </w:p>
    <w:p w:rsidR="00FD04E0" w:rsidRPr="00FD04E0" w:rsidRDefault="00FD04E0" w:rsidP="00FD04E0">
      <w:pPr>
        <w:pStyle w:val="SingleTxtG"/>
        <w:rPr>
          <w:b/>
          <w:bCs/>
          <w:lang w:val="fr-FR" w:eastAsia="en-US"/>
        </w:rPr>
      </w:pPr>
      <w:r w:rsidRPr="00FD04E0">
        <w:rPr>
          <w:b/>
          <w:bCs/>
          <w:lang w:val="fr-FR" w:eastAsia="de-DE"/>
        </w:rPr>
        <w:t xml:space="preserve">Proposition </w:t>
      </w:r>
      <w:r w:rsidRPr="00FD04E0">
        <w:rPr>
          <w:b/>
          <w:bCs/>
          <w:lang w:val="fr-FR" w:eastAsia="en-US"/>
        </w:rPr>
        <w:t>:</w:t>
      </w:r>
    </w:p>
    <w:p w:rsidR="00FD04E0" w:rsidRDefault="00FD04E0" w:rsidP="00FD04E0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 xml:space="preserve">Supprimer </w:t>
      </w:r>
    </w:p>
    <w:p w:rsidR="00FD04E0" w:rsidRPr="00FD04E0" w:rsidRDefault="00FD04E0" w:rsidP="00FD04E0">
      <w:pPr>
        <w:pStyle w:val="SingleTxtG"/>
      </w:pPr>
      <w:r w:rsidRPr="008F497E">
        <w:rPr>
          <w:lang w:val="fr-FR" w:eastAsia="en-US"/>
        </w:rPr>
        <w:t>«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411"/>
        <w:gridCol w:w="3973"/>
      </w:tblGrid>
      <w:tr w:rsidR="00CB4A0B" w:rsidRPr="00E67CE1" w:rsidTr="00E67CE1">
        <w:trPr>
          <w:cantSplit/>
          <w:tblHeader/>
        </w:trPr>
        <w:tc>
          <w:tcPr>
            <w:tcW w:w="985" w:type="dxa"/>
            <w:shd w:val="clear" w:color="auto" w:fill="auto"/>
          </w:tcPr>
          <w:p w:rsidR="00FD04E0" w:rsidRPr="00E67CE1" w:rsidRDefault="00FC3EA7" w:rsidP="00FC3EA7">
            <w:pPr>
              <w:spacing w:before="80" w:after="80" w:line="200" w:lineRule="exact"/>
              <w:ind w:left="57" w:right="113" w:hanging="5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FD04E0" w:rsidRPr="00E67CE1">
              <w:rPr>
                <w:i/>
                <w:sz w:val="16"/>
              </w:rPr>
              <w:t>7.2.3.20.1</w:t>
            </w:r>
          </w:p>
        </w:tc>
        <w:tc>
          <w:tcPr>
            <w:tcW w:w="2409" w:type="dxa"/>
            <w:shd w:val="clear" w:color="auto" w:fill="auto"/>
          </w:tcPr>
          <w:p w:rsidR="00FD04E0" w:rsidRPr="00E67CE1" w:rsidRDefault="00FC3EA7" w:rsidP="00FC3EA7">
            <w:pPr>
              <w:spacing w:before="80" w:after="80" w:line="200" w:lineRule="exact"/>
              <w:ind w:left="57" w:right="113" w:hanging="5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</w:t>
            </w:r>
            <w:r w:rsidR="00FD04E0" w:rsidRPr="00E67CE1">
              <w:rPr>
                <w:i/>
                <w:sz w:val="16"/>
              </w:rPr>
              <w:t>Installation des indicateurs de niveau pour citernes et compartiments à ballastage</w:t>
            </w:r>
          </w:p>
        </w:tc>
        <w:tc>
          <w:tcPr>
            <w:tcW w:w="3969" w:type="dxa"/>
            <w:shd w:val="clear" w:color="auto" w:fill="auto"/>
          </w:tcPr>
          <w:p w:rsidR="00FD04E0" w:rsidRPr="00E67CE1" w:rsidRDefault="00FC3EA7" w:rsidP="00FC3EA7">
            <w:pPr>
              <w:spacing w:before="40" w:after="40" w:line="200" w:lineRule="exact"/>
              <w:ind w:left="57" w:right="113" w:hanging="5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</w:t>
            </w:r>
            <w:r w:rsidR="00FD04E0" w:rsidRPr="00E67CE1">
              <w:rPr>
                <w:i/>
                <w:sz w:val="16"/>
              </w:rPr>
              <w:t>N.R.T. à partir du 1er janvier 2013 pour les bateaux-citernes des types C et G et ceux du type N à double coque</w:t>
            </w:r>
            <w:r>
              <w:rPr>
                <w:i/>
                <w:sz w:val="16"/>
              </w:rPr>
              <w:t>.</w:t>
            </w:r>
          </w:p>
          <w:p w:rsidR="00FD04E0" w:rsidRPr="00E67CE1" w:rsidRDefault="00FC3EA7" w:rsidP="00FC3EA7">
            <w:pPr>
              <w:spacing w:before="40" w:after="40" w:line="200" w:lineRule="exact"/>
              <w:ind w:left="57" w:right="113" w:hanging="5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</w:t>
            </w:r>
            <w:r w:rsidR="00FD04E0" w:rsidRPr="00E67CE1">
              <w:rPr>
                <w:i/>
                <w:sz w:val="16"/>
              </w:rPr>
              <w:t>Renouvellement du certificat d’agrément après le 31 décembre 2012.</w:t>
            </w:r>
          </w:p>
        </w:tc>
      </w:tr>
      <w:tr w:rsidR="00CB4A0B" w:rsidRPr="00CB4A0B" w:rsidTr="00E67CE1">
        <w:trPr>
          <w:cantSplit/>
          <w:trHeight w:hRule="exact" w:val="113"/>
        </w:trPr>
        <w:tc>
          <w:tcPr>
            <w:tcW w:w="985" w:type="dxa"/>
            <w:shd w:val="clear" w:color="auto" w:fill="auto"/>
          </w:tcPr>
          <w:p w:rsidR="00CB4A0B" w:rsidRPr="00CB4A0B" w:rsidRDefault="00CB4A0B" w:rsidP="00CB4A0B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:rsidR="00CB4A0B" w:rsidRPr="00CB4A0B" w:rsidRDefault="00CB4A0B" w:rsidP="00CB4A0B">
            <w:pPr>
              <w:spacing w:before="40" w:after="120"/>
              <w:ind w:right="113"/>
            </w:pPr>
          </w:p>
        </w:tc>
        <w:tc>
          <w:tcPr>
            <w:tcW w:w="3969" w:type="dxa"/>
            <w:shd w:val="clear" w:color="auto" w:fill="auto"/>
          </w:tcPr>
          <w:p w:rsidR="00CB4A0B" w:rsidRPr="00CB4A0B" w:rsidRDefault="00CB4A0B" w:rsidP="00CB4A0B">
            <w:pPr>
              <w:spacing w:before="40" w:after="120"/>
              <w:ind w:right="113"/>
            </w:pPr>
          </w:p>
        </w:tc>
      </w:tr>
    </w:tbl>
    <w:p w:rsidR="00FD04E0" w:rsidRDefault="00FD04E0" w:rsidP="006B1AEA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».</w:t>
      </w:r>
    </w:p>
    <w:p w:rsidR="00F24E50" w:rsidRPr="008F497E" w:rsidRDefault="006B1AEA" w:rsidP="006B1AEA">
      <w:pPr>
        <w:pStyle w:val="H23G"/>
        <w:rPr>
          <w:lang w:val="fr-FR" w:eastAsia="en-US"/>
        </w:rPr>
      </w:pPr>
      <w:r>
        <w:rPr>
          <w:lang w:val="fr-FR" w:eastAsia="en-US"/>
        </w:rPr>
        <w:tab/>
      </w:r>
      <w:r w:rsidR="00F24E50" w:rsidRPr="008F497E">
        <w:rPr>
          <w:lang w:val="fr-FR" w:eastAsia="en-US"/>
        </w:rPr>
        <w:t>4.</w:t>
      </w:r>
      <w:r w:rsidR="00F24E50" w:rsidRPr="008F497E">
        <w:rPr>
          <w:lang w:val="fr-FR" w:eastAsia="en-US"/>
        </w:rPr>
        <w:tab/>
        <w:t>Ad 1.6.7.2.2.2</w:t>
      </w:r>
    </w:p>
    <w:p w:rsidR="00F24E50" w:rsidRPr="008F497E" w:rsidRDefault="00F24E50" w:rsidP="006B1AEA">
      <w:pPr>
        <w:pStyle w:val="SingleTxtG"/>
        <w:rPr>
          <w:lang w:val="fr-FR" w:eastAsia="de-DE"/>
        </w:rPr>
      </w:pPr>
      <w:bookmarkStart w:id="2" w:name="_Hlk8049441"/>
      <w:r w:rsidRPr="008F497E">
        <w:rPr>
          <w:lang w:val="fr-FR" w:eastAsia="de-DE"/>
        </w:rPr>
        <w:t>Suppression de la disposition transitoire en raison de l</w:t>
      </w:r>
      <w:r w:rsidR="00267D81">
        <w:rPr>
          <w:lang w:val="fr-FR" w:eastAsia="de-DE"/>
        </w:rPr>
        <w:t>’</w:t>
      </w:r>
      <w:r w:rsidRPr="008F497E">
        <w:rPr>
          <w:lang w:val="fr-FR" w:eastAsia="de-DE"/>
        </w:rPr>
        <w:t>expiration du délai.</w:t>
      </w:r>
    </w:p>
    <w:bookmarkEnd w:id="2"/>
    <w:p w:rsidR="00F24E50" w:rsidRPr="006B1AEA" w:rsidRDefault="00F24E50" w:rsidP="006B1AEA">
      <w:pPr>
        <w:pStyle w:val="SingleTxtG"/>
        <w:rPr>
          <w:b/>
          <w:bCs/>
          <w:lang w:val="fr-FR" w:eastAsia="en-US"/>
        </w:rPr>
      </w:pPr>
      <w:r w:rsidRPr="006B1AEA">
        <w:rPr>
          <w:b/>
          <w:bCs/>
          <w:lang w:val="fr-FR" w:eastAsia="de-DE"/>
        </w:rPr>
        <w:t xml:space="preserve">Proposition </w:t>
      </w:r>
      <w:r w:rsidRPr="006B1AEA">
        <w:rPr>
          <w:b/>
          <w:bCs/>
          <w:lang w:val="fr-FR" w:eastAsia="en-US"/>
        </w:rPr>
        <w:t>:</w:t>
      </w:r>
    </w:p>
    <w:p w:rsidR="00F24E50" w:rsidRPr="008F497E" w:rsidRDefault="00F24E50" w:rsidP="00267D81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 xml:space="preserve">Supprimer </w:t>
      </w:r>
    </w:p>
    <w:p w:rsidR="00F24E50" w:rsidRPr="008F497E" w:rsidRDefault="00F24E50" w:rsidP="006B1AEA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« 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3969"/>
      </w:tblGrid>
      <w:tr w:rsidR="00CB4A0B" w:rsidRPr="00CB4A0B" w:rsidTr="00FC3EA7">
        <w:trPr>
          <w:cantSplit/>
          <w:tblHeader/>
        </w:trPr>
        <w:tc>
          <w:tcPr>
            <w:tcW w:w="988" w:type="dxa"/>
            <w:shd w:val="clear" w:color="auto" w:fill="auto"/>
          </w:tcPr>
          <w:p w:rsidR="00F24E50" w:rsidRPr="00CB4A0B" w:rsidRDefault="00FC3EA7" w:rsidP="00FC3EA7">
            <w:pPr>
              <w:spacing w:before="80" w:after="80" w:line="200" w:lineRule="exact"/>
              <w:ind w:left="57" w:right="113" w:hanging="57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 xml:space="preserve"> </w:t>
            </w:r>
            <w:r w:rsidR="00F24E50" w:rsidRPr="00CB4A0B">
              <w:rPr>
                <w:i/>
                <w:sz w:val="16"/>
                <w:lang w:val="fr-FR"/>
              </w:rPr>
              <w:t>8.1.6.2</w:t>
            </w:r>
          </w:p>
        </w:tc>
        <w:tc>
          <w:tcPr>
            <w:tcW w:w="2409" w:type="dxa"/>
            <w:shd w:val="clear" w:color="auto" w:fill="auto"/>
          </w:tcPr>
          <w:p w:rsidR="00F24E50" w:rsidRPr="00CB4A0B" w:rsidRDefault="00FC3EA7" w:rsidP="00FC3EA7">
            <w:pPr>
              <w:spacing w:before="80" w:after="80" w:line="200" w:lineRule="exact"/>
              <w:ind w:left="57" w:right="113" w:hanging="57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</w:rPr>
              <w:t xml:space="preserve"> </w:t>
            </w:r>
            <w:r w:rsidR="00F24E50" w:rsidRPr="00FC3EA7">
              <w:rPr>
                <w:i/>
                <w:sz w:val="16"/>
              </w:rPr>
              <w:t>Tuyauteries</w:t>
            </w:r>
            <w:r w:rsidR="00F24E50" w:rsidRPr="00CB4A0B">
              <w:rPr>
                <w:i/>
                <w:sz w:val="16"/>
                <w:lang w:val="fr-FR" w:eastAsia="de-DE"/>
              </w:rPr>
              <w:t xml:space="preserve"> flexibles</w:t>
            </w:r>
          </w:p>
        </w:tc>
        <w:tc>
          <w:tcPr>
            <w:tcW w:w="3969" w:type="dxa"/>
            <w:shd w:val="clear" w:color="auto" w:fill="auto"/>
          </w:tcPr>
          <w:p w:rsidR="00F24E50" w:rsidRPr="00CB4A0B" w:rsidRDefault="00FC3EA7" w:rsidP="00FC3EA7">
            <w:pPr>
              <w:spacing w:before="40" w:after="40" w:line="200" w:lineRule="exact"/>
              <w:ind w:left="57" w:right="113" w:hanging="57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 w:eastAsia="de-DE"/>
              </w:rPr>
              <w:t xml:space="preserve">  </w:t>
            </w:r>
            <w:r w:rsidR="00F24E50" w:rsidRPr="00CB4A0B">
              <w:rPr>
                <w:i/>
                <w:sz w:val="16"/>
                <w:lang w:val="fr-FR" w:eastAsia="de-DE"/>
              </w:rPr>
              <w:t xml:space="preserve">Les tuyauteries flexibles correspondant aux normes antérieures EN </w:t>
            </w:r>
            <w:proofErr w:type="gramStart"/>
            <w:r w:rsidR="00F24E50" w:rsidRPr="00CB4A0B">
              <w:rPr>
                <w:i/>
                <w:sz w:val="16"/>
                <w:lang w:val="fr-FR" w:eastAsia="de-DE"/>
              </w:rPr>
              <w:t>12115:</w:t>
            </w:r>
            <w:proofErr w:type="gramEnd"/>
            <w:r w:rsidR="00F24E50" w:rsidRPr="00CB4A0B">
              <w:rPr>
                <w:i/>
                <w:sz w:val="16"/>
                <w:lang w:val="fr-FR" w:eastAsia="de-DE"/>
              </w:rPr>
              <w:t>1999, EN 13765:2003 ou EN ISO 10380:2003 peuvent être utilisées jusqu’au 31 décembre 2018.</w:t>
            </w:r>
          </w:p>
        </w:tc>
      </w:tr>
    </w:tbl>
    <w:p w:rsidR="00F24E50" w:rsidRPr="008F497E" w:rsidRDefault="00F24E50" w:rsidP="006B1AEA">
      <w:pPr>
        <w:pStyle w:val="SingleTxtG"/>
        <w:rPr>
          <w:lang w:val="fr-FR" w:eastAsia="en-US"/>
        </w:rPr>
      </w:pPr>
      <w:bookmarkStart w:id="3" w:name="_Hlk7428966"/>
      <w:r w:rsidRPr="008F497E">
        <w:rPr>
          <w:lang w:val="fr-FR" w:eastAsia="en-US"/>
        </w:rPr>
        <w:t>».</w:t>
      </w:r>
    </w:p>
    <w:bookmarkEnd w:id="3"/>
    <w:p w:rsidR="00F24E50" w:rsidRPr="008F497E" w:rsidRDefault="006B1AEA" w:rsidP="006B1AEA">
      <w:pPr>
        <w:pStyle w:val="H23G"/>
        <w:rPr>
          <w:lang w:val="fr-FR" w:eastAsia="en-US"/>
        </w:rPr>
      </w:pPr>
      <w:r>
        <w:rPr>
          <w:lang w:val="fr-FR" w:eastAsia="en-US"/>
        </w:rPr>
        <w:tab/>
      </w:r>
      <w:r w:rsidR="00F24E50" w:rsidRPr="008F497E">
        <w:rPr>
          <w:lang w:val="fr-FR" w:eastAsia="en-US"/>
        </w:rPr>
        <w:t>5.</w:t>
      </w:r>
      <w:r w:rsidR="00F24E50" w:rsidRPr="008F497E">
        <w:rPr>
          <w:lang w:val="fr-FR" w:eastAsia="en-US"/>
        </w:rPr>
        <w:tab/>
        <w:t>Ad 1.6.7.2.2.2</w:t>
      </w:r>
    </w:p>
    <w:p w:rsidR="00F24E50" w:rsidRPr="008F497E" w:rsidRDefault="00F24E50" w:rsidP="006B1AEA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La disposition transitoire</w:t>
      </w:r>
    </w:p>
    <w:p w:rsidR="00F24E50" w:rsidRPr="008F497E" w:rsidRDefault="00F24E50" w:rsidP="006B1AEA">
      <w:pPr>
        <w:pStyle w:val="SingleTxtG"/>
        <w:rPr>
          <w:lang w:val="fr-FR" w:eastAsia="en-US"/>
        </w:rPr>
      </w:pPr>
      <w:bookmarkStart w:id="4" w:name="_Hlk8049338"/>
      <w:r w:rsidRPr="008F497E">
        <w:rPr>
          <w:lang w:val="fr-FR" w:eastAsia="en-US"/>
        </w:rPr>
        <w:t>« 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3969"/>
      </w:tblGrid>
      <w:tr w:rsidR="00CB4A0B" w:rsidRPr="00CB4A0B" w:rsidTr="00FC3EA7">
        <w:trPr>
          <w:cantSplit/>
          <w:tblHeader/>
        </w:trPr>
        <w:tc>
          <w:tcPr>
            <w:tcW w:w="988" w:type="dxa"/>
            <w:shd w:val="clear" w:color="auto" w:fill="auto"/>
          </w:tcPr>
          <w:bookmarkEnd w:id="4"/>
          <w:p w:rsidR="00F24E50" w:rsidRPr="00CB4A0B" w:rsidRDefault="00FC3EA7" w:rsidP="00FC3EA7">
            <w:pPr>
              <w:spacing w:before="80" w:after="80" w:line="200" w:lineRule="exact"/>
              <w:ind w:left="57" w:right="113" w:hanging="57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 xml:space="preserve"> </w:t>
            </w:r>
            <w:r w:rsidR="00F24E50" w:rsidRPr="00CB4A0B">
              <w:rPr>
                <w:i/>
                <w:sz w:val="16"/>
                <w:lang w:val="fr-FR"/>
              </w:rPr>
              <w:t>9.3.3.11.7</w:t>
            </w:r>
          </w:p>
        </w:tc>
        <w:tc>
          <w:tcPr>
            <w:tcW w:w="2409" w:type="dxa"/>
            <w:shd w:val="clear" w:color="auto" w:fill="auto"/>
          </w:tcPr>
          <w:p w:rsidR="00F24E50" w:rsidRPr="00CB4A0B" w:rsidRDefault="00FC3EA7" w:rsidP="00FC3EA7">
            <w:pPr>
              <w:spacing w:before="80" w:after="80" w:line="200" w:lineRule="exact"/>
              <w:ind w:left="57" w:right="113" w:hanging="57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</w:rPr>
              <w:t xml:space="preserve">  </w:t>
            </w:r>
            <w:r w:rsidR="00F24E50" w:rsidRPr="00FC3EA7">
              <w:rPr>
                <w:i/>
                <w:sz w:val="16"/>
              </w:rPr>
              <w:t>Distance</w:t>
            </w:r>
            <w:r w:rsidR="00F24E50" w:rsidRPr="00CB4A0B">
              <w:rPr>
                <w:i/>
                <w:sz w:val="16"/>
                <w:lang w:val="fr-FR" w:eastAsia="en-US"/>
              </w:rPr>
              <w:t xml:space="preserve"> entre les citernes à cargaison et la paroi extérieure du bateau</w:t>
            </w:r>
          </w:p>
        </w:tc>
        <w:tc>
          <w:tcPr>
            <w:tcW w:w="3969" w:type="dxa"/>
            <w:shd w:val="clear" w:color="auto" w:fill="auto"/>
          </w:tcPr>
          <w:p w:rsidR="00F24E50" w:rsidRPr="00CB4A0B" w:rsidRDefault="00FC3EA7" w:rsidP="006C19AF">
            <w:pPr>
              <w:spacing w:before="40" w:after="40" w:line="200" w:lineRule="exact"/>
              <w:ind w:left="57" w:right="113" w:hanging="57"/>
              <w:rPr>
                <w:i/>
                <w:sz w:val="16"/>
                <w:lang w:val="fr-FR" w:eastAsia="en-US"/>
              </w:rPr>
            </w:pPr>
            <w:r>
              <w:rPr>
                <w:i/>
                <w:sz w:val="16"/>
                <w:lang w:val="fr-FR" w:eastAsia="en-US"/>
              </w:rPr>
              <w:t xml:space="preserve">    </w:t>
            </w:r>
            <w:r w:rsidR="00F24E50" w:rsidRPr="00CB4A0B">
              <w:rPr>
                <w:i/>
                <w:sz w:val="16"/>
                <w:lang w:val="fr-FR" w:eastAsia="en-US"/>
              </w:rPr>
              <w:t>N.R.T. après le 1er janvier 2001</w:t>
            </w:r>
            <w:r>
              <w:rPr>
                <w:i/>
                <w:sz w:val="16"/>
                <w:lang w:val="fr-FR" w:eastAsia="en-US"/>
              </w:rPr>
              <w:t>.</w:t>
            </w:r>
          </w:p>
          <w:p w:rsidR="00F24E50" w:rsidRPr="00CB4A0B" w:rsidRDefault="00F24E50" w:rsidP="00FC3EA7">
            <w:pPr>
              <w:spacing w:before="40" w:after="40" w:line="200" w:lineRule="exact"/>
              <w:ind w:left="142" w:right="113"/>
              <w:rPr>
                <w:i/>
                <w:sz w:val="16"/>
                <w:lang w:val="fr-FR"/>
              </w:rPr>
            </w:pPr>
            <w:r w:rsidRPr="00CB4A0B">
              <w:rPr>
                <w:i/>
                <w:sz w:val="16"/>
                <w:lang w:val="fr-FR" w:eastAsia="en-US"/>
              </w:rPr>
              <w:t>Renouvellement du certificat d’agrément après le 31 décembre 2038</w:t>
            </w:r>
            <w:r w:rsidR="00FC3EA7">
              <w:rPr>
                <w:i/>
                <w:sz w:val="16"/>
                <w:lang w:val="fr-FR" w:eastAsia="en-US"/>
              </w:rPr>
              <w:t>.</w:t>
            </w:r>
          </w:p>
        </w:tc>
      </w:tr>
    </w:tbl>
    <w:p w:rsidR="00F24E50" w:rsidRPr="008F497E" w:rsidRDefault="00F24E50" w:rsidP="00CB4A0B">
      <w:pPr>
        <w:pStyle w:val="SingleTxtG"/>
        <w:rPr>
          <w:lang w:val="fr-FR" w:eastAsia="en-US"/>
        </w:rPr>
      </w:pPr>
      <w:bookmarkStart w:id="5" w:name="_Hlk8049366"/>
      <w:r w:rsidRPr="008F497E">
        <w:rPr>
          <w:lang w:val="fr-FR" w:eastAsia="en-US"/>
        </w:rPr>
        <w:t>».</w:t>
      </w:r>
    </w:p>
    <w:bookmarkEnd w:id="5"/>
    <w:p w:rsidR="00F24E50" w:rsidRPr="008F497E" w:rsidRDefault="00F24E50" w:rsidP="00CB4A0B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est couverte par la disposition transitoire suivante :</w:t>
      </w:r>
    </w:p>
    <w:p w:rsidR="00F24E50" w:rsidRPr="008F497E" w:rsidRDefault="00F24E50" w:rsidP="00CB4A0B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«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3973"/>
      </w:tblGrid>
      <w:tr w:rsidR="00CB4A0B" w:rsidRPr="00CB4A0B" w:rsidTr="006C19AF">
        <w:trPr>
          <w:cantSplit/>
          <w:tblHeader/>
        </w:trPr>
        <w:tc>
          <w:tcPr>
            <w:tcW w:w="988" w:type="dxa"/>
            <w:shd w:val="clear" w:color="auto" w:fill="auto"/>
          </w:tcPr>
          <w:p w:rsidR="00F24E50" w:rsidRPr="00CB4A0B" w:rsidRDefault="006C19AF" w:rsidP="00CB4A0B">
            <w:pPr>
              <w:spacing w:before="80" w:after="80" w:line="200" w:lineRule="exact"/>
              <w:ind w:right="113"/>
              <w:rPr>
                <w:i/>
                <w:sz w:val="16"/>
                <w:lang w:val="fr-FR" w:eastAsia="en-US"/>
              </w:rPr>
            </w:pPr>
            <w:r>
              <w:rPr>
                <w:i/>
                <w:sz w:val="16"/>
                <w:lang w:val="fr-FR" w:eastAsia="en-US"/>
              </w:rPr>
              <w:t xml:space="preserve"> </w:t>
            </w:r>
            <w:r w:rsidR="00F24E50" w:rsidRPr="00CB4A0B">
              <w:rPr>
                <w:i/>
                <w:sz w:val="16"/>
                <w:lang w:val="fr-FR" w:eastAsia="en-US"/>
              </w:rPr>
              <w:t>9.3.3.11.7</w:t>
            </w:r>
          </w:p>
        </w:tc>
        <w:tc>
          <w:tcPr>
            <w:tcW w:w="2409" w:type="dxa"/>
            <w:shd w:val="clear" w:color="auto" w:fill="auto"/>
          </w:tcPr>
          <w:p w:rsidR="00F24E50" w:rsidRPr="00CB4A0B" w:rsidRDefault="006C19AF" w:rsidP="006C19AF">
            <w:pPr>
              <w:spacing w:before="80" w:after="80" w:line="200" w:lineRule="exact"/>
              <w:ind w:left="57" w:right="113" w:hanging="57"/>
              <w:rPr>
                <w:i/>
                <w:sz w:val="16"/>
                <w:lang w:val="fr-FR" w:eastAsia="en-US"/>
              </w:rPr>
            </w:pPr>
            <w:r>
              <w:rPr>
                <w:i/>
                <w:sz w:val="16"/>
                <w:lang w:val="fr-FR" w:eastAsia="en-US"/>
              </w:rPr>
              <w:t xml:space="preserve">  </w:t>
            </w:r>
            <w:r w:rsidR="00F24E50" w:rsidRPr="00CB4A0B">
              <w:rPr>
                <w:i/>
                <w:sz w:val="16"/>
                <w:lang w:val="fr-FR" w:eastAsia="en-US"/>
              </w:rPr>
              <w:t>Largeur de la double coque</w:t>
            </w:r>
          </w:p>
        </w:tc>
        <w:tc>
          <w:tcPr>
            <w:tcW w:w="3973" w:type="dxa"/>
            <w:shd w:val="clear" w:color="auto" w:fill="auto"/>
          </w:tcPr>
          <w:p w:rsidR="00F24E50" w:rsidRPr="00CB4A0B" w:rsidRDefault="006C19AF" w:rsidP="006C19AF">
            <w:pPr>
              <w:spacing w:before="40" w:after="40" w:line="200" w:lineRule="exact"/>
              <w:ind w:left="113" w:right="113" w:hanging="113"/>
              <w:rPr>
                <w:i/>
                <w:sz w:val="16"/>
                <w:lang w:val="fr-FR" w:eastAsia="en-US"/>
              </w:rPr>
            </w:pPr>
            <w:r>
              <w:rPr>
                <w:i/>
                <w:sz w:val="16"/>
                <w:lang w:val="fr-FR" w:eastAsia="en-US"/>
              </w:rPr>
              <w:tab/>
            </w:r>
            <w:r w:rsidR="00F24E50" w:rsidRPr="00CB4A0B">
              <w:rPr>
                <w:i/>
                <w:sz w:val="16"/>
                <w:lang w:val="fr-FR" w:eastAsia="en-US"/>
              </w:rPr>
              <w:t>N.R.T. après le 1</w:t>
            </w:r>
            <w:r w:rsidR="00F24E50" w:rsidRPr="00CB4A0B">
              <w:rPr>
                <w:i/>
                <w:sz w:val="16"/>
                <w:vertAlign w:val="superscript"/>
                <w:lang w:val="fr-FR" w:eastAsia="en-US"/>
              </w:rPr>
              <w:t>er</w:t>
            </w:r>
            <w:r w:rsidR="00F24E50" w:rsidRPr="00CB4A0B">
              <w:rPr>
                <w:i/>
                <w:sz w:val="16"/>
                <w:lang w:val="fr-FR" w:eastAsia="en-US"/>
              </w:rPr>
              <w:t xml:space="preserve"> janvier 2007</w:t>
            </w:r>
            <w:r>
              <w:rPr>
                <w:i/>
                <w:sz w:val="16"/>
                <w:lang w:val="fr-FR" w:eastAsia="en-US"/>
              </w:rPr>
              <w:t>.</w:t>
            </w:r>
          </w:p>
          <w:p w:rsidR="00F24E50" w:rsidRPr="00CB4A0B" w:rsidRDefault="006C19AF" w:rsidP="006C19AF">
            <w:pPr>
              <w:spacing w:before="40" w:after="40" w:line="200" w:lineRule="exact"/>
              <w:ind w:left="113" w:right="113" w:hanging="113"/>
              <w:rPr>
                <w:i/>
                <w:sz w:val="16"/>
                <w:lang w:val="fr-FR" w:eastAsia="en-US"/>
              </w:rPr>
            </w:pPr>
            <w:r>
              <w:rPr>
                <w:i/>
                <w:sz w:val="16"/>
                <w:lang w:val="fr-FR" w:eastAsia="en-US"/>
              </w:rPr>
              <w:tab/>
            </w:r>
            <w:r w:rsidR="00F24E50" w:rsidRPr="00CB4A0B">
              <w:rPr>
                <w:i/>
                <w:sz w:val="16"/>
                <w:lang w:val="fr-FR" w:eastAsia="en-US"/>
              </w:rPr>
              <w:t>Renouvellement du certificat d’agrément après le 31 décembre 2038</w:t>
            </w:r>
            <w:r w:rsidR="00032476">
              <w:rPr>
                <w:i/>
                <w:sz w:val="16"/>
                <w:lang w:val="fr-FR" w:eastAsia="en-US"/>
              </w:rPr>
              <w:t>.</w:t>
            </w:r>
          </w:p>
        </w:tc>
      </w:tr>
    </w:tbl>
    <w:p w:rsidR="00F24E50" w:rsidRPr="008F497E" w:rsidRDefault="00F24E50" w:rsidP="00CB4A0B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».</w:t>
      </w:r>
    </w:p>
    <w:p w:rsidR="00F24E50" w:rsidRPr="008F497E" w:rsidRDefault="00F24E50" w:rsidP="00F24E50">
      <w:pPr>
        <w:tabs>
          <w:tab w:val="left" w:pos="2268"/>
        </w:tabs>
        <w:overflowPunct/>
        <w:autoSpaceDE/>
        <w:autoSpaceDN/>
        <w:adjustRightInd/>
        <w:ind w:right="1134"/>
        <w:rPr>
          <w:b/>
          <w:lang w:val="fr-FR" w:eastAsia="de-DE"/>
        </w:rPr>
      </w:pPr>
    </w:p>
    <w:p w:rsidR="00F24E50" w:rsidRPr="00CB4A0B" w:rsidRDefault="00F24E50" w:rsidP="00032476">
      <w:pPr>
        <w:pStyle w:val="SingleTxtG"/>
        <w:keepNext/>
        <w:keepLines/>
        <w:rPr>
          <w:b/>
          <w:bCs/>
          <w:lang w:val="fr-FR" w:eastAsia="en-US"/>
        </w:rPr>
      </w:pPr>
      <w:r w:rsidRPr="00CB4A0B">
        <w:rPr>
          <w:b/>
          <w:bCs/>
          <w:lang w:val="fr-FR" w:eastAsia="de-DE"/>
        </w:rPr>
        <w:lastRenderedPageBreak/>
        <w:t xml:space="preserve">Proposition </w:t>
      </w:r>
      <w:r w:rsidRPr="00CB4A0B">
        <w:rPr>
          <w:b/>
          <w:bCs/>
          <w:lang w:val="fr-FR" w:eastAsia="en-US"/>
        </w:rPr>
        <w:t>:</w:t>
      </w:r>
    </w:p>
    <w:p w:rsidR="00F24E50" w:rsidRPr="008F497E" w:rsidRDefault="00F24E50" w:rsidP="00032476">
      <w:pPr>
        <w:pStyle w:val="SingleTxtG"/>
        <w:keepNext/>
        <w:keepLines/>
        <w:rPr>
          <w:lang w:val="fr-FR" w:eastAsia="en-US"/>
        </w:rPr>
      </w:pPr>
      <w:r w:rsidRPr="008F497E">
        <w:rPr>
          <w:lang w:val="fr-FR" w:eastAsia="en-US"/>
        </w:rPr>
        <w:t>Supprimer</w:t>
      </w:r>
    </w:p>
    <w:p w:rsidR="00F24E50" w:rsidRPr="008F497E" w:rsidRDefault="00F24E50" w:rsidP="00032476">
      <w:pPr>
        <w:pStyle w:val="SingleTxtG"/>
        <w:keepNext/>
        <w:keepLines/>
        <w:spacing w:line="200" w:lineRule="atLeast"/>
        <w:rPr>
          <w:lang w:val="fr-FR" w:eastAsia="en-US"/>
        </w:rPr>
      </w:pPr>
      <w:bookmarkStart w:id="6" w:name="_Hlk8049171"/>
      <w:r w:rsidRPr="008F497E">
        <w:rPr>
          <w:lang w:val="fr-FR" w:eastAsia="en-US"/>
        </w:rPr>
        <w:t>«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3973"/>
      </w:tblGrid>
      <w:tr w:rsidR="00CB4A0B" w:rsidRPr="00CB4A0B" w:rsidTr="00032476">
        <w:trPr>
          <w:cantSplit/>
          <w:tblHeader/>
        </w:trPr>
        <w:tc>
          <w:tcPr>
            <w:tcW w:w="988" w:type="dxa"/>
            <w:shd w:val="clear" w:color="auto" w:fill="auto"/>
          </w:tcPr>
          <w:p w:rsidR="00F24E50" w:rsidRPr="00CB4A0B" w:rsidRDefault="00032476" w:rsidP="00032476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 xml:space="preserve"> </w:t>
            </w:r>
            <w:r w:rsidR="00F24E50" w:rsidRPr="00CB4A0B">
              <w:rPr>
                <w:i/>
                <w:sz w:val="16"/>
                <w:lang w:val="fr-FR"/>
              </w:rPr>
              <w:t>9.3.3.11.7</w:t>
            </w:r>
          </w:p>
        </w:tc>
        <w:tc>
          <w:tcPr>
            <w:tcW w:w="2409" w:type="dxa"/>
            <w:shd w:val="clear" w:color="auto" w:fill="auto"/>
          </w:tcPr>
          <w:p w:rsidR="00F24E50" w:rsidRPr="00CB4A0B" w:rsidRDefault="00F24E50" w:rsidP="00032476">
            <w:pPr>
              <w:keepNext/>
              <w:keepLines/>
              <w:spacing w:before="80" w:after="80" w:line="200" w:lineRule="exact"/>
              <w:ind w:left="59" w:right="113"/>
              <w:rPr>
                <w:i/>
                <w:sz w:val="16"/>
                <w:lang w:val="fr-FR"/>
              </w:rPr>
            </w:pPr>
            <w:r w:rsidRPr="00CB4A0B">
              <w:rPr>
                <w:i/>
                <w:sz w:val="16"/>
                <w:lang w:val="fr-FR" w:eastAsia="en-US"/>
              </w:rPr>
              <w:t>Distance entre les citernes à cargaison et la paroi extérieure du bateau</w:t>
            </w:r>
          </w:p>
        </w:tc>
        <w:tc>
          <w:tcPr>
            <w:tcW w:w="3973" w:type="dxa"/>
            <w:shd w:val="clear" w:color="auto" w:fill="auto"/>
          </w:tcPr>
          <w:p w:rsidR="00F24E50" w:rsidRPr="00CB4A0B" w:rsidRDefault="00F24E50" w:rsidP="00032476">
            <w:pPr>
              <w:spacing w:before="40" w:line="200" w:lineRule="exact"/>
              <w:ind w:left="142" w:right="113"/>
              <w:rPr>
                <w:i/>
                <w:sz w:val="16"/>
                <w:lang w:val="fr-FR" w:eastAsia="en-US"/>
              </w:rPr>
            </w:pPr>
            <w:r w:rsidRPr="00CB4A0B">
              <w:rPr>
                <w:i/>
                <w:sz w:val="16"/>
                <w:lang w:val="fr-FR" w:eastAsia="en-US"/>
              </w:rPr>
              <w:t>N.R.T. après le 1er janvier 200</w:t>
            </w:r>
            <w:r w:rsidR="00032476">
              <w:rPr>
                <w:i/>
                <w:sz w:val="16"/>
                <w:lang w:val="fr-FR" w:eastAsia="en-US"/>
              </w:rPr>
              <w:t>1.</w:t>
            </w:r>
          </w:p>
          <w:p w:rsidR="00F24E50" w:rsidRPr="00CB4A0B" w:rsidRDefault="00F24E50" w:rsidP="00032476">
            <w:pPr>
              <w:keepNext/>
              <w:keepLines/>
              <w:spacing w:before="40" w:after="40" w:line="200" w:lineRule="exact"/>
              <w:ind w:left="142" w:right="113"/>
              <w:rPr>
                <w:i/>
                <w:sz w:val="16"/>
                <w:lang w:val="fr-FR"/>
              </w:rPr>
            </w:pPr>
            <w:r w:rsidRPr="00CB4A0B">
              <w:rPr>
                <w:i/>
                <w:sz w:val="16"/>
                <w:lang w:val="fr-FR" w:eastAsia="en-US"/>
              </w:rPr>
              <w:t>Renouvellement du certificat d’agrément après le 31 décembre 2038</w:t>
            </w:r>
            <w:r w:rsidR="005A5054">
              <w:rPr>
                <w:i/>
                <w:sz w:val="16"/>
                <w:lang w:val="fr-FR" w:eastAsia="en-US"/>
              </w:rPr>
              <w:t>.</w:t>
            </w:r>
          </w:p>
        </w:tc>
      </w:tr>
    </w:tbl>
    <w:p w:rsidR="00F24E50" w:rsidRPr="008F497E" w:rsidRDefault="00F24E50" w:rsidP="00CB4A0B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».</w:t>
      </w:r>
    </w:p>
    <w:bookmarkEnd w:id="6"/>
    <w:p w:rsidR="00F24E50" w:rsidRPr="008F497E" w:rsidRDefault="00CB4A0B" w:rsidP="00CB4A0B">
      <w:pPr>
        <w:pStyle w:val="H23G"/>
        <w:rPr>
          <w:lang w:val="fr-FR" w:eastAsia="en-US"/>
        </w:rPr>
      </w:pPr>
      <w:r>
        <w:rPr>
          <w:lang w:val="fr-FR" w:eastAsia="en-US"/>
        </w:rPr>
        <w:tab/>
      </w:r>
      <w:r w:rsidR="00F24E50" w:rsidRPr="008F497E">
        <w:rPr>
          <w:lang w:val="fr-FR" w:eastAsia="en-US"/>
        </w:rPr>
        <w:t>6.</w:t>
      </w:r>
      <w:r w:rsidR="00F24E50" w:rsidRPr="008F497E">
        <w:rPr>
          <w:lang w:val="fr-FR" w:eastAsia="en-US"/>
        </w:rPr>
        <w:tab/>
        <w:t>Ad 1.6.7.2.2.2</w:t>
      </w:r>
    </w:p>
    <w:p w:rsidR="00F24E50" w:rsidRPr="008F497E" w:rsidRDefault="00F24E50" w:rsidP="00032476">
      <w:pPr>
        <w:pStyle w:val="SingleTxtG"/>
        <w:rPr>
          <w:lang w:val="fr-FR" w:eastAsia="de-DE"/>
        </w:rPr>
      </w:pPr>
      <w:r w:rsidRPr="008F497E">
        <w:rPr>
          <w:lang w:val="fr-FR" w:eastAsia="de-DE"/>
        </w:rPr>
        <w:t>Suppression de la disposition transitoire en raison de l</w:t>
      </w:r>
      <w:r w:rsidR="00267D81">
        <w:rPr>
          <w:lang w:val="fr-FR" w:eastAsia="de-DE"/>
        </w:rPr>
        <w:t>’</w:t>
      </w:r>
      <w:r w:rsidRPr="008F497E">
        <w:rPr>
          <w:lang w:val="fr-FR" w:eastAsia="de-DE"/>
        </w:rPr>
        <w:t>expiration du délai.</w:t>
      </w:r>
    </w:p>
    <w:p w:rsidR="00F24E50" w:rsidRPr="00E67CE1" w:rsidRDefault="00F24E50" w:rsidP="00032476">
      <w:pPr>
        <w:pStyle w:val="SingleTxtG"/>
        <w:rPr>
          <w:b/>
          <w:bCs/>
          <w:lang w:val="fr-FR" w:eastAsia="en-US"/>
        </w:rPr>
      </w:pPr>
      <w:r w:rsidRPr="00E67CE1">
        <w:rPr>
          <w:b/>
          <w:bCs/>
          <w:lang w:val="fr-FR" w:eastAsia="de-DE"/>
        </w:rPr>
        <w:t xml:space="preserve">Proposition </w:t>
      </w:r>
      <w:r w:rsidRPr="00E67CE1">
        <w:rPr>
          <w:b/>
          <w:bCs/>
          <w:lang w:val="fr-FR" w:eastAsia="en-US"/>
        </w:rPr>
        <w:t>:</w:t>
      </w:r>
    </w:p>
    <w:p w:rsidR="00F24E50" w:rsidRPr="008F497E" w:rsidRDefault="00F24E50" w:rsidP="00E67CE1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Supprimer</w:t>
      </w:r>
    </w:p>
    <w:p w:rsidR="00F24E50" w:rsidRPr="008F497E" w:rsidRDefault="00F24E50" w:rsidP="00E67CE1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«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2553"/>
        <w:gridCol w:w="3609"/>
      </w:tblGrid>
      <w:tr w:rsidR="00E67CE1" w:rsidRPr="00E67CE1" w:rsidTr="00032476">
        <w:trPr>
          <w:cantSplit/>
          <w:trHeight w:val="567"/>
          <w:tblHeader/>
        </w:trPr>
        <w:tc>
          <w:tcPr>
            <w:tcW w:w="1208" w:type="dxa"/>
            <w:shd w:val="clear" w:color="auto" w:fill="auto"/>
            <w:vAlign w:val="bottom"/>
          </w:tcPr>
          <w:p w:rsidR="00F24E50" w:rsidRPr="00E67CE1" w:rsidRDefault="00F24E50" w:rsidP="00032476">
            <w:pPr>
              <w:spacing w:before="80" w:after="80" w:line="200" w:lineRule="exact"/>
              <w:ind w:left="136" w:right="113"/>
              <w:rPr>
                <w:i/>
                <w:sz w:val="16"/>
                <w:lang w:val="fr-FR"/>
              </w:rPr>
            </w:pPr>
            <w:r w:rsidRPr="00E67CE1">
              <w:rPr>
                <w:i/>
                <w:sz w:val="16"/>
                <w:lang w:val="fr-FR"/>
              </w:rPr>
              <w:t>9.3.1.21.5 b)</w:t>
            </w:r>
            <w:r w:rsidRPr="00E67CE1">
              <w:rPr>
                <w:i/>
                <w:sz w:val="16"/>
                <w:lang w:val="fr-FR"/>
              </w:rPr>
              <w:br/>
              <w:t>9.3.2.21.5 b)</w:t>
            </w:r>
            <w:r w:rsidRPr="00E67CE1">
              <w:rPr>
                <w:i/>
                <w:sz w:val="16"/>
                <w:lang w:val="fr-FR"/>
              </w:rPr>
              <w:br/>
              <w:t>9.3.3.21.5 d)</w:t>
            </w:r>
          </w:p>
        </w:tc>
        <w:tc>
          <w:tcPr>
            <w:tcW w:w="2553" w:type="dxa"/>
            <w:shd w:val="clear" w:color="auto" w:fill="auto"/>
          </w:tcPr>
          <w:p w:rsidR="00F24E50" w:rsidRPr="00E67CE1" w:rsidRDefault="00F24E50" w:rsidP="005A5054">
            <w:pPr>
              <w:spacing w:before="120" w:after="80" w:line="200" w:lineRule="exact"/>
              <w:ind w:left="57" w:right="113"/>
              <w:rPr>
                <w:i/>
                <w:sz w:val="16"/>
                <w:lang w:val="fr-FR"/>
              </w:rPr>
            </w:pPr>
            <w:r w:rsidRPr="00E67CE1">
              <w:rPr>
                <w:i/>
                <w:sz w:val="16"/>
                <w:lang w:val="fr-FR" w:eastAsia="de-DE"/>
              </w:rPr>
              <w:t>Installation de coupure de la pompe de bord à partir de la terre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F24E50" w:rsidRPr="00E67CE1" w:rsidRDefault="00F24E50" w:rsidP="005A5054">
            <w:pPr>
              <w:spacing w:before="120" w:line="200" w:lineRule="exact"/>
              <w:ind w:left="68" w:right="113"/>
              <w:rPr>
                <w:i/>
                <w:sz w:val="16"/>
                <w:lang w:val="fr-FR" w:eastAsia="de-DE"/>
              </w:rPr>
            </w:pPr>
            <w:r w:rsidRPr="00E67CE1">
              <w:rPr>
                <w:i/>
                <w:sz w:val="16"/>
                <w:lang w:val="fr-FR" w:eastAsia="de-DE"/>
              </w:rPr>
              <w:t xml:space="preserve">N.R.T. </w:t>
            </w:r>
          </w:p>
          <w:p w:rsidR="00F24E50" w:rsidRPr="00E67CE1" w:rsidRDefault="00F24E50" w:rsidP="00032476">
            <w:pPr>
              <w:spacing w:before="40" w:after="80" w:line="200" w:lineRule="exact"/>
              <w:ind w:left="68" w:right="113"/>
              <w:rPr>
                <w:i/>
                <w:sz w:val="16"/>
                <w:lang w:val="fr-FR"/>
              </w:rPr>
            </w:pPr>
            <w:r w:rsidRPr="00E67CE1">
              <w:rPr>
                <w:i/>
                <w:sz w:val="16"/>
                <w:lang w:val="fr-FR" w:eastAsia="de-DE"/>
              </w:rPr>
              <w:t>Renouvellement du certificat d'agrément après le 31 décembre 2006</w:t>
            </w:r>
            <w:r w:rsidR="005A5054">
              <w:rPr>
                <w:i/>
                <w:sz w:val="16"/>
                <w:lang w:val="fr-FR" w:eastAsia="de-DE"/>
              </w:rPr>
              <w:t>.</w:t>
            </w:r>
          </w:p>
        </w:tc>
      </w:tr>
      <w:tr w:rsidR="00E67CE1" w:rsidRPr="00E67CE1" w:rsidTr="00032476">
        <w:trPr>
          <w:cantSplit/>
        </w:trPr>
        <w:tc>
          <w:tcPr>
            <w:tcW w:w="1208" w:type="dxa"/>
            <w:shd w:val="clear" w:color="auto" w:fill="auto"/>
          </w:tcPr>
          <w:p w:rsidR="00F24E50" w:rsidRPr="00E67CE1" w:rsidRDefault="00F24E50" w:rsidP="00032476">
            <w:pPr>
              <w:spacing w:before="40" w:after="120"/>
              <w:ind w:left="136" w:right="113"/>
              <w:rPr>
                <w:i/>
                <w:iCs/>
                <w:sz w:val="16"/>
                <w:szCs w:val="16"/>
                <w:lang w:val="fr-FR"/>
              </w:rPr>
            </w:pPr>
            <w:r w:rsidRPr="00E67CE1">
              <w:rPr>
                <w:i/>
                <w:iCs/>
                <w:sz w:val="16"/>
                <w:szCs w:val="16"/>
                <w:lang w:val="fr-FR"/>
              </w:rPr>
              <w:t>9.3.2.21.5 c)</w:t>
            </w:r>
          </w:p>
        </w:tc>
        <w:tc>
          <w:tcPr>
            <w:tcW w:w="2553" w:type="dxa"/>
            <w:shd w:val="clear" w:color="auto" w:fill="auto"/>
          </w:tcPr>
          <w:p w:rsidR="00F24E50" w:rsidRPr="00E67CE1" w:rsidRDefault="00F24E50" w:rsidP="00032476">
            <w:pPr>
              <w:spacing w:before="40" w:after="120"/>
              <w:ind w:left="59" w:right="113"/>
              <w:rPr>
                <w:i/>
                <w:iCs/>
                <w:sz w:val="16"/>
                <w:szCs w:val="16"/>
                <w:lang w:val="fr-FR"/>
              </w:rPr>
            </w:pPr>
            <w:r w:rsidRPr="00E67CE1">
              <w:rPr>
                <w:i/>
                <w:iCs/>
                <w:sz w:val="16"/>
                <w:szCs w:val="16"/>
                <w:lang w:val="fr-FR" w:eastAsia="de-DE"/>
              </w:rPr>
              <w:t>Dispositif de fermeture rapide de l’avitaillement</w:t>
            </w:r>
          </w:p>
        </w:tc>
        <w:tc>
          <w:tcPr>
            <w:tcW w:w="3609" w:type="dxa"/>
            <w:shd w:val="clear" w:color="auto" w:fill="auto"/>
          </w:tcPr>
          <w:p w:rsidR="00F24E50" w:rsidRPr="00E67CE1" w:rsidRDefault="00F24E50" w:rsidP="005A5054">
            <w:pPr>
              <w:spacing w:before="60" w:line="200" w:lineRule="atLeast"/>
              <w:ind w:left="68" w:right="113"/>
              <w:rPr>
                <w:i/>
                <w:iCs/>
                <w:sz w:val="16"/>
                <w:szCs w:val="16"/>
                <w:lang w:val="fr-FR" w:eastAsia="de-DE"/>
              </w:rPr>
            </w:pPr>
            <w:r w:rsidRPr="00E67CE1">
              <w:rPr>
                <w:i/>
                <w:iCs/>
                <w:sz w:val="16"/>
                <w:szCs w:val="16"/>
                <w:lang w:val="fr-FR" w:eastAsia="de-DE"/>
              </w:rPr>
              <w:t xml:space="preserve">N.R.T. </w:t>
            </w:r>
          </w:p>
          <w:p w:rsidR="00F24E50" w:rsidRPr="00E67CE1" w:rsidRDefault="00F24E50" w:rsidP="005A5054">
            <w:pPr>
              <w:spacing w:after="40"/>
              <w:ind w:left="68" w:right="113"/>
              <w:rPr>
                <w:lang w:val="fr-FR"/>
              </w:rPr>
            </w:pPr>
            <w:r w:rsidRPr="00E67CE1">
              <w:rPr>
                <w:i/>
                <w:iCs/>
                <w:sz w:val="16"/>
                <w:szCs w:val="16"/>
                <w:lang w:val="fr-FR" w:eastAsia="de-DE"/>
              </w:rPr>
              <w:t xml:space="preserve">Renouvellement du certificat d'agrément après le 31 décembre </w:t>
            </w:r>
            <w:r w:rsidRPr="00E67CE1">
              <w:rPr>
                <w:i/>
                <w:iCs/>
                <w:sz w:val="16"/>
                <w:szCs w:val="16"/>
                <w:lang w:val="fr-FR"/>
              </w:rPr>
              <w:t>2008</w:t>
            </w:r>
            <w:r w:rsidR="005A5054">
              <w:rPr>
                <w:i/>
                <w:iCs/>
                <w:sz w:val="16"/>
                <w:szCs w:val="16"/>
                <w:lang w:val="fr-FR"/>
              </w:rPr>
              <w:t>.</w:t>
            </w:r>
          </w:p>
        </w:tc>
      </w:tr>
    </w:tbl>
    <w:p w:rsidR="00F24E50" w:rsidRPr="008F497E" w:rsidRDefault="00F24E50" w:rsidP="00E67CE1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».</w:t>
      </w:r>
    </w:p>
    <w:p w:rsidR="00F24E50" w:rsidRPr="008F497E" w:rsidRDefault="00E67CE1" w:rsidP="00E67CE1">
      <w:pPr>
        <w:pStyle w:val="H23G"/>
        <w:rPr>
          <w:lang w:val="fr-FR" w:eastAsia="en-US"/>
        </w:rPr>
      </w:pPr>
      <w:r>
        <w:rPr>
          <w:lang w:val="fr-FR" w:eastAsia="en-US"/>
        </w:rPr>
        <w:tab/>
      </w:r>
      <w:r w:rsidR="00F24E50" w:rsidRPr="008F497E">
        <w:rPr>
          <w:lang w:val="fr-FR" w:eastAsia="en-US"/>
        </w:rPr>
        <w:t>7.</w:t>
      </w:r>
      <w:r w:rsidR="00F24E50" w:rsidRPr="008F497E">
        <w:rPr>
          <w:lang w:val="fr-FR" w:eastAsia="en-US"/>
        </w:rPr>
        <w:tab/>
        <w:t>Ad 1.6.7.2.2.2</w:t>
      </w:r>
    </w:p>
    <w:p w:rsidR="00F24E50" w:rsidRPr="008F497E" w:rsidRDefault="00F24E50" w:rsidP="00E67CE1">
      <w:pPr>
        <w:pStyle w:val="SingleTxtG"/>
        <w:rPr>
          <w:lang w:val="fr-FR" w:eastAsia="de-DE"/>
        </w:rPr>
      </w:pPr>
      <w:r w:rsidRPr="008F497E">
        <w:rPr>
          <w:lang w:val="fr-FR" w:eastAsia="de-DE"/>
        </w:rPr>
        <w:t>Suppression de la disposition transitoire en raison de l</w:t>
      </w:r>
      <w:r w:rsidR="00C7447A">
        <w:rPr>
          <w:lang w:val="fr-FR" w:eastAsia="de-DE"/>
        </w:rPr>
        <w:t>’</w:t>
      </w:r>
      <w:r w:rsidRPr="008F497E">
        <w:rPr>
          <w:lang w:val="fr-FR" w:eastAsia="de-DE"/>
        </w:rPr>
        <w:t>expiration du délai.</w:t>
      </w:r>
    </w:p>
    <w:p w:rsidR="00F24E50" w:rsidRPr="00E67CE1" w:rsidRDefault="00F24E50" w:rsidP="00E67CE1">
      <w:pPr>
        <w:pStyle w:val="SingleTxtG"/>
        <w:rPr>
          <w:b/>
          <w:bCs/>
          <w:lang w:val="fr-FR" w:eastAsia="en-US"/>
        </w:rPr>
      </w:pPr>
      <w:r w:rsidRPr="00E67CE1">
        <w:rPr>
          <w:b/>
          <w:bCs/>
          <w:lang w:val="fr-FR" w:eastAsia="de-DE"/>
        </w:rPr>
        <w:t xml:space="preserve">Proposition </w:t>
      </w:r>
      <w:r w:rsidRPr="00E67CE1">
        <w:rPr>
          <w:b/>
          <w:bCs/>
          <w:lang w:val="fr-FR" w:eastAsia="en-US"/>
        </w:rPr>
        <w:t>:</w:t>
      </w:r>
    </w:p>
    <w:p w:rsidR="00F24E50" w:rsidRPr="008F497E" w:rsidRDefault="00F24E50" w:rsidP="005A5054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Supprimer</w:t>
      </w:r>
    </w:p>
    <w:p w:rsidR="00F24E50" w:rsidRPr="008F497E" w:rsidRDefault="00F24E50" w:rsidP="00E67CE1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« 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2552"/>
        <w:gridCol w:w="3543"/>
      </w:tblGrid>
      <w:tr w:rsidR="005A5054" w:rsidRPr="00E67CE1" w:rsidTr="005A5054">
        <w:trPr>
          <w:cantSplit/>
        </w:trPr>
        <w:tc>
          <w:tcPr>
            <w:tcW w:w="1271" w:type="dxa"/>
            <w:shd w:val="clear" w:color="auto" w:fill="auto"/>
          </w:tcPr>
          <w:p w:rsidR="00F24E50" w:rsidRPr="005A5054" w:rsidRDefault="00F24E50" w:rsidP="005A5054">
            <w:pPr>
              <w:spacing w:before="80" w:after="80" w:line="200" w:lineRule="exact"/>
              <w:ind w:left="136" w:right="113"/>
              <w:rPr>
                <w:i/>
                <w:iCs/>
                <w:sz w:val="16"/>
                <w:lang w:val="fr-FR" w:eastAsia="en-US"/>
              </w:rPr>
            </w:pPr>
            <w:r w:rsidRPr="005A5054">
              <w:rPr>
                <w:i/>
                <w:iCs/>
                <w:sz w:val="16"/>
                <w:lang w:val="fr-FR" w:eastAsia="en-US"/>
              </w:rPr>
              <w:t>9.3.1.41.2</w:t>
            </w:r>
            <w:r w:rsidRPr="005A5054">
              <w:rPr>
                <w:i/>
                <w:iCs/>
                <w:sz w:val="16"/>
                <w:lang w:val="fr-FR" w:eastAsia="en-US"/>
              </w:rPr>
              <w:br/>
              <w:t>9.3.2.41.2</w:t>
            </w:r>
            <w:r w:rsidRPr="005A5054">
              <w:rPr>
                <w:i/>
                <w:iCs/>
                <w:sz w:val="16"/>
                <w:lang w:val="fr-FR" w:eastAsia="en-US"/>
              </w:rPr>
              <w:br/>
              <w:t>9.3.3.41.2</w:t>
            </w:r>
            <w:r w:rsidRPr="005A5054">
              <w:rPr>
                <w:i/>
                <w:iCs/>
                <w:sz w:val="16"/>
                <w:lang w:val="fr-FR" w:eastAsia="en-US"/>
              </w:rPr>
              <w:br/>
              <w:t>en liaison avec 7.2.3.41</w:t>
            </w:r>
          </w:p>
        </w:tc>
        <w:tc>
          <w:tcPr>
            <w:tcW w:w="2552" w:type="dxa"/>
            <w:shd w:val="clear" w:color="auto" w:fill="auto"/>
          </w:tcPr>
          <w:p w:rsidR="00F24E50" w:rsidRPr="005A5054" w:rsidRDefault="00F24E50" w:rsidP="005A5054">
            <w:pPr>
              <w:spacing w:before="120" w:after="80" w:line="200" w:lineRule="exact"/>
              <w:ind w:left="57" w:right="113"/>
              <w:rPr>
                <w:i/>
                <w:iCs/>
                <w:sz w:val="16"/>
                <w:lang w:val="fr-FR" w:eastAsia="en-US"/>
              </w:rPr>
            </w:pPr>
            <w:r w:rsidRPr="005A5054">
              <w:rPr>
                <w:i/>
                <w:iCs/>
                <w:sz w:val="16"/>
                <w:lang w:val="fr-FR"/>
              </w:rPr>
              <w:t xml:space="preserve">Appareils de chauffage, de cuisine et de </w:t>
            </w:r>
            <w:r w:rsidRPr="005A5054">
              <w:rPr>
                <w:i/>
                <w:sz w:val="16"/>
                <w:lang w:val="fr-FR" w:eastAsia="de-DE"/>
              </w:rPr>
              <w:t>réfrigération</w:t>
            </w:r>
          </w:p>
        </w:tc>
        <w:tc>
          <w:tcPr>
            <w:tcW w:w="3543" w:type="dxa"/>
            <w:shd w:val="clear" w:color="auto" w:fill="auto"/>
          </w:tcPr>
          <w:p w:rsidR="00F24E50" w:rsidRPr="005A5054" w:rsidRDefault="00F24E50" w:rsidP="005A5054">
            <w:pPr>
              <w:spacing w:before="120" w:line="200" w:lineRule="exact"/>
              <w:ind w:left="68" w:right="113"/>
              <w:rPr>
                <w:i/>
                <w:iCs/>
                <w:sz w:val="16"/>
                <w:lang w:val="fr-FR"/>
              </w:rPr>
            </w:pPr>
            <w:r w:rsidRPr="005A5054">
              <w:rPr>
                <w:i/>
                <w:iCs/>
                <w:sz w:val="16"/>
                <w:lang w:val="fr-FR"/>
              </w:rPr>
              <w:t>N.R.T.</w:t>
            </w:r>
          </w:p>
          <w:p w:rsidR="00F24E50" w:rsidRPr="005A5054" w:rsidRDefault="00F24E50" w:rsidP="005A5054">
            <w:pPr>
              <w:spacing w:after="40"/>
              <w:ind w:left="68" w:right="113"/>
              <w:rPr>
                <w:i/>
                <w:iCs/>
                <w:sz w:val="16"/>
                <w:lang w:val="fr-FR"/>
              </w:rPr>
            </w:pPr>
            <w:r w:rsidRPr="005A5054">
              <w:rPr>
                <w:i/>
                <w:iCs/>
                <w:sz w:val="16"/>
                <w:szCs w:val="16"/>
                <w:lang w:val="fr-FR" w:eastAsia="de-DE"/>
              </w:rPr>
              <w:t>Renouvellement</w:t>
            </w:r>
            <w:r w:rsidRPr="005A5054">
              <w:rPr>
                <w:i/>
                <w:iCs/>
                <w:sz w:val="16"/>
                <w:lang w:val="fr-FR"/>
              </w:rPr>
              <w:t xml:space="preserve"> du certificat d'agrément après le 31 décembre 2010</w:t>
            </w:r>
          </w:p>
        </w:tc>
      </w:tr>
    </w:tbl>
    <w:p w:rsidR="00F24E50" w:rsidRPr="008F497E" w:rsidRDefault="00F24E50" w:rsidP="005A5054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».</w:t>
      </w:r>
    </w:p>
    <w:p w:rsidR="00F24E50" w:rsidRPr="008F497E" w:rsidRDefault="005A5054" w:rsidP="005A5054">
      <w:pPr>
        <w:pStyle w:val="H23G"/>
        <w:rPr>
          <w:lang w:val="fr-FR" w:eastAsia="en-US"/>
        </w:rPr>
      </w:pPr>
      <w:r>
        <w:rPr>
          <w:lang w:val="fr-FR" w:eastAsia="en-US"/>
        </w:rPr>
        <w:tab/>
      </w:r>
      <w:r w:rsidR="00F24E50" w:rsidRPr="008F497E">
        <w:rPr>
          <w:lang w:val="fr-FR" w:eastAsia="en-US"/>
        </w:rPr>
        <w:t>8.</w:t>
      </w:r>
      <w:r w:rsidR="00F24E50" w:rsidRPr="008F497E">
        <w:rPr>
          <w:lang w:val="fr-FR" w:eastAsia="en-US"/>
        </w:rPr>
        <w:tab/>
        <w:t>Ad 1.6.7.2.2.3.1</w:t>
      </w:r>
    </w:p>
    <w:p w:rsidR="00F24E50" w:rsidRPr="008F497E" w:rsidRDefault="00F24E50" w:rsidP="005A5054">
      <w:pPr>
        <w:pStyle w:val="SingleTxtG"/>
        <w:rPr>
          <w:lang w:val="fr-FR" w:eastAsia="de-DE"/>
        </w:rPr>
      </w:pPr>
      <w:r w:rsidRPr="008F497E">
        <w:rPr>
          <w:lang w:val="fr-FR" w:eastAsia="de-DE"/>
        </w:rPr>
        <w:t>Suppression de la disposition transitoire en raison de l</w:t>
      </w:r>
      <w:r w:rsidR="00C7447A">
        <w:rPr>
          <w:lang w:val="fr-FR" w:eastAsia="de-DE"/>
        </w:rPr>
        <w:t>’</w:t>
      </w:r>
      <w:r w:rsidRPr="008F497E">
        <w:rPr>
          <w:lang w:val="fr-FR" w:eastAsia="de-DE"/>
        </w:rPr>
        <w:t>expiration du délai.</w:t>
      </w:r>
    </w:p>
    <w:p w:rsidR="00F24E50" w:rsidRPr="005A5054" w:rsidRDefault="00F24E50" w:rsidP="005A5054">
      <w:pPr>
        <w:pStyle w:val="SingleTxtG"/>
        <w:rPr>
          <w:b/>
          <w:bCs/>
          <w:lang w:val="fr-FR" w:eastAsia="en-US"/>
        </w:rPr>
      </w:pPr>
      <w:r w:rsidRPr="005A5054">
        <w:rPr>
          <w:b/>
          <w:bCs/>
          <w:lang w:val="fr-FR" w:eastAsia="de-DE"/>
        </w:rPr>
        <w:t xml:space="preserve">Proposition </w:t>
      </w:r>
      <w:r w:rsidRPr="005A5054">
        <w:rPr>
          <w:b/>
          <w:bCs/>
          <w:lang w:val="fr-FR" w:eastAsia="en-US"/>
        </w:rPr>
        <w:t>:</w:t>
      </w:r>
    </w:p>
    <w:p w:rsidR="00F24E50" w:rsidRPr="008F497E" w:rsidRDefault="00F24E50" w:rsidP="005A5054">
      <w:pPr>
        <w:pStyle w:val="SingleTxtG"/>
        <w:rPr>
          <w:lang w:val="fr-FR" w:eastAsia="de-DE"/>
        </w:rPr>
      </w:pPr>
      <w:r w:rsidRPr="005A5054">
        <w:rPr>
          <w:i/>
          <w:iCs/>
          <w:lang w:val="fr-FR" w:eastAsia="de-DE"/>
        </w:rPr>
        <w:t>Remplacer</w:t>
      </w:r>
      <w:r w:rsidRPr="008F497E">
        <w:rPr>
          <w:lang w:val="fr-FR" w:eastAsia="de-DE"/>
        </w:rPr>
        <w:t xml:space="preserve"> «1.6.7.2.2.3.1</w:t>
      </w:r>
      <w:r w:rsidRPr="008F497E">
        <w:rPr>
          <w:lang w:val="fr-FR" w:eastAsia="de-DE"/>
        </w:rPr>
        <w:tab/>
        <w:t>Les marchandises pour lesquelles le type N fermé avec clapets réglés au minimum à 10 kPa (0,10 bar) exigé dans le tableau C du chapitre 3.2 peuvent être transportées dans les bateaux-citernes en service du type N fermé avec clapets réglés au minimum à 6 kPa (0,06 bar) (pression d’épreuve des citernes à cargaison de 10 kPa (0,10</w:t>
      </w:r>
      <w:r w:rsidR="00B10D97">
        <w:rPr>
          <w:lang w:val="fr-FR" w:eastAsia="de-DE"/>
        </w:rPr>
        <w:t> </w:t>
      </w:r>
      <w:r w:rsidRPr="008F497E">
        <w:rPr>
          <w:lang w:val="fr-FR" w:eastAsia="de-DE"/>
        </w:rPr>
        <w:t>bar)). Cette disposition transitoire est valable jusqu’au 31</w:t>
      </w:r>
      <w:r>
        <w:rPr>
          <w:lang w:val="fr-FR" w:eastAsia="de-DE"/>
        </w:rPr>
        <w:t> </w:t>
      </w:r>
      <w:r w:rsidRPr="008F497E">
        <w:rPr>
          <w:lang w:val="fr-FR" w:eastAsia="de-DE"/>
        </w:rPr>
        <w:t>décembre 2018. »</w:t>
      </w:r>
    </w:p>
    <w:p w:rsidR="00F24E50" w:rsidRPr="005A5054" w:rsidRDefault="00F24E50" w:rsidP="005A5054">
      <w:pPr>
        <w:pStyle w:val="SingleTxtG"/>
        <w:rPr>
          <w:i/>
          <w:iCs/>
          <w:lang w:val="fr-FR" w:eastAsia="en-US"/>
        </w:rPr>
      </w:pPr>
      <w:proofErr w:type="gramStart"/>
      <w:r w:rsidRPr="005A5054">
        <w:rPr>
          <w:i/>
          <w:iCs/>
          <w:lang w:val="fr-FR" w:eastAsia="en-US"/>
        </w:rPr>
        <w:t>par</w:t>
      </w:r>
      <w:proofErr w:type="gramEnd"/>
    </w:p>
    <w:p w:rsidR="00F24E50" w:rsidRPr="008F497E" w:rsidRDefault="00F24E50" w:rsidP="005A5054">
      <w:pPr>
        <w:pStyle w:val="SingleTxtG"/>
        <w:rPr>
          <w:lang w:val="fr-FR" w:eastAsia="de-DE"/>
        </w:rPr>
      </w:pPr>
      <w:r w:rsidRPr="008F497E">
        <w:rPr>
          <w:lang w:val="fr-FR" w:eastAsia="de-DE"/>
        </w:rPr>
        <w:t>« 1.6.7.2.2.3.1 (Supprimé) ».</w:t>
      </w:r>
    </w:p>
    <w:p w:rsidR="00F24E50" w:rsidRPr="008F497E" w:rsidRDefault="005A5054" w:rsidP="005A5054">
      <w:pPr>
        <w:pStyle w:val="H23G"/>
        <w:rPr>
          <w:lang w:val="fr-FR" w:eastAsia="en-US"/>
        </w:rPr>
      </w:pPr>
      <w:r>
        <w:rPr>
          <w:lang w:val="fr-FR" w:eastAsia="en-US"/>
        </w:rPr>
        <w:tab/>
      </w:r>
      <w:r w:rsidR="00F24E50" w:rsidRPr="008F497E">
        <w:rPr>
          <w:lang w:val="fr-FR" w:eastAsia="en-US"/>
        </w:rPr>
        <w:t>9.</w:t>
      </w:r>
      <w:r w:rsidR="00F24E50" w:rsidRPr="008F497E">
        <w:rPr>
          <w:lang w:val="fr-FR" w:eastAsia="en-US"/>
        </w:rPr>
        <w:tab/>
        <w:t>Ad 2.2.61.1.14</w:t>
      </w:r>
    </w:p>
    <w:p w:rsidR="00F24E50" w:rsidRPr="008F497E" w:rsidRDefault="00F24E50" w:rsidP="005A5054">
      <w:pPr>
        <w:pStyle w:val="SingleTxtG"/>
        <w:rPr>
          <w:lang w:val="fr-FR" w:eastAsia="de-DE"/>
        </w:rPr>
      </w:pPr>
      <w:bookmarkStart w:id="7" w:name="_Hlk8049597"/>
      <w:r w:rsidRPr="008F497E">
        <w:rPr>
          <w:lang w:val="fr-FR" w:eastAsia="de-DE"/>
        </w:rPr>
        <w:t xml:space="preserve">La version anglaise est libellée comme suit : « Official Journal of the </w:t>
      </w:r>
      <w:proofErr w:type="spellStart"/>
      <w:r w:rsidRPr="008F497E">
        <w:rPr>
          <w:lang w:val="fr-FR" w:eastAsia="de-DE"/>
        </w:rPr>
        <w:t>European</w:t>
      </w:r>
      <w:proofErr w:type="spellEnd"/>
      <w:r w:rsidRPr="008F497E">
        <w:rPr>
          <w:lang w:val="fr-FR" w:eastAsia="de-DE"/>
        </w:rPr>
        <w:t xml:space="preserve"> Union ». Les versions française et allemande doivent être corrigées en conséquence.</w:t>
      </w:r>
    </w:p>
    <w:bookmarkEnd w:id="7"/>
    <w:p w:rsidR="00F24E50" w:rsidRPr="005A5054" w:rsidRDefault="00F24E50" w:rsidP="00267D81">
      <w:pPr>
        <w:pStyle w:val="SingleTxtG"/>
        <w:keepNext/>
        <w:keepLines/>
        <w:rPr>
          <w:b/>
          <w:bCs/>
          <w:lang w:val="fr-FR" w:eastAsia="en-US"/>
        </w:rPr>
      </w:pPr>
      <w:r w:rsidRPr="005A5054">
        <w:rPr>
          <w:b/>
          <w:bCs/>
          <w:lang w:val="fr-FR" w:eastAsia="de-DE"/>
        </w:rPr>
        <w:lastRenderedPageBreak/>
        <w:t xml:space="preserve">Proposition </w:t>
      </w:r>
      <w:r w:rsidRPr="005A5054">
        <w:rPr>
          <w:b/>
          <w:bCs/>
          <w:lang w:val="fr-FR" w:eastAsia="en-US"/>
        </w:rPr>
        <w:t>:</w:t>
      </w:r>
    </w:p>
    <w:p w:rsidR="00666666" w:rsidRDefault="00F24E50" w:rsidP="00267D81">
      <w:pPr>
        <w:pStyle w:val="SingleTxtG"/>
        <w:keepNext/>
        <w:keepLines/>
        <w:rPr>
          <w:lang w:val="fr-FR" w:eastAsia="de-DE"/>
        </w:rPr>
      </w:pPr>
      <w:r w:rsidRPr="008F497E">
        <w:rPr>
          <w:lang w:val="fr-FR" w:eastAsia="de-DE"/>
        </w:rPr>
        <w:t xml:space="preserve">Dans la note de bas de page 3) </w:t>
      </w:r>
    </w:p>
    <w:p w:rsidR="00666666" w:rsidRDefault="00666666" w:rsidP="00267D81">
      <w:pPr>
        <w:pStyle w:val="SingleTxtG"/>
        <w:keepNext/>
        <w:keepLines/>
        <w:rPr>
          <w:lang w:val="fr-FR" w:eastAsia="de-DE"/>
        </w:rPr>
      </w:pPr>
      <w:r>
        <w:rPr>
          <w:i/>
          <w:iCs/>
          <w:lang w:val="fr-FR" w:eastAsia="de-DE"/>
        </w:rPr>
        <w:t>R</w:t>
      </w:r>
      <w:r w:rsidR="00F24E50" w:rsidRPr="00666666">
        <w:rPr>
          <w:i/>
          <w:iCs/>
          <w:lang w:val="fr-FR" w:eastAsia="de-DE"/>
        </w:rPr>
        <w:t>emplacer</w:t>
      </w:r>
      <w:r w:rsidR="00F24E50" w:rsidRPr="008F497E">
        <w:rPr>
          <w:lang w:val="fr-FR" w:eastAsia="de-DE"/>
        </w:rPr>
        <w:t xml:space="preserve"> « Journal officiel »</w:t>
      </w:r>
    </w:p>
    <w:p w:rsidR="00666666" w:rsidRDefault="00F24E50" w:rsidP="00267D81">
      <w:pPr>
        <w:pStyle w:val="SingleTxtG"/>
        <w:keepNext/>
        <w:keepLines/>
        <w:rPr>
          <w:lang w:val="fr-FR" w:eastAsia="de-DE"/>
        </w:rPr>
      </w:pPr>
      <w:proofErr w:type="gramStart"/>
      <w:r w:rsidRPr="00666666">
        <w:rPr>
          <w:i/>
          <w:iCs/>
          <w:lang w:val="fr-FR" w:eastAsia="de-DE"/>
        </w:rPr>
        <w:t>par</w:t>
      </w:r>
      <w:proofErr w:type="gramEnd"/>
      <w:r w:rsidRPr="008F497E">
        <w:rPr>
          <w:lang w:val="fr-FR" w:eastAsia="de-DE"/>
        </w:rPr>
        <w:t xml:space="preserve"> </w:t>
      </w:r>
    </w:p>
    <w:p w:rsidR="00F24E50" w:rsidRDefault="00F24E50" w:rsidP="00267D81">
      <w:pPr>
        <w:pStyle w:val="SingleTxtG"/>
        <w:keepNext/>
        <w:keepLines/>
        <w:rPr>
          <w:lang w:val="fr-FR" w:eastAsia="de-DE"/>
        </w:rPr>
      </w:pPr>
      <w:r w:rsidRPr="008F497E">
        <w:rPr>
          <w:lang w:val="fr-FR" w:eastAsia="de-DE"/>
        </w:rPr>
        <w:t>« </w:t>
      </w:r>
      <w:r w:rsidRPr="008F497E">
        <w:rPr>
          <w:rFonts w:ascii="inherit" w:hAnsi="inherit"/>
          <w:color w:val="000000"/>
          <w:shd w:val="clear" w:color="auto" w:fill="FFFFFF"/>
          <w:lang w:val="fr-FR"/>
        </w:rPr>
        <w:t>Journal officiel de l’Union européenne</w:t>
      </w:r>
      <w:r w:rsidRPr="008F497E">
        <w:rPr>
          <w:lang w:val="fr-FR" w:eastAsia="de-DE"/>
        </w:rPr>
        <w:t> ».</w:t>
      </w:r>
    </w:p>
    <w:p w:rsidR="005A5054" w:rsidRPr="005A5054" w:rsidRDefault="005A5054" w:rsidP="005A5054">
      <w:pPr>
        <w:pStyle w:val="H23G"/>
        <w:rPr>
          <w:lang w:val="fr-FR" w:eastAsia="en-US"/>
        </w:rPr>
      </w:pPr>
      <w:r>
        <w:rPr>
          <w:lang w:val="fr-FR" w:eastAsia="en-US"/>
        </w:rPr>
        <w:tab/>
      </w:r>
      <w:r w:rsidRPr="005A5054">
        <w:rPr>
          <w:lang w:val="fr-FR" w:eastAsia="en-US"/>
        </w:rPr>
        <w:t>10.</w:t>
      </w:r>
      <w:r w:rsidRPr="005A5054">
        <w:rPr>
          <w:lang w:val="fr-FR" w:eastAsia="en-US"/>
        </w:rPr>
        <w:tab/>
        <w:t>Ad 2.2.9.1.10.3</w:t>
      </w:r>
    </w:p>
    <w:p w:rsidR="005A5054" w:rsidRPr="008F497E" w:rsidRDefault="005A5054" w:rsidP="005A5054">
      <w:pPr>
        <w:pStyle w:val="SingleTxtG"/>
        <w:rPr>
          <w:lang w:val="fr-FR" w:eastAsia="de-DE"/>
        </w:rPr>
      </w:pPr>
      <w:r w:rsidRPr="008F497E">
        <w:rPr>
          <w:lang w:val="fr-FR" w:eastAsia="de-DE"/>
        </w:rPr>
        <w:t xml:space="preserve">La version anglaise est libellée comme suit : « Official Journal of the </w:t>
      </w:r>
      <w:proofErr w:type="spellStart"/>
      <w:r w:rsidRPr="008F497E">
        <w:rPr>
          <w:lang w:val="fr-FR" w:eastAsia="de-DE"/>
        </w:rPr>
        <w:t>European</w:t>
      </w:r>
      <w:proofErr w:type="spellEnd"/>
      <w:r w:rsidRPr="008F497E">
        <w:rPr>
          <w:lang w:val="fr-FR" w:eastAsia="de-DE"/>
        </w:rPr>
        <w:t xml:space="preserve"> Union ». Les versions française et allemande doivent être corrigées en conséquence.</w:t>
      </w:r>
    </w:p>
    <w:p w:rsidR="005A5054" w:rsidRPr="005A5054" w:rsidRDefault="005A5054" w:rsidP="005A5054">
      <w:pPr>
        <w:pStyle w:val="SingleTxtG"/>
        <w:rPr>
          <w:b/>
          <w:bCs/>
          <w:lang w:val="fr-FR" w:eastAsia="en-US"/>
        </w:rPr>
      </w:pPr>
      <w:r w:rsidRPr="005A5054">
        <w:rPr>
          <w:b/>
          <w:bCs/>
          <w:lang w:val="fr-FR" w:eastAsia="de-DE"/>
        </w:rPr>
        <w:t xml:space="preserve">Proposition </w:t>
      </w:r>
      <w:r w:rsidRPr="005A5054">
        <w:rPr>
          <w:b/>
          <w:bCs/>
          <w:lang w:val="fr-FR" w:eastAsia="en-US"/>
        </w:rPr>
        <w:t>:</w:t>
      </w:r>
    </w:p>
    <w:p w:rsidR="00666666" w:rsidRDefault="005A5054" w:rsidP="005A5054">
      <w:pPr>
        <w:pStyle w:val="SingleTxtG"/>
        <w:rPr>
          <w:lang w:val="fr-FR" w:eastAsia="de-DE"/>
        </w:rPr>
      </w:pPr>
      <w:r w:rsidRPr="008F497E">
        <w:rPr>
          <w:lang w:val="fr-FR" w:eastAsia="de-DE"/>
        </w:rPr>
        <w:t xml:space="preserve">Dans la note de bas de page 3) </w:t>
      </w:r>
    </w:p>
    <w:p w:rsidR="00666666" w:rsidRDefault="00666666" w:rsidP="005A5054">
      <w:pPr>
        <w:pStyle w:val="SingleTxtG"/>
        <w:rPr>
          <w:lang w:val="fr-FR" w:eastAsia="de-DE"/>
        </w:rPr>
      </w:pPr>
      <w:r w:rsidRPr="00666666">
        <w:rPr>
          <w:i/>
          <w:iCs/>
          <w:lang w:val="fr-FR" w:eastAsia="de-DE"/>
        </w:rPr>
        <w:t>R</w:t>
      </w:r>
      <w:r w:rsidR="005A5054" w:rsidRPr="00666666">
        <w:rPr>
          <w:i/>
          <w:iCs/>
          <w:lang w:val="fr-FR" w:eastAsia="de-DE"/>
        </w:rPr>
        <w:t>emplacer</w:t>
      </w:r>
      <w:r w:rsidR="005A5054" w:rsidRPr="008F497E">
        <w:rPr>
          <w:lang w:val="fr-FR" w:eastAsia="de-DE"/>
        </w:rPr>
        <w:t xml:space="preserve"> « Journal officiel » </w:t>
      </w:r>
    </w:p>
    <w:p w:rsidR="005A5054" w:rsidRPr="008F497E" w:rsidRDefault="005A5054" w:rsidP="005A5054">
      <w:pPr>
        <w:pStyle w:val="SingleTxtG"/>
        <w:rPr>
          <w:lang w:val="fr-FR" w:eastAsia="de-DE"/>
        </w:rPr>
      </w:pPr>
      <w:proofErr w:type="gramStart"/>
      <w:r w:rsidRPr="00666666">
        <w:rPr>
          <w:i/>
          <w:iCs/>
          <w:lang w:val="fr-FR" w:eastAsia="de-DE"/>
        </w:rPr>
        <w:t>par</w:t>
      </w:r>
      <w:proofErr w:type="gramEnd"/>
      <w:r w:rsidRPr="008F497E">
        <w:rPr>
          <w:lang w:val="fr-FR" w:eastAsia="de-DE"/>
        </w:rPr>
        <w:t xml:space="preserve"> « </w:t>
      </w:r>
      <w:r w:rsidRPr="008F497E">
        <w:rPr>
          <w:rFonts w:ascii="inherit" w:hAnsi="inherit"/>
          <w:color w:val="000000"/>
          <w:shd w:val="clear" w:color="auto" w:fill="FFFFFF"/>
          <w:lang w:val="fr-FR"/>
        </w:rPr>
        <w:t>Journal officiel de l’Union européenne</w:t>
      </w:r>
      <w:r w:rsidRPr="008F497E">
        <w:rPr>
          <w:lang w:val="fr-FR" w:eastAsia="de-DE"/>
        </w:rPr>
        <w:t> ».</w:t>
      </w:r>
    </w:p>
    <w:p w:rsidR="005A5054" w:rsidRPr="008F497E" w:rsidRDefault="005A5054" w:rsidP="005A5054">
      <w:pPr>
        <w:pStyle w:val="H23G"/>
        <w:rPr>
          <w:lang w:val="fr-FR" w:eastAsia="en-US"/>
        </w:rPr>
      </w:pPr>
      <w:r>
        <w:rPr>
          <w:lang w:val="fr-FR" w:eastAsia="en-US"/>
        </w:rPr>
        <w:tab/>
      </w:r>
      <w:r w:rsidRPr="008F497E">
        <w:rPr>
          <w:lang w:val="fr-FR" w:eastAsia="en-US"/>
        </w:rPr>
        <w:t>11.</w:t>
      </w:r>
      <w:r w:rsidRPr="008F497E">
        <w:rPr>
          <w:lang w:val="fr-FR" w:eastAsia="en-US"/>
        </w:rPr>
        <w:tab/>
        <w:t>Ad 3.3.1, Disposition spéciale 241</w:t>
      </w:r>
    </w:p>
    <w:p w:rsidR="005A5054" w:rsidRPr="008F497E" w:rsidRDefault="005A5054" w:rsidP="005A5054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Adaptation des versions française et allemande à la version anglaise</w:t>
      </w:r>
      <w:r w:rsidR="00601153">
        <w:rPr>
          <w:lang w:val="fr-FR" w:eastAsia="en-US"/>
        </w:rPr>
        <w:t xml:space="preserve"> (voir l’annexe </w:t>
      </w:r>
      <w:r w:rsidR="00FB0704">
        <w:rPr>
          <w:lang w:val="fr-FR" w:eastAsia="en-US"/>
        </w:rPr>
        <w:t>1</w:t>
      </w:r>
      <w:bookmarkStart w:id="8" w:name="_GoBack"/>
      <w:bookmarkEnd w:id="8"/>
      <w:r w:rsidR="00601153">
        <w:rPr>
          <w:lang w:val="fr-FR" w:eastAsia="en-US"/>
        </w:rPr>
        <w:t>)</w:t>
      </w:r>
      <w:r w:rsidRPr="008F497E">
        <w:rPr>
          <w:lang w:val="fr-FR" w:eastAsia="en-US"/>
        </w:rPr>
        <w:t>.</w:t>
      </w:r>
    </w:p>
    <w:p w:rsidR="005A5054" w:rsidRPr="008F497E" w:rsidRDefault="005A5054" w:rsidP="00666666">
      <w:pPr>
        <w:pStyle w:val="SingleTxtG"/>
        <w:keepNext/>
        <w:keepLines/>
        <w:rPr>
          <w:lang w:val="fr-FR" w:eastAsia="en-US"/>
        </w:rPr>
      </w:pPr>
      <w:r w:rsidRPr="00F422F4">
        <w:rPr>
          <w:b/>
          <w:bCs/>
          <w:lang w:val="fr-FR" w:eastAsia="de-DE"/>
        </w:rPr>
        <w:t>Proposition</w:t>
      </w:r>
      <w:r w:rsidRPr="008F497E">
        <w:rPr>
          <w:lang w:val="fr-FR" w:eastAsia="de-DE"/>
        </w:rPr>
        <w:t xml:space="preserve"> </w:t>
      </w:r>
      <w:r w:rsidRPr="008F497E">
        <w:rPr>
          <w:lang w:val="fr-FR" w:eastAsia="en-US"/>
        </w:rPr>
        <w:t>:</w:t>
      </w:r>
    </w:p>
    <w:p w:rsidR="00666666" w:rsidRDefault="005A5054" w:rsidP="00666666">
      <w:pPr>
        <w:pStyle w:val="SingleTxtG"/>
        <w:keepNext/>
        <w:keepLines/>
        <w:rPr>
          <w:lang w:val="fr-FR" w:eastAsia="en-US"/>
        </w:rPr>
      </w:pPr>
      <w:r w:rsidRPr="008F497E">
        <w:rPr>
          <w:lang w:val="fr-FR" w:eastAsia="en-US"/>
        </w:rPr>
        <w:t xml:space="preserve">Dans la deuxième phrase, </w:t>
      </w:r>
    </w:p>
    <w:p w:rsidR="00666666" w:rsidRDefault="00666666" w:rsidP="00666666">
      <w:pPr>
        <w:pStyle w:val="SingleTxtG"/>
        <w:keepNext/>
        <w:keepLines/>
        <w:rPr>
          <w:lang w:val="fr-FR" w:eastAsia="en-US"/>
        </w:rPr>
      </w:pPr>
      <w:r w:rsidRPr="00666666">
        <w:rPr>
          <w:i/>
          <w:iCs/>
          <w:lang w:val="fr-FR" w:eastAsia="en-US"/>
        </w:rPr>
        <w:t>R</w:t>
      </w:r>
      <w:r w:rsidR="005A5054" w:rsidRPr="00666666">
        <w:rPr>
          <w:i/>
          <w:iCs/>
          <w:lang w:val="fr-FR" w:eastAsia="en-US"/>
        </w:rPr>
        <w:t>emplacer</w:t>
      </w:r>
      <w:r w:rsidR="005A5054" w:rsidRPr="008F497E">
        <w:rPr>
          <w:lang w:val="fr-FR" w:eastAsia="en-US"/>
        </w:rPr>
        <w:t xml:space="preserve"> « matière inflammable » </w:t>
      </w:r>
    </w:p>
    <w:p w:rsidR="005A5054" w:rsidRDefault="005A5054" w:rsidP="00666666">
      <w:pPr>
        <w:pStyle w:val="SingleTxtG"/>
        <w:keepNext/>
        <w:keepLines/>
        <w:rPr>
          <w:lang w:val="fr-FR" w:eastAsia="en-US"/>
        </w:rPr>
      </w:pPr>
      <w:proofErr w:type="gramStart"/>
      <w:r w:rsidRPr="00666666">
        <w:rPr>
          <w:i/>
          <w:iCs/>
          <w:lang w:val="fr-FR" w:eastAsia="en-US"/>
        </w:rPr>
        <w:t>par</w:t>
      </w:r>
      <w:proofErr w:type="gramEnd"/>
      <w:r w:rsidRPr="008F497E">
        <w:rPr>
          <w:lang w:val="fr-FR" w:eastAsia="en-US"/>
        </w:rPr>
        <w:t xml:space="preserve"> « matière solide inflammable ».</w:t>
      </w:r>
    </w:p>
    <w:p w:rsidR="00F422F4" w:rsidRPr="008F497E" w:rsidRDefault="00F422F4" w:rsidP="00F422F4">
      <w:pPr>
        <w:pStyle w:val="H23G"/>
        <w:rPr>
          <w:lang w:eastAsia="en-US"/>
        </w:rPr>
      </w:pPr>
      <w:r>
        <w:rPr>
          <w:lang w:eastAsia="en-US"/>
        </w:rPr>
        <w:tab/>
      </w:r>
      <w:r w:rsidRPr="008F497E">
        <w:rPr>
          <w:lang w:eastAsia="en-US"/>
        </w:rPr>
        <w:t>12.</w:t>
      </w:r>
      <w:r w:rsidRPr="008F497E">
        <w:rPr>
          <w:lang w:eastAsia="en-US"/>
        </w:rPr>
        <w:tab/>
        <w:t>Ad 8.1.2.1, b)</w:t>
      </w:r>
    </w:p>
    <w:p w:rsidR="00F422F4" w:rsidRPr="008F497E" w:rsidRDefault="00F422F4" w:rsidP="00F422F4">
      <w:pPr>
        <w:pStyle w:val="SingleTxtG"/>
        <w:rPr>
          <w:lang w:eastAsia="en-US"/>
        </w:rPr>
      </w:pPr>
      <w:r w:rsidRPr="008F497E">
        <w:rPr>
          <w:lang w:eastAsia="en-US"/>
        </w:rPr>
        <w:t xml:space="preserve">Le texte suivant </w:t>
      </w:r>
      <w:r>
        <w:rPr>
          <w:lang w:eastAsia="en-US"/>
        </w:rPr>
        <w:t xml:space="preserve">manque dans la version </w:t>
      </w:r>
      <w:proofErr w:type="gramStart"/>
      <w:r>
        <w:rPr>
          <w:lang w:eastAsia="en-US"/>
        </w:rPr>
        <w:t>a</w:t>
      </w:r>
      <w:r w:rsidRPr="008F497E">
        <w:rPr>
          <w:lang w:eastAsia="en-US"/>
        </w:rPr>
        <w:t>llemand</w:t>
      </w:r>
      <w:r>
        <w:rPr>
          <w:lang w:eastAsia="en-US"/>
        </w:rPr>
        <w:t>e</w:t>
      </w:r>
      <w:r w:rsidRPr="008F497E">
        <w:rPr>
          <w:lang w:eastAsia="en-US"/>
        </w:rPr>
        <w:t>:</w:t>
      </w:r>
      <w:proofErr w:type="gramEnd"/>
      <w:r w:rsidRPr="008F497E">
        <w:rPr>
          <w:lang w:eastAsia="en-US"/>
        </w:rPr>
        <w:t xml:space="preserve"> « </w:t>
      </w:r>
      <w:proofErr w:type="spellStart"/>
      <w:r w:rsidRPr="008F497E">
        <w:rPr>
          <w:lang w:eastAsia="en-US"/>
        </w:rPr>
        <w:t>für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alle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gefährlichen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Güter</w:t>
      </w:r>
      <w:proofErr w:type="spellEnd"/>
      <w:r w:rsidRPr="008F497E">
        <w:rPr>
          <w:lang w:eastAsia="en-US"/>
        </w:rPr>
        <w:t xml:space="preserve">, die </w:t>
      </w:r>
      <w:proofErr w:type="spellStart"/>
      <w:r w:rsidRPr="008F497E">
        <w:rPr>
          <w:lang w:eastAsia="en-US"/>
        </w:rPr>
        <w:t>sich</w:t>
      </w:r>
      <w:proofErr w:type="spellEnd"/>
      <w:r w:rsidRPr="008F497E">
        <w:rPr>
          <w:lang w:eastAsia="en-US"/>
        </w:rPr>
        <w:t xml:space="preserve"> an Bord </w:t>
      </w:r>
      <w:proofErr w:type="spellStart"/>
      <w:r w:rsidRPr="008F497E">
        <w:rPr>
          <w:lang w:eastAsia="en-US"/>
        </w:rPr>
        <w:t>befinden</w:t>
      </w:r>
      <w:proofErr w:type="spellEnd"/>
      <w:r w:rsidRPr="008F497E">
        <w:rPr>
          <w:lang w:eastAsia="en-US"/>
        </w:rPr>
        <w:t> ».</w:t>
      </w:r>
    </w:p>
    <w:p w:rsidR="00B10D97" w:rsidRDefault="00F422F4" w:rsidP="00F422F4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 xml:space="preserve">La version française est libellée comme suit : </w:t>
      </w:r>
    </w:p>
    <w:p w:rsidR="00F422F4" w:rsidRPr="008F497E" w:rsidRDefault="00B10D97" w:rsidP="00B10D97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ab/>
      </w:r>
      <w:r w:rsidR="00F422F4" w:rsidRPr="008F497E">
        <w:rPr>
          <w:lang w:val="fr-FR" w:eastAsia="en-US"/>
        </w:rPr>
        <w:t>« </w:t>
      </w:r>
      <w:proofErr w:type="gramStart"/>
      <w:r w:rsidR="00F422F4" w:rsidRPr="008F497E">
        <w:rPr>
          <w:lang w:val="fr-FR" w:eastAsia="en-US"/>
        </w:rPr>
        <w:t>pour</w:t>
      </w:r>
      <w:proofErr w:type="gramEnd"/>
      <w:r w:rsidR="00F422F4" w:rsidRPr="008F497E">
        <w:rPr>
          <w:lang w:val="fr-FR" w:eastAsia="en-US"/>
        </w:rPr>
        <w:t xml:space="preserve"> toutes les marchandises dangereuses se trouvant à bord ».</w:t>
      </w:r>
    </w:p>
    <w:p w:rsidR="00B10D97" w:rsidRDefault="00F422F4" w:rsidP="00F422F4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 xml:space="preserve">La version anglaise est libellée comme suit : </w:t>
      </w:r>
      <w:bookmarkStart w:id="9" w:name="_Hlk7687339"/>
    </w:p>
    <w:p w:rsidR="00F422F4" w:rsidRPr="00601153" w:rsidRDefault="00B10D97" w:rsidP="00B10D97">
      <w:pPr>
        <w:pStyle w:val="SingleTxtG"/>
        <w:tabs>
          <w:tab w:val="left" w:pos="1701"/>
        </w:tabs>
        <w:rPr>
          <w:lang w:val="en-GB" w:eastAsia="en-US"/>
        </w:rPr>
      </w:pPr>
      <w:r>
        <w:rPr>
          <w:lang w:val="fr-FR" w:eastAsia="en-US"/>
        </w:rPr>
        <w:tab/>
      </w:r>
      <w:r w:rsidR="00F422F4" w:rsidRPr="00601153">
        <w:rPr>
          <w:lang w:val="en-GB" w:eastAsia="en-US"/>
        </w:rPr>
        <w:t>« </w:t>
      </w:r>
      <w:bookmarkEnd w:id="9"/>
      <w:r w:rsidR="00F422F4" w:rsidRPr="00601153">
        <w:rPr>
          <w:lang w:val="en-GB" w:eastAsia="en-US"/>
        </w:rPr>
        <w:t>for all dangerous goods on board ».</w:t>
      </w:r>
    </w:p>
    <w:p w:rsidR="00F422F4" w:rsidRPr="00C0681B" w:rsidRDefault="00F422F4" w:rsidP="00F422F4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Il est également proposé d</w:t>
      </w:r>
      <w:r w:rsidR="00B10D97">
        <w:rPr>
          <w:lang w:val="fr-FR" w:eastAsia="en-US"/>
        </w:rPr>
        <w:t>’</w:t>
      </w:r>
      <w:r w:rsidRPr="008F497E">
        <w:rPr>
          <w:lang w:val="fr-FR" w:eastAsia="en-US"/>
        </w:rPr>
        <w:t>ajouter « </w:t>
      </w:r>
      <w:r w:rsidRPr="00C0681B">
        <w:rPr>
          <w:lang w:val="fr-FR" w:eastAsia="en-US"/>
        </w:rPr>
        <w:t>transportées en tant que cargaison » dans toutes les versions linguistiques</w:t>
      </w:r>
      <w:r w:rsidRPr="00635638">
        <w:rPr>
          <w:lang w:val="fr-FR" w:eastAsia="en-US"/>
        </w:rPr>
        <w:t>. Motif : distinction notamment par rapport aux produits (exonérés) qui sont utilisés pour l’exploitation du bateau.</w:t>
      </w:r>
    </w:p>
    <w:p w:rsidR="00F422F4" w:rsidRPr="00F422F4" w:rsidRDefault="00F422F4" w:rsidP="00F422F4">
      <w:pPr>
        <w:pStyle w:val="SingleTxtG"/>
        <w:rPr>
          <w:b/>
          <w:bCs/>
          <w:lang w:val="fr-FR" w:eastAsia="en-US"/>
        </w:rPr>
      </w:pPr>
      <w:r w:rsidRPr="00F422F4">
        <w:rPr>
          <w:b/>
          <w:bCs/>
          <w:lang w:val="fr-FR" w:eastAsia="de-DE"/>
        </w:rPr>
        <w:t xml:space="preserve">Proposition </w:t>
      </w:r>
      <w:r w:rsidRPr="00F422F4">
        <w:rPr>
          <w:b/>
          <w:bCs/>
          <w:lang w:val="fr-FR" w:eastAsia="en-US"/>
        </w:rPr>
        <w:t>:</w:t>
      </w:r>
    </w:p>
    <w:p w:rsidR="00F422F4" w:rsidRPr="008F497E" w:rsidRDefault="00F422F4" w:rsidP="00F422F4">
      <w:pPr>
        <w:pStyle w:val="SingleTxtG"/>
        <w:rPr>
          <w:lang w:val="fr-FR" w:eastAsia="en-US"/>
        </w:rPr>
      </w:pPr>
      <w:r w:rsidRPr="008F497E">
        <w:rPr>
          <w:shd w:val="clear" w:color="auto" w:fill="FFFFFF"/>
          <w:lang w:val="fr-FR"/>
        </w:rPr>
        <w:t>(</w:t>
      </w:r>
      <w:r>
        <w:rPr>
          <w:shd w:val="clear" w:color="auto" w:fill="FFFFFF"/>
          <w:lang w:val="fr-FR"/>
        </w:rPr>
        <w:t>L</w:t>
      </w:r>
      <w:r w:rsidRPr="008F497E">
        <w:rPr>
          <w:shd w:val="clear" w:color="auto" w:fill="FFFFFF"/>
          <w:lang w:val="fr-FR"/>
        </w:rPr>
        <w:t>es ajouts sont soulignés, les suppressions sont biffées) :</w:t>
      </w:r>
    </w:p>
    <w:p w:rsidR="00F422F4" w:rsidRPr="00F422F4" w:rsidRDefault="00F422F4" w:rsidP="00F422F4">
      <w:pPr>
        <w:pStyle w:val="SingleTxtG"/>
        <w:rPr>
          <w:i/>
          <w:iCs/>
          <w:lang w:val="fr-FR" w:eastAsia="en-US"/>
        </w:rPr>
      </w:pPr>
      <w:r w:rsidRPr="00F422F4">
        <w:rPr>
          <w:i/>
          <w:iCs/>
          <w:lang w:val="fr-FR" w:eastAsia="en-US"/>
        </w:rPr>
        <w:t xml:space="preserve">Remplacer </w:t>
      </w:r>
    </w:p>
    <w:p w:rsidR="00F422F4" w:rsidRPr="008F497E" w:rsidRDefault="00F422F4" w:rsidP="00F422F4">
      <w:pPr>
        <w:pStyle w:val="SingleTxtG"/>
        <w:rPr>
          <w:lang w:val="fr-FR" w:eastAsia="en-US"/>
        </w:rPr>
      </w:pPr>
      <w:r w:rsidRPr="008F497E">
        <w:rPr>
          <w:lang w:val="fr-FR"/>
        </w:rPr>
        <w:t>« </w:t>
      </w:r>
      <w:proofErr w:type="gramStart"/>
      <w:r w:rsidRPr="008F497E">
        <w:rPr>
          <w:lang w:val="fr-FR"/>
        </w:rPr>
        <w:t>les</w:t>
      </w:r>
      <w:proofErr w:type="gramEnd"/>
      <w:r w:rsidRPr="008F497E">
        <w:rPr>
          <w:lang w:val="fr-FR"/>
        </w:rPr>
        <w:t xml:space="preserve"> documents de transport visés au 5.4.1 pour toutes les marchandises dangereuses se trouvant à bord et le cas échéant le certificat d’empotage du conteneur ou du véhicule (voir</w:t>
      </w:r>
      <w:r>
        <w:rPr>
          <w:lang w:val="fr-FR"/>
        </w:rPr>
        <w:t> </w:t>
      </w:r>
      <w:r w:rsidRPr="008F497E">
        <w:rPr>
          <w:lang w:val="fr-FR"/>
        </w:rPr>
        <w:t>5.4.2); »</w:t>
      </w:r>
    </w:p>
    <w:p w:rsidR="00F422F4" w:rsidRPr="00F422F4" w:rsidRDefault="00F422F4" w:rsidP="00F422F4">
      <w:pPr>
        <w:pStyle w:val="SingleTxtG"/>
        <w:rPr>
          <w:i/>
          <w:iCs/>
          <w:lang w:val="fr-FR" w:eastAsia="en-US"/>
        </w:rPr>
      </w:pPr>
      <w:proofErr w:type="gramStart"/>
      <w:r w:rsidRPr="00F422F4">
        <w:rPr>
          <w:i/>
          <w:iCs/>
          <w:lang w:val="fr-FR" w:eastAsia="en-US"/>
        </w:rPr>
        <w:t>par</w:t>
      </w:r>
      <w:proofErr w:type="gramEnd"/>
    </w:p>
    <w:p w:rsidR="00F422F4" w:rsidRPr="008F497E" w:rsidRDefault="00F422F4" w:rsidP="00F422F4">
      <w:pPr>
        <w:pStyle w:val="SingleTxtG"/>
        <w:rPr>
          <w:lang w:val="fr-FR" w:eastAsia="en-US"/>
        </w:rPr>
      </w:pPr>
      <w:r w:rsidRPr="008F497E">
        <w:rPr>
          <w:lang w:val="fr-FR"/>
        </w:rPr>
        <w:t>« </w:t>
      </w:r>
      <w:proofErr w:type="gramStart"/>
      <w:r w:rsidRPr="008F497E">
        <w:rPr>
          <w:lang w:val="fr-FR"/>
        </w:rPr>
        <w:t>les</w:t>
      </w:r>
      <w:proofErr w:type="gramEnd"/>
      <w:r w:rsidRPr="008F497E">
        <w:rPr>
          <w:lang w:val="fr-FR"/>
        </w:rPr>
        <w:t xml:space="preserve"> documents de transport visés au 5.4.1 pour toutes les marchandises dangereuses </w:t>
      </w:r>
      <w:bookmarkStart w:id="10" w:name="_Hlk8050057"/>
      <w:r w:rsidRPr="008F497E">
        <w:rPr>
          <w:u w:val="single"/>
          <w:lang w:val="fr-FR"/>
        </w:rPr>
        <w:t xml:space="preserve">transportées en tant que </w:t>
      </w:r>
      <w:bookmarkEnd w:id="10"/>
      <w:r>
        <w:rPr>
          <w:u w:val="single"/>
          <w:lang w:val="fr-FR"/>
        </w:rPr>
        <w:t>cargaison</w:t>
      </w:r>
      <w:r w:rsidRPr="008F497E">
        <w:rPr>
          <w:u w:val="single"/>
          <w:lang w:val="fr-FR"/>
        </w:rPr>
        <w:t>,</w:t>
      </w:r>
      <w:r w:rsidRPr="008F497E">
        <w:rPr>
          <w:lang w:val="fr-FR"/>
        </w:rPr>
        <w:t xml:space="preserve"> se trouvant à bord et le cas échéant le certificat d’empotage du conteneur ou du véhicule (voir 5.4.2); ».</w:t>
      </w:r>
    </w:p>
    <w:p w:rsidR="00F422F4" w:rsidRPr="00635638" w:rsidRDefault="00F422F4" w:rsidP="00F422F4">
      <w:pPr>
        <w:pStyle w:val="H23G"/>
        <w:rPr>
          <w:lang w:val="fr-FR" w:eastAsia="en-US"/>
        </w:rPr>
      </w:pPr>
      <w:r>
        <w:rPr>
          <w:lang w:val="fr-FR" w:eastAsia="en-US"/>
        </w:rPr>
        <w:tab/>
      </w:r>
      <w:r w:rsidRPr="00635638">
        <w:rPr>
          <w:lang w:val="fr-FR" w:eastAsia="en-US"/>
        </w:rPr>
        <w:t>13.</w:t>
      </w:r>
      <w:r w:rsidRPr="00635638">
        <w:rPr>
          <w:lang w:val="fr-FR" w:eastAsia="en-US"/>
        </w:rPr>
        <w:tab/>
        <w:t>Ad 9.3.3.14.1</w:t>
      </w:r>
    </w:p>
    <w:p w:rsidR="00F422F4" w:rsidRPr="00C0681B" w:rsidRDefault="00F422F4" w:rsidP="00F422F4">
      <w:pPr>
        <w:pStyle w:val="SingleTxtG"/>
        <w:rPr>
          <w:lang w:val="fr-FR" w:eastAsia="en-US"/>
        </w:rPr>
      </w:pPr>
      <w:bookmarkStart w:id="11" w:name="_Hlk8050144"/>
      <w:r w:rsidRPr="00635638">
        <w:rPr>
          <w:lang w:val="fr-FR" w:eastAsia="en-US"/>
        </w:rPr>
        <w:t>Il est proposé de remplacer « dans les couples » par « dans la coque » afin d’éviter la confusion avec les « formations à couple ».</w:t>
      </w:r>
    </w:p>
    <w:bookmarkEnd w:id="11"/>
    <w:p w:rsidR="00F422F4" w:rsidRPr="00F422F4" w:rsidRDefault="00F422F4" w:rsidP="00F422F4">
      <w:pPr>
        <w:pStyle w:val="SingleTxtG"/>
        <w:rPr>
          <w:b/>
          <w:bCs/>
          <w:lang w:val="fr-FR" w:eastAsia="en-US"/>
        </w:rPr>
      </w:pPr>
      <w:r w:rsidRPr="00F422F4">
        <w:rPr>
          <w:b/>
          <w:bCs/>
          <w:lang w:val="fr-FR" w:eastAsia="de-DE"/>
        </w:rPr>
        <w:lastRenderedPageBreak/>
        <w:t xml:space="preserve">Proposition d’amendement </w:t>
      </w:r>
      <w:r w:rsidRPr="00F422F4">
        <w:rPr>
          <w:b/>
          <w:bCs/>
          <w:lang w:val="fr-FR" w:eastAsia="en-US"/>
        </w:rPr>
        <w:t>:</w:t>
      </w:r>
    </w:p>
    <w:p w:rsidR="00F422F4" w:rsidRPr="008F497E" w:rsidRDefault="00F422F4" w:rsidP="00F422F4">
      <w:pPr>
        <w:pStyle w:val="SingleTxtG"/>
        <w:rPr>
          <w:lang w:val="fr-FR" w:eastAsia="en-US"/>
        </w:rPr>
      </w:pPr>
      <w:r w:rsidRPr="008F497E">
        <w:rPr>
          <w:shd w:val="clear" w:color="auto" w:fill="FFFFFF"/>
          <w:lang w:val="fr-FR"/>
        </w:rPr>
        <w:t>(</w:t>
      </w:r>
      <w:r>
        <w:rPr>
          <w:shd w:val="clear" w:color="auto" w:fill="FFFFFF"/>
          <w:lang w:val="fr-FR"/>
        </w:rPr>
        <w:t>L</w:t>
      </w:r>
      <w:r w:rsidRPr="008F497E">
        <w:rPr>
          <w:shd w:val="clear" w:color="auto" w:fill="FFFFFF"/>
          <w:lang w:val="fr-FR"/>
        </w:rPr>
        <w:t>es ajouts sont soulignés, les suppressions sont biffées) :</w:t>
      </w:r>
    </w:p>
    <w:p w:rsidR="00F422F4" w:rsidRPr="008F497E" w:rsidRDefault="00F422F4" w:rsidP="00F422F4">
      <w:pPr>
        <w:pStyle w:val="SingleTxtG"/>
        <w:rPr>
          <w:lang w:val="fr-FR"/>
        </w:rPr>
      </w:pPr>
      <w:r w:rsidRPr="00F422F4">
        <w:rPr>
          <w:i/>
          <w:iCs/>
          <w:lang w:val="fr-FR" w:eastAsia="en-US"/>
        </w:rPr>
        <w:t>Remplacer</w:t>
      </w:r>
      <w:r w:rsidRPr="008F497E">
        <w:rPr>
          <w:lang w:val="fr-FR" w:eastAsia="en-US"/>
        </w:rPr>
        <w:t xml:space="preserve"> « </w:t>
      </w:r>
      <w:r w:rsidRPr="008F497E">
        <w:rPr>
          <w:lang w:val="fr-FR"/>
        </w:rPr>
        <w:t>Pour les bateaux avec des citernes à cargaison indépendantes et pour les constructions à double coque avec des citernes à cargaison intégrées dans les couples du bateau, les prescriptions de stabilité à l’état intact résultant du calcul de la stabilité après avarie doivent être intégralement respectées. »</w:t>
      </w:r>
    </w:p>
    <w:p w:rsidR="00F422F4" w:rsidRPr="00F422F4" w:rsidRDefault="00F422F4" w:rsidP="00F422F4">
      <w:pPr>
        <w:pStyle w:val="SingleTxtG"/>
        <w:rPr>
          <w:i/>
          <w:iCs/>
          <w:lang w:val="fr-FR"/>
        </w:rPr>
      </w:pPr>
      <w:proofErr w:type="gramStart"/>
      <w:r w:rsidRPr="00F422F4">
        <w:rPr>
          <w:i/>
          <w:iCs/>
          <w:lang w:val="fr-FR"/>
        </w:rPr>
        <w:t>par</w:t>
      </w:r>
      <w:proofErr w:type="gramEnd"/>
    </w:p>
    <w:p w:rsidR="00F422F4" w:rsidRDefault="00F422F4" w:rsidP="00F422F4">
      <w:pPr>
        <w:pStyle w:val="SingleTxtG"/>
        <w:rPr>
          <w:lang w:val="fr-FR"/>
        </w:rPr>
      </w:pPr>
      <w:r w:rsidRPr="008F497E">
        <w:rPr>
          <w:lang w:val="fr-FR"/>
        </w:rPr>
        <w:t xml:space="preserve">« Pour les bateaux avec des citernes à cargaison indépendantes et pour les constructions à double coque avec des citernes à cargaison intégrées dans </w:t>
      </w:r>
      <w:r w:rsidRPr="008F497E">
        <w:rPr>
          <w:u w:val="single"/>
          <w:lang w:val="fr-FR"/>
        </w:rPr>
        <w:t>la coque</w:t>
      </w:r>
      <w:r w:rsidRPr="008F497E">
        <w:rPr>
          <w:lang w:val="fr-FR"/>
        </w:rPr>
        <w:t xml:space="preserve"> </w:t>
      </w:r>
      <w:r w:rsidRPr="008F497E">
        <w:rPr>
          <w:strike/>
          <w:lang w:val="fr-FR"/>
        </w:rPr>
        <w:t>les couples</w:t>
      </w:r>
      <w:r w:rsidRPr="008F497E">
        <w:rPr>
          <w:lang w:val="fr-FR"/>
        </w:rPr>
        <w:t xml:space="preserve"> du bateau, les prescriptions de stabilité à l’état intact résultant du calcul de la stabilité après avarie doivent être intégralement respectées. ».</w:t>
      </w:r>
    </w:p>
    <w:p w:rsidR="00F422F4" w:rsidRPr="00635638" w:rsidRDefault="00F422F4" w:rsidP="00F422F4">
      <w:pPr>
        <w:pStyle w:val="H23G"/>
        <w:rPr>
          <w:lang w:val="fr-FR" w:eastAsia="en-US"/>
        </w:rPr>
      </w:pPr>
      <w:r>
        <w:rPr>
          <w:lang w:val="fr-FR" w:eastAsia="en-US"/>
        </w:rPr>
        <w:tab/>
      </w:r>
      <w:r w:rsidRPr="00635638">
        <w:rPr>
          <w:lang w:val="fr-FR" w:eastAsia="en-US"/>
        </w:rPr>
        <w:t>14.</w:t>
      </w:r>
      <w:r w:rsidRPr="00635638">
        <w:rPr>
          <w:lang w:val="fr-FR" w:eastAsia="en-US"/>
        </w:rPr>
        <w:tab/>
        <w:t>Ad 9.3.3.15.1, première phrase</w:t>
      </w:r>
    </w:p>
    <w:p w:rsidR="00F422F4" w:rsidRPr="00D90969" w:rsidRDefault="00F422F4" w:rsidP="00F422F4">
      <w:pPr>
        <w:pStyle w:val="SingleTxtG"/>
        <w:rPr>
          <w:lang w:val="fr-FR" w:eastAsia="en-US"/>
        </w:rPr>
      </w:pPr>
      <w:r>
        <w:rPr>
          <w:lang w:val="fr-FR" w:eastAsia="en-US"/>
        </w:rPr>
        <w:t>Afin d’harmoniser la</w:t>
      </w:r>
      <w:r w:rsidRPr="00D90969">
        <w:rPr>
          <w:lang w:val="fr-FR" w:eastAsia="en-US"/>
        </w:rPr>
        <w:t xml:space="preserve"> terminologie, il est également proposé </w:t>
      </w:r>
      <w:r>
        <w:rPr>
          <w:lang w:val="fr-FR" w:eastAsia="en-US"/>
        </w:rPr>
        <w:t>de remplacer « </w:t>
      </w:r>
      <w:r w:rsidRPr="00D90969">
        <w:rPr>
          <w:lang w:val="fr-FR" w:eastAsia="en-US"/>
        </w:rPr>
        <w:t>construction du bateau » par « coque du bateau » (</w:t>
      </w:r>
      <w:r>
        <w:rPr>
          <w:lang w:val="fr-FR" w:eastAsia="en-US"/>
        </w:rPr>
        <w:t>voir</w:t>
      </w:r>
      <w:r w:rsidRPr="00D90969">
        <w:rPr>
          <w:lang w:val="fr-FR" w:eastAsia="en-US"/>
        </w:rPr>
        <w:t xml:space="preserve"> </w:t>
      </w:r>
      <w:r>
        <w:rPr>
          <w:lang w:val="fr-FR" w:eastAsia="en-US"/>
        </w:rPr>
        <w:t xml:space="preserve">proposition pour </w:t>
      </w:r>
      <w:r w:rsidRPr="00D90969">
        <w:rPr>
          <w:lang w:val="fr-FR" w:eastAsia="en-US"/>
        </w:rPr>
        <w:t>9.3.3.14.1).</w:t>
      </w:r>
    </w:p>
    <w:p w:rsidR="00F422F4" w:rsidRPr="00F422F4" w:rsidRDefault="00F422F4" w:rsidP="00666666">
      <w:pPr>
        <w:pStyle w:val="SingleTxtG"/>
        <w:keepNext/>
        <w:keepLines/>
        <w:rPr>
          <w:b/>
          <w:bCs/>
          <w:lang w:val="fr-FR" w:eastAsia="en-US"/>
        </w:rPr>
      </w:pPr>
      <w:r w:rsidRPr="00F422F4">
        <w:rPr>
          <w:b/>
          <w:bCs/>
          <w:lang w:val="fr-FR" w:eastAsia="de-DE"/>
        </w:rPr>
        <w:t xml:space="preserve">Proposition </w:t>
      </w:r>
      <w:r w:rsidRPr="00F422F4">
        <w:rPr>
          <w:b/>
          <w:bCs/>
          <w:lang w:val="fr-FR" w:eastAsia="en-US"/>
        </w:rPr>
        <w:t>:</w:t>
      </w:r>
    </w:p>
    <w:p w:rsidR="00F422F4" w:rsidRPr="008F497E" w:rsidRDefault="00F422F4" w:rsidP="00666666">
      <w:pPr>
        <w:pStyle w:val="SingleTxtG"/>
        <w:keepNext/>
        <w:keepLines/>
        <w:rPr>
          <w:lang w:val="fr-FR" w:eastAsia="en-US"/>
        </w:rPr>
      </w:pPr>
      <w:r w:rsidRPr="008F497E">
        <w:rPr>
          <w:shd w:val="clear" w:color="auto" w:fill="FFFFFF"/>
          <w:lang w:val="fr-FR"/>
        </w:rPr>
        <w:t>(</w:t>
      </w:r>
      <w:r>
        <w:rPr>
          <w:shd w:val="clear" w:color="auto" w:fill="FFFFFF"/>
          <w:lang w:val="fr-FR"/>
        </w:rPr>
        <w:t>L</w:t>
      </w:r>
      <w:r w:rsidRPr="008F497E">
        <w:rPr>
          <w:shd w:val="clear" w:color="auto" w:fill="FFFFFF"/>
          <w:lang w:val="fr-FR"/>
        </w:rPr>
        <w:t>es ajouts sont soulignés, les suppressions sont biffées) :</w:t>
      </w:r>
    </w:p>
    <w:p w:rsidR="00F422F4" w:rsidRDefault="00F422F4" w:rsidP="00666666">
      <w:pPr>
        <w:pStyle w:val="SingleTxtG"/>
        <w:keepNext/>
        <w:keepLines/>
        <w:rPr>
          <w:lang w:val="fr-FR" w:eastAsia="en-US"/>
        </w:rPr>
      </w:pPr>
      <w:r w:rsidRPr="00F422F4">
        <w:rPr>
          <w:i/>
          <w:iCs/>
          <w:lang w:val="fr-FR" w:eastAsia="en-US"/>
        </w:rPr>
        <w:t>Remplacer</w:t>
      </w:r>
      <w:r>
        <w:rPr>
          <w:lang w:val="fr-FR" w:eastAsia="en-US"/>
        </w:rPr>
        <w:t xml:space="preserve"> « </w:t>
      </w:r>
      <w:r w:rsidRPr="008F497E">
        <w:rPr>
          <w:lang w:val="fr-FR" w:eastAsia="en-US"/>
        </w:rPr>
        <w:t xml:space="preserve">Pour les bateaux avec des citernes à cargaison indépendantes et pour les bateaux à double coque avec des citernes à cargaison intégrées dans la construction du bateau, les hypothèses suivantes doivent être prises en considération pour le stade après </w:t>
      </w:r>
      <w:proofErr w:type="gramStart"/>
      <w:r w:rsidRPr="008F497E">
        <w:rPr>
          <w:lang w:val="fr-FR" w:eastAsia="en-US"/>
        </w:rPr>
        <w:t>avarie:</w:t>
      </w:r>
      <w:proofErr w:type="gramEnd"/>
      <w:r w:rsidRPr="008F497E">
        <w:rPr>
          <w:lang w:val="fr-FR" w:eastAsia="en-US"/>
        </w:rPr>
        <w:t> »</w:t>
      </w:r>
    </w:p>
    <w:p w:rsidR="00F422F4" w:rsidRPr="00F422F4" w:rsidRDefault="00F422F4" w:rsidP="00F422F4">
      <w:pPr>
        <w:pStyle w:val="SingleTxtG"/>
        <w:rPr>
          <w:i/>
          <w:iCs/>
          <w:lang w:val="fr-FR" w:eastAsia="en-US"/>
        </w:rPr>
      </w:pPr>
      <w:proofErr w:type="gramStart"/>
      <w:r w:rsidRPr="00F422F4">
        <w:rPr>
          <w:i/>
          <w:iCs/>
          <w:lang w:val="fr-FR" w:eastAsia="en-US"/>
        </w:rPr>
        <w:t>par</w:t>
      </w:r>
      <w:proofErr w:type="gramEnd"/>
    </w:p>
    <w:p w:rsidR="00F422F4" w:rsidRDefault="00F422F4" w:rsidP="00F422F4">
      <w:pPr>
        <w:pStyle w:val="SingleTxtG"/>
        <w:rPr>
          <w:lang w:val="fr-FR" w:eastAsia="en-US"/>
        </w:rPr>
      </w:pPr>
      <w:r w:rsidRPr="00F422F4">
        <w:rPr>
          <w:rStyle w:val="SingleTxtGChar"/>
        </w:rPr>
        <w:t>« Pour les bateaux avec des citernes à cargaison indépendantes et pour les bateaux à double coque avec des citernes à cargaison intégrées dans la construction coque du bateau, les hypothèses suivantes doivent être prises en considération</w:t>
      </w:r>
      <w:r w:rsidRPr="008F497E">
        <w:rPr>
          <w:lang w:val="fr-FR" w:eastAsia="en-US"/>
        </w:rPr>
        <w:t xml:space="preserve"> pour le stade après </w:t>
      </w:r>
      <w:proofErr w:type="gramStart"/>
      <w:r w:rsidRPr="008F497E">
        <w:rPr>
          <w:lang w:val="fr-FR" w:eastAsia="en-US"/>
        </w:rPr>
        <w:t>avarie:</w:t>
      </w:r>
      <w:proofErr w:type="gramEnd"/>
      <w:r w:rsidRPr="008F497E">
        <w:rPr>
          <w:lang w:val="fr-FR" w:eastAsia="en-US"/>
        </w:rPr>
        <w:t> »</w:t>
      </w:r>
    </w:p>
    <w:p w:rsidR="00F422F4" w:rsidRDefault="00F422F4" w:rsidP="00F422F4">
      <w:pPr>
        <w:spacing w:before="240"/>
        <w:jc w:val="center"/>
        <w:rPr>
          <w:u w:val="single"/>
          <w:lang w:val="fr-FR" w:eastAsia="en-US"/>
        </w:rPr>
      </w:pPr>
      <w:r>
        <w:rPr>
          <w:u w:val="single"/>
          <w:lang w:val="fr-FR" w:eastAsia="en-US"/>
        </w:rPr>
        <w:tab/>
      </w:r>
      <w:r>
        <w:rPr>
          <w:u w:val="single"/>
          <w:lang w:val="fr-FR" w:eastAsia="en-US"/>
        </w:rPr>
        <w:tab/>
      </w:r>
      <w:r>
        <w:rPr>
          <w:u w:val="single"/>
          <w:lang w:val="fr-FR" w:eastAsia="en-US"/>
        </w:rPr>
        <w:tab/>
      </w:r>
    </w:p>
    <w:p w:rsidR="00F84FA5" w:rsidRDefault="00F84FA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u w:val="single"/>
          <w:lang w:val="fr-FR" w:eastAsia="en-US"/>
        </w:rPr>
      </w:pPr>
      <w:r>
        <w:rPr>
          <w:u w:val="single"/>
          <w:lang w:val="fr-FR" w:eastAsia="en-US"/>
        </w:rPr>
        <w:br w:type="page"/>
      </w:r>
    </w:p>
    <w:p w:rsidR="00F84FA5" w:rsidRPr="00B23BE3" w:rsidRDefault="00F84FA5" w:rsidP="00F84FA5">
      <w:pPr>
        <w:pStyle w:val="HChG"/>
        <w:rPr>
          <w:lang w:val="fr-FR"/>
        </w:rPr>
      </w:pPr>
      <w:bookmarkStart w:id="12" w:name="_Hlk8049660"/>
      <w:r>
        <w:rPr>
          <w:lang w:val="fr-FR"/>
        </w:rPr>
        <w:lastRenderedPageBreak/>
        <w:t xml:space="preserve">Annexe </w:t>
      </w:r>
      <w:r w:rsidR="00FB0704">
        <w:rPr>
          <w:lang w:val="fr-FR"/>
        </w:rPr>
        <w:t>1</w:t>
      </w:r>
    </w:p>
    <w:p w:rsidR="00F84FA5" w:rsidRPr="008F497E" w:rsidRDefault="00F84FA5" w:rsidP="00F84FA5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En Anglais la deuxième phrase est libellée comme suit :</w:t>
      </w:r>
    </w:p>
    <w:bookmarkEnd w:id="12"/>
    <w:p w:rsidR="00F84FA5" w:rsidRPr="008F497E" w:rsidRDefault="00F84FA5" w:rsidP="00F84FA5">
      <w:pPr>
        <w:pStyle w:val="SingleTxtG"/>
        <w:tabs>
          <w:tab w:val="left" w:pos="1701"/>
        </w:tabs>
        <w:ind w:left="1843" w:hanging="1701"/>
        <w:rPr>
          <w:lang w:val="en-GB" w:eastAsia="en-US"/>
        </w:rPr>
      </w:pPr>
      <w:r w:rsidRPr="00601153">
        <w:rPr>
          <w:lang w:eastAsia="en-US"/>
        </w:rPr>
        <w:tab/>
      </w:r>
      <w:r w:rsidRPr="008F497E">
        <w:rPr>
          <w:lang w:val="en-GB" w:eastAsia="en-US"/>
        </w:rPr>
        <w:t xml:space="preserve">« Formulations with low nitrocellulose contents and not showing dangerous properties when tested for their liability to detonate, deflagrate or explode when heated under defined confinement by tests of Test series 1 (a), 2 (b) and 2 (c) respectively in the Manual of Tests and Criteria, Part I and not being a </w:t>
      </w:r>
      <w:r w:rsidRPr="008F497E">
        <w:rPr>
          <w:b/>
          <w:lang w:val="en-GB" w:eastAsia="en-US"/>
        </w:rPr>
        <w:t>flammable solid</w:t>
      </w:r>
      <w:r w:rsidRPr="008F497E">
        <w:rPr>
          <w:lang w:val="en-GB" w:eastAsia="en-US"/>
        </w:rPr>
        <w:t xml:space="preserve"> when tested in accordance with Test No.</w:t>
      </w:r>
      <w:r>
        <w:rPr>
          <w:lang w:val="en-GB" w:eastAsia="en-US"/>
        </w:rPr>
        <w:t> </w:t>
      </w:r>
      <w:r w:rsidRPr="008F497E">
        <w:rPr>
          <w:lang w:val="en-GB" w:eastAsia="en-US"/>
        </w:rPr>
        <w:t>1 in the Manual of Tests and Criteria, Part III, sub-section 33.2.1.4 (chips, if necessary, crushed and sieved to a particle size of less than 1.25 mm) are not subject to the requirements of ADN. ».</w:t>
      </w:r>
    </w:p>
    <w:p w:rsidR="00F84FA5" w:rsidRPr="008F497E" w:rsidRDefault="00F84FA5" w:rsidP="00F84FA5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 xml:space="preserve">En Français la deuxième phrase est libellée comme suit : </w:t>
      </w:r>
    </w:p>
    <w:p w:rsidR="00F84FA5" w:rsidRPr="008F497E" w:rsidRDefault="00F84FA5" w:rsidP="00F84FA5">
      <w:pPr>
        <w:pStyle w:val="SingleTxtG"/>
        <w:tabs>
          <w:tab w:val="left" w:pos="1701"/>
        </w:tabs>
        <w:ind w:left="1843" w:hanging="1701"/>
        <w:rPr>
          <w:color w:val="000000"/>
          <w:lang w:val="fr-FR" w:eastAsia="de-DE"/>
        </w:rPr>
      </w:pPr>
      <w:r>
        <w:rPr>
          <w:color w:val="000000"/>
          <w:lang w:val="fr-FR" w:eastAsia="de-DE"/>
        </w:rPr>
        <w:tab/>
      </w:r>
      <w:r w:rsidRPr="008F497E">
        <w:rPr>
          <w:color w:val="000000"/>
          <w:lang w:val="fr-FR" w:eastAsia="de-DE"/>
        </w:rPr>
        <w:t xml:space="preserve">« Les </w:t>
      </w:r>
      <w:r w:rsidRPr="00601153">
        <w:rPr>
          <w:lang w:eastAsia="en-US"/>
        </w:rPr>
        <w:t>préparations</w:t>
      </w:r>
      <w:r w:rsidRPr="008F497E">
        <w:rPr>
          <w:color w:val="000000"/>
          <w:lang w:val="fr-FR" w:eastAsia="de-DE"/>
        </w:rPr>
        <w:t xml:space="preserve"> à faible teneur en nitrocellulose qui ne manifestent pas de propriétés dangereuses lorsqu</w:t>
      </w:r>
      <w:r>
        <w:rPr>
          <w:color w:val="000000"/>
          <w:lang w:val="fr-FR" w:eastAsia="de-DE"/>
        </w:rPr>
        <w:t>’</w:t>
      </w:r>
      <w:r w:rsidRPr="008F497E">
        <w:rPr>
          <w:color w:val="000000"/>
          <w:lang w:val="fr-FR" w:eastAsia="de-DE"/>
        </w:rPr>
        <w:t xml:space="preserve">elles sont soumises à des épreuves pour déterminer leur aptitude à détoner, à déflagrer ou à exploser lors du chauffage sous confinement, conformément aux épreuves du type a) de la série1 ou des types b) ou c) de la série 2 respectivement, prescrites dans la première partie du </w:t>
      </w:r>
      <w:r w:rsidRPr="008F497E">
        <w:rPr>
          <w:iCs/>
          <w:color w:val="000000"/>
          <w:lang w:val="fr-FR" w:eastAsia="de-DE"/>
        </w:rPr>
        <w:t>Manuel d</w:t>
      </w:r>
      <w:r>
        <w:rPr>
          <w:iCs/>
          <w:color w:val="000000"/>
          <w:lang w:val="fr-FR" w:eastAsia="de-DE"/>
        </w:rPr>
        <w:t>’</w:t>
      </w:r>
      <w:r w:rsidRPr="008F497E">
        <w:rPr>
          <w:iCs/>
          <w:color w:val="000000"/>
          <w:lang w:val="fr-FR" w:eastAsia="de-DE"/>
        </w:rPr>
        <w:t>épreuves et de critères</w:t>
      </w:r>
      <w:r w:rsidRPr="008F497E">
        <w:rPr>
          <w:color w:val="000000"/>
          <w:lang w:val="fr-FR" w:eastAsia="de-DE"/>
        </w:rPr>
        <w:t xml:space="preserve">, et qui n'ont pas un comportement de </w:t>
      </w:r>
      <w:r w:rsidRPr="008F497E">
        <w:rPr>
          <w:b/>
          <w:color w:val="000000"/>
          <w:lang w:val="fr-FR" w:eastAsia="de-DE"/>
        </w:rPr>
        <w:t>matière inflammable</w:t>
      </w:r>
      <w:r w:rsidRPr="008F497E">
        <w:rPr>
          <w:color w:val="000000"/>
          <w:lang w:val="fr-FR" w:eastAsia="de-DE"/>
        </w:rPr>
        <w:t xml:space="preserve"> lorsqu</w:t>
      </w:r>
      <w:r>
        <w:rPr>
          <w:color w:val="000000"/>
          <w:lang w:val="fr-FR" w:eastAsia="de-DE"/>
        </w:rPr>
        <w:t>’</w:t>
      </w:r>
      <w:r w:rsidRPr="008F497E">
        <w:rPr>
          <w:color w:val="000000"/>
          <w:lang w:val="fr-FR" w:eastAsia="de-DE"/>
        </w:rPr>
        <w:t>elles sont soumises à l</w:t>
      </w:r>
      <w:r>
        <w:rPr>
          <w:color w:val="000000"/>
          <w:lang w:val="fr-FR" w:eastAsia="de-DE"/>
        </w:rPr>
        <w:t>’</w:t>
      </w:r>
      <w:r w:rsidRPr="008F497E">
        <w:rPr>
          <w:color w:val="000000"/>
          <w:lang w:val="fr-FR" w:eastAsia="de-DE"/>
        </w:rPr>
        <w:t xml:space="preserve">épreuve No 1 de la sous-section 33.2.1.4 de la troisième partie du </w:t>
      </w:r>
      <w:r w:rsidRPr="008F497E">
        <w:rPr>
          <w:iCs/>
          <w:color w:val="000000"/>
          <w:lang w:val="fr-FR" w:eastAsia="de-DE"/>
        </w:rPr>
        <w:t>Manuel d</w:t>
      </w:r>
      <w:r>
        <w:rPr>
          <w:iCs/>
          <w:color w:val="000000"/>
          <w:lang w:val="fr-FR" w:eastAsia="de-DE"/>
        </w:rPr>
        <w:t>’</w:t>
      </w:r>
      <w:r w:rsidRPr="008F497E">
        <w:rPr>
          <w:iCs/>
          <w:color w:val="000000"/>
          <w:lang w:val="fr-FR" w:eastAsia="de-DE"/>
        </w:rPr>
        <w:t xml:space="preserve">épreuves et de critères </w:t>
      </w:r>
      <w:r w:rsidRPr="008F497E">
        <w:rPr>
          <w:color w:val="000000"/>
          <w:lang w:val="fr-FR" w:eastAsia="de-DE"/>
        </w:rPr>
        <w:t>(pour cette épreuve, la matière en plaquettes doit si nécessaire être broyée et tamisée pour la réduire à une granulométrie inférieure à</w:t>
      </w:r>
      <w:r>
        <w:rPr>
          <w:color w:val="000000"/>
          <w:lang w:val="fr-FR" w:eastAsia="de-DE"/>
        </w:rPr>
        <w:t xml:space="preserve"> </w:t>
      </w:r>
      <w:r w:rsidRPr="008F497E">
        <w:rPr>
          <w:color w:val="000000"/>
          <w:lang w:val="fr-FR" w:eastAsia="de-DE"/>
        </w:rPr>
        <w:t>1,25</w:t>
      </w:r>
      <w:r>
        <w:rPr>
          <w:color w:val="000000"/>
          <w:lang w:val="fr-FR" w:eastAsia="de-DE"/>
        </w:rPr>
        <w:t xml:space="preserve"> </w:t>
      </w:r>
      <w:r w:rsidRPr="008F497E">
        <w:rPr>
          <w:color w:val="000000"/>
          <w:lang w:val="fr-FR" w:eastAsia="de-DE"/>
        </w:rPr>
        <w:t>mm) ne sont pas soumises aux prescriptions de l</w:t>
      </w:r>
      <w:r>
        <w:rPr>
          <w:color w:val="000000"/>
          <w:lang w:val="fr-FR" w:eastAsia="de-DE"/>
        </w:rPr>
        <w:t>’</w:t>
      </w:r>
      <w:r w:rsidRPr="008F497E">
        <w:rPr>
          <w:color w:val="000000"/>
          <w:lang w:val="fr-FR" w:eastAsia="de-DE"/>
        </w:rPr>
        <w:t>ADN. ».</w:t>
      </w:r>
    </w:p>
    <w:p w:rsidR="00F84FA5" w:rsidRPr="008F497E" w:rsidRDefault="00F84FA5" w:rsidP="00F84FA5">
      <w:pPr>
        <w:pStyle w:val="SingleTxtG"/>
        <w:rPr>
          <w:lang w:val="fr-FR" w:eastAsia="en-US"/>
        </w:rPr>
      </w:pPr>
      <w:r w:rsidRPr="008F497E">
        <w:rPr>
          <w:lang w:val="fr-FR" w:eastAsia="en-US"/>
        </w:rPr>
        <w:t>En Allemand la deuxième phrase est libellée comme suit :</w:t>
      </w:r>
    </w:p>
    <w:p w:rsidR="00F84FA5" w:rsidRPr="008F497E" w:rsidRDefault="00F84FA5" w:rsidP="00F84FA5">
      <w:pPr>
        <w:pStyle w:val="SingleTxtG"/>
        <w:tabs>
          <w:tab w:val="left" w:pos="1701"/>
        </w:tabs>
        <w:ind w:left="1843" w:hanging="1701"/>
        <w:rPr>
          <w:lang w:eastAsia="en-US"/>
        </w:rPr>
      </w:pPr>
      <w:r>
        <w:rPr>
          <w:lang w:eastAsia="en-US"/>
        </w:rPr>
        <w:tab/>
      </w:r>
      <w:r w:rsidRPr="008F497E">
        <w:rPr>
          <w:lang w:eastAsia="en-US"/>
        </w:rPr>
        <w:t xml:space="preserve">« Den </w:t>
      </w:r>
      <w:proofErr w:type="spellStart"/>
      <w:r w:rsidRPr="00F422F4">
        <w:rPr>
          <w:color w:val="000000"/>
          <w:lang w:val="fr-FR" w:eastAsia="de-DE"/>
        </w:rPr>
        <w:t>Vorschriften</w:t>
      </w:r>
      <w:proofErr w:type="spellEnd"/>
      <w:r w:rsidRPr="008F497E">
        <w:rPr>
          <w:lang w:eastAsia="en-US"/>
        </w:rPr>
        <w:t xml:space="preserve"> des ADN </w:t>
      </w:r>
      <w:proofErr w:type="spellStart"/>
      <w:r w:rsidRPr="008F497E">
        <w:rPr>
          <w:lang w:eastAsia="en-US"/>
        </w:rPr>
        <w:t>unterliegen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nicht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Zubereitungen</w:t>
      </w:r>
      <w:proofErr w:type="spellEnd"/>
      <w:r w:rsidRPr="008F497E">
        <w:rPr>
          <w:lang w:eastAsia="en-US"/>
        </w:rPr>
        <w:t xml:space="preserve"> mit </w:t>
      </w:r>
      <w:proofErr w:type="spellStart"/>
      <w:r w:rsidRPr="008F497E">
        <w:rPr>
          <w:lang w:eastAsia="en-US"/>
        </w:rPr>
        <w:t>niedrigem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Nitrocellulosegehalt</w:t>
      </w:r>
      <w:proofErr w:type="spellEnd"/>
      <w:r w:rsidRPr="008F497E">
        <w:rPr>
          <w:lang w:eastAsia="en-US"/>
        </w:rPr>
        <w:t xml:space="preserve">, die </w:t>
      </w:r>
      <w:proofErr w:type="spellStart"/>
      <w:r w:rsidRPr="008F497E">
        <w:rPr>
          <w:lang w:eastAsia="en-US"/>
        </w:rPr>
        <w:t>keine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gefährlichen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Eigenschaften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aufweisen</w:t>
      </w:r>
      <w:proofErr w:type="spellEnd"/>
      <w:r w:rsidRPr="008F497E">
        <w:rPr>
          <w:lang w:eastAsia="en-US"/>
        </w:rPr>
        <w:t xml:space="preserve">, </w:t>
      </w:r>
      <w:proofErr w:type="spellStart"/>
      <w:r w:rsidRPr="008F497E">
        <w:rPr>
          <w:lang w:eastAsia="en-US"/>
        </w:rPr>
        <w:t>wenn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sie</w:t>
      </w:r>
      <w:proofErr w:type="spellEnd"/>
      <w:r w:rsidRPr="008F497E">
        <w:rPr>
          <w:lang w:eastAsia="en-US"/>
        </w:rPr>
        <w:t xml:space="preserve"> den </w:t>
      </w:r>
      <w:proofErr w:type="spellStart"/>
      <w:r w:rsidRPr="008F497E">
        <w:rPr>
          <w:lang w:eastAsia="en-US"/>
        </w:rPr>
        <w:t>Prüfungen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für</w:t>
      </w:r>
      <w:proofErr w:type="spellEnd"/>
      <w:r w:rsidRPr="008F497E">
        <w:rPr>
          <w:lang w:eastAsia="en-US"/>
        </w:rPr>
        <w:t xml:space="preserve"> die </w:t>
      </w:r>
      <w:proofErr w:type="spellStart"/>
      <w:r w:rsidRPr="008F497E">
        <w:rPr>
          <w:lang w:eastAsia="en-US"/>
        </w:rPr>
        <w:t>Bestimmung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ihrer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Detonations</w:t>
      </w:r>
      <w:proofErr w:type="spellEnd"/>
      <w:r w:rsidRPr="008F497E">
        <w:rPr>
          <w:lang w:eastAsia="en-US"/>
        </w:rPr>
        <w:t xml:space="preserve">-, </w:t>
      </w:r>
      <w:proofErr w:type="spellStart"/>
      <w:r w:rsidRPr="008F497E">
        <w:rPr>
          <w:lang w:eastAsia="en-US"/>
        </w:rPr>
        <w:t>Deflagrations</w:t>
      </w:r>
      <w:proofErr w:type="spellEnd"/>
      <w:r w:rsidRPr="008F497E">
        <w:rPr>
          <w:lang w:eastAsia="en-US"/>
        </w:rPr>
        <w:t xml:space="preserve">- </w:t>
      </w:r>
      <w:proofErr w:type="spellStart"/>
      <w:r w:rsidRPr="008F497E">
        <w:rPr>
          <w:lang w:eastAsia="en-US"/>
        </w:rPr>
        <w:t>oder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Explosionsfähigkeit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bei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Erwärmung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unter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Einschluss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nach</w:t>
      </w:r>
      <w:proofErr w:type="spellEnd"/>
      <w:r w:rsidRPr="008F497E">
        <w:rPr>
          <w:lang w:eastAsia="en-US"/>
        </w:rPr>
        <w:t xml:space="preserve"> den </w:t>
      </w:r>
      <w:proofErr w:type="spellStart"/>
      <w:r w:rsidRPr="008F497E">
        <w:rPr>
          <w:lang w:eastAsia="en-US"/>
        </w:rPr>
        <w:t>Prüfungen</w:t>
      </w:r>
      <w:proofErr w:type="spellEnd"/>
      <w:r w:rsidRPr="008F497E">
        <w:rPr>
          <w:lang w:eastAsia="en-US"/>
        </w:rPr>
        <w:t xml:space="preserve"> der </w:t>
      </w:r>
      <w:proofErr w:type="spellStart"/>
      <w:r w:rsidRPr="008F497E">
        <w:rPr>
          <w:lang w:eastAsia="en-US"/>
        </w:rPr>
        <w:t>Prüfreihen</w:t>
      </w:r>
      <w:proofErr w:type="spellEnd"/>
      <w:r w:rsidRPr="008F497E">
        <w:rPr>
          <w:lang w:eastAsia="en-US"/>
        </w:rPr>
        <w:t xml:space="preserve"> 1a), 2b) </w:t>
      </w:r>
      <w:proofErr w:type="spellStart"/>
      <w:r w:rsidRPr="008F497E">
        <w:rPr>
          <w:lang w:eastAsia="en-US"/>
        </w:rPr>
        <w:t>und</w:t>
      </w:r>
      <w:proofErr w:type="spellEnd"/>
      <w:r w:rsidRPr="008F497E">
        <w:rPr>
          <w:lang w:eastAsia="en-US"/>
        </w:rPr>
        <w:t xml:space="preserve"> 2c) des </w:t>
      </w:r>
      <w:proofErr w:type="spellStart"/>
      <w:r w:rsidRPr="008F497E">
        <w:rPr>
          <w:lang w:eastAsia="en-US"/>
        </w:rPr>
        <w:t>Teils</w:t>
      </w:r>
      <w:proofErr w:type="spellEnd"/>
      <w:r w:rsidRPr="008F497E">
        <w:rPr>
          <w:lang w:eastAsia="en-US"/>
        </w:rPr>
        <w:t xml:space="preserve"> I des </w:t>
      </w:r>
      <w:proofErr w:type="spellStart"/>
      <w:r w:rsidRPr="008F497E">
        <w:rPr>
          <w:lang w:eastAsia="en-US"/>
        </w:rPr>
        <w:t>Handbuchs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Prüfungen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und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Kriterien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unterzogen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werden</w:t>
      </w:r>
      <w:proofErr w:type="spellEnd"/>
      <w:r w:rsidRPr="008F497E">
        <w:rPr>
          <w:lang w:eastAsia="en-US"/>
        </w:rPr>
        <w:t xml:space="preserve">, </w:t>
      </w:r>
      <w:proofErr w:type="spellStart"/>
      <w:r w:rsidRPr="008F497E">
        <w:rPr>
          <w:lang w:eastAsia="en-US"/>
        </w:rPr>
        <w:t>und</w:t>
      </w:r>
      <w:proofErr w:type="spellEnd"/>
      <w:r w:rsidRPr="008F497E">
        <w:rPr>
          <w:lang w:eastAsia="en-US"/>
        </w:rPr>
        <w:t xml:space="preserve"> die </w:t>
      </w:r>
      <w:proofErr w:type="spellStart"/>
      <w:r w:rsidRPr="008F497E">
        <w:rPr>
          <w:lang w:eastAsia="en-US"/>
        </w:rPr>
        <w:t>sich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nicht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wie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b/>
          <w:lang w:eastAsia="en-US"/>
        </w:rPr>
        <w:t>entzündbare</w:t>
      </w:r>
      <w:proofErr w:type="spellEnd"/>
      <w:r w:rsidRPr="008F497E">
        <w:rPr>
          <w:b/>
          <w:lang w:eastAsia="en-US"/>
        </w:rPr>
        <w:t xml:space="preserve"> </w:t>
      </w:r>
      <w:proofErr w:type="spellStart"/>
      <w:r w:rsidRPr="008F497E">
        <w:rPr>
          <w:b/>
          <w:lang w:eastAsia="en-US"/>
        </w:rPr>
        <w:t>Stoffe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verhalten</w:t>
      </w:r>
      <w:proofErr w:type="spellEnd"/>
      <w:r w:rsidRPr="008F497E">
        <w:rPr>
          <w:lang w:eastAsia="en-US"/>
        </w:rPr>
        <w:t xml:space="preserve">, </w:t>
      </w:r>
      <w:proofErr w:type="spellStart"/>
      <w:r w:rsidRPr="008F497E">
        <w:rPr>
          <w:lang w:eastAsia="en-US"/>
        </w:rPr>
        <w:t>wenn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sie</w:t>
      </w:r>
      <w:proofErr w:type="spellEnd"/>
      <w:r w:rsidRPr="008F497E">
        <w:rPr>
          <w:lang w:eastAsia="en-US"/>
        </w:rPr>
        <w:t xml:space="preserve"> der </w:t>
      </w:r>
      <w:proofErr w:type="spellStart"/>
      <w:r w:rsidRPr="008F497E">
        <w:rPr>
          <w:lang w:eastAsia="en-US"/>
        </w:rPr>
        <w:t>Prüfung</w:t>
      </w:r>
      <w:proofErr w:type="spellEnd"/>
      <w:r w:rsidRPr="008F497E">
        <w:rPr>
          <w:lang w:eastAsia="en-US"/>
        </w:rPr>
        <w:t xml:space="preserve"> Nr.1 des </w:t>
      </w:r>
      <w:proofErr w:type="spellStart"/>
      <w:r w:rsidRPr="008F497E">
        <w:rPr>
          <w:lang w:eastAsia="en-US"/>
        </w:rPr>
        <w:t>Handbuchs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Prüfungen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und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Kriterien</w:t>
      </w:r>
      <w:proofErr w:type="spellEnd"/>
      <w:r w:rsidRPr="008F497E">
        <w:rPr>
          <w:lang w:eastAsia="en-US"/>
        </w:rPr>
        <w:t xml:space="preserve"> Teil III </w:t>
      </w:r>
      <w:proofErr w:type="spellStart"/>
      <w:r w:rsidRPr="008F497E">
        <w:rPr>
          <w:lang w:eastAsia="en-US"/>
        </w:rPr>
        <w:t>Unterabschnitt</w:t>
      </w:r>
      <w:proofErr w:type="spellEnd"/>
      <w:r w:rsidRPr="008F497E">
        <w:rPr>
          <w:lang w:eastAsia="en-US"/>
        </w:rPr>
        <w:t xml:space="preserve"> 33.2.1.4 </w:t>
      </w:r>
      <w:proofErr w:type="spellStart"/>
      <w:r w:rsidRPr="008F497E">
        <w:rPr>
          <w:lang w:eastAsia="en-US"/>
        </w:rPr>
        <w:t>unterzogen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werden</w:t>
      </w:r>
      <w:proofErr w:type="spellEnd"/>
      <w:r w:rsidRPr="008F497E">
        <w:rPr>
          <w:lang w:eastAsia="en-US"/>
        </w:rPr>
        <w:t xml:space="preserve"> (</w:t>
      </w:r>
      <w:proofErr w:type="spellStart"/>
      <w:r w:rsidRPr="008F497E">
        <w:rPr>
          <w:lang w:eastAsia="en-US"/>
        </w:rPr>
        <w:t>für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diese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Prüfungen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muss</w:t>
      </w:r>
      <w:proofErr w:type="spellEnd"/>
      <w:r w:rsidRPr="008F497E">
        <w:rPr>
          <w:lang w:eastAsia="en-US"/>
        </w:rPr>
        <w:t xml:space="preserve"> der </w:t>
      </w:r>
      <w:proofErr w:type="spellStart"/>
      <w:r w:rsidRPr="008F497E">
        <w:rPr>
          <w:lang w:eastAsia="en-US"/>
        </w:rPr>
        <w:t>Stoff</w:t>
      </w:r>
      <w:proofErr w:type="spellEnd"/>
      <w:r w:rsidRPr="008F497E">
        <w:rPr>
          <w:lang w:eastAsia="en-US"/>
        </w:rPr>
        <w:t xml:space="preserve"> in </w:t>
      </w:r>
      <w:proofErr w:type="spellStart"/>
      <w:r w:rsidRPr="008F497E">
        <w:rPr>
          <w:lang w:eastAsia="en-US"/>
        </w:rPr>
        <w:t>Plättchenform</w:t>
      </w:r>
      <w:proofErr w:type="spellEnd"/>
      <w:r w:rsidRPr="008F497E">
        <w:rPr>
          <w:lang w:eastAsia="en-US"/>
        </w:rPr>
        <w:t xml:space="preserve"> – </w:t>
      </w:r>
      <w:proofErr w:type="spellStart"/>
      <w:r w:rsidRPr="008F497E">
        <w:rPr>
          <w:lang w:eastAsia="en-US"/>
        </w:rPr>
        <w:t>soweit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erforderlich</w:t>
      </w:r>
      <w:proofErr w:type="spellEnd"/>
      <w:r w:rsidRPr="008F497E">
        <w:rPr>
          <w:lang w:eastAsia="en-US"/>
        </w:rPr>
        <w:t xml:space="preserve"> – </w:t>
      </w:r>
      <w:proofErr w:type="spellStart"/>
      <w:r w:rsidRPr="008F497E">
        <w:rPr>
          <w:lang w:eastAsia="en-US"/>
        </w:rPr>
        <w:t>gemahlen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und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gesiebt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werden</w:t>
      </w:r>
      <w:proofErr w:type="spellEnd"/>
      <w:r w:rsidRPr="008F497E">
        <w:rPr>
          <w:lang w:eastAsia="en-US"/>
        </w:rPr>
        <w:t xml:space="preserve">, </w:t>
      </w:r>
      <w:proofErr w:type="spellStart"/>
      <w:r w:rsidRPr="008F497E">
        <w:rPr>
          <w:lang w:eastAsia="en-US"/>
        </w:rPr>
        <w:t>um</w:t>
      </w:r>
      <w:proofErr w:type="spellEnd"/>
      <w:r w:rsidRPr="008F497E">
        <w:rPr>
          <w:lang w:eastAsia="en-US"/>
        </w:rPr>
        <w:t xml:space="preserve"> die </w:t>
      </w:r>
      <w:proofErr w:type="spellStart"/>
      <w:r w:rsidRPr="008F497E">
        <w:rPr>
          <w:lang w:eastAsia="en-US"/>
        </w:rPr>
        <w:t>Korngröße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auf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höchstens</w:t>
      </w:r>
      <w:proofErr w:type="spellEnd"/>
      <w:r w:rsidRPr="008F497E">
        <w:rPr>
          <w:lang w:eastAsia="en-US"/>
        </w:rPr>
        <w:t xml:space="preserve"> 1,25 mm </w:t>
      </w:r>
      <w:proofErr w:type="spellStart"/>
      <w:r w:rsidRPr="008F497E">
        <w:rPr>
          <w:lang w:eastAsia="en-US"/>
        </w:rPr>
        <w:t>zu</w:t>
      </w:r>
      <w:proofErr w:type="spellEnd"/>
      <w:r w:rsidRPr="008F497E">
        <w:rPr>
          <w:lang w:eastAsia="en-US"/>
        </w:rPr>
        <w:t xml:space="preserve"> </w:t>
      </w:r>
      <w:proofErr w:type="spellStart"/>
      <w:r w:rsidRPr="008F497E">
        <w:rPr>
          <w:lang w:eastAsia="en-US"/>
        </w:rPr>
        <w:t>reduzieren</w:t>
      </w:r>
      <w:proofErr w:type="spellEnd"/>
      <w:r w:rsidRPr="008F497E">
        <w:rPr>
          <w:lang w:eastAsia="en-US"/>
        </w:rPr>
        <w:t>). »</w:t>
      </w:r>
    </w:p>
    <w:p w:rsidR="00F84FA5" w:rsidRPr="00F84FA5" w:rsidRDefault="00F84FA5" w:rsidP="00F422F4">
      <w:pPr>
        <w:spacing w:before="240"/>
        <w:jc w:val="center"/>
        <w:rPr>
          <w:u w:val="single"/>
          <w:lang w:eastAsia="en-US"/>
        </w:rPr>
      </w:pPr>
    </w:p>
    <w:sectPr w:rsidR="00F84FA5" w:rsidRPr="00F84FA5" w:rsidSect="002A06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656" w:rsidRDefault="002A0656" w:rsidP="00F95C08">
      <w:pPr>
        <w:spacing w:line="240" w:lineRule="auto"/>
      </w:pPr>
    </w:p>
  </w:endnote>
  <w:endnote w:type="continuationSeparator" w:id="0">
    <w:p w:rsidR="002A0656" w:rsidRPr="00AC3823" w:rsidRDefault="002A0656" w:rsidP="00AC3823">
      <w:pPr>
        <w:pStyle w:val="Footer"/>
      </w:pPr>
    </w:p>
  </w:endnote>
  <w:endnote w:type="continuationNotice" w:id="1">
    <w:p w:rsidR="002A0656" w:rsidRDefault="002A06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656" w:rsidRPr="002A0656" w:rsidRDefault="002A0656" w:rsidP="002A0656">
    <w:pPr>
      <w:pStyle w:val="Footer"/>
      <w:tabs>
        <w:tab w:val="right" w:pos="9638"/>
      </w:tabs>
      <w:rPr>
        <w:sz w:val="18"/>
      </w:rPr>
    </w:pPr>
    <w:r w:rsidRPr="002A0656">
      <w:rPr>
        <w:b/>
        <w:sz w:val="18"/>
      </w:rPr>
      <w:fldChar w:fldCharType="begin"/>
    </w:r>
    <w:r w:rsidRPr="002A0656">
      <w:rPr>
        <w:b/>
        <w:sz w:val="18"/>
      </w:rPr>
      <w:instrText xml:space="preserve"> PAGE  \* MERGEFORMAT </w:instrText>
    </w:r>
    <w:r w:rsidRPr="002A0656">
      <w:rPr>
        <w:b/>
        <w:sz w:val="18"/>
      </w:rPr>
      <w:fldChar w:fldCharType="separate"/>
    </w:r>
    <w:r w:rsidRPr="002A0656">
      <w:rPr>
        <w:b/>
        <w:noProof/>
        <w:sz w:val="18"/>
      </w:rPr>
      <w:t>2</w:t>
    </w:r>
    <w:r w:rsidRPr="002A065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656" w:rsidRPr="002A0656" w:rsidRDefault="002A0656" w:rsidP="002A0656">
    <w:pPr>
      <w:pStyle w:val="Footer"/>
      <w:tabs>
        <w:tab w:val="right" w:pos="9638"/>
      </w:tabs>
      <w:rPr>
        <w:b/>
        <w:sz w:val="18"/>
      </w:rPr>
    </w:pPr>
    <w:r>
      <w:tab/>
    </w:r>
    <w:r w:rsidRPr="002A0656">
      <w:rPr>
        <w:b/>
        <w:sz w:val="18"/>
      </w:rPr>
      <w:fldChar w:fldCharType="begin"/>
    </w:r>
    <w:r w:rsidRPr="002A0656">
      <w:rPr>
        <w:b/>
        <w:sz w:val="18"/>
      </w:rPr>
      <w:instrText xml:space="preserve"> PAGE  \* MERGEFORMAT </w:instrText>
    </w:r>
    <w:r w:rsidRPr="002A0656">
      <w:rPr>
        <w:b/>
        <w:sz w:val="18"/>
      </w:rPr>
      <w:fldChar w:fldCharType="separate"/>
    </w:r>
    <w:r w:rsidRPr="002A0656">
      <w:rPr>
        <w:b/>
        <w:noProof/>
        <w:sz w:val="18"/>
      </w:rPr>
      <w:t>3</w:t>
    </w:r>
    <w:r w:rsidRPr="002A06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2A0656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656" w:rsidRPr="00AC3823" w:rsidRDefault="002A06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0656" w:rsidRPr="00AC3823" w:rsidRDefault="002A06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0656" w:rsidRPr="00AC3823" w:rsidRDefault="002A0656">
      <w:pPr>
        <w:spacing w:line="240" w:lineRule="auto"/>
        <w:rPr>
          <w:sz w:val="2"/>
          <w:szCs w:val="2"/>
        </w:rPr>
      </w:pPr>
    </w:p>
  </w:footnote>
  <w:footnote w:id="2">
    <w:p w:rsidR="005F1244" w:rsidRPr="00180774" w:rsidRDefault="005F1244">
      <w:pPr>
        <w:pStyle w:val="FootnoteText"/>
      </w:pPr>
      <w:r>
        <w:rPr>
          <w:rStyle w:val="FootnoteReference"/>
        </w:rPr>
        <w:tab/>
      </w:r>
      <w:r w:rsidRPr="005F124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80774">
        <w:t>Diffusé en langue allemande par la Commission centrale pour la navigation du Rhin sous la cote CCNR/ZKR/ADN/WP.15/AC.2/2019/21.</w:t>
      </w:r>
    </w:p>
    <w:p w:rsidR="00D26EF8" w:rsidRPr="00180774" w:rsidRDefault="00D26EF8" w:rsidP="00D26EF8">
      <w:pPr>
        <w:pStyle w:val="FootnoteText"/>
      </w:pPr>
      <w:r>
        <w:rPr>
          <w:szCs w:val="18"/>
          <w:lang w:val="fr-FR"/>
        </w:rPr>
        <w:tab/>
      </w:r>
      <w:r w:rsidRPr="00D26EF8">
        <w:rPr>
          <w:rStyle w:val="FootnoteReference"/>
          <w:b/>
          <w:sz w:val="20"/>
          <w:vertAlign w:val="baseline"/>
          <w:lang w:val="fr-FR"/>
        </w:rPr>
        <w:t>**</w:t>
      </w:r>
      <w:r>
        <w:rPr>
          <w:szCs w:val="18"/>
          <w:lang w:val="fr-FR"/>
        </w:rPr>
        <w:tab/>
      </w:r>
      <w:r w:rsidRPr="00180774">
        <w:t>Conformément au programme de travail du Comité des transports intérieurs pour 2018-2019 (ECE/TRANS/2018/21/Add.1, (9.3)).</w:t>
      </w:r>
    </w:p>
    <w:p w:rsidR="00D26EF8" w:rsidRPr="005F1244" w:rsidRDefault="00D26EF8">
      <w:pPr>
        <w:pStyle w:val="FootnoteText"/>
      </w:pPr>
    </w:p>
  </w:footnote>
  <w:footnote w:id="3">
    <w:p w:rsidR="00F24E50" w:rsidRPr="00D26EF8" w:rsidRDefault="00D26EF8" w:rsidP="00D26EF8">
      <w:pPr>
        <w:pStyle w:val="FootnoteText"/>
        <w:rPr>
          <w:szCs w:val="18"/>
          <w:lang w:val="fr-FR"/>
        </w:rPr>
      </w:pPr>
      <w:r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656" w:rsidRPr="002A0656" w:rsidRDefault="00CB19CA">
    <w:pPr>
      <w:pStyle w:val="Header"/>
    </w:pPr>
    <w:r>
      <w:t>ECE/TRANS/WP.15/AC.2/2019/</w:t>
    </w:r>
    <w:r w:rsidR="005F1244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76" w:rsidRPr="002A0656" w:rsidRDefault="00884B76" w:rsidP="00884B76">
    <w:pPr>
      <w:pStyle w:val="Header"/>
    </w:pPr>
  </w:p>
  <w:p w:rsidR="002A0656" w:rsidRPr="002A0656" w:rsidRDefault="00CB19CA" w:rsidP="00884B76">
    <w:pPr>
      <w:pStyle w:val="Header"/>
      <w:jc w:val="right"/>
    </w:pPr>
    <w:r>
      <w:t>ECE/TRANS/WP.15/AC.2/2019/</w:t>
    </w:r>
    <w:r w:rsidR="00884B76">
      <w:t>2</w:t>
    </w:r>
    <w:r w:rsidR="005F124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2A0656"/>
    <w:rsid w:val="0001207F"/>
    <w:rsid w:val="00017F94"/>
    <w:rsid w:val="00023842"/>
    <w:rsid w:val="00032476"/>
    <w:rsid w:val="000334F9"/>
    <w:rsid w:val="0004639C"/>
    <w:rsid w:val="0007796D"/>
    <w:rsid w:val="000942EE"/>
    <w:rsid w:val="000A1564"/>
    <w:rsid w:val="000A52BF"/>
    <w:rsid w:val="000B7790"/>
    <w:rsid w:val="000D3EE9"/>
    <w:rsid w:val="000D62F3"/>
    <w:rsid w:val="00111F2F"/>
    <w:rsid w:val="001120F0"/>
    <w:rsid w:val="001433FD"/>
    <w:rsid w:val="0014365E"/>
    <w:rsid w:val="001541D3"/>
    <w:rsid w:val="00156B77"/>
    <w:rsid w:val="00176178"/>
    <w:rsid w:val="00177140"/>
    <w:rsid w:val="00180774"/>
    <w:rsid w:val="001B18EC"/>
    <w:rsid w:val="001D400F"/>
    <w:rsid w:val="001F525A"/>
    <w:rsid w:val="00223272"/>
    <w:rsid w:val="00240333"/>
    <w:rsid w:val="0024779E"/>
    <w:rsid w:val="00267D81"/>
    <w:rsid w:val="002832AC"/>
    <w:rsid w:val="002A0656"/>
    <w:rsid w:val="002A321C"/>
    <w:rsid w:val="002D7C93"/>
    <w:rsid w:val="0037241C"/>
    <w:rsid w:val="00375A1B"/>
    <w:rsid w:val="003819FF"/>
    <w:rsid w:val="003E5E6F"/>
    <w:rsid w:val="00441C3B"/>
    <w:rsid w:val="00446B0A"/>
    <w:rsid w:val="00446FE5"/>
    <w:rsid w:val="00452396"/>
    <w:rsid w:val="00471288"/>
    <w:rsid w:val="0049687C"/>
    <w:rsid w:val="004B18F9"/>
    <w:rsid w:val="004E468C"/>
    <w:rsid w:val="005316B0"/>
    <w:rsid w:val="005364A7"/>
    <w:rsid w:val="005505B7"/>
    <w:rsid w:val="00573BE5"/>
    <w:rsid w:val="00586ED3"/>
    <w:rsid w:val="00596AA9"/>
    <w:rsid w:val="005A5054"/>
    <w:rsid w:val="005B4D0F"/>
    <w:rsid w:val="005F1244"/>
    <w:rsid w:val="00601153"/>
    <w:rsid w:val="00651FAA"/>
    <w:rsid w:val="00666666"/>
    <w:rsid w:val="006B1AEA"/>
    <w:rsid w:val="006C19AF"/>
    <w:rsid w:val="00703D0F"/>
    <w:rsid w:val="00706363"/>
    <w:rsid w:val="007158BB"/>
    <w:rsid w:val="0071601D"/>
    <w:rsid w:val="00724177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84B76"/>
    <w:rsid w:val="008E6043"/>
    <w:rsid w:val="00961E7B"/>
    <w:rsid w:val="009705C8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10D97"/>
    <w:rsid w:val="00B40927"/>
    <w:rsid w:val="00B50E25"/>
    <w:rsid w:val="00B64918"/>
    <w:rsid w:val="00B765F7"/>
    <w:rsid w:val="00BA0CA9"/>
    <w:rsid w:val="00BC03E0"/>
    <w:rsid w:val="00C02897"/>
    <w:rsid w:val="00C1626B"/>
    <w:rsid w:val="00C66A47"/>
    <w:rsid w:val="00C7447A"/>
    <w:rsid w:val="00C7616F"/>
    <w:rsid w:val="00CB16B5"/>
    <w:rsid w:val="00CB19CA"/>
    <w:rsid w:val="00CB4A0B"/>
    <w:rsid w:val="00CE0608"/>
    <w:rsid w:val="00D13DEC"/>
    <w:rsid w:val="00D26EF8"/>
    <w:rsid w:val="00D3439C"/>
    <w:rsid w:val="00D44CF3"/>
    <w:rsid w:val="00D46C8C"/>
    <w:rsid w:val="00DB1831"/>
    <w:rsid w:val="00DD3BFD"/>
    <w:rsid w:val="00DE239D"/>
    <w:rsid w:val="00DF431C"/>
    <w:rsid w:val="00DF6678"/>
    <w:rsid w:val="00E01612"/>
    <w:rsid w:val="00E428C8"/>
    <w:rsid w:val="00E45832"/>
    <w:rsid w:val="00E67CE1"/>
    <w:rsid w:val="00EF2E22"/>
    <w:rsid w:val="00F0592C"/>
    <w:rsid w:val="00F06ED4"/>
    <w:rsid w:val="00F24E50"/>
    <w:rsid w:val="00F422F4"/>
    <w:rsid w:val="00F43289"/>
    <w:rsid w:val="00F660DF"/>
    <w:rsid w:val="00F84FA5"/>
    <w:rsid w:val="00F95C08"/>
    <w:rsid w:val="00FB0704"/>
    <w:rsid w:val="00FC3EA7"/>
    <w:rsid w:val="00FD04E0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8C785E"/>
  <w15:docId w15:val="{B72095DC-9465-4FE2-981A-F4AB4322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20</TotalTime>
  <Pages>6</Pages>
  <Words>1577</Words>
  <Characters>8632</Characters>
  <Application>Microsoft Office Word</Application>
  <DocSecurity>0</DocSecurity>
  <Lines>233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ECE/TRANS/WP.15/AC.2/2019/XX</vt:lpstr>
      <vt:lpstr>ECE/EX/22</vt:lpstr>
    </vt:vector>
  </TitlesOfParts>
  <Company>DCM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ECE/TRANS/WP.15/AC.2/2019/XX</dc:title>
  <dc:subject>FINAL</dc:subject>
  <dc:creator>Marie-Claude Collet</dc:creator>
  <cp:keywords/>
  <dc:description/>
  <cp:lastModifiedBy>Alibech Mireles Diaz</cp:lastModifiedBy>
  <cp:revision>4</cp:revision>
  <cp:lastPrinted>2019-06-06T11:56:00Z</cp:lastPrinted>
  <dcterms:created xsi:type="dcterms:W3CDTF">2019-06-06T12:33:00Z</dcterms:created>
  <dcterms:modified xsi:type="dcterms:W3CDTF">2019-06-07T12:24:00Z</dcterms:modified>
</cp:coreProperties>
</file>