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4D2BE44E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ED2A63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7FC6F1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00077B" w14:textId="77777777" w:rsidR="001433FD" w:rsidRPr="00DB58B5" w:rsidRDefault="00EF4152" w:rsidP="00EF4152">
            <w:pPr>
              <w:jc w:val="right"/>
            </w:pPr>
            <w:r w:rsidRPr="00EF4152">
              <w:rPr>
                <w:sz w:val="40"/>
              </w:rPr>
              <w:t>ECE</w:t>
            </w:r>
            <w:r>
              <w:t>/TRANS/WP.15/AC.2/2019</w:t>
            </w:r>
            <w:r w:rsidR="00A97E8E">
              <w:t>/28</w:t>
            </w:r>
          </w:p>
        </w:tc>
      </w:tr>
      <w:tr w:rsidR="001433FD" w:rsidRPr="00DB58B5" w14:paraId="1B86302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E27062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C8077FC" wp14:editId="1787E0A1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FE3698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813AA4" w14:textId="77777777" w:rsidR="0001207F" w:rsidRDefault="00EF4152" w:rsidP="00EF4152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3B35BC0" w14:textId="77777777" w:rsidR="00EF4152" w:rsidRDefault="00B50FCA" w:rsidP="00EF4152">
            <w:pPr>
              <w:spacing w:line="240" w:lineRule="exact"/>
            </w:pPr>
            <w:r>
              <w:t xml:space="preserve">7 </w:t>
            </w:r>
            <w:r w:rsidR="00A97E8E">
              <w:t>juin</w:t>
            </w:r>
            <w:r w:rsidR="00EF4152">
              <w:t xml:space="preserve"> 2019</w:t>
            </w:r>
          </w:p>
          <w:p w14:paraId="22D3BB1B" w14:textId="77777777" w:rsidR="00EF4152" w:rsidRDefault="00EF4152" w:rsidP="00EF4152">
            <w:pPr>
              <w:spacing w:line="240" w:lineRule="exact"/>
            </w:pPr>
          </w:p>
          <w:p w14:paraId="2FBDB2EE" w14:textId="77777777" w:rsidR="00EF4152" w:rsidRPr="00DB58B5" w:rsidRDefault="00EF4152" w:rsidP="00EF4152">
            <w:pPr>
              <w:spacing w:line="240" w:lineRule="exact"/>
            </w:pPr>
            <w:r>
              <w:t>Original : français</w:t>
            </w:r>
          </w:p>
        </w:tc>
      </w:tr>
    </w:tbl>
    <w:p w14:paraId="05F2EE6A" w14:textId="77777777" w:rsidR="00EF4152" w:rsidRDefault="00EF4152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3B11799" w14:textId="77777777" w:rsidR="00EF4152" w:rsidRDefault="00EF4152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BE3202C" w14:textId="77777777" w:rsidR="00EF4152" w:rsidRPr="009E01B8" w:rsidRDefault="00EF4152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63561EC9" w14:textId="77777777" w:rsidR="00EF4152" w:rsidRDefault="00EF4152" w:rsidP="00EF4152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79E7E6F3" w14:textId="77777777" w:rsidR="00EF4152" w:rsidRPr="00234E40" w:rsidRDefault="00EF4152" w:rsidP="00EF4152">
      <w:pPr>
        <w:spacing w:before="120"/>
        <w:rPr>
          <w:b/>
        </w:rPr>
      </w:pPr>
      <w:r>
        <w:rPr>
          <w:b/>
        </w:rPr>
        <w:t xml:space="preserve">Trente-cinquième </w:t>
      </w:r>
      <w:r w:rsidRPr="00234E40">
        <w:rPr>
          <w:b/>
        </w:rPr>
        <w:t>session</w:t>
      </w:r>
    </w:p>
    <w:p w14:paraId="5093E1A0" w14:textId="77777777" w:rsidR="00EF4152" w:rsidRDefault="00EF4152" w:rsidP="00FD1581">
      <w:r>
        <w:t>Genève, 26-30 août 2019</w:t>
      </w:r>
    </w:p>
    <w:p w14:paraId="54439FF3" w14:textId="77777777" w:rsidR="00EF4152" w:rsidRDefault="00EF4152" w:rsidP="00FD1581">
      <w:r w:rsidRPr="00B93E72">
        <w:t xml:space="preserve">Point </w:t>
      </w:r>
      <w:r w:rsidR="00B50FCA">
        <w:t>4 b)</w:t>
      </w:r>
      <w:r>
        <w:t xml:space="preserve"> </w:t>
      </w:r>
      <w:r w:rsidRPr="00B93E72">
        <w:t>de l’ordre du jour provisoire</w:t>
      </w:r>
    </w:p>
    <w:p w14:paraId="415C0B8A" w14:textId="77777777" w:rsidR="00EF4152" w:rsidRPr="00EF4152" w:rsidRDefault="00EF4152" w:rsidP="00FD1581">
      <w:pPr>
        <w:rPr>
          <w:b/>
          <w:bCs/>
        </w:rPr>
      </w:pPr>
      <w:r w:rsidRPr="00EF4152">
        <w:rPr>
          <w:b/>
          <w:bCs/>
        </w:rPr>
        <w:t>Propositions d’amendements au Règlement annexé à l’ADN :</w:t>
      </w:r>
    </w:p>
    <w:p w14:paraId="033373F2" w14:textId="77777777" w:rsidR="00EF4152" w:rsidRDefault="00EF4152" w:rsidP="00FD1581">
      <w:pPr>
        <w:rPr>
          <w:b/>
          <w:bCs/>
        </w:rPr>
      </w:pPr>
      <w:r w:rsidRPr="00EF4152">
        <w:rPr>
          <w:b/>
          <w:bCs/>
        </w:rPr>
        <w:t>autres propositions</w:t>
      </w:r>
    </w:p>
    <w:p w14:paraId="67F3B0FA" w14:textId="77777777" w:rsidR="00EF4152" w:rsidRPr="00F12DA7" w:rsidRDefault="00EF4152" w:rsidP="00B50FCA">
      <w:pPr>
        <w:pStyle w:val="HChG"/>
        <w:rPr>
          <w:lang w:val="fr-FR"/>
        </w:rPr>
      </w:pPr>
      <w:r>
        <w:rPr>
          <w:noProof/>
          <w:snapToGrid w:val="0"/>
          <w:lang w:val="fr-FR" w:eastAsia="fr-FR"/>
        </w:rPr>
        <w:tab/>
      </w:r>
      <w:r>
        <w:rPr>
          <w:noProof/>
          <w:snapToGrid w:val="0"/>
          <w:lang w:val="fr-FR" w:eastAsia="fr-FR"/>
        </w:rPr>
        <w:tab/>
      </w:r>
      <w:r w:rsidRPr="00F12DA7">
        <w:rPr>
          <w:noProof/>
          <w:snapToGrid w:val="0"/>
          <w:lang w:val="fr-FR" w:eastAsia="fr-FR"/>
        </w:rPr>
        <w:t>Amendement au 8.1.2.3 Présence à bord de documents</w:t>
      </w:r>
      <w:r>
        <w:rPr>
          <w:noProof/>
          <w:snapToGrid w:val="0"/>
          <w:lang w:val="fr-FR" w:eastAsia="fr-FR"/>
        </w:rPr>
        <w:br/>
      </w:r>
      <w:r>
        <w:rPr>
          <w:noProof/>
          <w:snapToGrid w:val="0"/>
          <w:lang w:val="fr-FR" w:eastAsia="fr-FR"/>
        </w:rPr>
        <w:tab/>
      </w:r>
      <w:r w:rsidRPr="009944CF">
        <w:rPr>
          <w:noProof/>
          <w:snapToGrid w:val="0"/>
          <w:lang w:val="fr-FR" w:eastAsia="fr-FR"/>
        </w:rPr>
        <w:t>(Bateaux-citernes)</w:t>
      </w:r>
      <w:r>
        <w:rPr>
          <w:noProof/>
          <w:snapToGrid w:val="0"/>
          <w:lang w:val="fr-FR" w:eastAsia="fr-FR"/>
        </w:rPr>
        <w:t xml:space="preserve"> </w:t>
      </w:r>
      <w:r>
        <w:rPr>
          <w:lang w:val="fr-FR"/>
        </w:rPr>
        <w:tab/>
      </w:r>
      <w:r w:rsidRPr="00F12DA7">
        <w:rPr>
          <w:lang w:val="fr-FR"/>
        </w:rPr>
        <w:t xml:space="preserve">- </w:t>
      </w:r>
      <w:r>
        <w:rPr>
          <w:lang w:val="fr-FR"/>
        </w:rPr>
        <w:t>Prescriptions</w:t>
      </w:r>
      <w:r w:rsidRPr="00F12DA7">
        <w:rPr>
          <w:lang w:val="fr-FR"/>
        </w:rPr>
        <w:t xml:space="preserve"> transitoires </w:t>
      </w:r>
    </w:p>
    <w:p w14:paraId="0AD94B28" w14:textId="77777777" w:rsidR="00EF4152" w:rsidRDefault="00EF4152" w:rsidP="00EF4152">
      <w:pPr>
        <w:pStyle w:val="H1G"/>
        <w:rPr>
          <w:bCs/>
          <w:sz w:val="20"/>
          <w:szCs w:val="24"/>
          <w:lang w:eastAsia="x-none"/>
        </w:rPr>
      </w:pPr>
      <w:r>
        <w:rPr>
          <w:lang w:val="fr-FR"/>
        </w:rPr>
        <w:tab/>
      </w:r>
      <w:r>
        <w:rPr>
          <w:lang w:val="fr-FR"/>
        </w:rPr>
        <w:tab/>
      </w:r>
      <w:r w:rsidRPr="00F12DA7">
        <w:rPr>
          <w:lang w:val="fr-FR"/>
        </w:rPr>
        <w:t>Communication conjointe de l'Union européenne de la navigation fluviale (UENF)</w:t>
      </w:r>
      <w:r>
        <w:rPr>
          <w:lang w:val="fr-FR"/>
        </w:rPr>
        <w:t xml:space="preserve"> </w:t>
      </w:r>
      <w:r w:rsidRPr="00F12DA7">
        <w:rPr>
          <w:lang w:val="fr-FR"/>
        </w:rPr>
        <w:t xml:space="preserve">et </w:t>
      </w:r>
      <w:r>
        <w:rPr>
          <w:lang w:val="fr-FR"/>
        </w:rPr>
        <w:t xml:space="preserve">de </w:t>
      </w:r>
      <w:r w:rsidRPr="00F12DA7">
        <w:rPr>
          <w:lang w:val="fr-FR"/>
        </w:rPr>
        <w:t xml:space="preserve">l'Organisation européenne des bateliers </w:t>
      </w:r>
      <w:r w:rsidR="000E1687">
        <w:rPr>
          <w:lang w:val="fr-FR"/>
        </w:rPr>
        <w:br/>
      </w:r>
      <w:r w:rsidRPr="00F12DA7">
        <w:rPr>
          <w:lang w:val="fr-FR"/>
        </w:rPr>
        <w:t>(OEB)</w:t>
      </w:r>
      <w:r w:rsidRPr="00B50FCA">
        <w:rPr>
          <w:b w:val="0"/>
          <w:sz w:val="20"/>
          <w:szCs w:val="24"/>
          <w:lang w:eastAsia="x-none"/>
        </w:rPr>
        <w:footnoteReference w:customMarkFollows="1" w:id="2"/>
        <w:t>*</w:t>
      </w:r>
      <w:r w:rsidRPr="000E1687">
        <w:rPr>
          <w:bCs/>
          <w:sz w:val="20"/>
          <w:szCs w:val="24"/>
          <w:vertAlign w:val="superscript"/>
          <w:lang w:eastAsia="x-none"/>
        </w:rPr>
        <w:t>,</w:t>
      </w:r>
      <w:r w:rsidR="000E1687">
        <w:rPr>
          <w:bCs/>
          <w:sz w:val="20"/>
          <w:szCs w:val="24"/>
          <w:vertAlign w:val="superscript"/>
          <w:lang w:eastAsia="x-none"/>
        </w:rPr>
        <w:t xml:space="preserve"> </w:t>
      </w:r>
      <w:r w:rsidRPr="00B50FCA">
        <w:rPr>
          <w:b w:val="0"/>
          <w:sz w:val="20"/>
          <w:szCs w:val="24"/>
          <w:lang w:eastAsia="x-none"/>
        </w:rPr>
        <w:footnoteReference w:customMarkFollows="1" w:id="3"/>
        <w:t>**</w:t>
      </w:r>
    </w:p>
    <w:p w14:paraId="4D24E9F7" w14:textId="77777777" w:rsidR="00EF4152" w:rsidRPr="00F12DA7" w:rsidRDefault="00EF4152" w:rsidP="00EF415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12DA7">
        <w:rPr>
          <w:lang w:val="fr-FR"/>
        </w:rPr>
        <w:t>Problème et solution proposée</w:t>
      </w:r>
    </w:p>
    <w:p w14:paraId="1C30778F" w14:textId="77777777" w:rsidR="00EF4152" w:rsidRPr="00F12DA7" w:rsidRDefault="00EF4152" w:rsidP="00EF4152">
      <w:pPr>
        <w:pStyle w:val="SingleTxtG"/>
        <w:rPr>
          <w:lang w:val="fr-FR"/>
        </w:rPr>
      </w:pPr>
      <w:r w:rsidRPr="00F12DA7">
        <w:rPr>
          <w:lang w:val="fr-FR"/>
        </w:rPr>
        <w:t>1.</w:t>
      </w:r>
      <w:r w:rsidRPr="00F12DA7">
        <w:rPr>
          <w:lang w:val="fr-FR"/>
        </w:rPr>
        <w:tab/>
        <w:t xml:space="preserve">Lors de la rédaction des </w:t>
      </w:r>
      <w:r>
        <w:rPr>
          <w:lang w:val="fr-FR"/>
        </w:rPr>
        <w:t>prescriptions</w:t>
      </w:r>
      <w:r w:rsidRPr="00F12DA7">
        <w:rPr>
          <w:lang w:val="fr-FR"/>
        </w:rPr>
        <w:t xml:space="preserve"> transitoires du 1.6.7.2.2.2 pour 8.1.2.3 r), s), t), v) et u), </w:t>
      </w:r>
      <w:r>
        <w:rPr>
          <w:lang w:val="fr-FR"/>
        </w:rPr>
        <w:t>ont manifestement eu lieu des modifications</w:t>
      </w:r>
      <w:r w:rsidRPr="00F12DA7">
        <w:rPr>
          <w:lang w:val="fr-FR"/>
        </w:rPr>
        <w:t xml:space="preserve"> qui ont faussé le sens des </w:t>
      </w:r>
      <w:r>
        <w:rPr>
          <w:lang w:val="fr-FR"/>
        </w:rPr>
        <w:t>prescriptions</w:t>
      </w:r>
      <w:r w:rsidRPr="00F12DA7">
        <w:rPr>
          <w:lang w:val="fr-FR"/>
        </w:rPr>
        <w:t xml:space="preserve"> transitoires.</w:t>
      </w:r>
    </w:p>
    <w:p w14:paraId="0A675FBA" w14:textId="77777777" w:rsidR="00EF4152" w:rsidRDefault="00B50FCA" w:rsidP="00EF4152">
      <w:pPr>
        <w:pStyle w:val="SingleTxtG"/>
        <w:rPr>
          <w:lang w:val="fr-FR"/>
        </w:rPr>
      </w:pPr>
      <w:r>
        <w:rPr>
          <w:lang w:val="fr-FR"/>
        </w:rPr>
        <w:t>2.</w:t>
      </w:r>
      <w:r w:rsidR="00EF4152" w:rsidRPr="00F12DA7">
        <w:rPr>
          <w:lang w:val="fr-FR"/>
        </w:rPr>
        <w:tab/>
        <w:t xml:space="preserve">Les </w:t>
      </w:r>
      <w:r w:rsidR="00EF4152">
        <w:rPr>
          <w:lang w:val="fr-FR"/>
        </w:rPr>
        <w:t>prescriptions</w:t>
      </w:r>
      <w:r w:rsidR="00EF4152" w:rsidRPr="00F12DA7">
        <w:rPr>
          <w:lang w:val="fr-FR"/>
        </w:rPr>
        <w:t xml:space="preserve"> transitoires </w:t>
      </w:r>
      <w:r w:rsidR="00EF4152">
        <w:rPr>
          <w:lang w:val="fr-FR"/>
        </w:rPr>
        <w:t>de</w:t>
      </w:r>
      <w:r w:rsidR="00EF4152" w:rsidRPr="00F12DA7">
        <w:rPr>
          <w:lang w:val="fr-FR"/>
        </w:rPr>
        <w:t xml:space="preserve"> l'ADN 2019 au 1.6.7.2.2.2 pour 8.1.2.3 r) à t) et v) sont libellées comme suit :</w:t>
      </w:r>
    </w:p>
    <w:p w14:paraId="3AD00D94" w14:textId="77777777" w:rsidR="00EF4152" w:rsidRDefault="00EF4152" w:rsidP="00EF4152">
      <w:pPr>
        <w:pStyle w:val="SingleTxtG"/>
        <w:rPr>
          <w:lang w:val="fr-FR"/>
        </w:rPr>
      </w:pPr>
    </w:p>
    <w:p w14:paraId="5AA5CAA5" w14:textId="77777777" w:rsidR="005F6D51" w:rsidRPr="00F01395" w:rsidRDefault="005F6D51" w:rsidP="00EF4152">
      <w:pPr>
        <w:pStyle w:val="SingleTxtG"/>
        <w:rPr>
          <w:lang w:val="fr-FR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835"/>
        <w:gridCol w:w="2615"/>
        <w:gridCol w:w="5018"/>
      </w:tblGrid>
      <w:tr w:rsidR="00EF4152" w:rsidRPr="00F01395" w14:paraId="54718B44" w14:textId="77777777" w:rsidTr="00EF4152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BFAA7" w14:textId="77777777" w:rsidR="00EF4152" w:rsidRPr="00F12DA7" w:rsidRDefault="00EF4152" w:rsidP="005573D0">
            <w:pPr>
              <w:spacing w:before="40" w:after="120" w:line="220" w:lineRule="exact"/>
              <w:ind w:right="113"/>
              <w:rPr>
                <w:lang w:val="fr-FR"/>
              </w:rPr>
            </w:pPr>
            <w:bookmarkStart w:id="0" w:name="_Hlk10533288"/>
            <w:r w:rsidRPr="00F12DA7">
              <w:rPr>
                <w:lang w:val="fr-FR"/>
              </w:rPr>
              <w:lastRenderedPageBreak/>
              <w:t>8.1.2.3 r), s), t), v)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ABA2EC" w14:textId="77777777" w:rsidR="00EF4152" w:rsidRPr="00F12DA7" w:rsidRDefault="00EF4152" w:rsidP="005573D0">
            <w:pPr>
              <w:spacing w:before="40" w:after="40"/>
              <w:ind w:left="57" w:right="57"/>
              <w:rPr>
                <w:lang w:val="fr-FR"/>
              </w:rPr>
            </w:pPr>
            <w:r w:rsidRPr="00F12DA7">
              <w:rPr>
                <w:lang w:val="fr-FR"/>
              </w:rPr>
              <w:t>Documents devant se trouver à bord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1CC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center"/>
              <w:textAlignment w:val="baseline"/>
              <w:rPr>
                <w:lang w:val="fr-FR"/>
              </w:rPr>
            </w:pPr>
            <w:r w:rsidRPr="00F12DA7">
              <w:rPr>
                <w:lang w:val="fr-FR"/>
              </w:rPr>
              <w:t>N.R.T. à partir du 1</w:t>
            </w:r>
            <w:r w:rsidRPr="00F12DA7">
              <w:rPr>
                <w:vertAlign w:val="superscript"/>
                <w:lang w:val="fr-FR"/>
              </w:rPr>
              <w:t>er</w:t>
            </w:r>
            <w:r w:rsidRPr="00F12DA7">
              <w:rPr>
                <w:lang w:val="fr-FR"/>
              </w:rPr>
              <w:t xml:space="preserve"> janvier 2019</w:t>
            </w:r>
          </w:p>
          <w:p w14:paraId="3335A5B0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12DA7">
              <w:rPr>
                <w:lang w:val="fr-FR"/>
              </w:rPr>
              <w:t xml:space="preserve">Renouvellement du certificat d’agrément après le </w:t>
            </w:r>
            <w:r w:rsidRPr="002E1EED">
              <w:rPr>
                <w:b/>
                <w:lang w:val="fr-FR"/>
              </w:rPr>
              <w:t>31 décembre 2020</w:t>
            </w:r>
          </w:p>
          <w:p w14:paraId="2C221DF7" w14:textId="77777777" w:rsidR="00EF4152" w:rsidRPr="00F12DA7" w:rsidRDefault="00EF4152" w:rsidP="005573D0">
            <w:pPr>
              <w:spacing w:before="40" w:after="80" w:line="200" w:lineRule="exact"/>
              <w:ind w:right="113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Jusqu’à cette échéance doivent se trouver à bord des bateaux en service, outre les documents requis conformément aux prescriptions visées au 1.1.4.6, les documents ci-après :</w:t>
            </w:r>
          </w:p>
          <w:p w14:paraId="33E45C15" w14:textId="77777777" w:rsidR="00EF4152" w:rsidRPr="00F12DA7" w:rsidRDefault="00EF4152" w:rsidP="005573D0">
            <w:pPr>
              <w:spacing w:before="40" w:after="120" w:line="200" w:lineRule="exact"/>
              <w:ind w:left="400" w:right="113" w:hanging="400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a)</w:t>
            </w:r>
            <w:r w:rsidRPr="00F12DA7">
              <w:rPr>
                <w:lang w:val="fr-FR"/>
              </w:rPr>
              <w:tab/>
              <w:t>Un plan indiquant les limites de la zone de cargaison et l’emplacement des équipements électriques installés dans cette zone</w:t>
            </w:r>
            <w:r w:rsidR="000E1687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;</w:t>
            </w:r>
          </w:p>
          <w:p w14:paraId="5AAD52D1" w14:textId="77777777" w:rsidR="00EF4152" w:rsidRPr="00F12DA7" w:rsidRDefault="00EF4152" w:rsidP="005573D0">
            <w:pPr>
              <w:spacing w:before="40" w:after="120" w:line="200" w:lineRule="exact"/>
              <w:ind w:left="400" w:right="113" w:hanging="400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b)</w:t>
            </w:r>
            <w:r w:rsidRPr="00F12DA7">
              <w:rPr>
                <w:lang w:val="fr-FR"/>
              </w:rPr>
              <w:tab/>
              <w:t xml:space="preserve">Une liste des machines, appareils ou autres équipements électriques visés à l’alinéa </w:t>
            </w:r>
            <w:r w:rsidRPr="00B50FCA">
              <w:rPr>
                <w:i/>
                <w:iCs/>
                <w:lang w:val="fr-FR"/>
              </w:rPr>
              <w:t>a</w:t>
            </w:r>
            <w:r w:rsidRPr="00F12DA7">
              <w:rPr>
                <w:lang w:val="fr-FR"/>
              </w:rPr>
              <w:t>) ci-dessus, avec les renseignements suivants :</w:t>
            </w:r>
          </w:p>
          <w:p w14:paraId="464EF6D0" w14:textId="77777777" w:rsidR="00EF4152" w:rsidRPr="00F12DA7" w:rsidRDefault="00EF4152" w:rsidP="005573D0">
            <w:pPr>
              <w:spacing w:before="40" w:after="120" w:line="200" w:lineRule="exact"/>
              <w:ind w:left="400" w:right="113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Machine ou appareil, emplacement, type de protection, mode de protection contre les explosions, service ayant exécuté les épreuves et numéro d’agrément</w:t>
            </w:r>
            <w:r w:rsidR="000E1687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;</w:t>
            </w:r>
          </w:p>
          <w:p w14:paraId="5E5F7010" w14:textId="77777777" w:rsidR="00EF4152" w:rsidRPr="00F12DA7" w:rsidRDefault="00EF4152" w:rsidP="005573D0">
            <w:pPr>
              <w:spacing w:before="40" w:after="120" w:line="200" w:lineRule="exact"/>
              <w:ind w:left="400" w:right="113" w:hanging="400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c)</w:t>
            </w:r>
            <w:r w:rsidRPr="00F12DA7">
              <w:rPr>
                <w:lang w:val="fr-FR"/>
              </w:rPr>
              <w:tab/>
              <w:t>Une liste ou un plan schématique indiquant les équipements situés en dehors de la zone de cargaison qui peuvent être utilisés lors du chargement, du déchargement ou du dégazage.</w:t>
            </w:r>
          </w:p>
          <w:p w14:paraId="0E5B023D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both"/>
              <w:rPr>
                <w:lang w:val="fr-FR" w:eastAsia="fr-FR"/>
              </w:rPr>
            </w:pPr>
            <w:r w:rsidRPr="00F12DA7">
              <w:rPr>
                <w:lang w:val="fr-FR"/>
              </w:rPr>
              <w:t>Les documents énumérés ci-dessus doivent porter le visa de l’autorité compétente ayant délivré le certificat d’agrément.</w:t>
            </w:r>
          </w:p>
        </w:tc>
      </w:tr>
      <w:tr w:rsidR="00EF4152" w:rsidRPr="00F01395" w14:paraId="6109E408" w14:textId="77777777" w:rsidTr="00EF4152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F896E2" w14:textId="77777777" w:rsidR="00EF4152" w:rsidRPr="00F12DA7" w:rsidRDefault="00EF4152" w:rsidP="005573D0">
            <w:pPr>
              <w:spacing w:before="40" w:after="120" w:line="220" w:lineRule="exact"/>
              <w:ind w:right="113"/>
              <w:rPr>
                <w:lang w:val="fr-FR"/>
              </w:rPr>
            </w:pPr>
            <w:bookmarkStart w:id="1" w:name="_Hlk10533548"/>
            <w:r w:rsidRPr="00F12DA7">
              <w:rPr>
                <w:lang w:val="fr-FR"/>
              </w:rPr>
              <w:t>8.1.2.3 u)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C11426" w14:textId="77777777" w:rsidR="00EF4152" w:rsidRPr="00F12DA7" w:rsidRDefault="00EF4152" w:rsidP="005573D0">
            <w:pPr>
              <w:spacing w:before="40" w:after="40"/>
              <w:ind w:left="57" w:right="57"/>
              <w:rPr>
                <w:lang w:val="fr-FR"/>
              </w:rPr>
            </w:pPr>
            <w:r w:rsidRPr="00F12DA7">
              <w:rPr>
                <w:lang w:val="fr-FR"/>
              </w:rPr>
              <w:t>Documents devant se trouver à bord</w:t>
            </w:r>
          </w:p>
          <w:p w14:paraId="4B2ECA8C" w14:textId="77777777" w:rsidR="00EF4152" w:rsidRPr="00F12DA7" w:rsidRDefault="00EF4152" w:rsidP="005573D0">
            <w:pPr>
              <w:spacing w:before="40" w:after="40"/>
              <w:ind w:left="57" w:right="57"/>
              <w:rPr>
                <w:lang w:val="fr-FR"/>
              </w:rPr>
            </w:pPr>
            <w:r w:rsidRPr="00F12DA7">
              <w:rPr>
                <w:lang w:val="fr-FR"/>
              </w:rPr>
              <w:t>Plan avec le classement en zones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4768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center"/>
              <w:textAlignment w:val="baseline"/>
              <w:rPr>
                <w:lang w:val="fr-FR"/>
              </w:rPr>
            </w:pPr>
            <w:r w:rsidRPr="00F12DA7">
              <w:rPr>
                <w:lang w:val="fr-FR"/>
              </w:rPr>
              <w:t xml:space="preserve">N.R.T. à partir du </w:t>
            </w:r>
            <w:r w:rsidR="00B50FCA">
              <w:rPr>
                <w:lang w:val="fr-FR"/>
              </w:rPr>
              <w:t>1</w:t>
            </w:r>
            <w:r w:rsidR="00B50FCA" w:rsidRPr="00B50FCA">
              <w:rPr>
                <w:vertAlign w:val="superscript"/>
                <w:lang w:val="fr-FR"/>
              </w:rPr>
              <w:t>er</w:t>
            </w:r>
            <w:r w:rsidR="00B50FCA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janvier 2019</w:t>
            </w:r>
          </w:p>
          <w:p w14:paraId="474945DC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center"/>
              <w:textAlignment w:val="baseline"/>
              <w:rPr>
                <w:lang w:val="fr-FR"/>
              </w:rPr>
            </w:pPr>
            <w:r w:rsidRPr="00F12DA7">
              <w:rPr>
                <w:lang w:val="fr-FR"/>
              </w:rPr>
              <w:t xml:space="preserve">Renouvellement du certificat d’agrément après le </w:t>
            </w:r>
            <w:r w:rsidRPr="002E1EED">
              <w:rPr>
                <w:b/>
                <w:lang w:val="fr-FR"/>
              </w:rPr>
              <w:t>31 décembre 2034</w:t>
            </w:r>
          </w:p>
        </w:tc>
      </w:tr>
      <w:bookmarkEnd w:id="0"/>
      <w:bookmarkEnd w:id="1"/>
    </w:tbl>
    <w:p w14:paraId="537E0250" w14:textId="77777777" w:rsidR="00EF4152" w:rsidRPr="00EF4152" w:rsidRDefault="00EF4152" w:rsidP="00EF4152">
      <w:pPr>
        <w:rPr>
          <w:lang w:eastAsia="x-none"/>
        </w:rPr>
      </w:pPr>
    </w:p>
    <w:p w14:paraId="242B971F" w14:textId="77777777" w:rsidR="00EF4152" w:rsidRPr="00EF4152" w:rsidRDefault="00EF4152" w:rsidP="00FD1581">
      <w:pPr>
        <w:rPr>
          <w:b/>
          <w:bCs/>
        </w:rPr>
      </w:pPr>
    </w:p>
    <w:p w14:paraId="375154DB" w14:textId="77777777" w:rsidR="00EF4152" w:rsidRPr="00F12DA7" w:rsidRDefault="00B50FCA" w:rsidP="00EF4152">
      <w:pPr>
        <w:pStyle w:val="SingleTxtG"/>
        <w:rPr>
          <w:lang w:val="fr-FR"/>
        </w:rPr>
      </w:pPr>
      <w:r>
        <w:rPr>
          <w:lang w:val="fr-FR"/>
        </w:rPr>
        <w:t>3</w:t>
      </w:r>
      <w:r w:rsidR="00EF4152" w:rsidRPr="002E1EED">
        <w:rPr>
          <w:lang w:val="fr-FR"/>
        </w:rPr>
        <w:t xml:space="preserve">. </w:t>
      </w:r>
      <w:r w:rsidR="00EF4152" w:rsidRPr="002E1EED">
        <w:rPr>
          <w:lang w:val="fr-FR"/>
        </w:rPr>
        <w:tab/>
      </w:r>
      <w:r w:rsidR="00EF4152" w:rsidRPr="00F12DA7">
        <w:rPr>
          <w:lang w:val="fr-FR"/>
        </w:rPr>
        <w:t>L</w:t>
      </w:r>
      <w:r>
        <w:rPr>
          <w:lang w:val="fr-FR"/>
        </w:rPr>
        <w:t>’</w:t>
      </w:r>
      <w:r w:rsidR="00EF4152" w:rsidRPr="00F12DA7">
        <w:rPr>
          <w:lang w:val="fr-FR"/>
        </w:rPr>
        <w:t xml:space="preserve">examen du 8.1.2.3 montre que </w:t>
      </w:r>
      <w:r w:rsidR="00EF4152">
        <w:rPr>
          <w:lang w:val="fr-FR"/>
        </w:rPr>
        <w:t>la lettre</w:t>
      </w:r>
      <w:r w:rsidR="00EF4152" w:rsidRPr="00F12DA7">
        <w:rPr>
          <w:lang w:val="fr-FR"/>
        </w:rPr>
        <w:t xml:space="preserve"> u) renvoie au contenu de </w:t>
      </w:r>
      <w:r w:rsidR="00EF4152">
        <w:rPr>
          <w:lang w:val="fr-FR"/>
        </w:rPr>
        <w:t>la lettre</w:t>
      </w:r>
      <w:r w:rsidR="00EF4152" w:rsidRPr="00F12DA7">
        <w:rPr>
          <w:lang w:val="fr-FR"/>
        </w:rPr>
        <w:t xml:space="preserve"> t) ; </w:t>
      </w:r>
      <w:r>
        <w:rPr>
          <w:lang w:val="fr-FR"/>
        </w:rPr>
        <w:t>a</w:t>
      </w:r>
      <w:r w:rsidR="00EF4152" w:rsidRPr="00F12DA7">
        <w:rPr>
          <w:lang w:val="fr-FR"/>
        </w:rPr>
        <w:t xml:space="preserve">u 1.6.7.2.2.2 des </w:t>
      </w:r>
      <w:r w:rsidR="00EF4152">
        <w:rPr>
          <w:lang w:val="fr-FR"/>
        </w:rPr>
        <w:t>délais</w:t>
      </w:r>
      <w:r w:rsidR="00EF4152" w:rsidRPr="00F12DA7">
        <w:rPr>
          <w:lang w:val="fr-FR"/>
        </w:rPr>
        <w:t xml:space="preserve"> transitoires différent</w:t>
      </w:r>
      <w:r w:rsidR="00EF4152">
        <w:rPr>
          <w:lang w:val="fr-FR"/>
        </w:rPr>
        <w:t>s sont indiqués aux</w:t>
      </w:r>
      <w:r w:rsidR="00EF4152" w:rsidRPr="00F12DA7">
        <w:rPr>
          <w:lang w:val="fr-FR"/>
        </w:rPr>
        <w:t xml:space="preserve"> deux </w:t>
      </w:r>
      <w:r w:rsidR="00EF4152">
        <w:rPr>
          <w:lang w:val="fr-FR"/>
        </w:rPr>
        <w:t>lettres</w:t>
      </w:r>
      <w:r w:rsidR="00EF4152" w:rsidRPr="00F12DA7">
        <w:rPr>
          <w:lang w:val="fr-FR"/>
        </w:rPr>
        <w:t>. Il n'est pas logique qu</w:t>
      </w:r>
      <w:r>
        <w:rPr>
          <w:lang w:val="fr-FR"/>
        </w:rPr>
        <w:t>’</w:t>
      </w:r>
      <w:r w:rsidR="00EF4152" w:rsidRPr="00F12DA7">
        <w:rPr>
          <w:lang w:val="fr-FR"/>
        </w:rPr>
        <w:t>une liste des installations et équipements visés</w:t>
      </w:r>
      <w:bookmarkStart w:id="2" w:name="_GoBack"/>
      <w:bookmarkEnd w:id="2"/>
      <w:r w:rsidR="00EF4152" w:rsidRPr="00F12DA7">
        <w:rPr>
          <w:lang w:val="fr-FR"/>
        </w:rPr>
        <w:t xml:space="preserve"> à </w:t>
      </w:r>
      <w:r w:rsidR="00EF4152">
        <w:rPr>
          <w:lang w:val="fr-FR"/>
        </w:rPr>
        <w:t>la lettre</w:t>
      </w:r>
      <w:r w:rsidR="00EF4152" w:rsidRPr="00F12DA7">
        <w:rPr>
          <w:lang w:val="fr-FR"/>
        </w:rPr>
        <w:t xml:space="preserve"> u) soit exigée prochainement pour les bateaux existants, alors que le plan avec le classement en zones visé à</w:t>
      </w:r>
      <w:r w:rsidR="00EF4152">
        <w:rPr>
          <w:lang w:val="fr-FR"/>
        </w:rPr>
        <w:t xml:space="preserve"> la lettre </w:t>
      </w:r>
      <w:r w:rsidR="00EF4152" w:rsidRPr="00F12DA7">
        <w:rPr>
          <w:lang w:val="fr-FR"/>
        </w:rPr>
        <w:t>t) n</w:t>
      </w:r>
      <w:r>
        <w:rPr>
          <w:lang w:val="fr-FR"/>
        </w:rPr>
        <w:t>’</w:t>
      </w:r>
      <w:r w:rsidR="00EF4152" w:rsidRPr="00F12DA7">
        <w:rPr>
          <w:lang w:val="fr-FR"/>
        </w:rPr>
        <w:t>est exigé que de nombreuses années plus tard.</w:t>
      </w:r>
    </w:p>
    <w:p w14:paraId="4631322B" w14:textId="77777777" w:rsidR="00EF4152" w:rsidRPr="00F12DA7" w:rsidRDefault="001D3995" w:rsidP="00EF4152">
      <w:pPr>
        <w:pStyle w:val="SingleTxtG"/>
        <w:rPr>
          <w:lang w:val="fr-FR"/>
        </w:rPr>
      </w:pPr>
      <w:r>
        <w:rPr>
          <w:lang w:val="fr-FR"/>
        </w:rPr>
        <w:t>4</w:t>
      </w:r>
      <w:r w:rsidR="00EF4152" w:rsidRPr="00F12DA7">
        <w:rPr>
          <w:lang w:val="fr-FR"/>
        </w:rPr>
        <w:t>.</w:t>
      </w:r>
      <w:r w:rsidR="00EF4152" w:rsidRPr="00F12DA7">
        <w:rPr>
          <w:lang w:val="fr-FR"/>
        </w:rPr>
        <w:tab/>
        <w:t xml:space="preserve">Le problème peut être résolu en plusieurs étapes : </w:t>
      </w:r>
    </w:p>
    <w:p w14:paraId="685E88F0" w14:textId="77777777" w:rsidR="00EF4152" w:rsidRPr="00F12DA7" w:rsidRDefault="00EF4152" w:rsidP="00EF4152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12DA7">
        <w:rPr>
          <w:lang w:val="fr-FR"/>
        </w:rPr>
        <w:t>a)</w:t>
      </w:r>
      <w:r>
        <w:rPr>
          <w:lang w:val="fr-FR"/>
        </w:rPr>
        <w:tab/>
      </w:r>
      <w:r w:rsidRPr="00F12DA7">
        <w:rPr>
          <w:lang w:val="fr-FR"/>
        </w:rPr>
        <w:t xml:space="preserve"> </w:t>
      </w:r>
      <w:r>
        <w:rPr>
          <w:lang w:val="fr-FR"/>
        </w:rPr>
        <w:t>La lettre</w:t>
      </w:r>
      <w:r w:rsidRPr="00F12DA7">
        <w:rPr>
          <w:lang w:val="fr-FR"/>
        </w:rPr>
        <w:t xml:space="preserve"> t) est supprimé</w:t>
      </w:r>
      <w:r>
        <w:rPr>
          <w:lang w:val="fr-FR"/>
        </w:rPr>
        <w:t>e</w:t>
      </w:r>
      <w:r w:rsidRPr="00F12DA7">
        <w:rPr>
          <w:lang w:val="fr-FR"/>
        </w:rPr>
        <w:t xml:space="preserve"> des </w:t>
      </w:r>
      <w:r>
        <w:rPr>
          <w:lang w:val="fr-FR"/>
        </w:rPr>
        <w:t>prescriptions</w:t>
      </w:r>
      <w:r w:rsidRPr="00F12DA7">
        <w:rPr>
          <w:lang w:val="fr-FR"/>
        </w:rPr>
        <w:t xml:space="preserve"> transitoires visées ci-dessus.</w:t>
      </w:r>
    </w:p>
    <w:p w14:paraId="0DB85FEB" w14:textId="77777777" w:rsidR="00EF4152" w:rsidRPr="00F12DA7" w:rsidRDefault="00EF4152" w:rsidP="00EF4152">
      <w:pPr>
        <w:spacing w:before="180" w:after="120"/>
        <w:ind w:left="1701" w:right="567" w:hanging="567"/>
        <w:jc w:val="both"/>
        <w:rPr>
          <w:lang w:val="fr-FR"/>
        </w:rPr>
      </w:pPr>
    </w:p>
    <w:tbl>
      <w:tblPr>
        <w:tblW w:w="9468" w:type="dxa"/>
        <w:tblInd w:w="-2" w:type="dxa"/>
        <w:tblLook w:val="04A0" w:firstRow="1" w:lastRow="0" w:firstColumn="1" w:lastColumn="0" w:noHBand="0" w:noVBand="1"/>
      </w:tblPr>
      <w:tblGrid>
        <w:gridCol w:w="1837"/>
        <w:gridCol w:w="2613"/>
        <w:gridCol w:w="5018"/>
      </w:tblGrid>
      <w:tr w:rsidR="00EF4152" w:rsidRPr="00F01395" w14:paraId="5D22123A" w14:textId="77777777" w:rsidTr="00EF4152">
        <w:trPr>
          <w:cantSplit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447017" w14:textId="77777777" w:rsidR="00EF4152" w:rsidRPr="00F12DA7" w:rsidRDefault="00EF4152" w:rsidP="005573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12DA7">
              <w:rPr>
                <w:lang w:val="fr-FR"/>
              </w:rPr>
              <w:lastRenderedPageBreak/>
              <w:t xml:space="preserve">8.1.2.3 r), s), </w:t>
            </w:r>
            <w:r w:rsidRPr="002E1EED">
              <w:rPr>
                <w:b/>
                <w:strike/>
                <w:snapToGrid w:val="0"/>
                <w:lang w:val="fr-FR" w:eastAsia="de-DE"/>
              </w:rPr>
              <w:t>t),</w:t>
            </w:r>
            <w:r w:rsidRPr="002E1EED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v)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8D2B9F" w14:textId="77777777" w:rsidR="00EF4152" w:rsidRPr="00F12DA7" w:rsidRDefault="00EF4152" w:rsidP="005573D0">
            <w:pPr>
              <w:spacing w:before="40" w:after="40"/>
              <w:ind w:left="57" w:right="57"/>
              <w:rPr>
                <w:lang w:val="fr-FR"/>
              </w:rPr>
            </w:pPr>
            <w:r w:rsidRPr="00F12DA7">
              <w:rPr>
                <w:lang w:val="fr-FR"/>
              </w:rPr>
              <w:t>Documents devant se trouver à bord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69FA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center"/>
              <w:textAlignment w:val="baseline"/>
              <w:rPr>
                <w:lang w:val="fr-FR"/>
              </w:rPr>
            </w:pPr>
            <w:r w:rsidRPr="00F12DA7">
              <w:rPr>
                <w:lang w:val="fr-FR"/>
              </w:rPr>
              <w:t>N.R.T. à partir du 1</w:t>
            </w:r>
            <w:r w:rsidRPr="00F12DA7">
              <w:rPr>
                <w:vertAlign w:val="superscript"/>
                <w:lang w:val="fr-FR"/>
              </w:rPr>
              <w:t>er</w:t>
            </w:r>
            <w:r w:rsidRPr="00F12DA7">
              <w:rPr>
                <w:lang w:val="fr-FR"/>
              </w:rPr>
              <w:t xml:space="preserve"> janvier 2019</w:t>
            </w:r>
          </w:p>
          <w:p w14:paraId="2F214EEC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12DA7">
              <w:rPr>
                <w:lang w:val="fr-FR"/>
              </w:rPr>
              <w:t>Renouvellement du certificat d’agrément après le 31 décembre 2020</w:t>
            </w:r>
          </w:p>
          <w:p w14:paraId="2BDD88EE" w14:textId="77777777" w:rsidR="00EF4152" w:rsidRPr="00F12DA7" w:rsidRDefault="00EF4152" w:rsidP="005573D0">
            <w:pPr>
              <w:spacing w:before="40" w:after="80" w:line="200" w:lineRule="exact"/>
              <w:ind w:right="113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Jusqu’à cette échéance doivent se trouver à bord des bateaux en service, outre les documents requis conformément aux prescriptions visées au 1.1.4.6, les documents ci-après</w:t>
            </w:r>
            <w:r w:rsidR="000E1687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:</w:t>
            </w:r>
          </w:p>
          <w:p w14:paraId="6CDADA17" w14:textId="77777777" w:rsidR="00EF4152" w:rsidRPr="00F12DA7" w:rsidRDefault="00EF4152" w:rsidP="005573D0">
            <w:pPr>
              <w:spacing w:before="40" w:after="120" w:line="200" w:lineRule="exact"/>
              <w:ind w:left="400" w:right="113" w:hanging="400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a)</w:t>
            </w:r>
            <w:r w:rsidRPr="00F12DA7">
              <w:rPr>
                <w:lang w:val="fr-FR"/>
              </w:rPr>
              <w:tab/>
              <w:t>Un plan indiquant les limites de la zone de cargaison et l’emplacement des équipements électriques installés dans cette zone</w:t>
            </w:r>
            <w:r w:rsidR="000E1687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;</w:t>
            </w:r>
          </w:p>
          <w:p w14:paraId="22ED9713" w14:textId="77777777" w:rsidR="00EF4152" w:rsidRPr="00F12DA7" w:rsidRDefault="00EF4152" w:rsidP="005573D0">
            <w:pPr>
              <w:spacing w:before="40" w:after="120" w:line="200" w:lineRule="exact"/>
              <w:ind w:left="400" w:right="113" w:hanging="400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b)</w:t>
            </w:r>
            <w:r w:rsidRPr="00F12DA7">
              <w:rPr>
                <w:lang w:val="fr-FR"/>
              </w:rPr>
              <w:tab/>
              <w:t xml:space="preserve">Une liste des machines, appareils ou autres équipements électriques visés à l’alinéa </w:t>
            </w:r>
            <w:r w:rsidRPr="00B50FCA">
              <w:rPr>
                <w:i/>
                <w:iCs/>
                <w:lang w:val="fr-FR"/>
              </w:rPr>
              <w:t>a</w:t>
            </w:r>
            <w:r w:rsidRPr="00F12DA7">
              <w:rPr>
                <w:lang w:val="fr-FR"/>
              </w:rPr>
              <w:t>) ci-dessus, avec les renseignements suivants</w:t>
            </w:r>
            <w:r w:rsidR="000E1687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:</w:t>
            </w:r>
          </w:p>
          <w:p w14:paraId="0FC96AFA" w14:textId="77777777" w:rsidR="00EF4152" w:rsidRPr="00F12DA7" w:rsidRDefault="00EF4152" w:rsidP="005573D0">
            <w:pPr>
              <w:spacing w:before="40" w:after="120" w:line="200" w:lineRule="exact"/>
              <w:ind w:left="400" w:right="113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Machine ou appareil, emplacement, type de protection, mode de protection contre les explosions, service ayant exécuté les épreuves et numéro d’agrément</w:t>
            </w:r>
            <w:r w:rsidR="000E1687">
              <w:rPr>
                <w:lang w:val="fr-FR"/>
              </w:rPr>
              <w:t xml:space="preserve"> </w:t>
            </w:r>
            <w:r w:rsidRPr="00F12DA7">
              <w:rPr>
                <w:lang w:val="fr-FR"/>
              </w:rPr>
              <w:t>;</w:t>
            </w:r>
          </w:p>
          <w:p w14:paraId="3D19BFB4" w14:textId="77777777" w:rsidR="00EF4152" w:rsidRPr="00F12DA7" w:rsidRDefault="00EF4152" w:rsidP="005573D0">
            <w:pPr>
              <w:spacing w:before="40" w:after="120" w:line="200" w:lineRule="exact"/>
              <w:ind w:left="400" w:right="113" w:hanging="400"/>
              <w:jc w:val="both"/>
              <w:rPr>
                <w:lang w:val="fr-FR"/>
              </w:rPr>
            </w:pPr>
            <w:r w:rsidRPr="00F12DA7">
              <w:rPr>
                <w:lang w:val="fr-FR"/>
              </w:rPr>
              <w:t>c)</w:t>
            </w:r>
            <w:r w:rsidRPr="00F12DA7">
              <w:rPr>
                <w:lang w:val="fr-FR"/>
              </w:rPr>
              <w:tab/>
              <w:t>Une liste ou un plan schématique indiquant les équipements situés en dehors de la zone de cargaison qui peuvent être utilisés lors du chargement, du déchargement ou du dégazage.</w:t>
            </w:r>
          </w:p>
          <w:p w14:paraId="1FDC2FCA" w14:textId="77777777" w:rsidR="00EF4152" w:rsidRPr="00F12DA7" w:rsidRDefault="00EF4152" w:rsidP="005573D0">
            <w:pPr>
              <w:spacing w:before="40" w:after="120" w:line="220" w:lineRule="exact"/>
              <w:ind w:right="113"/>
              <w:jc w:val="both"/>
              <w:rPr>
                <w:lang w:val="fr-FR" w:eastAsia="fr-FR"/>
              </w:rPr>
            </w:pPr>
            <w:r w:rsidRPr="00F12DA7">
              <w:rPr>
                <w:lang w:val="fr-FR"/>
              </w:rPr>
              <w:t>Les documents énumérés ci-dessus doivent porter le visa de l’autorité compétente ayant délivré le certificat d’agrément.</w:t>
            </w:r>
          </w:p>
        </w:tc>
      </w:tr>
    </w:tbl>
    <w:p w14:paraId="7F221D99" w14:textId="77777777" w:rsidR="00EF4152" w:rsidRPr="00EF4152" w:rsidRDefault="00EF4152" w:rsidP="00EF4152">
      <w:pPr>
        <w:spacing w:before="180" w:after="120"/>
        <w:ind w:left="1701" w:right="567" w:hanging="567"/>
        <w:jc w:val="both"/>
        <w:rPr>
          <w:rStyle w:val="SingleTxtGChar"/>
        </w:rPr>
      </w:pPr>
      <w:r w:rsidRPr="002E1EED">
        <w:rPr>
          <w:lang w:val="fr-FR"/>
        </w:rPr>
        <w:t>b)</w:t>
      </w:r>
      <w:r w:rsidRPr="002E1EED">
        <w:rPr>
          <w:lang w:val="fr-FR"/>
        </w:rPr>
        <w:tab/>
      </w:r>
      <w:r w:rsidRPr="00EF4152">
        <w:rPr>
          <w:rStyle w:val="SingleTxtGChar"/>
        </w:rPr>
        <w:t>Une prescription transitoire distincte avec une référence plus précise et la même fenêtre temporelle que dans l</w:t>
      </w:r>
      <w:r w:rsidR="00B50FCA">
        <w:rPr>
          <w:rStyle w:val="SingleTxtGChar"/>
        </w:rPr>
        <w:t>’</w:t>
      </w:r>
      <w:r w:rsidRPr="00EF4152">
        <w:rPr>
          <w:rStyle w:val="SingleTxtGChar"/>
        </w:rPr>
        <w:t>ADN 2019 est introduite pour la liste requise dans l</w:t>
      </w:r>
      <w:r w:rsidR="00B50FCA">
        <w:rPr>
          <w:rStyle w:val="SingleTxtGChar"/>
        </w:rPr>
        <w:t>’</w:t>
      </w:r>
      <w:r w:rsidRPr="00EF4152">
        <w:rPr>
          <w:rStyle w:val="SingleTxtGChar"/>
        </w:rPr>
        <w:t>ADN 2019 pour la lettre u) du 8.1.2.3 :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402"/>
        <w:gridCol w:w="3048"/>
        <w:gridCol w:w="5018"/>
      </w:tblGrid>
      <w:tr w:rsidR="00EF4152" w:rsidRPr="00F01395" w14:paraId="4B971E01" w14:textId="77777777" w:rsidTr="005573D0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67150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bookmarkStart w:id="3" w:name="_Hlk10533602"/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8.1.2.3 u)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5F848" w14:textId="77777777" w:rsidR="00EF4152" w:rsidRPr="002E1EED" w:rsidRDefault="00EF4152" w:rsidP="005573D0">
            <w:pPr>
              <w:pStyle w:val="N3"/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Liste des installations et équipements visés à l’alinéa t)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36A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N.R.T. à partir du </w:t>
            </w:r>
            <w:r w:rsidR="00B50FC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B50FCA" w:rsidRPr="00B50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er</w:t>
            </w:r>
            <w:r w:rsidR="00B50FC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janvier 2019</w:t>
            </w:r>
          </w:p>
          <w:p w14:paraId="689F8AA7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Renouvellement du certificat d’agrément après le 31 décembre 2034</w:t>
            </w:r>
          </w:p>
        </w:tc>
      </w:tr>
    </w:tbl>
    <w:bookmarkEnd w:id="3"/>
    <w:p w14:paraId="7F66F76F" w14:textId="77777777" w:rsidR="00EF4152" w:rsidRPr="002E1EED" w:rsidRDefault="00EF4152" w:rsidP="00EF4152">
      <w:pPr>
        <w:spacing w:before="180" w:after="120"/>
        <w:ind w:left="1701" w:right="567" w:hanging="567"/>
        <w:jc w:val="both"/>
        <w:rPr>
          <w:lang w:val="fr-FR"/>
        </w:rPr>
      </w:pPr>
      <w:r w:rsidRPr="002E1EED">
        <w:rPr>
          <w:lang w:val="fr-FR"/>
        </w:rPr>
        <w:t>c)</w:t>
      </w:r>
      <w:r w:rsidRPr="002E1EED">
        <w:rPr>
          <w:lang w:val="fr-FR"/>
        </w:rPr>
        <w:tab/>
        <w:t xml:space="preserve">Une </w:t>
      </w:r>
      <w:r>
        <w:rPr>
          <w:lang w:val="fr-FR"/>
        </w:rPr>
        <w:t>prescription</w:t>
      </w:r>
      <w:r w:rsidRPr="002E1EED">
        <w:rPr>
          <w:lang w:val="fr-FR"/>
        </w:rPr>
        <w:t xml:space="preserve"> transitoire distincte avec la même fenêtre temporelle que pour </w:t>
      </w:r>
      <w:r>
        <w:rPr>
          <w:lang w:val="fr-FR"/>
        </w:rPr>
        <w:t>la lettre</w:t>
      </w:r>
      <w:r w:rsidRPr="002E1EED">
        <w:rPr>
          <w:lang w:val="fr-FR"/>
        </w:rPr>
        <w:t xml:space="preserve"> u) est introduite pour le plan avec le classement en zones </w:t>
      </w:r>
      <w:r>
        <w:rPr>
          <w:lang w:val="fr-FR"/>
        </w:rPr>
        <w:t xml:space="preserve">lui-même </w:t>
      </w:r>
      <w:r w:rsidRPr="002E1EED">
        <w:rPr>
          <w:lang w:val="fr-FR"/>
        </w:rPr>
        <w:t>requis dans l</w:t>
      </w:r>
      <w:r w:rsidR="00B50FCA">
        <w:rPr>
          <w:lang w:val="fr-FR"/>
        </w:rPr>
        <w:t>’</w:t>
      </w:r>
      <w:r w:rsidRPr="002E1EED">
        <w:rPr>
          <w:lang w:val="fr-FR"/>
        </w:rPr>
        <w:t>ADN 2019 :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402"/>
        <w:gridCol w:w="3048"/>
        <w:gridCol w:w="5018"/>
      </w:tblGrid>
      <w:tr w:rsidR="00EF4152" w:rsidRPr="00F01395" w14:paraId="17E55FA1" w14:textId="77777777" w:rsidTr="005573D0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2F4CD2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8.1.2.3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A2D28E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Plan avec le classement en zones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6940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N.R.T. à partir du </w:t>
            </w:r>
            <w:r w:rsidR="00B50FC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B50FCA" w:rsidRPr="00B50FCA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er</w:t>
            </w:r>
            <w:r w:rsidR="00B50FC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janvier 2019</w:t>
            </w:r>
          </w:p>
          <w:p w14:paraId="3EF6AA05" w14:textId="77777777" w:rsidR="00EF4152" w:rsidRPr="002E1EED" w:rsidRDefault="00EF4152" w:rsidP="005573D0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E1EE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Renouvellement du certificat d’agrément après le 31 décembre 2034</w:t>
            </w:r>
          </w:p>
        </w:tc>
      </w:tr>
    </w:tbl>
    <w:p w14:paraId="559266D9" w14:textId="77777777" w:rsidR="00C1626B" w:rsidRPr="00EF4152" w:rsidRDefault="00EF4152" w:rsidP="00EF41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EF4152" w:rsidSect="00EF41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E07F" w14:textId="77777777" w:rsidR="00EF4152" w:rsidRDefault="00EF4152" w:rsidP="00F95C08">
      <w:pPr>
        <w:spacing w:line="240" w:lineRule="auto"/>
      </w:pPr>
    </w:p>
  </w:endnote>
  <w:endnote w:type="continuationSeparator" w:id="0">
    <w:p w14:paraId="0635851C" w14:textId="77777777" w:rsidR="00EF4152" w:rsidRPr="00AC3823" w:rsidRDefault="00EF4152" w:rsidP="00AC3823">
      <w:pPr>
        <w:pStyle w:val="Footer"/>
      </w:pPr>
    </w:p>
  </w:endnote>
  <w:endnote w:type="continuationNotice" w:id="1">
    <w:p w14:paraId="0E91C618" w14:textId="77777777" w:rsidR="00EF4152" w:rsidRDefault="00EF41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612C" w14:textId="77777777" w:rsidR="00EF4152" w:rsidRPr="00EF4152" w:rsidRDefault="00EF4152" w:rsidP="00EF4152">
    <w:pPr>
      <w:pStyle w:val="Footer"/>
      <w:tabs>
        <w:tab w:val="right" w:pos="9638"/>
      </w:tabs>
      <w:rPr>
        <w:sz w:val="18"/>
      </w:rPr>
    </w:pPr>
    <w:r w:rsidRPr="00EF4152">
      <w:rPr>
        <w:b/>
        <w:sz w:val="18"/>
      </w:rPr>
      <w:fldChar w:fldCharType="begin"/>
    </w:r>
    <w:r w:rsidRPr="00EF4152">
      <w:rPr>
        <w:b/>
        <w:sz w:val="18"/>
      </w:rPr>
      <w:instrText xml:space="preserve"> PAGE  \* MERGEFORMAT </w:instrText>
    </w:r>
    <w:r w:rsidRPr="00EF4152">
      <w:rPr>
        <w:b/>
        <w:sz w:val="18"/>
      </w:rPr>
      <w:fldChar w:fldCharType="separate"/>
    </w:r>
    <w:r w:rsidRPr="00EF4152">
      <w:rPr>
        <w:b/>
        <w:noProof/>
        <w:sz w:val="18"/>
      </w:rPr>
      <w:t>2</w:t>
    </w:r>
    <w:r w:rsidRPr="00EF41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DE4E" w14:textId="77777777" w:rsidR="00EF4152" w:rsidRPr="00EF4152" w:rsidRDefault="00EF4152" w:rsidP="00EF4152">
    <w:pPr>
      <w:pStyle w:val="Footer"/>
      <w:tabs>
        <w:tab w:val="right" w:pos="9638"/>
      </w:tabs>
      <w:rPr>
        <w:b/>
        <w:sz w:val="18"/>
      </w:rPr>
    </w:pPr>
    <w:r>
      <w:tab/>
    </w:r>
    <w:r w:rsidRPr="00EF4152">
      <w:rPr>
        <w:b/>
        <w:sz w:val="18"/>
      </w:rPr>
      <w:fldChar w:fldCharType="begin"/>
    </w:r>
    <w:r w:rsidRPr="00EF4152">
      <w:rPr>
        <w:b/>
        <w:sz w:val="18"/>
      </w:rPr>
      <w:instrText xml:space="preserve"> PAGE  \* MERGEFORMAT </w:instrText>
    </w:r>
    <w:r w:rsidRPr="00EF4152">
      <w:rPr>
        <w:b/>
        <w:sz w:val="18"/>
      </w:rPr>
      <w:fldChar w:fldCharType="separate"/>
    </w:r>
    <w:r w:rsidRPr="00EF4152">
      <w:rPr>
        <w:b/>
        <w:noProof/>
        <w:sz w:val="18"/>
      </w:rPr>
      <w:t>3</w:t>
    </w:r>
    <w:r w:rsidRPr="00EF41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EA4B" w14:textId="77777777" w:rsidR="000D3EE9" w:rsidRPr="00EF4152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93BC" w14:textId="77777777" w:rsidR="00EF4152" w:rsidRPr="00AC3823" w:rsidRDefault="00EF41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2C8838" w14:textId="77777777" w:rsidR="00EF4152" w:rsidRPr="00AC3823" w:rsidRDefault="00EF41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3D8741" w14:textId="77777777" w:rsidR="00EF4152" w:rsidRPr="00AC3823" w:rsidRDefault="00EF4152">
      <w:pPr>
        <w:spacing w:line="240" w:lineRule="auto"/>
        <w:rPr>
          <w:sz w:val="2"/>
          <w:szCs w:val="2"/>
        </w:rPr>
      </w:pPr>
    </w:p>
  </w:footnote>
  <w:footnote w:id="2">
    <w:p w14:paraId="0B5E146E" w14:textId="77777777" w:rsidR="005F6D51" w:rsidRPr="00B50FCA" w:rsidRDefault="005F6D51" w:rsidP="005F6D51">
      <w:pPr>
        <w:pStyle w:val="FootnoteText"/>
        <w:ind w:left="1418" w:hanging="284"/>
      </w:pPr>
      <w:r w:rsidRPr="00C94CAA">
        <w:rPr>
          <w:rStyle w:val="FootnoteReference"/>
          <w:sz w:val="20"/>
          <w:vertAlign w:val="baseline"/>
          <w:lang w:val="fr-FR"/>
        </w:rPr>
        <w:t>*</w:t>
      </w:r>
      <w:r w:rsidRPr="009C5834">
        <w:rPr>
          <w:sz w:val="20"/>
          <w:lang w:val="fr-FR"/>
        </w:rPr>
        <w:t xml:space="preserve"> </w:t>
      </w:r>
      <w:r w:rsidRPr="00651793">
        <w:rPr>
          <w:lang w:val="fr-FR"/>
        </w:rPr>
        <w:t xml:space="preserve"> </w:t>
      </w:r>
      <w:r w:rsidRPr="00651793">
        <w:rPr>
          <w:lang w:val="fr-FR"/>
        </w:rPr>
        <w:tab/>
      </w:r>
      <w:r w:rsidRPr="00B50FCA">
        <w:t>Diffusé en langue allemande par la Commission centrale pour la navigation du Rhin sous la cote CCNR/ZKR/ADN/WP.15/AC.2/2019/</w:t>
      </w:r>
      <w:r w:rsidR="00A97E8E">
        <w:t>28</w:t>
      </w:r>
      <w:r w:rsidRPr="00B50FCA">
        <w:t>.</w:t>
      </w:r>
    </w:p>
    <w:p w14:paraId="334282F3" w14:textId="77777777" w:rsidR="005F6D51" w:rsidRPr="00651793" w:rsidRDefault="005F6D51" w:rsidP="005F6D51">
      <w:pPr>
        <w:pStyle w:val="FootnoteText"/>
        <w:ind w:left="1418" w:hanging="284"/>
        <w:rPr>
          <w:sz w:val="16"/>
          <w:szCs w:val="16"/>
          <w:lang w:val="fr-FR"/>
        </w:rPr>
      </w:pPr>
      <w:r w:rsidRPr="00C94CAA">
        <w:rPr>
          <w:rStyle w:val="FootnoteReference"/>
          <w:sz w:val="20"/>
          <w:vertAlign w:val="baseline"/>
          <w:lang w:val="fr-FR"/>
        </w:rPr>
        <w:t>**</w:t>
      </w:r>
      <w:r w:rsidRPr="00651793">
        <w:rPr>
          <w:sz w:val="16"/>
          <w:szCs w:val="16"/>
          <w:lang w:val="fr-FR"/>
        </w:rPr>
        <w:t xml:space="preserve"> </w:t>
      </w:r>
      <w:r w:rsidRPr="00651793">
        <w:rPr>
          <w:sz w:val="16"/>
          <w:szCs w:val="16"/>
          <w:lang w:val="fr-FR"/>
        </w:rPr>
        <w:tab/>
        <w:t>Conformément au programme de travail du Comité des transports intérieurs pour 2018-2019 (ECE/TRANS/2018/21/Add.1, (9.3)).</w:t>
      </w:r>
    </w:p>
    <w:p w14:paraId="19A66697" w14:textId="77777777" w:rsidR="005F6D51" w:rsidRDefault="00EF4152" w:rsidP="00EF4152">
      <w:pPr>
        <w:pStyle w:val="FootnoteText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  <w:r w:rsidRPr="00EF4152">
        <w:rPr>
          <w:sz w:val="16"/>
          <w:szCs w:val="16"/>
          <w:lang w:val="fr-FR"/>
        </w:rPr>
        <w:tab/>
      </w:r>
    </w:p>
    <w:p w14:paraId="1FBA7F2E" w14:textId="77777777" w:rsidR="00EF4152" w:rsidRPr="00CE44C2" w:rsidRDefault="00EF4152" w:rsidP="00EF4152">
      <w:pPr>
        <w:pStyle w:val="FootnoteText"/>
        <w:rPr>
          <w:sz w:val="16"/>
          <w:szCs w:val="16"/>
        </w:rPr>
      </w:pPr>
    </w:p>
  </w:footnote>
  <w:footnote w:id="3">
    <w:p w14:paraId="50ADD6C2" w14:textId="77777777" w:rsidR="00EF4152" w:rsidRPr="00CE44C2" w:rsidRDefault="00EF4152" w:rsidP="00EF4152">
      <w:pPr>
        <w:pStyle w:val="FootnoteText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  <w:r w:rsidRPr="00EF4152">
        <w:rPr>
          <w:sz w:val="20"/>
          <w:szCs w:val="16"/>
          <w:lang w:val="fr-FR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6A2C" w14:textId="2D40C680" w:rsidR="00EF4152" w:rsidRPr="00EF4152" w:rsidRDefault="00AF2149">
    <w:pPr>
      <w:pStyle w:val="Header"/>
    </w:pPr>
    <w:r>
      <w:t>ECE/TRANS/WP.15/AC.2/2019</w:t>
    </w:r>
    <w:r>
      <w:t>/28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C3AE" w14:textId="0708110F" w:rsidR="00EF4152" w:rsidRPr="00EF4152" w:rsidRDefault="00AF2149" w:rsidP="00EF4152">
    <w:pPr>
      <w:pStyle w:val="Header"/>
      <w:jc w:val="right"/>
    </w:pPr>
    <w:r>
      <w:t>ECE/TRANS/WP.15/AC.2/2019</w:t>
    </w:r>
    <w:r>
      <w:t>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EF4152"/>
    <w:rsid w:val="0001207F"/>
    <w:rsid w:val="00017F94"/>
    <w:rsid w:val="00023842"/>
    <w:rsid w:val="000334F9"/>
    <w:rsid w:val="0004639C"/>
    <w:rsid w:val="00060539"/>
    <w:rsid w:val="0007796D"/>
    <w:rsid w:val="000942EE"/>
    <w:rsid w:val="000A52BF"/>
    <w:rsid w:val="000B7790"/>
    <w:rsid w:val="000D3EE9"/>
    <w:rsid w:val="000D62F3"/>
    <w:rsid w:val="000E1687"/>
    <w:rsid w:val="00111F2F"/>
    <w:rsid w:val="001433FD"/>
    <w:rsid w:val="0014365E"/>
    <w:rsid w:val="001541D3"/>
    <w:rsid w:val="00156B77"/>
    <w:rsid w:val="00176178"/>
    <w:rsid w:val="00177140"/>
    <w:rsid w:val="001A68C2"/>
    <w:rsid w:val="001D3995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5F6D51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C1CF4"/>
    <w:rsid w:val="009F02C9"/>
    <w:rsid w:val="00A30353"/>
    <w:rsid w:val="00A62D91"/>
    <w:rsid w:val="00A90D54"/>
    <w:rsid w:val="00A97E8E"/>
    <w:rsid w:val="00AA113A"/>
    <w:rsid w:val="00AC3823"/>
    <w:rsid w:val="00AE323C"/>
    <w:rsid w:val="00AF2149"/>
    <w:rsid w:val="00AF774C"/>
    <w:rsid w:val="00B00181"/>
    <w:rsid w:val="00B00B0D"/>
    <w:rsid w:val="00B40927"/>
    <w:rsid w:val="00B50E25"/>
    <w:rsid w:val="00B50FCA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F2E22"/>
    <w:rsid w:val="00EF415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2AE27"/>
  <w15:docId w15:val="{BA7BB2F2-856C-46A3-BD41-FAFD259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N3">
    <w:name w:val="N3"/>
    <w:basedOn w:val="Normal"/>
    <w:rsid w:val="00EF4152"/>
    <w:pPr>
      <w:widowControl w:val="0"/>
      <w:tabs>
        <w:tab w:val="left" w:pos="170"/>
      </w:tabs>
      <w:suppressAutoHyphens w:val="0"/>
      <w:kinsoku/>
      <w:snapToGrid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ECE/TRANS/WP.15/AC.2/2019/?</vt:lpstr>
      <vt:lpstr>ECE/EX/22</vt:lpstr>
    </vt:vector>
  </TitlesOfParts>
  <Company>DCM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ECE/TRANS/WP.15/AC.2/2019/?</dc:title>
  <dc:subject>FINAL</dc:subject>
  <dc:creator>Marie-Claude Collet</dc:creator>
  <cp:keywords/>
  <dc:description/>
  <cp:lastModifiedBy>Marie-Claude Collet</cp:lastModifiedBy>
  <cp:revision>3</cp:revision>
  <cp:lastPrinted>2019-06-07T13:37:00Z</cp:lastPrinted>
  <dcterms:created xsi:type="dcterms:W3CDTF">2019-06-07T13:37:00Z</dcterms:created>
  <dcterms:modified xsi:type="dcterms:W3CDTF">2019-06-07T13:38:00Z</dcterms:modified>
</cp:coreProperties>
</file>