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C744E" w:rsidRDefault="00BC744E" w:rsidP="00A713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–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7138C" w:rsidP="00A7138C">
            <w:pPr>
              <w:jc w:val="right"/>
            </w:pPr>
            <w:r w:rsidRPr="00A7138C">
              <w:rPr>
                <w:sz w:val="40"/>
              </w:rPr>
              <w:t>ECE</w:t>
            </w:r>
            <w:r>
              <w:t>/TRANS/WP.15/AC.2/2019/4</w:t>
            </w:r>
          </w:p>
        </w:tc>
      </w:tr>
      <w:tr w:rsidR="002D5AAC" w:rsidRPr="00BC744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713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7138C" w:rsidRDefault="00A7138C" w:rsidP="00A713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2018</w:t>
            </w:r>
          </w:p>
          <w:p w:rsidR="00A7138C" w:rsidRDefault="00A7138C" w:rsidP="00A713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7138C" w:rsidRPr="008D53B6" w:rsidRDefault="00A7138C" w:rsidP="00A713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7138C" w:rsidRPr="005264F3" w:rsidRDefault="00A7138C" w:rsidP="00A7138C">
      <w:pPr>
        <w:spacing w:before="120"/>
        <w:rPr>
          <w:sz w:val="28"/>
          <w:szCs w:val="28"/>
        </w:rPr>
      </w:pPr>
      <w:r w:rsidRPr="005264F3">
        <w:rPr>
          <w:sz w:val="28"/>
          <w:szCs w:val="28"/>
        </w:rPr>
        <w:t>Комитет по внутреннему транспорту</w:t>
      </w:r>
    </w:p>
    <w:p w:rsidR="00A7138C" w:rsidRPr="005264F3" w:rsidRDefault="00A7138C" w:rsidP="00A7138C">
      <w:pPr>
        <w:spacing w:before="120"/>
        <w:rPr>
          <w:b/>
          <w:sz w:val="24"/>
          <w:szCs w:val="24"/>
        </w:rPr>
      </w:pPr>
      <w:r w:rsidRPr="005264F3">
        <w:rPr>
          <w:b/>
          <w:bCs/>
          <w:sz w:val="24"/>
          <w:szCs w:val="24"/>
        </w:rPr>
        <w:t>Рабочая группа по перевозкам опасных грузов</w:t>
      </w:r>
    </w:p>
    <w:p w:rsidR="00A7138C" w:rsidRPr="005264F3" w:rsidRDefault="00A7138C" w:rsidP="00A7138C">
      <w:pPr>
        <w:spacing w:before="120"/>
        <w:rPr>
          <w:b/>
          <w:bCs/>
        </w:rPr>
      </w:pPr>
      <w:r w:rsidRPr="005264F3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5264F3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5264F3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5264F3">
        <w:rPr>
          <w:b/>
          <w:bCs/>
        </w:rPr>
        <w:t>по внутренним водным путям (ВОПОГ)</w:t>
      </w:r>
      <w:r w:rsidRPr="005264F3">
        <w:rPr>
          <w:b/>
          <w:bCs/>
        </w:rPr>
        <w:br/>
        <w:t>(Комитет по вопросам безопасности ВОПОГ)</w:t>
      </w:r>
    </w:p>
    <w:p w:rsidR="00A7138C" w:rsidRPr="005264F3" w:rsidRDefault="00A7138C" w:rsidP="00A7138C">
      <w:pPr>
        <w:spacing w:before="120"/>
        <w:rPr>
          <w:b/>
          <w:bCs/>
        </w:rPr>
      </w:pPr>
      <w:r w:rsidRPr="005264F3">
        <w:rPr>
          <w:b/>
          <w:bCs/>
        </w:rPr>
        <w:t>Тридцать четвертая сессия</w:t>
      </w:r>
    </w:p>
    <w:p w:rsidR="00A7138C" w:rsidRPr="005264F3" w:rsidRDefault="00A7138C" w:rsidP="00A7138C">
      <w:r w:rsidRPr="005264F3">
        <w:t>Женева, 21–25 января 2019 года</w:t>
      </w:r>
    </w:p>
    <w:p w:rsidR="00A7138C" w:rsidRPr="005264F3" w:rsidRDefault="00A7138C" w:rsidP="00A7138C">
      <w:r w:rsidRPr="005264F3">
        <w:t>Пункт 5 b) предварительной повестки дня</w:t>
      </w:r>
    </w:p>
    <w:p w:rsidR="00A7138C" w:rsidRPr="005264F3" w:rsidRDefault="00A7138C" w:rsidP="00A7138C">
      <w:pPr>
        <w:rPr>
          <w:b/>
          <w:bCs/>
        </w:rPr>
      </w:pPr>
      <w:r w:rsidRPr="005264F3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5264F3">
        <w:rPr>
          <w:b/>
          <w:bCs/>
        </w:rPr>
        <w:t>прилагаемые к ВОПОГ:</w:t>
      </w:r>
      <w:r w:rsidR="00BF2B87">
        <w:rPr>
          <w:b/>
          <w:bCs/>
        </w:rPr>
        <w:t xml:space="preserve"> </w:t>
      </w:r>
      <w:r w:rsidRPr="005264F3">
        <w:rPr>
          <w:b/>
          <w:bCs/>
        </w:rPr>
        <w:t>другие предложения</w:t>
      </w:r>
    </w:p>
    <w:p w:rsidR="00A7138C" w:rsidRPr="005264F3" w:rsidRDefault="00A7138C" w:rsidP="00A7138C">
      <w:pPr>
        <w:pStyle w:val="HChG"/>
        <w:rPr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Cs/>
          <w:lang w:val="ru-RU"/>
        </w:rPr>
        <w:t>Внедрение измененной концепции взрывозащиты на судах внутреннего плавания </w:t>
      </w:r>
      <w:r w:rsidRPr="00C313F6">
        <w:rPr>
          <w:bCs/>
          <w:lang w:val="ru-RU"/>
        </w:rPr>
        <w:t>–</w:t>
      </w:r>
      <w:r w:rsidRPr="005264F3">
        <w:rPr>
          <w:bCs/>
          <w:lang w:val="ru-RU"/>
        </w:rPr>
        <w:t xml:space="preserve"> вопросы толкования</w:t>
      </w:r>
    </w:p>
    <w:p w:rsidR="00A7138C" w:rsidRPr="005264F3" w:rsidRDefault="00A7138C" w:rsidP="00A7138C">
      <w:pPr>
        <w:pStyle w:val="H1G"/>
        <w:rPr>
          <w:b w:val="0"/>
          <w:bCs/>
          <w:sz w:val="20"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Передано правительством Германии</w:t>
      </w:r>
      <w:r w:rsidRPr="005264F3">
        <w:rPr>
          <w:b w:val="0"/>
          <w:bCs/>
          <w:sz w:val="20"/>
          <w:lang w:val="ru-RU"/>
        </w:rPr>
        <w:footnoteReference w:customMarkFollows="1" w:id="1"/>
        <w:t xml:space="preserve">* </w:t>
      </w:r>
      <w:r w:rsidRPr="005264F3">
        <w:rPr>
          <w:b w:val="0"/>
          <w:bCs/>
          <w:sz w:val="20"/>
          <w:lang w:val="ru-RU"/>
        </w:rPr>
        <w:footnoteReference w:customMarkFollows="1" w:id="2"/>
        <w:t>**</w:t>
      </w:r>
    </w:p>
    <w:p w:rsidR="00A7138C" w:rsidRPr="005264F3" w:rsidRDefault="00A7138C" w:rsidP="00A7138C">
      <w:pPr>
        <w:pStyle w:val="HChG"/>
        <w:rPr>
          <w:lang w:val="ru-RU"/>
        </w:rPr>
      </w:pPr>
      <w:r w:rsidRPr="005264F3">
        <w:rPr>
          <w:lang w:val="ru-RU"/>
        </w:rPr>
        <w:tab/>
        <w:t>I.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Введение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i/>
          <w:iCs/>
          <w:lang w:val="ru-RU"/>
        </w:rPr>
        <w:t>Справочный документ:</w:t>
      </w:r>
      <w:r w:rsidRPr="005264F3">
        <w:rPr>
          <w:lang w:val="ru-RU"/>
        </w:rPr>
        <w:t xml:space="preserve"> ECE/ADN/45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</w:t>
      </w:r>
      <w:r w:rsidRPr="005264F3">
        <w:rPr>
          <w:lang w:val="ru-RU"/>
        </w:rPr>
        <w:tab/>
        <w:t xml:space="preserve">С согласия бывшего Председателя неофициальной рабочей группы по защите против взрывов на танкерах внутреннего плавания делегация Германии хотела бы предложить Комитету по вопросам безопасности рассмотреть вопрос о толковании ряда положений о взрывозащите, принятых для ВОПОГ 2019 года, поскольку в нынешней формулировке они могут быть неверно истолкованы. </w:t>
      </w:r>
    </w:p>
    <w:p w:rsidR="00A7138C" w:rsidRPr="005264F3" w:rsidRDefault="00A7138C" w:rsidP="00A7138C">
      <w:pPr>
        <w:pStyle w:val="HChG"/>
        <w:rPr>
          <w:lang w:val="ru-RU"/>
        </w:rPr>
      </w:pPr>
      <w:r w:rsidRPr="005264F3">
        <w:rPr>
          <w:lang w:val="ru-RU"/>
        </w:rPr>
        <w:lastRenderedPageBreak/>
        <w:tab/>
        <w:t>II.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Обсуждение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A.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Определения (раздел 1.2.1)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i/>
          <w:iCs/>
          <w:lang w:val="ru-RU"/>
        </w:rPr>
        <w:t>Связанные друг с другом определения:</w:t>
      </w:r>
      <w:r w:rsidRPr="005264F3">
        <w:rPr>
          <w:lang w:val="ru-RU"/>
        </w:rPr>
        <w:t xml:space="preserve"> «Установки и оборудование» и «Электрооборудование с ограниченной опасностью взрыва»</w:t>
      </w:r>
    </w:p>
    <w:p w:rsidR="00A7138C" w:rsidRPr="005264F3" w:rsidRDefault="00A7138C" w:rsidP="00A7138C">
      <w:pPr>
        <w:pStyle w:val="H23G"/>
        <w:rPr>
          <w:rFonts w:eastAsia="SimSun"/>
          <w:lang w:val="ru-RU"/>
        </w:rPr>
      </w:pPr>
      <w:r w:rsidRPr="005264F3">
        <w:rPr>
          <w:lang w:val="ru-RU"/>
        </w:rPr>
        <w:tab/>
        <w:t>1.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Установки и оборудование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2.</w:t>
      </w:r>
      <w:r w:rsidRPr="005264F3">
        <w:rPr>
          <w:lang w:val="ru-RU"/>
        </w:rPr>
        <w:tab/>
        <w:t>В большинстве новых положений, касающихся взрывозащиты, используется термин «установки и оборудование». В ВОПОГ 2019 года было добавлено новое определение оборудования, но термин «установки» в нем никак не определяется.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3.</w:t>
      </w:r>
      <w:r w:rsidRPr="005264F3">
        <w:rPr>
          <w:lang w:val="ru-RU"/>
        </w:rPr>
        <w:tab/>
        <w:t>Делегация Германии предлагает дать следующее определение термину «установки»: «Установки представляют собой связанные между собой элементы оборудования». Такое определение согласуется с обычно используемыми в Германии техническими правилами в области эксплуатации электротехники и предупреждения производственных несчастных случаев.</w:t>
      </w:r>
    </w:p>
    <w:p w:rsidR="00A7138C" w:rsidRPr="005264F3" w:rsidRDefault="00A7138C" w:rsidP="00A7138C">
      <w:pPr>
        <w:pStyle w:val="H4G"/>
        <w:rPr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1.2.1</w:t>
      </w:r>
      <w:r w:rsidRPr="005264F3">
        <w:rPr>
          <w:lang w:val="ru-RU"/>
        </w:rPr>
        <w:tab/>
        <w:t>Включить следующее новое определение:</w:t>
      </w:r>
    </w:p>
    <w:p w:rsidR="00A7138C" w:rsidRPr="005264F3" w:rsidRDefault="00A7138C" w:rsidP="00A7138C">
      <w:pPr>
        <w:pStyle w:val="SingleTxtG"/>
        <w:rPr>
          <w:bCs/>
          <w:lang w:val="ru-RU"/>
        </w:rPr>
      </w:pPr>
      <w:r w:rsidRPr="005264F3">
        <w:rPr>
          <w:lang w:val="ru-RU"/>
        </w:rPr>
        <w:t>«</w:t>
      </w:r>
      <w:r w:rsidRPr="005264F3">
        <w:rPr>
          <w:i/>
          <w:lang w:val="ru-RU"/>
        </w:rPr>
        <w:t>"</w:t>
      </w:r>
      <w:r w:rsidRPr="005264F3">
        <w:rPr>
          <w:i/>
          <w:iCs/>
          <w:lang w:val="ru-RU"/>
        </w:rPr>
        <w:t>Установка (электрическая или неэлектрическая)"</w:t>
      </w:r>
      <w:r w:rsidRPr="005264F3">
        <w:rPr>
          <w:i/>
          <w:lang w:val="ru-RU"/>
        </w:rPr>
        <w:t xml:space="preserve"> </w:t>
      </w:r>
      <w:r w:rsidRPr="005264F3">
        <w:rPr>
          <w:lang w:val="ru-RU"/>
        </w:rPr>
        <w:t>означает связанные между собой элементы оборудования (см. </w:t>
      </w:r>
      <w:r w:rsidRPr="00C313F6">
        <w:rPr>
          <w:i/>
          <w:lang w:val="ru-RU"/>
        </w:rPr>
        <w:t>"Оборудование"</w:t>
      </w:r>
      <w:r w:rsidRPr="005264F3">
        <w:rPr>
          <w:lang w:val="ru-RU"/>
        </w:rPr>
        <w:t>)».</w:t>
      </w:r>
    </w:p>
    <w:p w:rsidR="00A7138C" w:rsidRPr="005264F3" w:rsidRDefault="00A7138C" w:rsidP="00A7138C">
      <w:pPr>
        <w:pStyle w:val="H23G"/>
        <w:rPr>
          <w:lang w:val="ru-RU"/>
        </w:rPr>
      </w:pPr>
      <w:r w:rsidRPr="005264F3">
        <w:rPr>
          <w:lang w:val="ru-RU"/>
        </w:rPr>
        <w:tab/>
        <w:t>2.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Электрооборудование с ограниченной опасностью взрыва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4.</w:t>
      </w:r>
      <w:r w:rsidRPr="005264F3">
        <w:rPr>
          <w:lang w:val="ru-RU"/>
        </w:rPr>
        <w:tab/>
        <w:t>Определение электрооборудования с ограниченной опасностью взрыва было изменено. В версиях ВОПОГ, предшествовавших версии 2017 года, это термин использовался в пунктах 9.1.0.52 и 9.3.x.52.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5.</w:t>
      </w:r>
      <w:r w:rsidRPr="005264F3">
        <w:rPr>
          <w:lang w:val="ru-RU"/>
        </w:rPr>
        <w:tab/>
        <w:t>В ВОПОГ 2019 года в этих пунктах слово «электрооборудование» было заменено на «электрические установки и оборудование».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6.</w:t>
      </w:r>
      <w:r w:rsidRPr="005264F3">
        <w:rPr>
          <w:lang w:val="ru-RU"/>
        </w:rPr>
        <w:tab/>
        <w:t>Делегация Германии предлагает толковать определение термина «электрооборудование с ограниченной опасностью взрыва» как определение термина «электрические установки и оборудование с ограниченной опасностью взрыва». В</w:t>
      </w:r>
      <w:r>
        <w:rPr>
          <w:lang w:val="en-US"/>
        </w:rPr>
        <w:t> </w:t>
      </w:r>
      <w:r w:rsidRPr="005264F3">
        <w:rPr>
          <w:lang w:val="ru-RU"/>
        </w:rPr>
        <w:t>ВОПОГ 2021 года следует внести соответствующую поправку.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1.2.1</w:t>
      </w:r>
      <w:r w:rsidRPr="005264F3">
        <w:rPr>
          <w:lang w:val="ru-RU"/>
        </w:rPr>
        <w:tab/>
        <w:t>В определении «электрооборудование с ограниченной опасностью взрыва» заменить слово «электрооборудование» на «электрические установки и оборудование».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B.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Переходные положения для раздела 1.2.1 (пункт 1.6.7.2.2.2)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i/>
          <w:iCs/>
          <w:lang w:val="ru-RU"/>
        </w:rPr>
        <w:t>Связанные друг с другом переходные положения:</w:t>
      </w:r>
      <w:r w:rsidRPr="005264F3">
        <w:rPr>
          <w:lang w:val="ru-RU"/>
        </w:rPr>
        <w:t xml:space="preserve"> «отверстие для взятия проб» и «быстродействующий выпускной клапан»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7.</w:t>
      </w:r>
      <w:r w:rsidRPr="005264F3">
        <w:rPr>
          <w:lang w:val="ru-RU"/>
        </w:rPr>
        <w:tab/>
        <w:t>В определениях упоминается только стандарт</w:t>
      </w:r>
      <w:r w:rsidR="00BF2B87">
        <w:rPr>
          <w:lang w:val="ru-RU"/>
        </w:rPr>
        <w:t xml:space="preserve"> </w:t>
      </w:r>
      <w:r w:rsidRPr="005264F3">
        <w:rPr>
          <w:lang w:val="ru-RU"/>
        </w:rPr>
        <w:t>ISO 16852:2016. Поэтому использовать слова «или EN ISO 16852:2016» в соответствующем переходном положении неправильно.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Предлагаемые поправки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1.6.7.2.2.2</w:t>
      </w:r>
      <w:r w:rsidRPr="005264F3">
        <w:rPr>
          <w:lang w:val="ru-RU"/>
        </w:rPr>
        <w:tab/>
        <w:t>В переходном положении «1.2.1 Отверстие для взятия проб, Устойчивость к дефлаграции» исключить слова «или EN</w:t>
      </w:r>
      <w:r w:rsidR="00BF2B87">
        <w:rPr>
          <w:lang w:val="ru-RU"/>
        </w:rPr>
        <w:t xml:space="preserve"> </w:t>
      </w:r>
      <w:r w:rsidRPr="005264F3">
        <w:rPr>
          <w:lang w:val="ru-RU"/>
        </w:rPr>
        <w:t>ISO</w:t>
      </w:r>
      <w:r w:rsidR="00BF2B87">
        <w:rPr>
          <w:lang w:val="ru-RU"/>
        </w:rPr>
        <w:t xml:space="preserve"> </w:t>
      </w:r>
      <w:r w:rsidRPr="005264F3">
        <w:rPr>
          <w:lang w:val="ru-RU"/>
        </w:rPr>
        <w:t>16852:2016».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1.6.7.2.2.2</w:t>
      </w:r>
      <w:r w:rsidRPr="005264F3">
        <w:rPr>
          <w:lang w:val="ru-RU"/>
        </w:rPr>
        <w:tab/>
        <w:t>В переходном положении «1.2.1 Быстродействующий выпускной клапан» исключить слова «или EN ISO 16852:2016».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lastRenderedPageBreak/>
        <w:tab/>
        <w:t>C.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Переходное положение для пунктов 9.3.1.53.1, 9.3.2.53.1, 9.3.3.53.1 (пункт 1.6.7.2.2.2)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8.</w:t>
      </w:r>
      <w:r w:rsidRPr="005264F3">
        <w:rPr>
          <w:lang w:val="ru-RU"/>
        </w:rPr>
        <w:tab/>
        <w:t>Для пунктов 9.3.1.53.1, 9.3.2.53.1, 9.3.3.53.1 имеется два переходных положения. В колонке «Вопрос» содержится следующее:</w:t>
      </w:r>
    </w:p>
    <w:p w:rsidR="00A7138C" w:rsidRPr="005264F3" w:rsidRDefault="00A7138C" w:rsidP="00A7138C">
      <w:pPr>
        <w:pStyle w:val="Bullet1G"/>
        <w:rPr>
          <w:lang w:val="ru-RU"/>
        </w:rPr>
      </w:pPr>
      <w:r w:rsidRPr="005264F3">
        <w:rPr>
          <w:lang w:val="ru-RU"/>
        </w:rPr>
        <w:t>В первой строке: «Тип и расположение электрических установок и оборудования, предназначенных для использования во взрывоопасных зонах Зона 0, зона 1».</w:t>
      </w:r>
    </w:p>
    <w:p w:rsidR="00A7138C" w:rsidRPr="005264F3" w:rsidRDefault="00A7138C" w:rsidP="00A7138C">
      <w:pPr>
        <w:pStyle w:val="Bullet1G"/>
        <w:rPr>
          <w:lang w:val="ru-RU"/>
        </w:rPr>
      </w:pPr>
      <w:r w:rsidRPr="005264F3">
        <w:rPr>
          <w:lang w:val="ru-RU"/>
        </w:rPr>
        <w:t>Во второй строке: «Тип и расположение электрических установок и оборудования, предназначенных для использования во взрывоопасных зонах; Зона 2».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9.</w:t>
      </w:r>
      <w:r w:rsidRPr="005264F3">
        <w:rPr>
          <w:lang w:val="ru-RU"/>
        </w:rPr>
        <w:tab/>
        <w:t>Невозможно определить, к каким предложениям идентичных пунктов 9.3.1.53.1, 9.3.2.53.1 и 9.3.3.53.1 относятся эти переходные положения.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10.</w:t>
      </w:r>
      <w:r w:rsidRPr="005264F3">
        <w:rPr>
          <w:lang w:val="ru-RU"/>
        </w:rPr>
        <w:tab/>
        <w:t>В пункте 9.3.x.53.1 не упоминается ни о каком расположении и отсутствует какая-либо четкая формулировка, касающаяся типа установок и оборудования.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11.</w:t>
      </w:r>
      <w:r w:rsidRPr="005264F3">
        <w:rPr>
          <w:lang w:val="ru-RU"/>
        </w:rPr>
        <w:tab/>
        <w:t>В колонке 3 этого нового переходного положения содержится следующий текст: «</w:t>
      </w:r>
      <w:r w:rsidRPr="005264F3">
        <w:rPr>
          <w:i/>
          <w:iCs/>
          <w:lang w:val="ru-RU"/>
        </w:rPr>
        <w:t>должны проверяться и утверждаться компетентным органом в отношении безопасности эксплуатации во взрывоопасной среде»</w:t>
      </w:r>
      <w:r w:rsidRPr="005264F3">
        <w:rPr>
          <w:lang w:val="ru-RU"/>
        </w:rPr>
        <w:t xml:space="preserve">. Делегация Германии считает, что это положение следует толковать следующим образом: </w:t>
      </w:r>
    </w:p>
    <w:p w:rsidR="00A7138C" w:rsidRPr="005264F3" w:rsidRDefault="00A7138C" w:rsidP="00A7138C">
      <w:pPr>
        <w:pStyle w:val="SingleTxtG"/>
        <w:ind w:left="1701"/>
        <w:rPr>
          <w:i/>
          <w:iCs/>
          <w:lang w:val="ru-RU"/>
        </w:rPr>
      </w:pPr>
      <w:r w:rsidRPr="005264F3">
        <w:rPr>
          <w:i/>
          <w:iCs/>
          <w:lang w:val="ru-RU"/>
        </w:rPr>
        <w:t>«Компетентный орган обязан только определить, были ли действительно проверены и утверждены для использования в этой зоне четко обозначенные стационарные установки, находящиеся в конкретной зоне: в зоне 0 (ВОПОГ 2017 года: соответствуют зоне 0) </w:t>
      </w:r>
      <w:r w:rsidRPr="00C313F6">
        <w:rPr>
          <w:i/>
          <w:iCs/>
          <w:lang w:val="ru-RU"/>
        </w:rPr>
        <w:t>–</w:t>
      </w:r>
      <w:r w:rsidRPr="005264F3">
        <w:rPr>
          <w:i/>
          <w:iCs/>
          <w:lang w:val="ru-RU"/>
        </w:rPr>
        <w:t xml:space="preserve"> установки, утвержденные для зоны 0 в соответствии с ATEX или аналогичные им;</w:t>
      </w:r>
      <w:r w:rsidRPr="005264F3">
        <w:rPr>
          <w:lang w:val="ru-RU"/>
        </w:rPr>
        <w:t xml:space="preserve"> </w:t>
      </w:r>
      <w:r w:rsidRPr="005264F3">
        <w:rPr>
          <w:i/>
          <w:iCs/>
          <w:lang w:val="ru-RU"/>
        </w:rPr>
        <w:t>в зоне 1 </w:t>
      </w:r>
      <w:r w:rsidRPr="00C313F6">
        <w:rPr>
          <w:i/>
          <w:iCs/>
          <w:lang w:val="ru-RU"/>
        </w:rPr>
        <w:t>–</w:t>
      </w:r>
      <w:r w:rsidRPr="005264F3">
        <w:rPr>
          <w:i/>
          <w:iCs/>
          <w:lang w:val="ru-RU"/>
        </w:rPr>
        <w:t xml:space="preserve"> установки, утвержденные для зоны 1 и зоны 0 в соответствии с ATEX или аналогичные им, и т. д. Это может быть сделано органом, выдавшим свидетельство о допущении.</w:t>
      </w:r>
    </w:p>
    <w:p w:rsidR="00A7138C" w:rsidRPr="005264F3" w:rsidRDefault="00A7138C" w:rsidP="00A7138C">
      <w:pPr>
        <w:pStyle w:val="SingleTxtG"/>
        <w:ind w:left="1701"/>
        <w:rPr>
          <w:i/>
          <w:iCs/>
          <w:lang w:val="ru-RU"/>
        </w:rPr>
      </w:pPr>
      <w:r w:rsidRPr="005264F3">
        <w:rPr>
          <w:i/>
          <w:iCs/>
          <w:lang w:val="ru-RU"/>
        </w:rPr>
        <w:t>Такая проверка и определение должны быть проведены однократно, непосредственно после 1 января/1 июля 2019 года, вне зависимости от возобновления свидетельства о допущении (которое может, например, быть произведено после 25 августа 2019 года)».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12.</w:t>
      </w:r>
      <w:r w:rsidRPr="005264F3">
        <w:rPr>
          <w:lang w:val="ru-RU"/>
        </w:rPr>
        <w:tab/>
        <w:t>Относительно второго пункта в колонке 3 делегация Германии считает, что фразу «</w:t>
      </w:r>
      <w:r w:rsidRPr="005264F3">
        <w:rPr>
          <w:i/>
          <w:iCs/>
          <w:lang w:val="ru-RU"/>
        </w:rPr>
        <w:t>При отборе электрооборудования надлежит принимать во внимание группы взрывоопасности и температурные классы, назначенные перевозимым веществам в перечне веществ (см. колонки 15 и 16 таблицы С главы 3.2)</w:t>
      </w:r>
      <w:r w:rsidRPr="005264F3">
        <w:rPr>
          <w:lang w:val="ru-RU"/>
        </w:rPr>
        <w:t xml:space="preserve">» следует толковать следующим образом: </w:t>
      </w:r>
    </w:p>
    <w:p w:rsidR="00A7138C" w:rsidRPr="005264F3" w:rsidRDefault="00A7138C" w:rsidP="00A7138C">
      <w:pPr>
        <w:pStyle w:val="SingleTxtG"/>
        <w:ind w:left="1701"/>
        <w:rPr>
          <w:i/>
          <w:iCs/>
          <w:lang w:val="ru-RU"/>
        </w:rPr>
      </w:pPr>
      <w:r w:rsidRPr="005264F3">
        <w:rPr>
          <w:i/>
          <w:iCs/>
          <w:lang w:val="ru-RU"/>
        </w:rPr>
        <w:t xml:space="preserve">«Термин </w:t>
      </w:r>
      <w:r w:rsidR="00C61791">
        <w:rPr>
          <w:i/>
          <w:iCs/>
          <w:lang w:val="ru-RU"/>
        </w:rPr>
        <w:t>"</w:t>
      </w:r>
      <w:r w:rsidRPr="005264F3">
        <w:rPr>
          <w:i/>
          <w:iCs/>
          <w:lang w:val="ru-RU"/>
        </w:rPr>
        <w:t>электрооборудование</w:t>
      </w:r>
      <w:r w:rsidR="00C61791">
        <w:rPr>
          <w:i/>
          <w:iCs/>
          <w:lang w:val="ru-RU"/>
        </w:rPr>
        <w:t>"</w:t>
      </w:r>
      <w:r w:rsidRPr="005264F3">
        <w:rPr>
          <w:i/>
          <w:iCs/>
          <w:lang w:val="ru-RU"/>
        </w:rPr>
        <w:t xml:space="preserve"> продолжает использоваться здесь так же, как он использовался в ВОПОГ, действовавшем до 31 декабря 2017 года.</w:t>
      </w:r>
      <w:r w:rsidRPr="005264F3">
        <w:rPr>
          <w:lang w:val="ru-RU"/>
        </w:rPr>
        <w:t xml:space="preserve"> </w:t>
      </w:r>
      <w:r w:rsidRPr="005264F3">
        <w:rPr>
          <w:i/>
          <w:iCs/>
          <w:lang w:val="ru-RU"/>
        </w:rPr>
        <w:t>Это отражает положения, которые действовали до этой даты».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13.</w:t>
      </w:r>
      <w:r w:rsidRPr="005264F3">
        <w:rPr>
          <w:lang w:val="ru-RU"/>
        </w:rPr>
        <w:tab/>
        <w:t>То же самое относится и к подпунктам </w:t>
      </w:r>
      <w:r w:rsidRPr="00A7138C">
        <w:rPr>
          <w:lang w:val="ru-RU"/>
        </w:rPr>
        <w:t>а</w:t>
      </w:r>
      <w:r>
        <w:rPr>
          <w:lang w:val="ru-RU"/>
        </w:rPr>
        <w:t>)</w:t>
      </w:r>
      <w:r w:rsidRPr="005264F3">
        <w:rPr>
          <w:lang w:val="ru-RU"/>
        </w:rPr>
        <w:t xml:space="preserve"> и </w:t>
      </w:r>
      <w:r w:rsidRPr="00A7138C">
        <w:rPr>
          <w:lang w:val="ru-RU"/>
        </w:rPr>
        <w:t>b</w:t>
      </w:r>
      <w:r>
        <w:rPr>
          <w:lang w:val="ru-RU"/>
        </w:rPr>
        <w:t>)</w:t>
      </w:r>
      <w:r w:rsidRPr="005264F3">
        <w:rPr>
          <w:lang w:val="ru-RU"/>
        </w:rPr>
        <w:t xml:space="preserve"> следующего пункта: «</w:t>
      </w:r>
      <w:r w:rsidRPr="005264F3">
        <w:rPr>
          <w:i/>
          <w:iCs/>
          <w:lang w:val="ru-RU"/>
        </w:rPr>
        <w:t>на борту находящихся в эксплуатации судов, киль которых был заложен после 1 </w:t>
      </w:r>
      <w:r w:rsidR="00BC744E">
        <w:rPr>
          <w:i/>
          <w:iCs/>
          <w:lang w:val="ru-RU"/>
        </w:rPr>
        <w:t>января</w:t>
      </w:r>
      <w:r w:rsidRPr="005264F3">
        <w:rPr>
          <w:i/>
          <w:iCs/>
          <w:lang w:val="ru-RU"/>
        </w:rPr>
        <w:t xml:space="preserve"> 1977 года</w:t>
      </w:r>
      <w:r w:rsidRPr="005264F3">
        <w:rPr>
          <w:lang w:val="ru-RU"/>
        </w:rPr>
        <w:t>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D.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Переходное положение для пункта 9.3.3.52.1 (прежде подпункты </w:t>
      </w:r>
      <w:r w:rsidRPr="00A7138C">
        <w:rPr>
          <w:bCs/>
          <w:lang w:val="ru-RU"/>
        </w:rPr>
        <w:t>а</w:t>
      </w:r>
      <w:r>
        <w:rPr>
          <w:bCs/>
          <w:lang w:val="ru-RU"/>
        </w:rPr>
        <w:t>)</w:t>
      </w:r>
      <w:r w:rsidRPr="005264F3">
        <w:rPr>
          <w:bCs/>
          <w:lang w:val="ru-RU"/>
        </w:rPr>
        <w:t xml:space="preserve"> и </w:t>
      </w:r>
      <w:r w:rsidRPr="00A7138C">
        <w:rPr>
          <w:bCs/>
          <w:lang w:val="ru-RU"/>
        </w:rPr>
        <w:t>b</w:t>
      </w:r>
      <w:r>
        <w:rPr>
          <w:bCs/>
          <w:lang w:val="ru-RU"/>
        </w:rPr>
        <w:t>)</w:t>
      </w:r>
      <w:r w:rsidRPr="005264F3">
        <w:rPr>
          <w:bCs/>
          <w:lang w:val="ru-RU"/>
        </w:rPr>
        <w:t xml:space="preserve"> пункта 9.3.3.52.3) в пункте 1.6.7.2.2.2</w:t>
      </w:r>
    </w:p>
    <w:p w:rsidR="00A7138C" w:rsidRPr="005264F3" w:rsidRDefault="00A7138C" w:rsidP="00A7138C">
      <w:pPr>
        <w:pStyle w:val="SingleTxtG"/>
        <w:rPr>
          <w:bCs/>
          <w:lang w:val="ru-RU"/>
        </w:rPr>
      </w:pPr>
      <w:r w:rsidRPr="005264F3">
        <w:rPr>
          <w:lang w:val="ru-RU"/>
        </w:rPr>
        <w:t>14.</w:t>
      </w:r>
      <w:r w:rsidRPr="005264F3">
        <w:rPr>
          <w:lang w:val="ru-RU"/>
        </w:rPr>
        <w:tab/>
        <w:t>В действующей редакции текст гласит: «Электрические установки, используемые во время нахождения в непосредственной близости от назначенной береговой зоны или в ее пределах».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15.</w:t>
      </w:r>
      <w:r w:rsidRPr="005264F3">
        <w:rPr>
          <w:lang w:val="ru-RU"/>
        </w:rPr>
        <w:tab/>
        <w:t>В подпункте </w:t>
      </w:r>
      <w:r w:rsidRPr="00A7138C">
        <w:rPr>
          <w:lang w:val="ru-RU"/>
        </w:rPr>
        <w:t>c</w:t>
      </w:r>
      <w:r>
        <w:rPr>
          <w:lang w:val="ru-RU"/>
        </w:rPr>
        <w:t>)</w:t>
      </w:r>
      <w:r w:rsidRPr="005264F3">
        <w:rPr>
          <w:lang w:val="ru-RU"/>
        </w:rPr>
        <w:t xml:space="preserve"> пункта 9.3.3.52.1 используется термин «электрические установки и оборудование». Поэтому в данном переходном положении также следует использовать словосочетание «электрические установки и оборудование». В ВОПОГ 2021 года следует внести соответствующую поправку: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lastRenderedPageBreak/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1.6.7.2.2.2</w:t>
      </w:r>
      <w:r>
        <w:rPr>
          <w:lang w:val="ru-RU"/>
        </w:rPr>
        <w:tab/>
      </w:r>
      <w:r w:rsidRPr="005264F3">
        <w:rPr>
          <w:lang w:val="ru-RU"/>
        </w:rPr>
        <w:t>В переходном положении для пункта 9.3.3.52.1 заменить слова «электрические установки» на словосочетание «электрические установки и оборудование».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E.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Переходное положение для 9.3.3.52.2 в пункте</w:t>
      </w:r>
      <w:r>
        <w:rPr>
          <w:bCs/>
          <w:lang w:val="ru-RU"/>
        </w:rPr>
        <w:t xml:space="preserve"> </w:t>
      </w:r>
      <w:r w:rsidRPr="005264F3">
        <w:rPr>
          <w:bCs/>
          <w:lang w:val="ru-RU"/>
        </w:rPr>
        <w:t>1.6.7.2.2.2: «Электрооборудование/эхолоты»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16.</w:t>
      </w:r>
      <w:r w:rsidRPr="005264F3">
        <w:rPr>
          <w:lang w:val="ru-RU"/>
        </w:rPr>
        <w:tab/>
        <w:t>В пункте</w:t>
      </w:r>
      <w:r>
        <w:rPr>
          <w:lang w:val="ru-RU"/>
        </w:rPr>
        <w:t> </w:t>
      </w:r>
      <w:r w:rsidRPr="005264F3">
        <w:rPr>
          <w:lang w:val="ru-RU"/>
        </w:rPr>
        <w:t>9.3.3.52.2 не используется термин «электрооборудование». В</w:t>
      </w:r>
      <w:r>
        <w:rPr>
          <w:lang w:val="ru-RU"/>
        </w:rPr>
        <w:t> </w:t>
      </w:r>
      <w:r w:rsidRPr="005264F3">
        <w:rPr>
          <w:lang w:val="ru-RU"/>
        </w:rPr>
        <w:t>заголовке подраздела 9.3.3.52 он был заменен на «установки и оборудование». Поэтому в данном переходном положении под эхолотами могут пониматься только электрические установки и оборудование. В ВОПОГ 2021 года следует внести соответствующую поправку: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1.6.7.2.2.2</w:t>
      </w:r>
      <w:r w:rsidRPr="005264F3">
        <w:rPr>
          <w:lang w:val="ru-RU"/>
        </w:rPr>
        <w:tab/>
        <w:t>В переходном положении для пункта</w:t>
      </w:r>
      <w:r>
        <w:rPr>
          <w:lang w:val="ru-RU"/>
        </w:rPr>
        <w:t xml:space="preserve"> </w:t>
      </w:r>
      <w:r w:rsidRPr="005264F3">
        <w:rPr>
          <w:lang w:val="ru-RU"/>
        </w:rPr>
        <w:t>9.3.3.52.2 заменить «Электрические установки/эхолоты» на «Электрические установки и оборудование/эхолоты».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F.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Переходное положение для последнего предложения пункта 9.3.x.52.3 (пункт 1.6.7.2.2.2)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17.</w:t>
      </w:r>
      <w:r w:rsidRPr="005264F3">
        <w:rPr>
          <w:lang w:val="ru-RU"/>
        </w:rPr>
        <w:tab/>
        <w:t>В действующей редакции текст гласит: «Отключение такого оборудования с централизованного пункта».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18.</w:t>
      </w:r>
      <w:r w:rsidRPr="005264F3">
        <w:rPr>
          <w:lang w:val="ru-RU"/>
        </w:rPr>
        <w:tab/>
        <w:t>В пунктах 9.3.x.52.3 ВОПОГ термин «установки» был заменен на «установки и оборудование». Поэтому в данном переходном положении должно также быть использовано словосочетание «электрические установки и оборудование». В ВОПОГ 2021 года следует внести соответствующую поправку: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1.6.7.2.2.2</w:t>
      </w:r>
      <w:r w:rsidRPr="005264F3">
        <w:rPr>
          <w:lang w:val="ru-RU"/>
        </w:rPr>
        <w:tab/>
        <w:t>В переходном положении для пункта 9.3.x.52.3 (вторая колонка) заменить слово «оборудование» на словосочетание «электрические установки и оборудование».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G.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Переходные положения, касающиеся модификации танкеров (подраздел 1.6.7.5)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19.</w:t>
      </w:r>
      <w:r w:rsidRPr="005264F3">
        <w:rPr>
          <w:lang w:val="ru-RU"/>
        </w:rPr>
        <w:tab/>
        <w:t xml:space="preserve">В действующей редакции текст гласит: 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«Модификация грузового пространства судна с целью его переоборудования в двухкорпусное судно типа</w:t>
      </w:r>
      <w:r>
        <w:rPr>
          <w:lang w:val="ru-RU"/>
        </w:rPr>
        <w:t xml:space="preserve"> N разрешается до </w:t>
      </w:r>
      <w:r w:rsidRPr="005264F3">
        <w:rPr>
          <w:lang w:val="ru-RU"/>
        </w:rPr>
        <w:t>31 декабря 2018</w:t>
      </w:r>
      <w:r>
        <w:rPr>
          <w:lang w:val="ru-RU"/>
        </w:rPr>
        <w:t xml:space="preserve"> </w:t>
      </w:r>
      <w:r w:rsidRPr="005264F3">
        <w:rPr>
          <w:lang w:val="ru-RU"/>
        </w:rPr>
        <w:t>года с соблюдением следующих условий: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...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части судна, расположенные за пределами грузового пространства, должны отвечать положениям ВОПОГ. Кроме того, могут применяться следующие переходные положения, приведенные в пункте 1.6.7.2.2: 1.2.1, 9.3.3.0.3 d), 9.3.3.51.3 и 9.3.3.52.4, последнее предложение.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...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Модифицированные суда могут по-прежнему эксплуатироваться после 31 декабря 2018 года. Должны соблюдаться сроки, указанные в применимых переходных положениях, приведенных в пункте 1.6.7.2.2».</w:t>
      </w:r>
    </w:p>
    <w:p w:rsidR="00A7138C" w:rsidRPr="005264F3" w:rsidRDefault="00A7138C" w:rsidP="00A7138C">
      <w:pPr>
        <w:pStyle w:val="SingleTxtG"/>
        <w:keepNext/>
        <w:keepLines/>
        <w:rPr>
          <w:lang w:val="ru-RU"/>
        </w:rPr>
      </w:pPr>
      <w:r w:rsidRPr="005264F3">
        <w:rPr>
          <w:lang w:val="ru-RU"/>
        </w:rPr>
        <w:lastRenderedPageBreak/>
        <w:t>20.</w:t>
      </w:r>
      <w:r w:rsidRPr="005264F3">
        <w:rPr>
          <w:lang w:val="ru-RU"/>
        </w:rPr>
        <w:tab/>
        <w:t>Некоторые поправки к действующим переходным положениям вступят в силу 1 января 2019 года.</w:t>
      </w:r>
    </w:p>
    <w:p w:rsidR="00A7138C" w:rsidRPr="005264F3" w:rsidRDefault="00A7138C" w:rsidP="00A7138C">
      <w:pPr>
        <w:pStyle w:val="Bullet1G"/>
        <w:keepNext/>
        <w:keepLines/>
        <w:numPr>
          <w:ilvl w:val="0"/>
          <w:numId w:val="0"/>
        </w:numPr>
        <w:ind w:left="2268" w:hanging="567"/>
        <w:rPr>
          <w:rFonts w:eastAsia="SimSun"/>
          <w:lang w:val="ru-RU"/>
        </w:rPr>
      </w:pPr>
      <w:r w:rsidRPr="005264F3">
        <w:rPr>
          <w:lang w:val="ru-RU"/>
        </w:rPr>
        <w:t>a)</w:t>
      </w:r>
      <w:r w:rsidRPr="005264F3">
        <w:rPr>
          <w:lang w:val="ru-RU"/>
        </w:rPr>
        <w:tab/>
        <w:t>В разделе 1.2.1 были изменены описания переходных положений или требований, подлежащих соблюдению в ходе переходного периода. Были добавлены новые переходные положения.</w:t>
      </w:r>
    </w:p>
    <w:p w:rsidR="00A7138C" w:rsidRPr="005264F3" w:rsidRDefault="00A7138C" w:rsidP="00A7138C">
      <w:pPr>
        <w:pStyle w:val="Bullet1G"/>
        <w:numPr>
          <w:ilvl w:val="0"/>
          <w:numId w:val="0"/>
        </w:numPr>
        <w:ind w:left="2268" w:hanging="567"/>
        <w:rPr>
          <w:rFonts w:eastAsia="SimSun"/>
          <w:lang w:val="ru-RU"/>
        </w:rPr>
      </w:pPr>
      <w:r w:rsidRPr="005264F3">
        <w:rPr>
          <w:lang w:val="ru-RU"/>
        </w:rPr>
        <w:t>b)</w:t>
      </w:r>
      <w:r w:rsidRPr="005264F3">
        <w:rPr>
          <w:lang w:val="ru-RU"/>
        </w:rPr>
        <w:tab/>
        <w:t>Переходное положение для подпункта</w:t>
      </w:r>
      <w:r w:rsidR="00CC0B05">
        <w:rPr>
          <w:lang w:val="ru-RU"/>
        </w:rPr>
        <w:t xml:space="preserve"> </w:t>
      </w:r>
      <w:r w:rsidRPr="005264F3">
        <w:rPr>
          <w:lang w:val="ru-RU"/>
        </w:rPr>
        <w:t>9.3.3.0.3</w:t>
      </w:r>
      <w:r w:rsidR="00BF2B87">
        <w:rPr>
          <w:lang w:val="ru-RU"/>
        </w:rPr>
        <w:t xml:space="preserve"> </w:t>
      </w:r>
      <w:r w:rsidRPr="005264F3">
        <w:rPr>
          <w:lang w:val="ru-RU"/>
        </w:rPr>
        <w:t>d</w:t>
      </w:r>
      <w:r w:rsidR="00BF2B87">
        <w:rPr>
          <w:lang w:val="ru-RU"/>
        </w:rPr>
        <w:t>)</w:t>
      </w:r>
      <w:r w:rsidRPr="005264F3">
        <w:rPr>
          <w:lang w:val="ru-RU"/>
        </w:rPr>
        <w:t xml:space="preserve"> остается без изменений.</w:t>
      </w:r>
    </w:p>
    <w:p w:rsidR="00A7138C" w:rsidRPr="005264F3" w:rsidRDefault="00A7138C" w:rsidP="00A7138C">
      <w:pPr>
        <w:pStyle w:val="Bullet1G"/>
        <w:numPr>
          <w:ilvl w:val="0"/>
          <w:numId w:val="0"/>
        </w:numPr>
        <w:ind w:left="2268" w:hanging="567"/>
        <w:rPr>
          <w:rFonts w:eastAsia="SimSun"/>
          <w:lang w:val="ru-RU"/>
        </w:rPr>
      </w:pPr>
      <w:r w:rsidRPr="005264F3">
        <w:rPr>
          <w:lang w:val="ru-RU"/>
        </w:rPr>
        <w:t>c)</w:t>
      </w:r>
      <w:r w:rsidRPr="005264F3">
        <w:rPr>
          <w:lang w:val="ru-RU"/>
        </w:rPr>
        <w:tab/>
        <w:t>Как сам пункт, так и переходное положение для пункта 9.3.3.51.3 (ранее «Температурный класс и группа взрывоопасности») были исключены.</w:t>
      </w:r>
    </w:p>
    <w:p w:rsidR="00A7138C" w:rsidRPr="005264F3" w:rsidRDefault="00A7138C" w:rsidP="00A7138C">
      <w:pPr>
        <w:pStyle w:val="Bullet1G"/>
        <w:numPr>
          <w:ilvl w:val="0"/>
          <w:numId w:val="0"/>
        </w:numPr>
        <w:ind w:left="2268" w:hanging="567"/>
        <w:rPr>
          <w:rFonts w:eastAsia="SimSun"/>
          <w:lang w:val="ru-RU"/>
        </w:rPr>
      </w:pPr>
      <w:r w:rsidRPr="005264F3">
        <w:rPr>
          <w:lang w:val="ru-RU"/>
        </w:rPr>
        <w:t>d)</w:t>
      </w:r>
      <w:r w:rsidRPr="005264F3">
        <w:rPr>
          <w:lang w:val="ru-RU"/>
        </w:rPr>
        <w:tab/>
        <w:t>Переходное положение для последнего предложения пункта 9.3.3.52.4 «Отключение неэлектрических установок и оборудования с маркировкой красного цвета» было перенесено в переходное положение, касающееся последнего предложения пункта 9.3.3.52.3.</w:t>
      </w:r>
    </w:p>
    <w:p w:rsidR="00A7138C" w:rsidRPr="005264F3" w:rsidRDefault="00A7138C" w:rsidP="00A7138C">
      <w:pPr>
        <w:pStyle w:val="Bullet1G"/>
        <w:numPr>
          <w:ilvl w:val="0"/>
          <w:numId w:val="0"/>
        </w:numPr>
        <w:ind w:left="2268" w:hanging="567"/>
        <w:rPr>
          <w:rFonts w:eastAsia="SimSun"/>
          <w:lang w:val="ru-RU"/>
        </w:rPr>
      </w:pPr>
      <w:r w:rsidRPr="005264F3">
        <w:rPr>
          <w:lang w:val="ru-RU"/>
        </w:rPr>
        <w:t>e)</w:t>
      </w:r>
      <w:r w:rsidRPr="005264F3">
        <w:rPr>
          <w:lang w:val="ru-RU"/>
        </w:rPr>
        <w:tab/>
        <w:t>Текст прежней графы 12 свидетельства о допущении или временного свидетельства о допущении (подразделы 8.6.1.3 и 8.6.1.4 ВОПОГ) был перенесен в графу 13.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21.</w:t>
      </w:r>
      <w:r w:rsidRPr="005264F3">
        <w:rPr>
          <w:lang w:val="ru-RU"/>
        </w:rPr>
        <w:tab/>
        <w:t>По этой причине невозможно однозначно установить, какие переходные положения могут быть применены к модификации танкеров типа N: положения ВОПОГ 2017 года или ВОПОГ 2019 года.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22.</w:t>
      </w:r>
      <w:r w:rsidRPr="005264F3">
        <w:rPr>
          <w:lang w:val="ru-RU"/>
        </w:rPr>
        <w:tab/>
        <w:t>Если имеется в виду переходное положение ВОПОГ 2019 года, то в таком случае в тексте не хватает переходного положения для пункта 9.3.3.51.3. В ВОПОГ 2019 года «Температурный класс и группа взрывоопасности» регулируются пунктом 9.3.3.53.1.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23.</w:t>
      </w:r>
      <w:r w:rsidRPr="005264F3">
        <w:rPr>
          <w:lang w:val="ru-RU"/>
        </w:rPr>
        <w:tab/>
        <w:t>В ВОПОГ 2019 года приведенное переходное положение для пункта 9.3.3.52.4 посвящено визуальным и звуковым сигнальным устройствам, которым в ВОПОГ 2017 года был посвящен пункт 9.3.3.51.2. Прежний текст теперь можно найти в пункте 9.3.3.52.3 ВОПОГ, а в пункте 7.2.3.51.4 содержатся дополнительные соответствующие положения.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1.6.7.5</w:t>
      </w:r>
      <w:r w:rsidRPr="005264F3">
        <w:rPr>
          <w:lang w:val="ru-RU"/>
        </w:rPr>
        <w:tab/>
      </w:r>
      <w:r w:rsidRPr="005264F3">
        <w:rPr>
          <w:lang w:val="ru-RU"/>
        </w:rPr>
        <w:tab/>
        <w:t xml:space="preserve">Изменить текст следующим образом (новый текст </w:t>
      </w:r>
      <w:r w:rsidRPr="005264F3">
        <w:rPr>
          <w:u w:val="single"/>
          <w:lang w:val="ru-RU"/>
        </w:rPr>
        <w:t>подчеркнут</w:t>
      </w:r>
      <w:r w:rsidRPr="005264F3">
        <w:rPr>
          <w:lang w:val="ru-RU"/>
        </w:rPr>
        <w:t xml:space="preserve">, исключенный текст </w:t>
      </w:r>
      <w:r w:rsidRPr="005264F3">
        <w:rPr>
          <w:strike/>
          <w:lang w:val="ru-RU"/>
        </w:rPr>
        <w:t>перечеркнут</w:t>
      </w:r>
      <w:r w:rsidRPr="005264F3">
        <w:rPr>
          <w:lang w:val="ru-RU"/>
        </w:rPr>
        <w:t>):</w:t>
      </w:r>
    </w:p>
    <w:p w:rsidR="00A7138C" w:rsidRPr="005264F3" w:rsidRDefault="00A7138C" w:rsidP="00A7138C">
      <w:pPr>
        <w:pStyle w:val="SingleTxtG"/>
        <w:rPr>
          <w:b/>
          <w:lang w:val="ru-RU"/>
        </w:rPr>
      </w:pPr>
      <w:r w:rsidRPr="005264F3">
        <w:rPr>
          <w:bCs/>
          <w:lang w:val="ru-RU"/>
        </w:rPr>
        <w:t>«</w:t>
      </w:r>
      <w:r w:rsidRPr="005264F3">
        <w:rPr>
          <w:b/>
          <w:bCs/>
          <w:lang w:val="ru-RU"/>
        </w:rPr>
        <w:t>1.6.7.5</w:t>
      </w:r>
      <w:r w:rsidRPr="005264F3">
        <w:rPr>
          <w:lang w:val="ru-RU"/>
        </w:rPr>
        <w:tab/>
      </w:r>
      <w:r w:rsidRPr="005264F3">
        <w:rPr>
          <w:b/>
          <w:bCs/>
          <w:lang w:val="ru-RU"/>
        </w:rPr>
        <w:t>Переходные положения, касающиеся модификации танкеров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1.6.7.5.1</w:t>
      </w:r>
      <w:r w:rsidRPr="005264F3">
        <w:rPr>
          <w:lang w:val="ru-RU"/>
        </w:rPr>
        <w:tab/>
      </w:r>
      <w:r w:rsidRPr="005264F3">
        <w:rPr>
          <w:u w:val="single"/>
          <w:lang w:val="ru-RU"/>
        </w:rPr>
        <w:t>К судам, для которых</w:t>
      </w:r>
      <w:r w:rsidRPr="005264F3">
        <w:rPr>
          <w:lang w:val="ru-RU"/>
        </w:rPr>
        <w:t xml:space="preserve"> </w:t>
      </w:r>
      <w:r w:rsidRPr="005264F3">
        <w:rPr>
          <w:strike/>
          <w:lang w:val="ru-RU"/>
        </w:rPr>
        <w:t>М</w:t>
      </w:r>
      <w:r w:rsidRPr="005264F3">
        <w:rPr>
          <w:lang w:val="ru-RU"/>
        </w:rPr>
        <w:t xml:space="preserve">модификация грузового пространства судна с целью его переоборудования в двухкорпусное судно типа N </w:t>
      </w:r>
      <w:r w:rsidRPr="005264F3">
        <w:rPr>
          <w:strike/>
          <w:lang w:val="ru-RU"/>
        </w:rPr>
        <w:t>разрешается</w:t>
      </w:r>
      <w:r w:rsidRPr="005264F3">
        <w:rPr>
          <w:lang w:val="ru-RU"/>
        </w:rPr>
        <w:t xml:space="preserve"> </w:t>
      </w:r>
      <w:r w:rsidRPr="005264F3">
        <w:rPr>
          <w:u w:val="single"/>
          <w:lang w:val="ru-RU"/>
        </w:rPr>
        <w:t>была разрешена</w:t>
      </w:r>
      <w:r w:rsidRPr="005264F3">
        <w:rPr>
          <w:lang w:val="ru-RU"/>
        </w:rPr>
        <w:t xml:space="preserve"> до 31 декабря 2018 года, </w:t>
      </w:r>
      <w:r w:rsidRPr="005264F3">
        <w:rPr>
          <w:strike/>
          <w:lang w:val="ru-RU"/>
        </w:rPr>
        <w:t>с соблюдением</w:t>
      </w:r>
      <w:r w:rsidRPr="005264F3">
        <w:rPr>
          <w:lang w:val="ru-RU"/>
        </w:rPr>
        <w:t xml:space="preserve"> применяются следующи</w:t>
      </w:r>
      <w:r w:rsidRPr="005264F3">
        <w:rPr>
          <w:strike/>
          <w:lang w:val="ru-RU"/>
        </w:rPr>
        <w:t>х</w:t>
      </w:r>
      <w:r w:rsidRPr="005264F3">
        <w:rPr>
          <w:u w:val="single"/>
          <w:lang w:val="ru-RU"/>
        </w:rPr>
        <w:t>е</w:t>
      </w:r>
      <w:r w:rsidRPr="005264F3">
        <w:rPr>
          <w:lang w:val="ru-RU"/>
        </w:rPr>
        <w:t xml:space="preserve"> услови</w:t>
      </w:r>
      <w:r w:rsidRPr="005264F3">
        <w:rPr>
          <w:strike/>
          <w:lang w:val="ru-RU"/>
        </w:rPr>
        <w:t>й</w:t>
      </w:r>
      <w:r w:rsidRPr="005264F3">
        <w:rPr>
          <w:u w:val="single"/>
          <w:lang w:val="ru-RU"/>
        </w:rPr>
        <w:t>я</w:t>
      </w:r>
      <w:r w:rsidRPr="005264F3">
        <w:rPr>
          <w:lang w:val="ru-RU"/>
        </w:rPr>
        <w:t>:</w:t>
      </w:r>
    </w:p>
    <w:p w:rsidR="00A7138C" w:rsidRPr="005264F3" w:rsidRDefault="00A7138C" w:rsidP="00A7138C">
      <w:pPr>
        <w:pStyle w:val="SingleTxtG"/>
        <w:ind w:left="2835" w:hanging="567"/>
        <w:rPr>
          <w:rFonts w:cs="Arial"/>
          <w:lang w:val="ru-RU"/>
        </w:rPr>
      </w:pPr>
      <w:r w:rsidRPr="005264F3">
        <w:rPr>
          <w:lang w:val="ru-RU"/>
        </w:rPr>
        <w:t>a)</w:t>
      </w:r>
      <w:r w:rsidRPr="005264F3">
        <w:rPr>
          <w:lang w:val="ru-RU"/>
        </w:rPr>
        <w:tab/>
        <w:t xml:space="preserve">модифицированное или новое грузовое пространство должно отвечать положениям </w:t>
      </w:r>
      <w:r w:rsidRPr="005264F3">
        <w:rPr>
          <w:strike/>
          <w:lang w:val="ru-RU"/>
        </w:rPr>
        <w:t>ВОПОГ</w:t>
      </w:r>
      <w:r w:rsidRPr="005264F3">
        <w:rPr>
          <w:u w:val="single"/>
          <w:lang w:val="ru-RU"/>
        </w:rPr>
        <w:t xml:space="preserve"> настоящих Правил</w:t>
      </w:r>
      <w:r w:rsidRPr="005264F3">
        <w:rPr>
          <w:lang w:val="ru-RU"/>
        </w:rPr>
        <w:t>. В отношении грузового пространства не разрешается применять переходные положения, приведенные в пункте 1.6.7.2.2;</w:t>
      </w:r>
    </w:p>
    <w:p w:rsidR="00A7138C" w:rsidRPr="005264F3" w:rsidRDefault="00A7138C" w:rsidP="00A7138C">
      <w:pPr>
        <w:pStyle w:val="SingleTxtG"/>
        <w:ind w:left="2835" w:hanging="567"/>
        <w:rPr>
          <w:rFonts w:cs="Arial"/>
          <w:lang w:val="ru-RU"/>
        </w:rPr>
      </w:pPr>
      <w:bookmarkStart w:id="1" w:name="_Hlk528743038"/>
      <w:r w:rsidRPr="005264F3">
        <w:rPr>
          <w:lang w:val="ru-RU"/>
        </w:rPr>
        <w:t>b)</w:t>
      </w:r>
      <w:r w:rsidRPr="005264F3">
        <w:rPr>
          <w:lang w:val="ru-RU"/>
        </w:rPr>
        <w:tab/>
      </w:r>
      <w:r w:rsidRPr="005264F3">
        <w:rPr>
          <w:strike/>
          <w:lang w:val="ru-RU"/>
        </w:rPr>
        <w:t xml:space="preserve">части </w:t>
      </w:r>
      <w:r w:rsidRPr="005264F3">
        <w:rPr>
          <w:u w:val="single"/>
          <w:lang w:val="ru-RU"/>
        </w:rPr>
        <w:t>пространства судна</w:t>
      </w:r>
      <w:r w:rsidRPr="005264F3">
        <w:rPr>
          <w:lang w:val="ru-RU"/>
        </w:rPr>
        <w:t xml:space="preserve">, расположенные за пределами грузового пространства, </w:t>
      </w:r>
      <w:r w:rsidRPr="005264F3">
        <w:rPr>
          <w:u w:val="single"/>
          <w:lang w:val="ru-RU"/>
        </w:rPr>
        <w:t>также</w:t>
      </w:r>
      <w:r w:rsidRPr="005264F3">
        <w:rPr>
          <w:lang w:val="ru-RU"/>
        </w:rPr>
        <w:t xml:space="preserve"> должны отвечать положениям ВОПОГ. </w:t>
      </w:r>
      <w:r w:rsidRPr="005264F3">
        <w:rPr>
          <w:strike/>
          <w:lang w:val="ru-RU"/>
        </w:rPr>
        <w:t>Кроме того,</w:t>
      </w:r>
      <w:r w:rsidRPr="005264F3">
        <w:rPr>
          <w:lang w:val="ru-RU"/>
        </w:rPr>
        <w:t xml:space="preserve"> </w:t>
      </w:r>
      <w:r w:rsidRPr="005264F3">
        <w:rPr>
          <w:u w:val="single"/>
          <w:lang w:val="ru-RU"/>
        </w:rPr>
        <w:t>Однако</w:t>
      </w:r>
      <w:r w:rsidRPr="005264F3">
        <w:rPr>
          <w:lang w:val="ru-RU"/>
        </w:rPr>
        <w:t xml:space="preserve"> могут применяться следующие переходные положения, приведенные в пункте 1.6.7.2.2 </w:t>
      </w:r>
      <w:r w:rsidRPr="005264F3">
        <w:rPr>
          <w:u w:val="single"/>
          <w:lang w:val="ru-RU"/>
        </w:rPr>
        <w:t>версии, действующей до 31 декабря 2018 года</w:t>
      </w:r>
      <w:r w:rsidRPr="005264F3">
        <w:rPr>
          <w:lang w:val="ru-RU"/>
        </w:rPr>
        <w:t>: 1.2.1, 9.3.3.0.3</w:t>
      </w:r>
      <w:r w:rsidR="00153DCA">
        <w:rPr>
          <w:lang w:val="ru-RU"/>
        </w:rPr>
        <w:t> </w:t>
      </w:r>
      <w:r w:rsidRPr="005264F3">
        <w:rPr>
          <w:lang w:val="ru-RU"/>
        </w:rPr>
        <w:t>d</w:t>
      </w:r>
      <w:r w:rsidR="00153DCA">
        <w:rPr>
          <w:lang w:val="ru-RU"/>
        </w:rPr>
        <w:t>)</w:t>
      </w:r>
      <w:r w:rsidRPr="005264F3">
        <w:rPr>
          <w:lang w:val="ru-RU"/>
        </w:rPr>
        <w:t>, 9.3.3.51.3 и 9.3.3.52.4, последнее предложение;</w:t>
      </w:r>
    </w:p>
    <w:p w:rsidR="00A7138C" w:rsidRPr="005264F3" w:rsidRDefault="00A7138C" w:rsidP="00A7138C">
      <w:pPr>
        <w:pStyle w:val="SingleTxtG"/>
        <w:ind w:left="2835" w:hanging="567"/>
        <w:rPr>
          <w:rFonts w:asciiTheme="majorBidi" w:hAnsiTheme="majorBidi" w:cstheme="majorBidi"/>
          <w:lang w:val="ru-RU"/>
        </w:rPr>
      </w:pPr>
      <w:r w:rsidRPr="005264F3">
        <w:rPr>
          <w:lang w:val="ru-RU"/>
        </w:rPr>
        <w:t>[b)</w:t>
      </w:r>
      <w:r w:rsidRPr="005264F3">
        <w:rPr>
          <w:lang w:val="ru-RU"/>
        </w:rPr>
        <w:tab/>
        <w:t xml:space="preserve">части судна, расположенные за пределами грузового пространства, должны отвечать положениям ВОПОГ. </w:t>
      </w:r>
      <w:r w:rsidRPr="005264F3">
        <w:rPr>
          <w:strike/>
          <w:lang w:val="ru-RU"/>
        </w:rPr>
        <w:t>Кроме тог</w:t>
      </w:r>
      <w:r w:rsidRPr="005264F3">
        <w:rPr>
          <w:lang w:val="ru-RU"/>
        </w:rPr>
        <w:t>о</w:t>
      </w:r>
      <w:r w:rsidRPr="005264F3">
        <w:rPr>
          <w:strike/>
          <w:lang w:val="ru-RU"/>
        </w:rPr>
        <w:t>,</w:t>
      </w:r>
      <w:r w:rsidRPr="005264F3">
        <w:rPr>
          <w:lang w:val="ru-RU"/>
        </w:rPr>
        <w:t xml:space="preserve">Однако могут применяться следующие переходные положения, действующие до 31 декабря 2018 года и приведенные </w:t>
      </w:r>
      <w:r w:rsidRPr="005264F3">
        <w:rPr>
          <w:lang w:val="ru-RU"/>
        </w:rPr>
        <w:lastRenderedPageBreak/>
        <w:t>в пункте 1.6.7.2.2: 1.2.1, 9.3.3.0.3</w:t>
      </w:r>
      <w:r w:rsidR="00153DCA">
        <w:rPr>
          <w:lang w:val="ru-RU"/>
        </w:rPr>
        <w:t> </w:t>
      </w:r>
      <w:r w:rsidRPr="005264F3">
        <w:rPr>
          <w:lang w:val="ru-RU"/>
        </w:rPr>
        <w:t>d</w:t>
      </w:r>
      <w:r w:rsidR="00153DCA">
        <w:rPr>
          <w:lang w:val="ru-RU"/>
        </w:rPr>
        <w:t>)</w:t>
      </w:r>
      <w:r w:rsidRPr="005264F3">
        <w:rPr>
          <w:lang w:val="ru-RU"/>
        </w:rPr>
        <w:t>, 9.3.3.51.3 и 9.3.3.52.4, последнее предложение;]</w:t>
      </w:r>
    </w:p>
    <w:p w:rsidR="00A7138C" w:rsidRPr="005264F3" w:rsidRDefault="00A7138C" w:rsidP="00A7138C">
      <w:pPr>
        <w:pStyle w:val="SingleTxtG"/>
        <w:ind w:left="2835" w:hanging="567"/>
        <w:rPr>
          <w:rFonts w:cs="Arial"/>
          <w:lang w:val="ru-RU"/>
        </w:rPr>
      </w:pPr>
      <w:r w:rsidRPr="005264F3">
        <w:rPr>
          <w:lang w:val="ru-RU"/>
        </w:rPr>
        <w:t>c)</w:t>
      </w:r>
      <w:r w:rsidRPr="005264F3">
        <w:rPr>
          <w:lang w:val="ru-RU"/>
        </w:rPr>
        <w:tab/>
        <w:t>если грузы, требующие защиты против взрывов, включены в перечень в соответствии с пунктом 1.16.1.2.5, жилые помещения и рулевые рубки должны быть оборудованы системой пожарной сигнализации в соответствии с пунктом 9.3.3.40.2.3;</w:t>
      </w:r>
    </w:p>
    <w:p w:rsidR="00A7138C" w:rsidRPr="005264F3" w:rsidRDefault="00A7138C" w:rsidP="00A7138C">
      <w:pPr>
        <w:pStyle w:val="SingleTxtG"/>
        <w:ind w:left="2835" w:hanging="567"/>
        <w:rPr>
          <w:rFonts w:cs="Arial"/>
          <w:lang w:val="ru-RU"/>
        </w:rPr>
      </w:pPr>
      <w:r w:rsidRPr="005264F3">
        <w:rPr>
          <w:lang w:val="ru-RU"/>
        </w:rPr>
        <w:t>d)</w:t>
      </w:r>
      <w:r w:rsidRPr="005264F3">
        <w:rPr>
          <w:lang w:val="ru-RU"/>
        </w:rPr>
        <w:tab/>
        <w:t xml:space="preserve">запись о применении настоящего подраздела должна быть внесена в свидетельство о допущении в графу </w:t>
      </w:r>
      <w:r w:rsidRPr="005264F3">
        <w:rPr>
          <w:strike/>
          <w:lang w:val="ru-RU"/>
        </w:rPr>
        <w:t>12</w:t>
      </w:r>
      <w:r w:rsidRPr="005264F3">
        <w:rPr>
          <w:u w:val="single"/>
          <w:lang w:val="ru-RU"/>
        </w:rPr>
        <w:t>13</w:t>
      </w:r>
      <w:r w:rsidRPr="009C7DB1">
        <w:rPr>
          <w:lang w:val="ru-RU"/>
        </w:rPr>
        <w:t xml:space="preserve"> </w:t>
      </w:r>
      <w:r w:rsidRPr="005264F3">
        <w:rPr>
          <w:lang w:val="ru-RU"/>
        </w:rPr>
        <w:t>(Дополнительные замечания).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1.6.7.5.2</w:t>
      </w:r>
      <w:r w:rsidRPr="005264F3">
        <w:rPr>
          <w:lang w:val="ru-RU"/>
        </w:rPr>
        <w:tab/>
        <w:t xml:space="preserve">Модифицированные суда могут по-прежнему эксплуатироваться после 31 декабря 2018 года. Должны соблюдаться сроки, указанные в применимых переходных положениях, приведенных в пункте 1.6.7.2.2, </w:t>
      </w:r>
      <w:r w:rsidRPr="005264F3">
        <w:rPr>
          <w:u w:val="single"/>
          <w:lang w:val="ru-RU"/>
        </w:rPr>
        <w:t>в версии, действующей до 31 декабря 2018 года</w:t>
      </w:r>
      <w:r w:rsidRPr="005264F3">
        <w:rPr>
          <w:lang w:val="ru-RU"/>
        </w:rPr>
        <w:t>.</w:t>
      </w:r>
      <w:bookmarkEnd w:id="1"/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bCs/>
          <w:lang w:val="ru-RU"/>
        </w:rPr>
        <w:t>[1.6.7.5.2</w:t>
      </w:r>
      <w:r w:rsidRPr="005264F3">
        <w:rPr>
          <w:lang w:val="ru-RU"/>
        </w:rPr>
        <w:tab/>
        <w:t>Модифицированные суда могут по-прежнему эксплуатироваться после 31 декабря 2018 года. Должны соблюдаться сроки, указанные в применимых переходных положениях, приведенных в пункте 1.6.7.2.2[: 1.2.1, 9.3.3.0.3</w:t>
      </w:r>
      <w:r w:rsidR="009C7DB1">
        <w:rPr>
          <w:lang w:val="ru-RU"/>
        </w:rPr>
        <w:t> </w:t>
      </w:r>
      <w:r w:rsidRPr="005264F3">
        <w:rPr>
          <w:lang w:val="ru-RU"/>
        </w:rPr>
        <w:t>d</w:t>
      </w:r>
      <w:r w:rsidR="009C7DB1">
        <w:rPr>
          <w:lang w:val="ru-RU"/>
        </w:rPr>
        <w:t>)</w:t>
      </w:r>
      <w:r w:rsidRPr="005264F3">
        <w:rPr>
          <w:lang w:val="ru-RU"/>
        </w:rPr>
        <w:t>, 9.3.3.51.3 и</w:t>
      </w:r>
      <w:r>
        <w:rPr>
          <w:lang w:val="ru-RU"/>
        </w:rPr>
        <w:t> </w:t>
      </w:r>
      <w:r w:rsidRPr="005264F3">
        <w:rPr>
          <w:lang w:val="ru-RU"/>
        </w:rPr>
        <w:t>9.3.3.52.4, последнее предложение], действующих до 31 декабря 2018 года.]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H.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Запрещение совместной погрузки (пункт 7.1.4.4.4)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24.</w:t>
      </w:r>
      <w:r w:rsidRPr="005264F3">
        <w:rPr>
          <w:lang w:val="ru-RU"/>
        </w:rPr>
        <w:tab/>
        <w:t>В действующей версии текст сформулирован следующим образом: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«Электрооборудование, установленное снаружи закрытого контейнера, может быть подсоединено с помощью съемных электрических кабелей в соответствии с положениями пункта 9.1.0.56 и может быть использовано при условии, что:».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25.</w:t>
      </w:r>
      <w:r w:rsidRPr="005264F3">
        <w:rPr>
          <w:lang w:val="ru-RU"/>
        </w:rPr>
        <w:tab/>
        <w:t xml:space="preserve">В тексте на немецком языке термин «Anlagen» (установки) во вступительном предложении был заменен на «Anlagen und Geräte» (установки и оборудование). Вместе с тем во втором предложении и в пунктах </w:t>
      </w:r>
      <w:r w:rsidRPr="00A7138C">
        <w:rPr>
          <w:lang w:val="ru-RU"/>
        </w:rPr>
        <w:t>а</w:t>
      </w:r>
      <w:r>
        <w:rPr>
          <w:lang w:val="ru-RU"/>
        </w:rPr>
        <w:t>)</w:t>
      </w:r>
      <w:r w:rsidRPr="00A7138C">
        <w:rPr>
          <w:lang w:val="ru-RU"/>
        </w:rPr>
        <w:t xml:space="preserve"> и b</w:t>
      </w:r>
      <w:r>
        <w:rPr>
          <w:lang w:val="ru-RU"/>
        </w:rPr>
        <w:t>)</w:t>
      </w:r>
      <w:r w:rsidRPr="005264F3">
        <w:rPr>
          <w:lang w:val="ru-RU"/>
        </w:rPr>
        <w:t xml:space="preserve"> по-прежнему используется термин «Anlagen». Остается неясным, почему в эти пункты не был добавлен термин «Geräte» (оборудование).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Предлагаемая поправка</w:t>
      </w:r>
      <w:r w:rsidRPr="005264F3">
        <w:rPr>
          <w:lang w:val="ru-RU"/>
        </w:rPr>
        <w:t xml:space="preserve"> 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[Предлагаемая поправка в виде замены в пункте 7.1.4.4.4 слова «оборудование» словами «установки и оборудование» не применяется к текстам на английском и французском языках.]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26.</w:t>
      </w:r>
      <w:r w:rsidRPr="005264F3">
        <w:rPr>
          <w:lang w:val="ru-RU"/>
        </w:rPr>
        <w:tab/>
        <w:t>Авторы, разрабатывавшие пункт 7.1.4.4.4 ВОПОГ, в основном имели в виду рефрижераторные контейнеры или рефрижераторные склады, оборудованные электрическим холодильным оборудованием, расположенным снаружи.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27.</w:t>
      </w:r>
      <w:r w:rsidRPr="005264F3">
        <w:rPr>
          <w:lang w:val="ru-RU"/>
        </w:rPr>
        <w:tab/>
        <w:t>Дискуссия, имеющая место в настоящий момент в Подкомитете экспертов ЭКОСОС по перевозке опасных грузов (Подкомитет по ПОГ), в основном касается того, что контейнеры и другие упаковки все чаще оснащаются у</w:t>
      </w:r>
      <w:r w:rsidRPr="005264F3">
        <w:rPr>
          <w:i/>
          <w:iCs/>
          <w:lang w:val="ru-RU"/>
        </w:rPr>
        <w:t xml:space="preserve">стройствами контроля за грузом, регистраторами данных </w:t>
      </w:r>
      <w:r w:rsidRPr="005264F3">
        <w:rPr>
          <w:iCs/>
          <w:lang w:val="ru-RU"/>
        </w:rPr>
        <w:t>или</w:t>
      </w:r>
      <w:r w:rsidRPr="005264F3">
        <w:rPr>
          <w:i/>
          <w:iCs/>
          <w:lang w:val="ru-RU"/>
        </w:rPr>
        <w:t xml:space="preserve"> электронной транспортной маркировкой</w:t>
      </w:r>
      <w:r w:rsidRPr="005264F3">
        <w:rPr>
          <w:lang w:val="ru-RU"/>
        </w:rPr>
        <w:t>, которые во время перевозки работают от литий-металлических или</w:t>
      </w:r>
      <w:r w:rsidR="00C61791">
        <w:rPr>
          <w:lang w:val="ru-RU"/>
        </w:rPr>
        <w:t xml:space="preserve"> </w:t>
      </w:r>
      <w:r w:rsidRPr="005264F3">
        <w:rPr>
          <w:lang w:val="ru-RU"/>
        </w:rPr>
        <w:t>литий-ионных батарей. Эти батареи также могут быть источником воспламенения (</w:t>
      </w:r>
      <w:r w:rsidRPr="00B224F1">
        <w:rPr>
          <w:spacing w:val="-4"/>
          <w:lang w:val="ru-RU"/>
        </w:rPr>
        <w:t>см. </w:t>
      </w:r>
      <w:hyperlink r:id="rId9" w:history="1">
        <w:r w:rsidR="00B224F1" w:rsidRPr="00B224F1">
          <w:rPr>
            <w:rStyle w:val="Hyperlink"/>
            <w:spacing w:val="-4"/>
            <w:lang w:val="ru-RU"/>
          </w:rPr>
          <w:t>http://www.rmmagazine.com/2018/05/21/developing-new-safety-rules-for-cargo-tracking- devices/</w:t>
        </w:r>
      </w:hyperlink>
      <w:r w:rsidRPr="005264F3">
        <w:rPr>
          <w:lang w:val="ru-RU"/>
        </w:rPr>
        <w:t>).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28.</w:t>
      </w:r>
      <w:r w:rsidRPr="005264F3">
        <w:rPr>
          <w:lang w:val="ru-RU"/>
        </w:rPr>
        <w:tab/>
        <w:t xml:space="preserve">Комитет по вопросам безопасности ВОПОГ мог бы обсудить вопрос о том, применимо ли к этим </w:t>
      </w:r>
      <w:r w:rsidRPr="005264F3">
        <w:rPr>
          <w:i/>
          <w:iCs/>
          <w:lang w:val="ru-RU"/>
        </w:rPr>
        <w:t xml:space="preserve">устройствам контроля за грузом, регистраторам данных </w:t>
      </w:r>
      <w:r w:rsidRPr="005264F3">
        <w:rPr>
          <w:iCs/>
          <w:lang w:val="ru-RU"/>
        </w:rPr>
        <w:t>и</w:t>
      </w:r>
      <w:r w:rsidRPr="005264F3">
        <w:rPr>
          <w:i/>
          <w:iCs/>
          <w:lang w:val="ru-RU"/>
        </w:rPr>
        <w:t xml:space="preserve"> электронной транспортной маркировке</w:t>
      </w:r>
      <w:r w:rsidRPr="005264F3">
        <w:rPr>
          <w:lang w:val="ru-RU"/>
        </w:rPr>
        <w:t xml:space="preserve"> понятие «установки и оборудование», а также существуют ли сертифицированные безопасные</w:t>
      </w:r>
      <w:r w:rsidRPr="005264F3">
        <w:rPr>
          <w:i/>
          <w:iCs/>
          <w:lang w:val="ru-RU"/>
        </w:rPr>
        <w:t xml:space="preserve"> устройства контроля за грузом, регистраторы данных </w:t>
      </w:r>
      <w:r w:rsidRPr="005264F3">
        <w:rPr>
          <w:iCs/>
          <w:lang w:val="ru-RU"/>
        </w:rPr>
        <w:t>и</w:t>
      </w:r>
      <w:r w:rsidRPr="005264F3">
        <w:rPr>
          <w:i/>
          <w:iCs/>
          <w:lang w:val="ru-RU"/>
        </w:rPr>
        <w:t xml:space="preserve"> электронная транспортная маркировка</w:t>
      </w:r>
      <w:r w:rsidRPr="005264F3">
        <w:rPr>
          <w:iCs/>
          <w:lang w:val="ru-RU"/>
        </w:rPr>
        <w:t>,</w:t>
      </w:r>
      <w:r w:rsidRPr="005264F3">
        <w:rPr>
          <w:lang w:val="ru-RU"/>
        </w:rPr>
        <w:t xml:space="preserve"> или требуется выработать новое положение об установке груза в случае использования таких устройств по соображениям взрывозащиты.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lastRenderedPageBreak/>
        <w:tab/>
        <w:t>I.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Меры, принимаемые во время погрузочно-разгрузочных операций (пункт 7.2.4.16.4)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29.</w:t>
      </w:r>
      <w:r w:rsidRPr="005264F3">
        <w:rPr>
          <w:lang w:val="ru-RU"/>
        </w:rPr>
        <w:tab/>
        <w:t>В действующей редакции этот пункт гласит: «Если судно имеет поперечную переборку в соответствии с пунктами 9.3.1.25.3, 9.3.2.25.3 или 9.3.3.25.3, то во время погрузочно-разгрузочных операций двери в этой переборке должны быть закрыты».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30.</w:t>
      </w:r>
      <w:r w:rsidRPr="005264F3">
        <w:rPr>
          <w:lang w:val="ru-RU"/>
        </w:rPr>
        <w:tab/>
        <w:t>Пункт 7.2.4.16.4 содержит ссылку на пункты 9.3.x.25.3, в которых в свою очередь говорится (в редакции, применяемой до 31 декабря 2018 года) о поперечной переборке, отвечающей требованиям пункта 9.3.x.10.2.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31.</w:t>
      </w:r>
      <w:r w:rsidRPr="005264F3">
        <w:rPr>
          <w:lang w:val="ru-RU"/>
        </w:rPr>
        <w:tab/>
        <w:t>Пункты 9.3.x.25.3 были исключены. В пунктах 9.3.x.10.2 теперь содержится новый текст, в котором поперечная переборка не упоминается. Переходное положение 1.6.7.2.2.2, касающееся пунктов 9.3.x.10.2, было перенумеровано и стало переходным положением, относящимся к пунктам 9.3.x.10.4. В этих пунктах также не идет речи о поперечных переборках по смыслу пунктов 9.3.x.10.2 ВОПОГ 2017 года.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32.</w:t>
      </w:r>
      <w:r w:rsidRPr="005264F3">
        <w:rPr>
          <w:lang w:val="ru-RU"/>
        </w:rPr>
        <w:tab/>
        <w:t>В остальных частях текста ВОПОГ в редакции, которая будет действовать начиная с 1 января 2019 года, термины «поперечная переборка» и «поперечная стенка» не фигурируют.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7.2.4.16.4</w:t>
      </w:r>
      <w:r w:rsidRPr="005264F3">
        <w:rPr>
          <w:lang w:val="ru-RU"/>
        </w:rPr>
        <w:tab/>
        <w:t>Исключить и добавить следующий текст: «(Исключен)».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J.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Документы (пункт</w:t>
      </w:r>
      <w:r w:rsidR="00B24797">
        <w:rPr>
          <w:bCs/>
          <w:lang w:val="ru-RU"/>
        </w:rPr>
        <w:t xml:space="preserve"> </w:t>
      </w:r>
      <w:r w:rsidRPr="00B24797">
        <w:rPr>
          <w:bCs/>
          <w:lang w:val="ru-RU"/>
        </w:rPr>
        <w:t>e</w:t>
      </w:r>
      <w:r w:rsidR="00B24797">
        <w:rPr>
          <w:bCs/>
          <w:lang w:val="ru-RU"/>
        </w:rPr>
        <w:t>)</w:t>
      </w:r>
      <w:r w:rsidRPr="005264F3">
        <w:rPr>
          <w:bCs/>
          <w:lang w:val="ru-RU"/>
        </w:rPr>
        <w:t xml:space="preserve"> подраздела</w:t>
      </w:r>
      <w:r w:rsidR="00B24797">
        <w:rPr>
          <w:bCs/>
          <w:lang w:val="ru-RU"/>
        </w:rPr>
        <w:t xml:space="preserve"> </w:t>
      </w:r>
      <w:r w:rsidRPr="005264F3">
        <w:rPr>
          <w:bCs/>
          <w:lang w:val="ru-RU"/>
        </w:rPr>
        <w:t>8.1.2.1)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33.</w:t>
      </w:r>
      <w:r w:rsidRPr="005264F3">
        <w:rPr>
          <w:lang w:val="ru-RU"/>
        </w:rPr>
        <w:tab/>
        <w:t>В действующей редакции этот пункт гласит: «свидетельство о проверке надежности изоляции электрооборудования, предписанное в разделе 8.1.7».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34.</w:t>
      </w:r>
      <w:r w:rsidRPr="005264F3">
        <w:rPr>
          <w:lang w:val="ru-RU"/>
        </w:rPr>
        <w:tab/>
        <w:t>В подразделе 8.1.7.1 вместо термина «установки» использован термин «установки и оборудование».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8.1.2.1 e)</w:t>
      </w:r>
      <w:r w:rsidRPr="005264F3">
        <w:rPr>
          <w:lang w:val="ru-RU"/>
        </w:rPr>
        <w:tab/>
        <w:t>Заменить слово «установки» словами «установки и оборудование».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K.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Документы (пункты </w:t>
      </w:r>
      <w:r w:rsidRPr="00C61791">
        <w:rPr>
          <w:bCs/>
          <w:lang w:val="ru-RU"/>
        </w:rPr>
        <w:t>е</w:t>
      </w:r>
      <w:r w:rsidR="00C61791">
        <w:rPr>
          <w:bCs/>
          <w:lang w:val="ru-RU"/>
        </w:rPr>
        <w:t>)</w:t>
      </w:r>
      <w:r w:rsidRPr="00C61791">
        <w:rPr>
          <w:bCs/>
          <w:lang w:val="ru-RU"/>
        </w:rPr>
        <w:t>–h</w:t>
      </w:r>
      <w:r w:rsidR="00C61791">
        <w:rPr>
          <w:bCs/>
          <w:lang w:val="ru-RU"/>
        </w:rPr>
        <w:t>)</w:t>
      </w:r>
      <w:r w:rsidRPr="005264F3">
        <w:rPr>
          <w:bCs/>
          <w:lang w:val="ru-RU"/>
        </w:rPr>
        <w:t xml:space="preserve"> подраздела 8.1.2.2 и пункты </w:t>
      </w:r>
      <w:r w:rsidRPr="00C61791">
        <w:rPr>
          <w:bCs/>
          <w:lang w:val="ru-RU"/>
        </w:rPr>
        <w:t>r</w:t>
      </w:r>
      <w:r w:rsidR="00C61791">
        <w:rPr>
          <w:bCs/>
          <w:lang w:val="ru-RU"/>
        </w:rPr>
        <w:t>)</w:t>
      </w:r>
      <w:r w:rsidRPr="00C61791">
        <w:rPr>
          <w:bCs/>
          <w:lang w:val="ru-RU"/>
        </w:rPr>
        <w:t>–v</w:t>
      </w:r>
      <w:r w:rsidR="00C61791">
        <w:rPr>
          <w:bCs/>
          <w:lang w:val="ru-RU"/>
        </w:rPr>
        <w:t>)</w:t>
      </w:r>
      <w:r w:rsidRPr="005264F3">
        <w:rPr>
          <w:bCs/>
          <w:lang w:val="ru-RU"/>
        </w:rPr>
        <w:t xml:space="preserve"> подраздела 8.1.2.3)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35.</w:t>
      </w:r>
      <w:r w:rsidRPr="005264F3">
        <w:rPr>
          <w:lang w:val="ru-RU"/>
        </w:rPr>
        <w:tab/>
        <w:t>В действующей редакции текст гласит: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«На документах, перечисленных в пунктах e)–h), должна стоять печать компетентного органа, выдавшего свидетельство о допущении».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«На документах, перечисленных в пунктах r)–v), должна стоять печать компетентного органа, выдавшего свидетельство о допущении».</w:t>
      </w:r>
    </w:p>
    <w:p w:rsidR="00A7138C" w:rsidRPr="005264F3" w:rsidRDefault="00A7138C" w:rsidP="00A7138C">
      <w:pPr>
        <w:pStyle w:val="SingleTxtG"/>
        <w:rPr>
          <w:b/>
          <w:lang w:val="ru-RU"/>
        </w:rPr>
      </w:pPr>
      <w:r w:rsidRPr="005264F3">
        <w:rPr>
          <w:lang w:val="ru-RU"/>
        </w:rPr>
        <w:t>36.</w:t>
      </w:r>
      <w:r w:rsidRPr="005264F3">
        <w:rPr>
          <w:lang w:val="ru-RU"/>
        </w:rPr>
        <w:tab/>
        <w:t>По-прежнему неясно, требуется ли получать новую печать при каждом возобновлении свидетельства о допущении, даже если в документ не было внесено никаких изменений. Комитету по вопросам безопасности предлагается прояснить требования.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L.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Образец свидетельства о допущении/образец временного свидетельства о допущении сухогрузных судов (подразделы 8.6.1.1 и 8.6.1.2)</w:t>
      </w:r>
      <w:r w:rsidRPr="005264F3">
        <w:rPr>
          <w:lang w:val="ru-RU"/>
        </w:rPr>
        <w:t xml:space="preserve"> 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37.</w:t>
      </w:r>
      <w:r w:rsidRPr="005264F3">
        <w:rPr>
          <w:lang w:val="ru-RU"/>
        </w:rPr>
        <w:tab/>
        <w:t>В действующей редакции текст свидетельства гласит: «Электрические и неэлектрические установки и оборудование для использования в защищенных зонах:».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38.</w:t>
      </w:r>
      <w:r w:rsidRPr="005264F3">
        <w:rPr>
          <w:lang w:val="ru-RU"/>
        </w:rPr>
        <w:tab/>
        <w:t xml:space="preserve">Графа 4 будет включена в образец свидетельства о допущении, который начнет действовать с 1 января 2019 года. Как и в случае свидетельства о допущении танкеров </w:t>
      </w:r>
      <w:r w:rsidRPr="005264F3">
        <w:rPr>
          <w:lang w:val="ru-RU"/>
        </w:rPr>
        <w:lastRenderedPageBreak/>
        <w:t>(см. раздел XI ниже), делегация Германии хотела бы предложить толковать это положение как применимое только к стационарным установкам и оборудованию (см. определение термина «оборудование» и поправки, предложенные в пункте 4 настоящего документа).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8.6.1.1 и 8.6.1.2</w:t>
      </w:r>
      <w:r w:rsidRPr="005264F3">
        <w:rPr>
          <w:lang w:val="ru-RU"/>
        </w:rPr>
        <w:tab/>
        <w:t>В образце свидетельства о допущении изменить графу 4 следующим образом: «</w:t>
      </w:r>
      <w:r w:rsidRPr="005264F3">
        <w:rPr>
          <w:i/>
          <w:iCs/>
          <w:lang w:val="ru-RU"/>
        </w:rPr>
        <w:t>Стационарные</w:t>
      </w:r>
      <w:r w:rsidRPr="005264F3">
        <w:rPr>
          <w:i/>
          <w:iCs/>
          <w:u w:val="single"/>
          <w:lang w:val="ru-RU"/>
        </w:rPr>
        <w:t xml:space="preserve"> </w:t>
      </w:r>
      <w:r w:rsidRPr="005264F3">
        <w:rPr>
          <w:i/>
          <w:iCs/>
          <w:lang w:val="ru-RU"/>
        </w:rPr>
        <w:t>электрические и неэлектрические установки и оборудование для использования в защищенных зонах</w:t>
      </w:r>
      <w:r w:rsidRPr="005264F3">
        <w:rPr>
          <w:lang w:val="ru-RU"/>
        </w:rPr>
        <w:t>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M.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Образец свидетельства о допущении/образец временного свидетельства о допущении сухогрузных судов (подразделы 8.6.1.3 и 8.6.1.4)</w:t>
      </w:r>
      <w:r w:rsidRPr="005264F3">
        <w:rPr>
          <w:lang w:val="ru-RU"/>
        </w:rPr>
        <w:t xml:space="preserve"> 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39.</w:t>
      </w:r>
      <w:r w:rsidRPr="005264F3">
        <w:rPr>
          <w:lang w:val="ru-RU"/>
        </w:rPr>
        <w:tab/>
        <w:t>В действующей редакции текст свидетельства гласит: «9. Электрические и неэлектрические установки и оборудование для использования во взрывоопасных зонах:».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40.</w:t>
      </w:r>
      <w:r w:rsidRPr="005264F3">
        <w:rPr>
          <w:lang w:val="ru-RU"/>
        </w:rPr>
        <w:tab/>
        <w:t>В редакции, действующей до 31 декабря 2018 года, графа</w:t>
      </w:r>
      <w:r w:rsidR="00BF6B39">
        <w:rPr>
          <w:lang w:val="ru-RU"/>
        </w:rPr>
        <w:t xml:space="preserve"> </w:t>
      </w:r>
      <w:r w:rsidRPr="005264F3">
        <w:rPr>
          <w:lang w:val="ru-RU"/>
        </w:rPr>
        <w:t xml:space="preserve">9 образца свидетельства о допущении гласит: </w:t>
      </w:r>
      <w:r w:rsidRPr="005264F3">
        <w:rPr>
          <w:iCs/>
          <w:lang w:val="ru-RU"/>
        </w:rPr>
        <w:t>«</w:t>
      </w:r>
      <w:r w:rsidRPr="005264F3">
        <w:rPr>
          <w:i/>
          <w:iCs/>
          <w:lang w:val="ru-RU"/>
        </w:rPr>
        <w:t>9.</w:t>
      </w:r>
      <w:r w:rsidRPr="005264F3">
        <w:rPr>
          <w:lang w:val="ru-RU"/>
        </w:rPr>
        <w:t> </w:t>
      </w:r>
      <w:r w:rsidRPr="005264F3">
        <w:rPr>
          <w:i/>
          <w:iCs/>
          <w:lang w:val="ru-RU"/>
        </w:rPr>
        <w:t>Электрооборудование</w:t>
      </w:r>
      <w:r w:rsidRPr="005264F3">
        <w:rPr>
          <w:iCs/>
          <w:lang w:val="ru-RU"/>
        </w:rPr>
        <w:t>».</w:t>
      </w:r>
      <w:r w:rsidRPr="005264F3">
        <w:rPr>
          <w:lang w:val="ru-RU"/>
        </w:rPr>
        <w:t xml:space="preserve"> Данное положение содержит ссылку на правило постройки 9.3.x.51 «Электрооборудование». При чтении в увязке с пунктом 9.x.1.52 очевидно, что в образце свидетельства о допущении речь идет только о находящихся на судне стационарных установках и оборудовании.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41.</w:t>
      </w:r>
      <w:r w:rsidRPr="005264F3">
        <w:rPr>
          <w:lang w:val="ru-RU"/>
        </w:rPr>
        <w:tab/>
        <w:t>Делегация Германии хотела бы внести предложение о том, чтобы с 1 января 2019 года любой текст в графе 9 свидетельства о допущении относился только к стационарным установкам и оборудованию (см. определение термина «оборудование» и предлагаемую в настоящем документе поправку №</w:t>
      </w:r>
      <w:r w:rsidR="00BF6B39">
        <w:rPr>
          <w:lang w:val="ru-RU"/>
        </w:rPr>
        <w:t xml:space="preserve"> </w:t>
      </w:r>
      <w:r w:rsidRPr="005264F3">
        <w:rPr>
          <w:lang w:val="ru-RU"/>
        </w:rPr>
        <w:t>3).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42.</w:t>
      </w:r>
      <w:r w:rsidRPr="005264F3">
        <w:rPr>
          <w:lang w:val="ru-RU"/>
        </w:rPr>
        <w:tab/>
        <w:t xml:space="preserve">В образцы свидетельства о допущении танкеров была включена новая графа 10 </w:t>
      </w:r>
      <w:r w:rsidRPr="009A6880">
        <w:rPr>
          <w:lang w:val="ru-RU"/>
        </w:rPr>
        <w:t>«</w:t>
      </w:r>
      <w:r w:rsidRPr="009A6880">
        <w:rPr>
          <w:i/>
          <w:lang w:val="ru-RU"/>
        </w:rPr>
        <w:t>Автономные системы взрывозащиты</w:t>
      </w:r>
      <w:r w:rsidRPr="009A6880">
        <w:rPr>
          <w:lang w:val="ru-RU"/>
        </w:rPr>
        <w:t>»</w:t>
      </w:r>
      <w:r w:rsidRPr="005264F3">
        <w:rPr>
          <w:lang w:val="ru-RU"/>
        </w:rPr>
        <w:t>, в связи с чем была изменена нумерация последующих граф. Соответственно, необходимо внести сопутствующую поправку в главу 1.16.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Предлагаемые поправки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8.6.1.3 и 8.6.1.4</w:t>
      </w:r>
      <w:r w:rsidRPr="005264F3">
        <w:rPr>
          <w:lang w:val="ru-RU"/>
        </w:rPr>
        <w:tab/>
        <w:t xml:space="preserve">В образце свидетельства о допущении изменить графу 9 следующим образом: </w:t>
      </w:r>
      <w:r w:rsidRPr="005264F3">
        <w:rPr>
          <w:iCs/>
          <w:lang w:val="ru-RU"/>
        </w:rPr>
        <w:t>«</w:t>
      </w:r>
      <w:r w:rsidRPr="005264F3">
        <w:rPr>
          <w:i/>
          <w:iCs/>
          <w:lang w:val="ru-RU"/>
        </w:rPr>
        <w:t>Стационарные электрические установки и оборудование</w:t>
      </w:r>
      <w:r w:rsidRPr="005264F3">
        <w:rPr>
          <w:iCs/>
          <w:lang w:val="ru-RU"/>
        </w:rPr>
        <w:t>»</w:t>
      </w:r>
      <w:r w:rsidRPr="005264F3">
        <w:rPr>
          <w:lang w:val="ru-RU"/>
        </w:rPr>
        <w:t>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1.16.1.3.2</w:t>
      </w:r>
      <w:r w:rsidRPr="005264F3">
        <w:rPr>
          <w:lang w:val="ru-RU"/>
        </w:rPr>
        <w:tab/>
        <w:t>В последнем предложении заменить «№ 12» на «№ 13».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N.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Перечень обязательных проверок ВОПОГ (раздел 8.6.3)</w:t>
      </w:r>
    </w:p>
    <w:p w:rsidR="00A7138C" w:rsidRPr="005264F3" w:rsidRDefault="00A7138C" w:rsidP="00C61791">
      <w:pPr>
        <w:pStyle w:val="SingleTxtG"/>
        <w:tabs>
          <w:tab w:val="left" w:pos="1701"/>
          <w:tab w:val="left" w:pos="4130"/>
        </w:tabs>
        <w:rPr>
          <w:lang w:val="ru-RU"/>
        </w:rPr>
      </w:pPr>
      <w:r w:rsidRPr="005264F3">
        <w:rPr>
          <w:lang w:val="ru-RU"/>
        </w:rPr>
        <w:t>43.</w:t>
      </w:r>
      <w:r w:rsidRPr="005264F3">
        <w:rPr>
          <w:lang w:val="ru-RU"/>
        </w:rPr>
        <w:tab/>
        <w:t>Затрагиваемый текст: «14.</w:t>
      </w:r>
      <w:r w:rsidR="00C61791">
        <w:rPr>
          <w:lang w:val="ru-RU"/>
        </w:rPr>
        <w:tab/>
      </w:r>
      <w:r w:rsidRPr="005264F3">
        <w:rPr>
          <w:lang w:val="ru-RU"/>
        </w:rPr>
        <w:t>Проверка соблюдения наиболее важных эксплуатационных предписаний:</w:t>
      </w:r>
    </w:p>
    <w:p w:rsidR="00A7138C" w:rsidRPr="005264F3" w:rsidRDefault="00C61791" w:rsidP="00A7138C">
      <w:pPr>
        <w:pStyle w:val="SingleTxtG"/>
        <w:tabs>
          <w:tab w:val="left" w:pos="1985"/>
        </w:tabs>
        <w:ind w:left="170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A7138C" w:rsidRPr="005264F3">
        <w:rPr>
          <w:lang w:val="ru-RU"/>
        </w:rPr>
        <w:t>отключено ли все электрооборудование с маркировкой красного цвета?»</w:t>
      </w:r>
    </w:p>
    <w:p w:rsidR="00A7138C" w:rsidRPr="005264F3" w:rsidRDefault="00A7138C" w:rsidP="00A7138C">
      <w:pPr>
        <w:pStyle w:val="SingleTxtG"/>
        <w:tabs>
          <w:tab w:val="left" w:pos="1985"/>
        </w:tabs>
        <w:ind w:left="1701"/>
        <w:rPr>
          <w:lang w:val="ru-RU"/>
        </w:rPr>
      </w:pPr>
      <w:r w:rsidRPr="005264F3">
        <w:rPr>
          <w:lang w:val="ru-RU"/>
        </w:rPr>
        <w:t>Пояснения к вопросу 11 о связи между судном и берегом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44.</w:t>
      </w:r>
      <w:r w:rsidRPr="005264F3">
        <w:rPr>
          <w:lang w:val="ru-RU"/>
        </w:rPr>
        <w:tab/>
        <w:t>По мнению делегации Германии, данный пункт перечня касается положений</w:t>
      </w:r>
      <w:r w:rsidR="00C61791">
        <w:rPr>
          <w:lang w:val="ru-RU"/>
        </w:rPr>
        <w:t> </w:t>
      </w:r>
      <w:r w:rsidRPr="005264F3">
        <w:rPr>
          <w:lang w:val="ru-RU"/>
        </w:rPr>
        <w:t>9.3.x.52.3. В них используется выражение «электрические установки и оборудование». По той же причине в пункте 14 перечня термин «электрооборудование» следует заменить словами «электрические установки и оборудование».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45.</w:t>
      </w:r>
      <w:r w:rsidRPr="005264F3">
        <w:rPr>
          <w:lang w:val="ru-RU"/>
        </w:rPr>
        <w:tab/>
        <w:t>Требования в отношении взрывозащиты зависят от того, производятся ли перевозка, погрузка или выгрузка веществ, требующих взрывозащиты, в соответствии с колонкой 17 таблицы C. Это различие следует учитывать также в пояснении к вопросу 11 перечня в отношении того, что может использоваться телефонное оборудование и радиооборудование только взрывозащищенного типа.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lastRenderedPageBreak/>
        <w:tab/>
      </w:r>
      <w:r w:rsidRPr="005264F3">
        <w:rPr>
          <w:lang w:val="ru-RU"/>
        </w:rPr>
        <w:tab/>
      </w:r>
      <w:r w:rsidRPr="005264F3">
        <w:rPr>
          <w:b/>
          <w:bCs/>
          <w:iCs/>
          <w:lang w:val="ru-RU"/>
        </w:rPr>
        <w:t>Предлагаемые поправки</w:t>
      </w:r>
    </w:p>
    <w:p w:rsidR="00A7138C" w:rsidRPr="005264F3" w:rsidRDefault="00A7138C" w:rsidP="00A7138C">
      <w:pPr>
        <w:pStyle w:val="SingleTxtG"/>
        <w:tabs>
          <w:tab w:val="left" w:pos="2127"/>
        </w:tabs>
        <w:rPr>
          <w:lang w:val="ru-RU"/>
        </w:rPr>
      </w:pPr>
      <w:r w:rsidRPr="005264F3">
        <w:rPr>
          <w:lang w:val="ru-RU"/>
        </w:rPr>
        <w:t>8.6.3</w:t>
      </w:r>
      <w:r w:rsidRPr="005264F3">
        <w:rPr>
          <w:lang w:val="ru-RU"/>
        </w:rPr>
        <w:tab/>
        <w:t>В шестом абзаце пункта 14 перечня обязательных проверок заменить слово «электрооборудование» на «электрические установки и оборудование».</w:t>
      </w:r>
    </w:p>
    <w:p w:rsidR="00A7138C" w:rsidRPr="005264F3" w:rsidRDefault="00A7138C" w:rsidP="00A7138C">
      <w:pPr>
        <w:pStyle w:val="SingleTxtG"/>
        <w:tabs>
          <w:tab w:val="left" w:pos="2127"/>
        </w:tabs>
        <w:rPr>
          <w:lang w:val="ru-RU"/>
        </w:rPr>
      </w:pPr>
      <w:r w:rsidRPr="005264F3">
        <w:rPr>
          <w:lang w:val="ru-RU"/>
        </w:rPr>
        <w:t>8.6.3</w:t>
      </w:r>
      <w:r w:rsidRPr="005264F3">
        <w:rPr>
          <w:lang w:val="ru-RU"/>
        </w:rPr>
        <w:tab/>
        <w:t>Заменить второе предложение пояснения к вопросу 11 перечня обязательных проверок следующим текстом: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«Если требуется обеспечение взрывозащиты в соответствии с колонкой 17 таблицы С (подраздел 3.2.3.2), для этой цели может использоваться телефонное оборудование и радиооборудование только взрывозащищенного типа». Это оборудование должно располагаться вблизи местонахождения работника, осуществляющего наблюдение».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O.</w:t>
      </w:r>
      <w:r w:rsidRPr="005264F3">
        <w:rPr>
          <w:lang w:val="ru-RU"/>
        </w:rPr>
        <w:tab/>
        <w:t>Пункты </w:t>
      </w:r>
      <w:r w:rsidRPr="005264F3">
        <w:rPr>
          <w:bCs/>
          <w:lang w:val="ru-RU"/>
        </w:rPr>
        <w:t>9.3.2.42.4 и 9.3.3.42.4 (первое и третье предложения)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46.</w:t>
      </w:r>
      <w:r w:rsidRPr="005264F3">
        <w:rPr>
          <w:lang w:val="ru-RU"/>
        </w:rPr>
        <w:tab/>
        <w:t xml:space="preserve">В действующей версии текст сформулирован следующим образом: 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«Если система подогрева груза используется при загрузке, разгрузке или дегазации при уровне концентрации газов, выделяемых грузом, не ниже 10% НПВ, служебное помещение, в котором установлена эта система, должно полностью удовлетворять предписаниям пункта 9.3.2.52.3...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Предписания пункта 9.3.2.52.3 не применяются в случае выгрузки веществ с температурой вспышки, превышающей или равной 60 °С, когда температура вещества по крайней мере на 15 К меньше температуры вспышки».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47.</w:t>
      </w:r>
      <w:r w:rsidRPr="005264F3">
        <w:rPr>
          <w:lang w:val="ru-RU"/>
        </w:rPr>
        <w:tab/>
        <w:t>В пунктах 9.3.x.42.4 содержится две отсылки к пунктам 9.3.x.52.3.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48.</w:t>
      </w:r>
      <w:r w:rsidRPr="005264F3">
        <w:rPr>
          <w:lang w:val="ru-RU"/>
        </w:rPr>
        <w:tab/>
        <w:t>До 31 декабря 2018 года действует содержащееся в пунктах 9.3.x.52.3 положение об электрических установках и оборудовании типа «с ограниченной опасностью взрыва». С 1 января 2019 года эти положения переносятся в пункты 9.3.x.51.1.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9.3.2.42.4</w:t>
      </w:r>
      <w:r w:rsidRPr="005264F3">
        <w:rPr>
          <w:lang w:val="ru-RU"/>
        </w:rPr>
        <w:tab/>
        <w:t>Заменить «9.3.2.52.3» на «9.3.2.52.1».</w:t>
      </w:r>
    </w:p>
    <w:p w:rsidR="00A7138C" w:rsidRPr="005264F3" w:rsidRDefault="00C61791" w:rsidP="00A7138C">
      <w:pPr>
        <w:pStyle w:val="SingleTxtG"/>
        <w:rPr>
          <w:lang w:val="ru-RU"/>
        </w:rPr>
      </w:pPr>
      <w:r>
        <w:rPr>
          <w:lang w:val="ru-RU"/>
        </w:rPr>
        <w:t>9.3.3.42.4</w:t>
      </w:r>
      <w:r w:rsidR="00A7138C" w:rsidRPr="005264F3">
        <w:rPr>
          <w:lang w:val="ru-RU"/>
        </w:rPr>
        <w:tab/>
        <w:t>Заменить «9.3.3.52.3» на «9.3.3.52.1».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P.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Пункт 9.3.2.8.3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49.</w:t>
      </w:r>
      <w:r w:rsidRPr="005264F3">
        <w:rPr>
          <w:lang w:val="ru-RU"/>
        </w:rPr>
        <w:tab/>
        <w:t>В действующей редакции пункт гласит: «Состояние газодетекторной системы, упомянутой в пункте 9.3.2.52.3, должно проверяться признанным классификационным обществом каждый раз при возобновлении свидетельства о допущении и в течение третьего года действия этого свидетельства. На борту судна должно храниться соответствующее свидетельство, подписанное признанным классификационным обществом».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50.</w:t>
      </w:r>
      <w:r w:rsidRPr="005264F3">
        <w:rPr>
          <w:lang w:val="ru-RU"/>
        </w:rPr>
        <w:tab/>
        <w:t>В пункте 9.3.2.8.3 содержится отсылка на пункт 9.3.2.52.3.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51.</w:t>
      </w:r>
      <w:r w:rsidRPr="005264F3">
        <w:rPr>
          <w:lang w:val="ru-RU"/>
        </w:rPr>
        <w:tab/>
        <w:t>С 1 января 2019 года в пунктах 9.3.x.52.3 более не будет идти речи о газодетекторных системах. Положения об электрических установках и оборудовании были перенесены в пункты</w:t>
      </w:r>
      <w:r w:rsidR="00C61791">
        <w:rPr>
          <w:lang w:val="ru-RU"/>
        </w:rPr>
        <w:t xml:space="preserve"> </w:t>
      </w:r>
      <w:r w:rsidRPr="005264F3">
        <w:rPr>
          <w:lang w:val="ru-RU"/>
        </w:rPr>
        <w:t>9.3.x.51.1.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52.</w:t>
      </w:r>
      <w:r w:rsidRPr="005264F3">
        <w:rPr>
          <w:lang w:val="ru-RU"/>
        </w:rPr>
        <w:tab/>
        <w:t>Начиная с 1 января 2019 года положения о проверке газодетекторных систем признанным классификационным обществом будут содержаться в предложениях 4–7 подраздела 8.1.6.3.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53.</w:t>
      </w:r>
      <w:r w:rsidRPr="005264F3">
        <w:rPr>
          <w:lang w:val="ru-RU"/>
        </w:rPr>
        <w:tab/>
        <w:t>Таким образом, правила, содержащиеся в пункте 9.3.2.8.3, теперь излишни.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9.3.2.8.3</w:t>
      </w:r>
      <w:r w:rsidRPr="005264F3">
        <w:rPr>
          <w:lang w:val="ru-RU"/>
        </w:rPr>
        <w:tab/>
        <w:t>Исключить и добавить следующий текст: «(Исключен)».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lastRenderedPageBreak/>
        <w:tab/>
        <w:t>Q.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Подпункт </w:t>
      </w:r>
      <w:r w:rsidRPr="00C61791">
        <w:rPr>
          <w:bCs/>
          <w:lang w:val="ru-RU"/>
        </w:rPr>
        <w:t>с</w:t>
      </w:r>
      <w:r w:rsidR="00C61791">
        <w:rPr>
          <w:bCs/>
          <w:lang w:val="ru-RU"/>
        </w:rPr>
        <w:t>)</w:t>
      </w:r>
      <w:r w:rsidRPr="005264F3">
        <w:rPr>
          <w:bCs/>
          <w:lang w:val="ru-RU"/>
        </w:rPr>
        <w:t xml:space="preserve"> пункта 9.3.2.50.1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54.</w:t>
      </w:r>
      <w:r w:rsidRPr="005264F3">
        <w:rPr>
          <w:lang w:val="ru-RU"/>
        </w:rPr>
        <w:tab/>
        <w:t xml:space="preserve">В действующей редакции текст гласит: </w:t>
      </w:r>
    </w:p>
    <w:p w:rsidR="00A7138C" w:rsidRPr="005264F3" w:rsidRDefault="00A7138C" w:rsidP="00A7138C">
      <w:pPr>
        <w:pStyle w:val="SingleTxtG"/>
        <w:ind w:left="1701"/>
        <w:rPr>
          <w:lang w:val="ru-RU"/>
        </w:rPr>
      </w:pPr>
      <w:r w:rsidRPr="005264F3">
        <w:rPr>
          <w:lang w:val="ru-RU"/>
        </w:rPr>
        <w:t>«Помимо документов, предписанных в правилах, упомянутых в подразделе 1.1.4.6, на борту должны иметься следующие документы:</w:t>
      </w:r>
    </w:p>
    <w:p w:rsidR="00A7138C" w:rsidRPr="005264F3" w:rsidRDefault="00A7138C" w:rsidP="00A7138C">
      <w:pPr>
        <w:pStyle w:val="SingleTxtG"/>
        <w:ind w:left="2127" w:hanging="426"/>
        <w:rPr>
          <w:lang w:val="ru-RU"/>
        </w:rPr>
      </w:pPr>
      <w:r w:rsidRPr="005264F3">
        <w:rPr>
          <w:lang w:val="ru-RU"/>
        </w:rPr>
        <w:t>c)</w:t>
      </w:r>
      <w:r w:rsidRPr="005264F3">
        <w:rPr>
          <w:lang w:val="ru-RU"/>
        </w:rPr>
        <w:tab/>
        <w:t>перечень или общий план расположения электрического оборудования, установленного за пределами грузового пространства, которое разрешается использовать во время загрузки, разгрузки или дегазации. Все</w:t>
      </w:r>
      <w:r w:rsidR="00C61791">
        <w:rPr>
          <w:lang w:val="ru-RU"/>
        </w:rPr>
        <w:t> </w:t>
      </w:r>
      <w:r w:rsidRPr="005264F3">
        <w:rPr>
          <w:lang w:val="ru-RU"/>
        </w:rPr>
        <w:t>другое электрооборудование должно иметь красную маркировку. См. пункты 9.3.2.52.3 и 9.3.2.52.4».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55.</w:t>
      </w:r>
      <w:r w:rsidRPr="005264F3">
        <w:rPr>
          <w:lang w:val="ru-RU"/>
        </w:rPr>
        <w:tab/>
        <w:t>В подпункте </w:t>
      </w:r>
      <w:r w:rsidRPr="00C61791">
        <w:rPr>
          <w:lang w:val="ru-RU"/>
        </w:rPr>
        <w:t>с</w:t>
      </w:r>
      <w:r w:rsidR="00C61791">
        <w:rPr>
          <w:lang w:val="ru-RU"/>
        </w:rPr>
        <w:t>)</w:t>
      </w:r>
      <w:r w:rsidRPr="005264F3">
        <w:rPr>
          <w:lang w:val="ru-RU"/>
        </w:rPr>
        <w:t xml:space="preserve"> пункта 9.3.2.50.1 содержится ссылка на пункты 9.3.2.52.3 и</w:t>
      </w:r>
      <w:r w:rsidR="005D72DA">
        <w:rPr>
          <w:lang w:val="ru-RU"/>
        </w:rPr>
        <w:t> </w:t>
      </w:r>
      <w:r w:rsidRPr="005264F3">
        <w:rPr>
          <w:lang w:val="ru-RU"/>
        </w:rPr>
        <w:t>9.3.2.52.4.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56.</w:t>
      </w:r>
      <w:r w:rsidRPr="005264F3">
        <w:rPr>
          <w:lang w:val="ru-RU"/>
        </w:rPr>
        <w:tab/>
        <w:t>Начиная с 1 января 2019 года в пункте 9.3.2.52.3 будут содержаться только положения о маркировке красного цвета и отключении оборудования. Положения об электрических установках и оборудовании были перенесены в пункты 9.3.x.51.1.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57.</w:t>
      </w:r>
      <w:r w:rsidRPr="005264F3">
        <w:rPr>
          <w:lang w:val="ru-RU"/>
        </w:rPr>
        <w:tab/>
        <w:t>До 31 декабря 2018 года в пункте 9.3.2.52.4 содержались положения о маркировке красного цвета и отключении электрических установок. Эти положения были перенесены в пункты 9.3.x.52.3.</w:t>
      </w:r>
    </w:p>
    <w:p w:rsidR="00A7138C" w:rsidRPr="005264F3" w:rsidRDefault="00A7138C" w:rsidP="00A7138C">
      <w:pPr>
        <w:pStyle w:val="H4G"/>
        <w:rPr>
          <w:b/>
          <w:bCs/>
          <w:lang w:val="ru-RU"/>
        </w:rPr>
      </w:pPr>
      <w:r w:rsidRPr="005264F3">
        <w:rPr>
          <w:lang w:val="ru-RU"/>
        </w:rPr>
        <w:tab/>
      </w:r>
      <w:r w:rsidRPr="005264F3">
        <w:rPr>
          <w:lang w:val="ru-RU"/>
        </w:rPr>
        <w:tab/>
      </w:r>
      <w:r w:rsidRPr="005264F3">
        <w:rPr>
          <w:b/>
          <w:lang w:val="ru-RU"/>
        </w:rPr>
        <w:t>Предлагаемая поправка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9.3.2.50.1 c)</w:t>
      </w:r>
      <w:r w:rsidRPr="005264F3">
        <w:rPr>
          <w:lang w:val="ru-RU"/>
        </w:rPr>
        <w:tab/>
        <w:t>Заменить «9.3.2.52.3» на «9.3.2.52.1» и «9.3.2.52.4» на «9.3.2.52.3».</w:t>
      </w:r>
    </w:p>
    <w:p w:rsidR="00A7138C" w:rsidRPr="005264F3" w:rsidRDefault="00A7138C" w:rsidP="00A7138C">
      <w:pPr>
        <w:pStyle w:val="H1G"/>
        <w:rPr>
          <w:lang w:val="ru-RU"/>
        </w:rPr>
      </w:pPr>
      <w:r w:rsidRPr="005264F3">
        <w:rPr>
          <w:lang w:val="ru-RU"/>
        </w:rPr>
        <w:tab/>
        <w:t>R.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Примечание в отношении документа ECE/ADN/45 на английском языке: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58.</w:t>
      </w:r>
      <w:r w:rsidRPr="005264F3">
        <w:rPr>
          <w:lang w:val="ru-RU"/>
        </w:rPr>
        <w:tab/>
        <w:t>В разделе 1.2.1 немецкий термин «Autonome Schutzsysteme» («Systèmes de protection autonomes» в тексте на французском языке) переведен на английский язык как «Self-contained protection systems» (автономные системы взрывозащиты).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59.</w:t>
      </w:r>
      <w:r w:rsidRPr="005264F3">
        <w:rPr>
          <w:lang w:val="ru-RU"/>
        </w:rPr>
        <w:tab/>
        <w:t>В тексте между разделом 1.2.1 и подразделом 8.1.7.2 этот термин используется девять раз. Однако начиная с подраздела 8.1.7.3 для обозначения того же явления в пяти местах используется выражение «autonomous protection systems» (в том числе в образце свидетельства о допущении).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60.</w:t>
      </w:r>
      <w:r w:rsidRPr="005264F3">
        <w:rPr>
          <w:lang w:val="ru-RU"/>
        </w:rPr>
        <w:tab/>
        <w:t>Делегация Германии хотела бы предложить последовательно использовать в тексте на английском языке термин «self-contained protection system», определение которого приводится в разделе 1.2.1. Тогда не будут возникать вопросы относительно того, что означают так называемые «autonomous protection systems», используемые в образце свидетельства о допущении.</w:t>
      </w:r>
    </w:p>
    <w:p w:rsidR="00A7138C" w:rsidRPr="005264F3" w:rsidRDefault="00A7138C" w:rsidP="00A7138C">
      <w:pPr>
        <w:pStyle w:val="HChG"/>
        <w:rPr>
          <w:rFonts w:eastAsia="SimSun"/>
          <w:lang w:val="ru-RU"/>
        </w:rPr>
      </w:pPr>
      <w:r w:rsidRPr="005264F3">
        <w:rPr>
          <w:lang w:val="ru-RU"/>
        </w:rPr>
        <w:tab/>
        <w:t>III.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Имплементация</w:t>
      </w:r>
    </w:p>
    <w:p w:rsidR="00A7138C" w:rsidRPr="005264F3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61.</w:t>
      </w:r>
      <w:r w:rsidRPr="005264F3">
        <w:rPr>
          <w:lang w:val="ru-RU"/>
        </w:rPr>
        <w:tab/>
        <w:t>Предложенные поправки к тексту Правил носят исключительно редакционный характер и не влекут никаких технических или организационных изменений для судов или транспортных операций.</w:t>
      </w:r>
    </w:p>
    <w:p w:rsidR="00A7138C" w:rsidRPr="005264F3" w:rsidRDefault="00A7138C" w:rsidP="00A7138C">
      <w:pPr>
        <w:pStyle w:val="HChG"/>
        <w:rPr>
          <w:rFonts w:eastAsia="SimSun"/>
          <w:lang w:val="ru-RU"/>
        </w:rPr>
      </w:pPr>
      <w:r w:rsidRPr="005264F3">
        <w:rPr>
          <w:lang w:val="ru-RU"/>
        </w:rPr>
        <w:tab/>
        <w:t>IV.</w:t>
      </w:r>
      <w:r w:rsidRPr="005264F3">
        <w:rPr>
          <w:lang w:val="ru-RU"/>
        </w:rPr>
        <w:tab/>
      </w:r>
      <w:r w:rsidRPr="005264F3">
        <w:rPr>
          <w:bCs/>
          <w:lang w:val="ru-RU"/>
        </w:rPr>
        <w:t>Безопасность</w:t>
      </w:r>
    </w:p>
    <w:p w:rsidR="00A7138C" w:rsidRDefault="00A7138C" w:rsidP="00A7138C">
      <w:pPr>
        <w:pStyle w:val="SingleTxtG"/>
        <w:rPr>
          <w:lang w:val="ru-RU"/>
        </w:rPr>
      </w:pPr>
      <w:r w:rsidRPr="005264F3">
        <w:rPr>
          <w:lang w:val="ru-RU"/>
        </w:rPr>
        <w:t>62.</w:t>
      </w:r>
      <w:r w:rsidRPr="005264F3">
        <w:rPr>
          <w:lang w:val="ru-RU"/>
        </w:rPr>
        <w:tab/>
        <w:t>Если правила будут сформулированы четко и ясно, благодаря чему будет облегчено их соблюдение, это позволит повысить уровень безопасности перевозок.</w:t>
      </w:r>
    </w:p>
    <w:p w:rsidR="00A7138C" w:rsidRPr="00A7138C" w:rsidRDefault="00A7138C" w:rsidP="00A7138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138C" w:rsidRPr="00A7138C" w:rsidSect="00A71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49" w:rsidRPr="00A312BC" w:rsidRDefault="002A5849" w:rsidP="00A312BC"/>
  </w:endnote>
  <w:endnote w:type="continuationSeparator" w:id="0">
    <w:p w:rsidR="002A5849" w:rsidRPr="00A312BC" w:rsidRDefault="002A58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8C" w:rsidRPr="00A7138C" w:rsidRDefault="00A7138C">
    <w:pPr>
      <w:pStyle w:val="Footer"/>
    </w:pPr>
    <w:r w:rsidRPr="00A7138C">
      <w:rPr>
        <w:b/>
        <w:sz w:val="18"/>
      </w:rPr>
      <w:fldChar w:fldCharType="begin"/>
    </w:r>
    <w:r w:rsidRPr="00A7138C">
      <w:rPr>
        <w:b/>
        <w:sz w:val="18"/>
      </w:rPr>
      <w:instrText xml:space="preserve"> PAGE  \* MERGEFORMAT </w:instrText>
    </w:r>
    <w:r w:rsidRPr="00A7138C">
      <w:rPr>
        <w:b/>
        <w:sz w:val="18"/>
      </w:rPr>
      <w:fldChar w:fldCharType="separate"/>
    </w:r>
    <w:r w:rsidR="008D6770">
      <w:rPr>
        <w:b/>
        <w:noProof/>
        <w:sz w:val="18"/>
      </w:rPr>
      <w:t>10</w:t>
    </w:r>
    <w:r w:rsidRPr="00A7138C">
      <w:rPr>
        <w:b/>
        <w:sz w:val="18"/>
      </w:rPr>
      <w:fldChar w:fldCharType="end"/>
    </w:r>
    <w:r>
      <w:rPr>
        <w:b/>
        <w:sz w:val="18"/>
      </w:rPr>
      <w:tab/>
    </w:r>
    <w:r>
      <w:t>GE.18-18791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8C" w:rsidRPr="00A7138C" w:rsidRDefault="00A7138C" w:rsidP="00A7138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GE.18-18791</w:t>
    </w:r>
    <w:r>
      <w:tab/>
    </w:r>
    <w:r w:rsidRPr="00A7138C">
      <w:rPr>
        <w:b/>
        <w:sz w:val="18"/>
      </w:rPr>
      <w:fldChar w:fldCharType="begin"/>
    </w:r>
    <w:r w:rsidRPr="00A7138C">
      <w:rPr>
        <w:b/>
        <w:sz w:val="18"/>
      </w:rPr>
      <w:instrText xml:space="preserve"> PAGE  \* MERGEFORMAT </w:instrText>
    </w:r>
    <w:r w:rsidRPr="00A7138C">
      <w:rPr>
        <w:b/>
        <w:sz w:val="18"/>
      </w:rPr>
      <w:fldChar w:fldCharType="separate"/>
    </w:r>
    <w:r w:rsidR="008D6770">
      <w:rPr>
        <w:b/>
        <w:noProof/>
        <w:sz w:val="18"/>
      </w:rPr>
      <w:t>9</w:t>
    </w:r>
    <w:r w:rsidRPr="00A713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7138C" w:rsidRDefault="00A7138C" w:rsidP="00A7138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18-18791  (R)</w:t>
    </w:r>
    <w:r>
      <w:rPr>
        <w:lang w:val="en-US"/>
      </w:rPr>
      <w:t xml:space="preserve">  201118  2</w:t>
    </w:r>
    <w:r w:rsidR="00BC744E">
      <w:rPr>
        <w:lang w:val="en-US"/>
      </w:rPr>
      <w:t>2</w:t>
    </w:r>
    <w:r>
      <w:rPr>
        <w:lang w:val="en-US"/>
      </w:rPr>
      <w:t>1118</w:t>
    </w:r>
    <w:r>
      <w:br/>
    </w:r>
    <w:r w:rsidRPr="00A7138C">
      <w:rPr>
        <w:rFonts w:ascii="C39T30Lfz" w:hAnsi="C39T30Lfz"/>
        <w:kern w:val="14"/>
        <w:sz w:val="56"/>
      </w:rPr>
      <w:t></w:t>
    </w:r>
    <w:r w:rsidRPr="00A7138C">
      <w:rPr>
        <w:rFonts w:ascii="C39T30Lfz" w:hAnsi="C39T30Lfz"/>
        <w:kern w:val="14"/>
        <w:sz w:val="56"/>
      </w:rPr>
      <w:t></w:t>
    </w:r>
    <w:r w:rsidRPr="00A7138C">
      <w:rPr>
        <w:rFonts w:ascii="C39T30Lfz" w:hAnsi="C39T30Lfz"/>
        <w:kern w:val="14"/>
        <w:sz w:val="56"/>
      </w:rPr>
      <w:t></w:t>
    </w:r>
    <w:r w:rsidRPr="00A7138C">
      <w:rPr>
        <w:rFonts w:ascii="C39T30Lfz" w:hAnsi="C39T30Lfz"/>
        <w:kern w:val="14"/>
        <w:sz w:val="56"/>
      </w:rPr>
      <w:t></w:t>
    </w:r>
    <w:r w:rsidRPr="00A7138C">
      <w:rPr>
        <w:rFonts w:ascii="C39T30Lfz" w:hAnsi="C39T30Lfz"/>
        <w:kern w:val="14"/>
        <w:sz w:val="56"/>
      </w:rPr>
      <w:t></w:t>
    </w:r>
    <w:r w:rsidRPr="00A7138C">
      <w:rPr>
        <w:rFonts w:ascii="C39T30Lfz" w:hAnsi="C39T30Lfz"/>
        <w:kern w:val="14"/>
        <w:sz w:val="56"/>
      </w:rPr>
      <w:t></w:t>
    </w:r>
    <w:r w:rsidRPr="00A7138C">
      <w:rPr>
        <w:rFonts w:ascii="C39T30Lfz" w:hAnsi="C39T30Lfz"/>
        <w:kern w:val="14"/>
        <w:sz w:val="56"/>
      </w:rPr>
      <w:t></w:t>
    </w:r>
    <w:r w:rsidRPr="00A7138C">
      <w:rPr>
        <w:rFonts w:ascii="C39T30Lfz" w:hAnsi="C39T30Lfz"/>
        <w:kern w:val="14"/>
        <w:sz w:val="56"/>
      </w:rPr>
      <w:t></w:t>
    </w:r>
    <w:r w:rsidRPr="00A7138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49" w:rsidRPr="001075E9" w:rsidRDefault="002A58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5849" w:rsidRDefault="002A58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7138C" w:rsidRPr="00892EF6" w:rsidRDefault="00A7138C" w:rsidP="00A7138C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CCNR/ZKR/ADN/WP.15/AC.2/2019/4.</w:t>
      </w:r>
    </w:p>
  </w:footnote>
  <w:footnote w:id="2">
    <w:p w:rsidR="00A7138C" w:rsidRPr="00892EF6" w:rsidRDefault="00A7138C" w:rsidP="00A7138C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8C" w:rsidRPr="00A7138C" w:rsidRDefault="008D6770">
    <w:pPr>
      <w:pStyle w:val="Header"/>
    </w:pPr>
    <w:fldSimple w:instr=" TITLE  \* MERGEFORMAT ">
      <w:r>
        <w:t>ECE/TRANS/WP.15/AC.2/2019/4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8C" w:rsidRPr="00A7138C" w:rsidRDefault="008D6770" w:rsidP="00A7138C">
    <w:pPr>
      <w:pStyle w:val="Header"/>
      <w:jc w:val="right"/>
    </w:pPr>
    <w:fldSimple w:instr=" TITLE  \* MERGEFORMAT ">
      <w:r>
        <w:t>ECE/TRANS/WP.15/AC.2/2019/4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8C" w:rsidRDefault="00A7138C" w:rsidP="00A713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1433"/>
    <w:multiLevelType w:val="hybridMultilevel"/>
    <w:tmpl w:val="3D207480"/>
    <w:lvl w:ilvl="0" w:tplc="ABC6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C421B6"/>
    <w:multiLevelType w:val="hybridMultilevel"/>
    <w:tmpl w:val="5A04BAAA"/>
    <w:lvl w:ilvl="0" w:tplc="9B6C06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17FFD"/>
    <w:multiLevelType w:val="hybridMultilevel"/>
    <w:tmpl w:val="A404AAB4"/>
    <w:lvl w:ilvl="0" w:tplc="FE1E862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6"/>
  </w:num>
  <w:num w:numId="18">
    <w:abstractNumId w:val="19"/>
  </w:num>
  <w:num w:numId="19">
    <w:abstractNumId w:val="22"/>
  </w:num>
  <w:num w:numId="20">
    <w:abstractNumId w:val="16"/>
  </w:num>
  <w:num w:numId="21">
    <w:abstractNumId w:val="19"/>
  </w:num>
  <w:num w:numId="22">
    <w:abstractNumId w:val="14"/>
    <w:lvlOverride w:ilvl="0">
      <w:lvl w:ilvl="0" w:tplc="6D5E22D8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1"/>
  </w:num>
  <w:num w:numId="27">
    <w:abstractNumId w:val="27"/>
  </w:num>
  <w:num w:numId="28">
    <w:abstractNumId w:val="11"/>
  </w:num>
  <w:num w:numId="29">
    <w:abstractNumId w:val="26"/>
  </w:num>
  <w:num w:numId="30">
    <w:abstractNumId w:val="25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4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3DCA"/>
    <w:rsid w:val="00180183"/>
    <w:rsid w:val="0018024D"/>
    <w:rsid w:val="0018649F"/>
    <w:rsid w:val="00196389"/>
    <w:rsid w:val="001B3EF6"/>
    <w:rsid w:val="001B78CB"/>
    <w:rsid w:val="001C7A89"/>
    <w:rsid w:val="00255343"/>
    <w:rsid w:val="00257790"/>
    <w:rsid w:val="0027151D"/>
    <w:rsid w:val="002A2EFC"/>
    <w:rsid w:val="002A5849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FBD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A99"/>
    <w:rsid w:val="004E05B7"/>
    <w:rsid w:val="0050108D"/>
    <w:rsid w:val="00513081"/>
    <w:rsid w:val="00517901"/>
    <w:rsid w:val="00526683"/>
    <w:rsid w:val="005639C1"/>
    <w:rsid w:val="005709E0"/>
    <w:rsid w:val="00572E19"/>
    <w:rsid w:val="00591654"/>
    <w:rsid w:val="005961C8"/>
    <w:rsid w:val="005966F1"/>
    <w:rsid w:val="005D72D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7615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770"/>
    <w:rsid w:val="008F7609"/>
    <w:rsid w:val="00906890"/>
    <w:rsid w:val="00911BE4"/>
    <w:rsid w:val="00951972"/>
    <w:rsid w:val="009608F3"/>
    <w:rsid w:val="00984A01"/>
    <w:rsid w:val="009A24AC"/>
    <w:rsid w:val="009A6880"/>
    <w:rsid w:val="009C59D7"/>
    <w:rsid w:val="009C6FE6"/>
    <w:rsid w:val="009C7DB1"/>
    <w:rsid w:val="009D7E7D"/>
    <w:rsid w:val="00A14DA8"/>
    <w:rsid w:val="00A312BC"/>
    <w:rsid w:val="00A7138C"/>
    <w:rsid w:val="00A84021"/>
    <w:rsid w:val="00A84D35"/>
    <w:rsid w:val="00A917B3"/>
    <w:rsid w:val="00AB4B51"/>
    <w:rsid w:val="00B10CC7"/>
    <w:rsid w:val="00B215AF"/>
    <w:rsid w:val="00B224F1"/>
    <w:rsid w:val="00B24797"/>
    <w:rsid w:val="00B36DF7"/>
    <w:rsid w:val="00B539E7"/>
    <w:rsid w:val="00B62458"/>
    <w:rsid w:val="00BB490B"/>
    <w:rsid w:val="00BC18B2"/>
    <w:rsid w:val="00BC744E"/>
    <w:rsid w:val="00BD33EE"/>
    <w:rsid w:val="00BE1CC7"/>
    <w:rsid w:val="00BF2B87"/>
    <w:rsid w:val="00BF6B39"/>
    <w:rsid w:val="00C106D6"/>
    <w:rsid w:val="00C119AE"/>
    <w:rsid w:val="00C313F6"/>
    <w:rsid w:val="00C60F0C"/>
    <w:rsid w:val="00C61791"/>
    <w:rsid w:val="00C805C9"/>
    <w:rsid w:val="00C92939"/>
    <w:rsid w:val="00CA1679"/>
    <w:rsid w:val="00CB151C"/>
    <w:rsid w:val="00CC0B05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0AF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478"/>
    <w:rsid w:val="00F94155"/>
    <w:rsid w:val="00F9783F"/>
    <w:rsid w:val="00FA5194"/>
    <w:rsid w:val="00FC6CF0"/>
    <w:rsid w:val="00FD2EF7"/>
    <w:rsid w:val="00FE447E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0C57C1B-CEA6-40AA-8159-767F52F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A7138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A7138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A7138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A7138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A7138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A7138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A7138C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paragraph" w:customStyle="1" w:styleId="SLG">
    <w:name w:val="__S_L_G"/>
    <w:basedOn w:val="Normal"/>
    <w:next w:val="Normal"/>
    <w:rsid w:val="00A7138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A7138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A7138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A7138C"/>
    <w:pPr>
      <w:keepNext/>
      <w:keepLines/>
      <w:spacing w:before="240" w:after="240" w:line="420" w:lineRule="exact"/>
      <w:ind w:left="1134" w:right="1134"/>
    </w:pPr>
    <w:rPr>
      <w:rFonts w:eastAsia="SimSun" w:cs="Times New Roman"/>
      <w:b/>
      <w:sz w:val="40"/>
      <w:szCs w:val="20"/>
      <w:lang w:val="en-GB" w:eastAsia="zh-CN"/>
    </w:rPr>
  </w:style>
  <w:style w:type="paragraph" w:customStyle="1" w:styleId="Bullet1G">
    <w:name w:val="_Bullet 1_G"/>
    <w:basedOn w:val="Normal"/>
    <w:rsid w:val="00A7138C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A7138C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ParaNoG">
    <w:name w:val="_ParaNo._G"/>
    <w:basedOn w:val="SingleTxtG"/>
    <w:rsid w:val="00A7138C"/>
    <w:pPr>
      <w:numPr>
        <w:numId w:val="24"/>
      </w:numPr>
      <w:tabs>
        <w:tab w:val="clear" w:pos="0"/>
        <w:tab w:val="num" w:pos="360"/>
      </w:tabs>
      <w:ind w:left="360" w:hanging="360"/>
    </w:pPr>
  </w:style>
  <w:style w:type="numbering" w:styleId="111111">
    <w:name w:val="Outline List 2"/>
    <w:basedOn w:val="NoList"/>
    <w:semiHidden/>
    <w:rsid w:val="00A7138C"/>
    <w:pPr>
      <w:numPr>
        <w:numId w:val="26"/>
      </w:numPr>
    </w:pPr>
  </w:style>
  <w:style w:type="numbering" w:styleId="1ai">
    <w:name w:val="Outline List 1"/>
    <w:basedOn w:val="NoList"/>
    <w:semiHidden/>
    <w:rsid w:val="00A7138C"/>
    <w:pPr>
      <w:numPr>
        <w:numId w:val="27"/>
      </w:numPr>
    </w:pPr>
  </w:style>
  <w:style w:type="character" w:customStyle="1" w:styleId="Heading2Char">
    <w:name w:val="Heading 2 Char"/>
    <w:basedOn w:val="DefaultParagraphFont"/>
    <w:link w:val="Heading2"/>
    <w:semiHidden/>
    <w:rsid w:val="00A7138C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semiHidden/>
    <w:rsid w:val="00A7138C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138C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semiHidden/>
    <w:rsid w:val="00A7138C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semiHidden/>
    <w:rsid w:val="00A7138C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semiHidden/>
    <w:rsid w:val="00A7138C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semiHidden/>
    <w:rsid w:val="00A7138C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semiHidden/>
    <w:rsid w:val="00A7138C"/>
    <w:rPr>
      <w:rFonts w:ascii="Arial" w:eastAsiaTheme="minorHAnsi" w:hAnsi="Arial" w:cs="Arial"/>
      <w:sz w:val="22"/>
      <w:szCs w:val="22"/>
      <w:lang w:val="ru-RU" w:eastAsia="en-US"/>
    </w:rPr>
  </w:style>
  <w:style w:type="character" w:styleId="BookTitle">
    <w:name w:val="Book Title"/>
    <w:basedOn w:val="DefaultParagraphFont"/>
    <w:uiPriority w:val="33"/>
    <w:rsid w:val="00A7138C"/>
    <w:rPr>
      <w:b/>
      <w:bCs/>
      <w:smallCaps/>
      <w:spacing w:val="5"/>
    </w:rPr>
  </w:style>
  <w:style w:type="character" w:customStyle="1" w:styleId="SingleTxtGChar">
    <w:name w:val="_ Single Txt_G Char"/>
    <w:basedOn w:val="DefaultParagraphFont"/>
    <w:link w:val="SingleTxtG"/>
    <w:qFormat/>
    <w:rsid w:val="00A7138C"/>
    <w:rPr>
      <w:rFonts w:eastAsia="SimSun"/>
      <w:lang w:val="en-GB" w:eastAsia="zh-CN"/>
    </w:rPr>
  </w:style>
  <w:style w:type="paragraph" w:styleId="ListParagraph">
    <w:name w:val="List Paragraph"/>
    <w:basedOn w:val="Normal"/>
    <w:uiPriority w:val="34"/>
    <w:qFormat/>
    <w:rsid w:val="00A7138C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lang w:val="de-DE"/>
    </w:rPr>
  </w:style>
  <w:style w:type="table" w:customStyle="1" w:styleId="Grilledutableau6">
    <w:name w:val="Grille du tableau6"/>
    <w:basedOn w:val="TableNormal"/>
    <w:uiPriority w:val="59"/>
    <w:rsid w:val="00A7138C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8C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8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7138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mmagazine.com/2018/05/21/developing-new-safety-rules-for-cargo-tracking-%20devices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3C0A-C9DC-480F-8A84-CB038233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3796</Words>
  <Characters>21638</Characters>
  <Application>Microsoft Office Word</Application>
  <DocSecurity>4</DocSecurity>
  <Lines>180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ECE/TRANS/WP.15/AC.2/2019/4</vt:lpstr>
      <vt:lpstr>ECE/TRANS/WP.15/AC.2/2019/4</vt:lpstr>
      <vt:lpstr>A/</vt:lpstr>
    </vt:vector>
  </TitlesOfParts>
  <Company>DCM</Company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ECE/TRANS/WP.15/AC.2/2019/4</dc:title>
  <dc:subject/>
  <dc:creator>SHUVALOVA Natalia</dc:creator>
  <cp:keywords/>
  <cp:lastModifiedBy>Marie-Claude Collet</cp:lastModifiedBy>
  <cp:revision>2</cp:revision>
  <cp:lastPrinted>2018-11-22T10:26:00Z</cp:lastPrinted>
  <dcterms:created xsi:type="dcterms:W3CDTF">2018-12-03T08:24:00Z</dcterms:created>
  <dcterms:modified xsi:type="dcterms:W3CDTF">2018-12-03T08:24:00Z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