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 w14:paraId="376BAFDF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B41802" w14:textId="77777777"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09D221" w14:textId="77777777"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CF07D2" w14:textId="77777777"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</w:t>
            </w:r>
            <w:r w:rsidR="00947B16">
              <w:t>9</w:t>
            </w:r>
            <w:r w:rsidRPr="003134DF">
              <w:t>/</w:t>
            </w:r>
            <w:r w:rsidR="00DF6A08">
              <w:t>1</w:t>
            </w:r>
            <w:r w:rsidR="00B0650A">
              <w:t>3</w:t>
            </w:r>
          </w:p>
        </w:tc>
      </w:tr>
      <w:tr w:rsidR="00F1616D" w:rsidRPr="00022219" w14:paraId="6F90424C" w14:textId="77777777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46DAC6" w14:textId="77777777" w:rsidR="00F1616D" w:rsidRPr="003134DF" w:rsidRDefault="00A373B5">
            <w:pPr>
              <w:spacing w:before="120"/>
            </w:pPr>
            <w:r>
              <w:pict w14:anchorId="0B0C3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7.2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43B2D2" w14:textId="77777777"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14:paraId="36301AC6" w14:textId="77777777"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r w:rsidRPr="00022219">
              <w:rPr>
                <w:lang w:val="fr-CH"/>
              </w:rPr>
              <w:t xml:space="preserve">Distr.: </w:t>
            </w:r>
            <w:r w:rsidR="0060772D">
              <w:t xml:space="preserve"> General</w:t>
            </w:r>
          </w:p>
          <w:p w14:paraId="6E7FFAC3" w14:textId="01788A34" w:rsidR="00D41080" w:rsidRDefault="008B4D3E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6 November</w:t>
            </w:r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14:paraId="3EC40D11" w14:textId="77777777" w:rsidR="00DF6A08" w:rsidRDefault="00DF6A08" w:rsidP="00D41080">
            <w:pPr>
              <w:spacing w:line="240" w:lineRule="exact"/>
              <w:rPr>
                <w:lang w:val="fr-CH"/>
              </w:rPr>
            </w:pPr>
          </w:p>
          <w:p w14:paraId="02361355" w14:textId="77777777" w:rsidR="00F1616D" w:rsidRPr="00022219" w:rsidRDefault="00C16712" w:rsidP="00D41080">
            <w:pPr>
              <w:spacing w:line="240" w:lineRule="exact"/>
              <w:rPr>
                <w:lang w:val="fr-CH"/>
              </w:rPr>
            </w:pPr>
            <w:r w:rsidRPr="00022219">
              <w:rPr>
                <w:lang w:val="fr-CH"/>
              </w:rPr>
              <w:t>Original: English</w:t>
            </w:r>
          </w:p>
        </w:tc>
      </w:tr>
    </w:tbl>
    <w:p w14:paraId="0C4C5414" w14:textId="77777777"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67422E0C" w14:textId="77777777"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70ED77B2" w14:textId="77777777"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115D2BC" w14:textId="77777777"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1D4265DE" w14:textId="77777777"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B00019">
        <w:rPr>
          <w:b/>
        </w:rPr>
        <w:t>fo</w:t>
      </w:r>
      <w:r w:rsidR="00DF6A08">
        <w:rPr>
          <w:b/>
        </w:rPr>
        <w:t>u</w:t>
      </w:r>
      <w:r w:rsidR="00B00019">
        <w:rPr>
          <w:b/>
        </w:rPr>
        <w:t>rth</w:t>
      </w:r>
      <w:r w:rsidR="00F1616D" w:rsidRPr="003134DF">
        <w:rPr>
          <w:b/>
        </w:rPr>
        <w:t xml:space="preserve"> session</w:t>
      </w:r>
    </w:p>
    <w:p w14:paraId="174ABAE3" w14:textId="028689BE" w:rsidR="00F1616D" w:rsidRPr="003134DF" w:rsidRDefault="00F1616D">
      <w:r w:rsidRPr="003134DF">
        <w:t>Geneva, 2</w:t>
      </w:r>
      <w:r w:rsidR="00B00019">
        <w:t>1–25 January</w:t>
      </w:r>
      <w:r w:rsidRPr="003134DF">
        <w:t xml:space="preserve"> 201</w:t>
      </w:r>
      <w:r w:rsidR="00B00019">
        <w:t>9</w:t>
      </w:r>
      <w:r w:rsidR="003C22E6">
        <w:br/>
        <w:t xml:space="preserve">Item </w:t>
      </w:r>
      <w:r w:rsidR="002E4C74" w:rsidRPr="008B4D3E">
        <w:t xml:space="preserve">5 </w:t>
      </w:r>
      <w:r w:rsidR="00EA6020" w:rsidRPr="008B4D3E">
        <w:t>(</w:t>
      </w:r>
      <w:r w:rsidR="002E4C74" w:rsidRPr="008B4D3E">
        <w:t>b</w:t>
      </w:r>
      <w:r w:rsidR="00EA6020" w:rsidRPr="008B4D3E">
        <w:t>)</w:t>
      </w:r>
      <w:r w:rsidR="00253571" w:rsidRPr="003134DF">
        <w:t xml:space="preserve"> </w:t>
      </w:r>
      <w:r w:rsidRPr="003134DF">
        <w:t>of the provisional agenda</w:t>
      </w:r>
    </w:p>
    <w:p w14:paraId="28F043A6" w14:textId="77777777" w:rsidR="002E4C74" w:rsidRPr="002C02EF" w:rsidRDefault="002E4C74" w:rsidP="002E4C74">
      <w:pPr>
        <w:rPr>
          <w:b/>
          <w:bCs/>
        </w:rPr>
      </w:pPr>
      <w:bookmarkStart w:id="0" w:name="OLE_LINK2"/>
      <w:bookmarkStart w:id="1" w:name="OLE_LINK1"/>
      <w:r w:rsidRPr="002C02EF">
        <w:rPr>
          <w:b/>
          <w:bCs/>
        </w:rPr>
        <w:t>Proposals for amendments to the Regulations annexed to ADN:</w:t>
      </w:r>
    </w:p>
    <w:p w14:paraId="245FFF17" w14:textId="18B1AC37" w:rsidR="00E302C1" w:rsidRDefault="002E4C74" w:rsidP="002E4C74">
      <w:pPr>
        <w:rPr>
          <w:b/>
        </w:rPr>
      </w:pPr>
      <w:r>
        <w:rPr>
          <w:b/>
          <w:bCs/>
        </w:rPr>
        <w:t>o</w:t>
      </w:r>
      <w:r w:rsidRPr="002C02EF">
        <w:rPr>
          <w:b/>
          <w:bCs/>
        </w:rPr>
        <w:t>ther proposals</w:t>
      </w:r>
      <w:bookmarkEnd w:id="0"/>
      <w:bookmarkEnd w:id="1"/>
    </w:p>
    <w:p w14:paraId="11C9C949" w14:textId="6EDD486F" w:rsidR="00F1616D" w:rsidRPr="003134DF" w:rsidRDefault="00F1616D" w:rsidP="00B0650A">
      <w:pPr>
        <w:pStyle w:val="HChG"/>
      </w:pPr>
      <w:r w:rsidRPr="003134DF">
        <w:tab/>
      </w:r>
      <w:r w:rsidRPr="003134DF">
        <w:tab/>
      </w:r>
      <w:r w:rsidR="002E4C74">
        <w:t>E</w:t>
      </w:r>
      <w:r w:rsidR="00B0650A" w:rsidRPr="00B0650A">
        <w:t>ditorial improvement regarding the legibility and usability of the ADN – Heading of Table C</w:t>
      </w:r>
    </w:p>
    <w:p w14:paraId="053BA447" w14:textId="77777777" w:rsidR="00F1616D" w:rsidRDefault="00F1616D" w:rsidP="00794692">
      <w:pPr>
        <w:pStyle w:val="H1G"/>
      </w:pPr>
      <w:r w:rsidRPr="003134DF">
        <w:tab/>
      </w:r>
      <w:r w:rsidRPr="003134DF">
        <w:tab/>
      </w:r>
      <w:r w:rsidR="00794692" w:rsidRPr="00794692">
        <w:t xml:space="preserve">Transmitted </w:t>
      </w:r>
      <w:r w:rsidR="00794692" w:rsidRPr="00794692">
        <w:rPr>
          <w:bCs/>
          <w:lang w:val="en-US"/>
        </w:rPr>
        <w:t xml:space="preserve">by </w:t>
      </w:r>
      <w:r w:rsidR="00794692" w:rsidRPr="00794692">
        <w:rPr>
          <w:bCs/>
        </w:rPr>
        <w:t>the European Barge Union (EBU) and the European Skippers Organisation (ESO)</w:t>
      </w:r>
      <w:r w:rsidR="00794692" w:rsidRPr="00794692">
        <w:rPr>
          <w:bCs/>
          <w:sz w:val="20"/>
          <w:vertAlign w:val="superscript"/>
          <w:lang w:val="en-US"/>
        </w:rPr>
        <w:t xml:space="preserve"> </w:t>
      </w:r>
      <w:r w:rsidR="00794692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794692" w:rsidRPr="005D4EB0">
        <w:rPr>
          <w:bCs/>
          <w:sz w:val="20"/>
          <w:vertAlign w:val="superscript"/>
          <w:lang w:val="en-US"/>
        </w:rPr>
        <w:footnoteReference w:customMarkFollows="1" w:id="3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794692" w:rsidRPr="003134DF" w14:paraId="50DD15EB" w14:textId="77777777" w:rsidTr="003617F5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C19F874" w14:textId="77777777" w:rsidR="00794692" w:rsidRPr="003134DF" w:rsidRDefault="00794692" w:rsidP="003617F5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Related documents: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5D70F9" w14:textId="77777777" w:rsidR="00794692" w:rsidRDefault="00794692" w:rsidP="00794692">
            <w:pPr>
              <w:rPr>
                <w:lang w:val="en-US"/>
              </w:rPr>
            </w:pPr>
            <w:r>
              <w:rPr>
                <w:lang w:val="en-US"/>
              </w:rPr>
              <w:t>ECE/TRANS/WP.15/AC.2/</w:t>
            </w:r>
            <w:r w:rsidRPr="00794692">
              <w:rPr>
                <w:lang w:val="en-US"/>
              </w:rPr>
              <w:t>2018/38</w:t>
            </w:r>
          </w:p>
          <w:p w14:paraId="7AC403CE" w14:textId="77777777" w:rsidR="00794692" w:rsidRDefault="00794692" w:rsidP="003617F5">
            <w:pPr>
              <w:rPr>
                <w:lang w:val="en-US"/>
              </w:rPr>
            </w:pPr>
            <w:r w:rsidRPr="008B342C">
              <w:rPr>
                <w:lang w:val="en-US"/>
              </w:rPr>
              <w:t>ECE/TRANS/WP.15/AC.2/66</w:t>
            </w:r>
          </w:p>
          <w:p w14:paraId="4CD2DFB6" w14:textId="77777777" w:rsidR="00794692" w:rsidRPr="008B342C" w:rsidRDefault="00794692" w:rsidP="003617F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Pr="008B342C">
              <w:rPr>
                <w:lang w:val="en-US"/>
              </w:rPr>
              <w:t xml:space="preserve">INF.20 of the </w:t>
            </w:r>
            <w:r w:rsidRPr="00533B41">
              <w:rPr>
                <w:lang w:val="en-US"/>
              </w:rPr>
              <w:t>thirty-second session (subsection</w:t>
            </w:r>
            <w:r w:rsidRPr="008B342C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8B342C">
              <w:rPr>
                <w:lang w:val="en-US"/>
              </w:rPr>
              <w:t>)</w:t>
            </w:r>
          </w:p>
        </w:tc>
      </w:tr>
    </w:tbl>
    <w:p w14:paraId="4C9EB92E" w14:textId="0A3469F4" w:rsidR="00F1616D" w:rsidRPr="003B35B1" w:rsidRDefault="00EA6020" w:rsidP="00020A78">
      <w:pPr>
        <w:pStyle w:val="HChG"/>
      </w:pPr>
      <w:r>
        <w:tab/>
      </w:r>
      <w:r w:rsidR="00D14989">
        <w:t>I.</w:t>
      </w:r>
      <w:r>
        <w:tab/>
      </w:r>
      <w:r w:rsidR="00F1616D" w:rsidRPr="003B35B1">
        <w:t>Introduction</w:t>
      </w:r>
    </w:p>
    <w:p w14:paraId="0032E744" w14:textId="5F850DC2" w:rsidR="00794692" w:rsidRPr="00794692" w:rsidRDefault="00794692" w:rsidP="00794692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794692">
        <w:rPr>
          <w:lang w:val="en-US"/>
        </w:rPr>
        <w:t>EBU</w:t>
      </w:r>
      <w:r w:rsidR="002E4C74">
        <w:rPr>
          <w:lang w:val="en-US"/>
        </w:rPr>
        <w:t xml:space="preserve"> and </w:t>
      </w:r>
      <w:r w:rsidRPr="00794692">
        <w:rPr>
          <w:lang w:val="en-US"/>
        </w:rPr>
        <w:t xml:space="preserve">ESO </w:t>
      </w:r>
      <w:r w:rsidR="002E4C74">
        <w:rPr>
          <w:lang w:val="en-US"/>
        </w:rPr>
        <w:t xml:space="preserve">received some improvement proposals from the </w:t>
      </w:r>
      <w:r w:rsidR="002E4C74" w:rsidRPr="00794692">
        <w:rPr>
          <w:lang w:val="en-US"/>
        </w:rPr>
        <w:t>EBU</w:t>
      </w:r>
      <w:r w:rsidR="002E4C74">
        <w:rPr>
          <w:lang w:val="en-US"/>
        </w:rPr>
        <w:t xml:space="preserve"> and </w:t>
      </w:r>
      <w:r w:rsidR="002E4C74" w:rsidRPr="00794692">
        <w:rPr>
          <w:lang w:val="en-US"/>
        </w:rPr>
        <w:t>ESO</w:t>
      </w:r>
      <w:r w:rsidR="002E4C74">
        <w:rPr>
          <w:lang w:val="en-US"/>
        </w:rPr>
        <w:t xml:space="preserve"> dangerous goods meetings and from ADN trainers participating the informal working g</w:t>
      </w:r>
      <w:r w:rsidR="002E4C74" w:rsidRPr="00794692">
        <w:rPr>
          <w:lang w:val="en-US"/>
        </w:rPr>
        <w:t>roup on the Training of Experts (IAG Sachkundigenausbildung)</w:t>
      </w:r>
      <w:r w:rsidR="002E4C74">
        <w:rPr>
          <w:lang w:val="en-US"/>
        </w:rPr>
        <w:t>. These proposals are mainly editorial and aim at improving the legibility and usability of ADN, in general and</w:t>
      </w:r>
      <w:r w:rsidRPr="00794692">
        <w:rPr>
          <w:lang w:val="en-US"/>
        </w:rPr>
        <w:t xml:space="preserve"> for the </w:t>
      </w:r>
      <w:r w:rsidRPr="00794692">
        <w:rPr>
          <w:lang w:val="en-US"/>
        </w:rPr>
        <w:lastRenderedPageBreak/>
        <w:t xml:space="preserve">barge crew </w:t>
      </w:r>
      <w:r w:rsidR="002E4C74">
        <w:rPr>
          <w:lang w:val="en-US"/>
        </w:rPr>
        <w:t>in particular</w:t>
      </w:r>
      <w:r w:rsidR="002E4C74" w:rsidRPr="00794692">
        <w:rPr>
          <w:lang w:val="en-US"/>
        </w:rPr>
        <w:t xml:space="preserve"> </w:t>
      </w:r>
      <w:r w:rsidRPr="00794692">
        <w:rPr>
          <w:lang w:val="en-US"/>
        </w:rPr>
        <w:t>as specific practical users of the ADN</w:t>
      </w:r>
      <w:r w:rsidR="002E4C74">
        <w:rPr>
          <w:lang w:val="en-US"/>
        </w:rPr>
        <w:t>,</w:t>
      </w:r>
      <w:r w:rsidRPr="00794692">
        <w:rPr>
          <w:lang w:val="en-US"/>
        </w:rPr>
        <w:t xml:space="preserve"> the ADN-experts on board of</w:t>
      </w:r>
      <w:r w:rsidR="002E4C74">
        <w:rPr>
          <w:lang w:val="en-US"/>
        </w:rPr>
        <w:t xml:space="preserve"> barges</w:t>
      </w:r>
      <w:r w:rsidRPr="00794692">
        <w:rPr>
          <w:lang w:val="en-US"/>
        </w:rPr>
        <w:t xml:space="preserve">. </w:t>
      </w:r>
    </w:p>
    <w:p w14:paraId="3BDECF1B" w14:textId="1F2CA8F2" w:rsidR="00794692" w:rsidRPr="00794692" w:rsidRDefault="00794692" w:rsidP="00794692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794692">
        <w:rPr>
          <w:lang w:val="en-US"/>
        </w:rPr>
        <w:t xml:space="preserve">During the </w:t>
      </w:r>
      <w:r w:rsidRPr="00533B41">
        <w:rPr>
          <w:lang w:val="en-US"/>
        </w:rPr>
        <w:t>thirty-second</w:t>
      </w:r>
      <w:r>
        <w:rPr>
          <w:lang w:val="en-US"/>
        </w:rPr>
        <w:t xml:space="preserve"> </w:t>
      </w:r>
      <w:r w:rsidRPr="00794692">
        <w:rPr>
          <w:lang w:val="en-US"/>
        </w:rPr>
        <w:t xml:space="preserve">and </w:t>
      </w:r>
      <w:r w:rsidRPr="00533B41">
        <w:rPr>
          <w:lang w:val="en-US"/>
        </w:rPr>
        <w:t>thirty-</w:t>
      </w:r>
      <w:r>
        <w:rPr>
          <w:lang w:val="en-US"/>
        </w:rPr>
        <w:t>third</w:t>
      </w:r>
      <w:r w:rsidRPr="00794692">
        <w:rPr>
          <w:lang w:val="en-US"/>
        </w:rPr>
        <w:t xml:space="preserve"> session</w:t>
      </w:r>
      <w:r w:rsidR="002E4C74">
        <w:rPr>
          <w:lang w:val="en-US"/>
        </w:rPr>
        <w:t>s</w:t>
      </w:r>
      <w:r w:rsidRPr="00794692">
        <w:rPr>
          <w:lang w:val="en-US"/>
        </w:rPr>
        <w:t xml:space="preserve"> of the ADN Safety Committee this proposal was presented on behalf of EBU and ESO. The </w:t>
      </w:r>
      <w:r w:rsidR="002E4C74">
        <w:rPr>
          <w:lang w:val="en-US"/>
        </w:rPr>
        <w:t xml:space="preserve">ADN </w:t>
      </w:r>
      <w:r w:rsidRPr="00794692">
        <w:rPr>
          <w:lang w:val="en-US"/>
        </w:rPr>
        <w:t xml:space="preserve">Safety Committee invited the representatives of EBU and ESO to take account of the comments made and submit a revised proposal in an official document for the </w:t>
      </w:r>
      <w:r w:rsidRPr="00533B41">
        <w:rPr>
          <w:lang w:val="en-US"/>
        </w:rPr>
        <w:t>thirty-</w:t>
      </w:r>
      <w:r>
        <w:rPr>
          <w:lang w:val="en-US"/>
        </w:rPr>
        <w:t>fourth</w:t>
      </w:r>
      <w:r w:rsidRPr="00794692">
        <w:rPr>
          <w:lang w:val="en-US"/>
        </w:rPr>
        <w:t xml:space="preserve"> session. Please find our proposal below.</w:t>
      </w:r>
    </w:p>
    <w:p w14:paraId="6DBC0983" w14:textId="5E295AB5" w:rsidR="002E4C74" w:rsidRDefault="00794692" w:rsidP="00794692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794692">
        <w:rPr>
          <w:lang w:val="en-US"/>
        </w:rPr>
        <w:t xml:space="preserve">EBU/ESO ask the </w:t>
      </w:r>
      <w:r w:rsidR="002E4C74">
        <w:rPr>
          <w:lang w:val="en-US"/>
        </w:rPr>
        <w:t xml:space="preserve">ADN </w:t>
      </w:r>
      <w:r w:rsidRPr="00794692">
        <w:rPr>
          <w:lang w:val="en-US"/>
        </w:rPr>
        <w:t>Safety Committee to consider adding explanatory references in the header of Table C</w:t>
      </w:r>
      <w:r w:rsidR="002E4C74">
        <w:rPr>
          <w:lang w:val="en-US"/>
        </w:rPr>
        <w:t xml:space="preserve"> of Chapter 3.2.</w:t>
      </w:r>
    </w:p>
    <w:p w14:paraId="61C5D27C" w14:textId="77777777" w:rsidR="002E4C74" w:rsidRPr="00794692" w:rsidRDefault="002E4C74" w:rsidP="002E4C74">
      <w:pPr>
        <w:pStyle w:val="SingleTxtG"/>
        <w:rPr>
          <w:lang w:val="en-US"/>
        </w:rPr>
      </w:pPr>
      <w:r w:rsidRPr="00794692">
        <w:t>4.</w:t>
      </w:r>
      <w:r w:rsidRPr="00794692">
        <w:tab/>
        <w:t xml:space="preserve">The structures of Table A and Table C are </w:t>
      </w:r>
      <w:r w:rsidRPr="00794692">
        <w:rPr>
          <w:lang w:val="en-US"/>
        </w:rPr>
        <w:t>inconsistent. Explanatory references in the heading of the Table C are missing and therefore, not in line with the heading of Table</w:t>
      </w:r>
      <w:r>
        <w:rPr>
          <w:lang w:val="en-US"/>
        </w:rPr>
        <w:t> </w:t>
      </w:r>
      <w:r w:rsidRPr="00794692">
        <w:rPr>
          <w:lang w:val="en-US"/>
        </w:rPr>
        <w:t>A. It would be helpful to add explanatory references in the header of Table C</w:t>
      </w:r>
      <w:r>
        <w:rPr>
          <w:lang w:val="en-US"/>
        </w:rPr>
        <w:t>.</w:t>
      </w:r>
    </w:p>
    <w:p w14:paraId="218588E5" w14:textId="062679C3" w:rsidR="00794692" w:rsidRPr="00794692" w:rsidRDefault="00794692" w:rsidP="00794692">
      <w:pPr>
        <w:pStyle w:val="HChG"/>
      </w:pPr>
      <w:bookmarkStart w:id="2" w:name="_GoBack"/>
      <w:bookmarkEnd w:id="2"/>
      <w:r>
        <w:tab/>
        <w:t>II.</w:t>
      </w:r>
      <w:r>
        <w:tab/>
      </w:r>
      <w:r w:rsidRPr="00794692">
        <w:t xml:space="preserve">Proposal </w:t>
      </w:r>
    </w:p>
    <w:p w14:paraId="5855B313" w14:textId="268F148D" w:rsidR="00794692" w:rsidRDefault="00794692">
      <w:pPr>
        <w:pStyle w:val="SingleTxtG"/>
      </w:pPr>
      <w:r w:rsidRPr="00794692">
        <w:t>5.</w:t>
      </w:r>
      <w:r w:rsidRPr="00794692">
        <w:tab/>
      </w:r>
      <w:r w:rsidR="002E4C74">
        <w:t>A</w:t>
      </w:r>
      <w:r w:rsidRPr="00794692">
        <w:t xml:space="preserve">dd relevant explanatory references in the heading of </w:t>
      </w:r>
      <w:r w:rsidR="002E4C74" w:rsidRPr="00794692">
        <w:t>Table</w:t>
      </w:r>
      <w:r w:rsidR="002E4C74">
        <w:t> </w:t>
      </w:r>
      <w:r w:rsidRPr="00794692">
        <w:t>C: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320"/>
        <w:gridCol w:w="430"/>
        <w:gridCol w:w="427"/>
        <w:gridCol w:w="281"/>
        <w:gridCol w:w="285"/>
        <w:gridCol w:w="425"/>
        <w:gridCol w:w="285"/>
        <w:gridCol w:w="283"/>
        <w:gridCol w:w="425"/>
        <w:gridCol w:w="665"/>
        <w:gridCol w:w="407"/>
        <w:gridCol w:w="481"/>
        <w:gridCol w:w="425"/>
        <w:gridCol w:w="425"/>
        <w:gridCol w:w="425"/>
        <w:gridCol w:w="427"/>
        <w:gridCol w:w="566"/>
        <w:gridCol w:w="326"/>
        <w:gridCol w:w="370"/>
        <w:gridCol w:w="607"/>
      </w:tblGrid>
      <w:tr w:rsidR="00500FC6" w:rsidRPr="005B0B9A" w14:paraId="61D0EDB8" w14:textId="77777777" w:rsidTr="00500FC6">
        <w:trPr>
          <w:cantSplit/>
          <w:trHeight w:val="2050"/>
          <w:tblHeader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33E4780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UN No. or substance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br/>
              <w:t>identification No.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B31F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Name and description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6979E3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Class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75DA32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Classification code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409D1D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Packing group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03D81910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Dangers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4461EC9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Type of tank vessel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117B051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Cargo tank design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4D403EE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Cargo tank type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4A7A438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Cargo tank equipment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E53BB42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Opening pressure of the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br/>
            </w:r>
            <w:r w:rsidRPr="00163E1E">
              <w:rPr>
                <w:color w:val="000000"/>
                <w:sz w:val="16"/>
                <w:szCs w:val="16"/>
                <w:lang w:bidi="th-TH"/>
              </w:rPr>
              <w:t>pressure relief valve/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t>high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t>velocity vent valve</w:t>
            </w:r>
            <w:r>
              <w:rPr>
                <w:color w:val="000000"/>
                <w:sz w:val="16"/>
                <w:szCs w:val="16"/>
                <w:lang w:bidi="th-TH"/>
              </w:rPr>
              <w:t>,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t xml:space="preserve"> in kPa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D438E53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 xml:space="preserve">Maximum degree of filling 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br/>
              <w:t>in %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3B7B43B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Relative density at 20 °C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98A3078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Type of sampling device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572614E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Pump room below deck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br/>
              <w:t>permitted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00BD4E3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Temperature class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0F2E381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Explosion group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10E99F1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Anti-explosion protection</w:t>
            </w:r>
            <w:r w:rsidRPr="005B0B9A">
              <w:rPr>
                <w:color w:val="000000"/>
                <w:sz w:val="16"/>
                <w:szCs w:val="16"/>
                <w:lang w:bidi="th-TH"/>
              </w:rPr>
              <w:br/>
              <w:t>required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834705E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Equipment required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EC79A5F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Number of cones/blue lights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79E847" w14:textId="77777777" w:rsidR="00D425BF" w:rsidRPr="005B0B9A" w:rsidRDefault="00D425BF" w:rsidP="00500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Additional requirements/Remarks</w:t>
            </w:r>
          </w:p>
        </w:tc>
      </w:tr>
      <w:tr w:rsidR="00500FC6" w:rsidRPr="005B0B9A" w14:paraId="7B44B222" w14:textId="77777777" w:rsidTr="00500FC6">
        <w:trPr>
          <w:cantSplit/>
          <w:trHeight w:val="37"/>
          <w:tblHeader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8456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9E93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(2)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9443F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BEC5F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B6EE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(4)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5187B3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(5)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C38E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(6)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89C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(7)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236A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(8)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4BB6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(9)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536C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(10)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0299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(11)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4913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(12)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F2A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(13)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E747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(14)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7167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(15)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3165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(16)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B347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(17)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7E7D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(18)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5722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(19)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5F09" w14:textId="77777777" w:rsidR="00D425BF" w:rsidRPr="005B0B9A" w:rsidRDefault="00D425BF" w:rsidP="002841C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5B0B9A">
              <w:rPr>
                <w:color w:val="000000"/>
                <w:sz w:val="16"/>
                <w:szCs w:val="16"/>
                <w:lang w:bidi="th-TH"/>
              </w:rPr>
              <w:t>(20)</w:t>
            </w:r>
          </w:p>
        </w:tc>
      </w:tr>
    </w:tbl>
    <w:p w14:paraId="3BE9FEB1" w14:textId="77777777" w:rsidR="00D425BF" w:rsidRDefault="00D425BF">
      <w:pPr>
        <w:pStyle w:val="SingleTxtG"/>
        <w:rPr>
          <w:lang w:val="en-US"/>
        </w:rPr>
      </w:pPr>
    </w:p>
    <w:p w14:paraId="718E61A2" w14:textId="521DE484" w:rsidR="00794692" w:rsidRPr="008B4D3E" w:rsidRDefault="00794692">
      <w:pPr>
        <w:pStyle w:val="SingleTxtG"/>
        <w:rPr>
          <w:lang w:val="es-ES_tradnl"/>
        </w:rPr>
      </w:pPr>
      <w:r w:rsidRPr="008B4D3E">
        <w:rPr>
          <w:lang w:val="es-ES_tradnl"/>
        </w:rPr>
        <w:t xml:space="preserve">Column 2: 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3.1.2</w:t>
      </w:r>
    </w:p>
    <w:p w14:paraId="7E4474B1" w14:textId="5FD471F8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 xml:space="preserve">Column 3a: 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2.2</w:t>
      </w:r>
    </w:p>
    <w:p w14:paraId="233D996C" w14:textId="74252503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3b: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2.2.</w:t>
      </w:r>
    </w:p>
    <w:p w14:paraId="0D33861A" w14:textId="5009CFD6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4: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2.1.1.3</w:t>
      </w:r>
    </w:p>
    <w:p w14:paraId="0CAC39F6" w14:textId="26B5957E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5: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5.2.2/3.2.3.1</w:t>
      </w:r>
    </w:p>
    <w:p w14:paraId="463853C8" w14:textId="1F34D19A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6: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1.2.1</w:t>
      </w:r>
    </w:p>
    <w:p w14:paraId="79F2E915" w14:textId="0B2524DD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7-10: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3.2.3.1/1.2.1</w:t>
      </w:r>
    </w:p>
    <w:p w14:paraId="76E4CB21" w14:textId="2B03EAA2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11: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7.2.4.21</w:t>
      </w:r>
    </w:p>
    <w:p w14:paraId="42519E9C" w14:textId="504D131B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12: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3.2.3.1</w:t>
      </w:r>
    </w:p>
    <w:p w14:paraId="503E969F" w14:textId="60AB06E1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13: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3.2.3.1/1.2.1*:</w:t>
      </w:r>
    </w:p>
    <w:p w14:paraId="0C252456" w14:textId="40A41B67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14: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3.2.3.1/1.2.1**</w:t>
      </w:r>
    </w:p>
    <w:p w14:paraId="07EFB12A" w14:textId="36E137CB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 xml:space="preserve">Column 15: 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>1.2.1</w:t>
      </w:r>
    </w:p>
    <w:p w14:paraId="116C5B66" w14:textId="215B41FC" w:rsidR="00794692" w:rsidRPr="008B4D3E" w:rsidRDefault="00794692" w:rsidP="00794692">
      <w:pPr>
        <w:pStyle w:val="SingleTxtG"/>
        <w:rPr>
          <w:lang w:val="es-ES_tradnl"/>
        </w:rPr>
      </w:pPr>
      <w:r w:rsidRPr="008B4D3E">
        <w:rPr>
          <w:lang w:val="es-ES_tradnl"/>
        </w:rPr>
        <w:t>Column 16:</w:t>
      </w:r>
      <w:r w:rsidRPr="008B4D3E">
        <w:rPr>
          <w:lang w:val="es-ES_tradnl"/>
        </w:rPr>
        <w:tab/>
      </w:r>
      <w:r w:rsidRPr="008B4D3E">
        <w:rPr>
          <w:lang w:val="es-ES_tradnl"/>
        </w:rPr>
        <w:tab/>
        <w:t xml:space="preserve">1.2.1/3.2.3.3 </w:t>
      </w:r>
    </w:p>
    <w:p w14:paraId="04FB01F2" w14:textId="5E329423" w:rsidR="00794692" w:rsidRPr="008B4D3E" w:rsidRDefault="00794692" w:rsidP="00794692">
      <w:pPr>
        <w:pStyle w:val="SingleTxtG"/>
      </w:pPr>
      <w:r w:rsidRPr="008B4D3E">
        <w:t xml:space="preserve">Column 17: </w:t>
      </w:r>
      <w:r w:rsidRPr="008B4D3E">
        <w:tab/>
      </w:r>
      <w:r w:rsidRPr="008B4D3E">
        <w:tab/>
        <w:t>1.2.1/3.2.3.3</w:t>
      </w:r>
    </w:p>
    <w:p w14:paraId="2C8642A2" w14:textId="5569D8A8" w:rsidR="00794692" w:rsidRPr="008B4D3E" w:rsidRDefault="00794692" w:rsidP="00794692">
      <w:pPr>
        <w:pStyle w:val="SingleTxtG"/>
      </w:pPr>
      <w:r w:rsidRPr="008B4D3E">
        <w:t>Column 18:</w:t>
      </w:r>
      <w:r w:rsidRPr="008B4D3E">
        <w:tab/>
      </w:r>
      <w:r w:rsidRPr="008B4D3E">
        <w:tab/>
        <w:t>8.1.5</w:t>
      </w:r>
    </w:p>
    <w:p w14:paraId="35B710A7" w14:textId="58A98BFB" w:rsidR="00794692" w:rsidRPr="00794692" w:rsidRDefault="00794692" w:rsidP="00794692">
      <w:pPr>
        <w:pStyle w:val="SingleTxtG"/>
        <w:rPr>
          <w:lang w:val="en-US"/>
        </w:rPr>
      </w:pPr>
      <w:r w:rsidRPr="00794692">
        <w:rPr>
          <w:lang w:val="en-US"/>
        </w:rPr>
        <w:lastRenderedPageBreak/>
        <w:t>Column 19:</w:t>
      </w:r>
      <w:r w:rsidRPr="00794692">
        <w:rPr>
          <w:lang w:val="en-US"/>
        </w:rPr>
        <w:tab/>
      </w:r>
      <w:r w:rsidRPr="00794692">
        <w:rPr>
          <w:lang w:val="en-US"/>
        </w:rPr>
        <w:tab/>
        <w:t>7.2.5</w:t>
      </w:r>
    </w:p>
    <w:p w14:paraId="4B069B4D" w14:textId="7B6C0C0C" w:rsidR="00794692" w:rsidRPr="00794692" w:rsidRDefault="00794692" w:rsidP="00794692">
      <w:pPr>
        <w:pStyle w:val="SingleTxtG"/>
        <w:rPr>
          <w:lang w:val="en-US"/>
        </w:rPr>
      </w:pPr>
      <w:r w:rsidRPr="00794692">
        <w:rPr>
          <w:lang w:val="en-US"/>
        </w:rPr>
        <w:t>Column 20:</w:t>
      </w:r>
      <w:r w:rsidRPr="00794692">
        <w:rPr>
          <w:lang w:val="en-US"/>
        </w:rPr>
        <w:tab/>
      </w:r>
      <w:r w:rsidRPr="00794692">
        <w:rPr>
          <w:lang w:val="en-US"/>
        </w:rPr>
        <w:tab/>
        <w:t>3.2.3.1</w:t>
      </w:r>
    </w:p>
    <w:p w14:paraId="5780C17F" w14:textId="6787AC2F" w:rsidR="00794692" w:rsidRPr="00794692" w:rsidRDefault="00794692" w:rsidP="00794692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2E4C74">
        <w:rPr>
          <w:lang w:val="en-US"/>
        </w:rPr>
        <w:t>In addition</w:t>
      </w:r>
      <w:r w:rsidRPr="00794692">
        <w:rPr>
          <w:lang w:val="en-US"/>
        </w:rPr>
        <w:t>, EBU</w:t>
      </w:r>
      <w:r w:rsidR="002E4C74">
        <w:rPr>
          <w:lang w:val="en-US"/>
        </w:rPr>
        <w:t xml:space="preserve"> and </w:t>
      </w:r>
      <w:r w:rsidRPr="00794692">
        <w:rPr>
          <w:lang w:val="en-US"/>
        </w:rPr>
        <w:t xml:space="preserve">ESO propose minor </w:t>
      </w:r>
      <w:r w:rsidR="002E4C74">
        <w:rPr>
          <w:lang w:val="en-US"/>
        </w:rPr>
        <w:t>amendments</w:t>
      </w:r>
      <w:r w:rsidR="002E4C74" w:rsidRPr="00794692">
        <w:rPr>
          <w:lang w:val="en-US"/>
        </w:rPr>
        <w:t xml:space="preserve"> </w:t>
      </w:r>
      <w:r w:rsidRPr="00794692">
        <w:rPr>
          <w:lang w:val="en-US"/>
        </w:rPr>
        <w:t xml:space="preserve">to the </w:t>
      </w:r>
      <w:r w:rsidR="002E4C74">
        <w:rPr>
          <w:lang w:val="en-US"/>
        </w:rPr>
        <w:t>headings</w:t>
      </w:r>
      <w:r w:rsidR="002E4C74" w:rsidRPr="00794692">
        <w:rPr>
          <w:lang w:val="en-US"/>
        </w:rPr>
        <w:t xml:space="preserve"> </w:t>
      </w:r>
      <w:r w:rsidRPr="00794692">
        <w:rPr>
          <w:lang w:val="en-US"/>
        </w:rPr>
        <w:t>of column 13 and 14:</w:t>
      </w:r>
    </w:p>
    <w:p w14:paraId="018C0DE4" w14:textId="085AA3D1" w:rsidR="00794692" w:rsidRPr="00794692" w:rsidRDefault="00D425BF" w:rsidP="00794692">
      <w:pPr>
        <w:pStyle w:val="SingleTxtG"/>
        <w:rPr>
          <w:lang w:val="en-US"/>
        </w:rPr>
      </w:pPr>
      <w:r>
        <w:rPr>
          <w:lang w:val="en-US"/>
        </w:rPr>
        <w:t xml:space="preserve">* </w:t>
      </w:r>
      <w:r w:rsidR="008B4D3E">
        <w:rPr>
          <w:lang w:val="en-US"/>
        </w:rPr>
        <w:tab/>
      </w:r>
      <w:r w:rsidR="00794692" w:rsidRPr="00794692">
        <w:rPr>
          <w:lang w:val="en-US"/>
        </w:rPr>
        <w:t xml:space="preserve">Proposal regarding column 13: </w:t>
      </w:r>
      <w:r w:rsidR="002E4C74">
        <w:rPr>
          <w:lang w:val="en-US"/>
        </w:rPr>
        <w:t>Amend the heading to read:</w:t>
      </w:r>
      <w:r w:rsidR="00794692" w:rsidRPr="00794692">
        <w:rPr>
          <w:lang w:val="en-US"/>
        </w:rPr>
        <w:t xml:space="preserve"> “Explosion group/subgroup”</w:t>
      </w:r>
      <w:r w:rsidR="002E4C74">
        <w:rPr>
          <w:lang w:val="en-US"/>
        </w:rPr>
        <w:t>.</w:t>
      </w:r>
    </w:p>
    <w:p w14:paraId="74FD94C1" w14:textId="2F6E4845" w:rsidR="002E4C74" w:rsidRDefault="00D425BF" w:rsidP="00794692">
      <w:pPr>
        <w:pStyle w:val="SingleTxtG"/>
        <w:rPr>
          <w:lang w:val="en-US"/>
        </w:rPr>
      </w:pPr>
      <w:r>
        <w:rPr>
          <w:lang w:val="en-US"/>
        </w:rPr>
        <w:t>**</w:t>
      </w:r>
      <w:r w:rsidR="00794692">
        <w:rPr>
          <w:lang w:val="en-US"/>
        </w:rPr>
        <w:tab/>
      </w:r>
      <w:r w:rsidR="00794692" w:rsidRPr="00794692">
        <w:rPr>
          <w:lang w:val="en-US"/>
        </w:rPr>
        <w:t>Proposal regarding column 14</w:t>
      </w:r>
      <w:r w:rsidR="002E4C74">
        <w:rPr>
          <w:lang w:val="en-US"/>
        </w:rPr>
        <w:t xml:space="preserve">: Amend the heading to read: “Cargo pump </w:t>
      </w:r>
      <w:r w:rsidR="002E4C74" w:rsidRPr="00794692">
        <w:rPr>
          <w:lang w:val="en-US"/>
        </w:rPr>
        <w:t>room below deck permitted”</w:t>
      </w:r>
      <w:r w:rsidR="002E4C74">
        <w:rPr>
          <w:lang w:val="en-US"/>
        </w:rPr>
        <w:t>.</w:t>
      </w:r>
    </w:p>
    <w:p w14:paraId="3F40A168" w14:textId="17E37075" w:rsidR="00794692" w:rsidRPr="00794692" w:rsidRDefault="002E4C74" w:rsidP="00794692">
      <w:pPr>
        <w:pStyle w:val="SingleTxtG"/>
        <w:rPr>
          <w:lang w:val="en-US"/>
        </w:rPr>
      </w:pPr>
      <w:r>
        <w:rPr>
          <w:lang w:val="en-US"/>
        </w:rPr>
        <w:t>Justification: "Cargo pump room" is term used in the definition included in 1.2.1.</w:t>
      </w:r>
    </w:p>
    <w:p w14:paraId="2C382551" w14:textId="77777777" w:rsidR="00794692" w:rsidRPr="002E4C74" w:rsidRDefault="00794692">
      <w:pPr>
        <w:pStyle w:val="HChG"/>
      </w:pPr>
      <w:r>
        <w:tab/>
        <w:t>III.</w:t>
      </w:r>
      <w:r>
        <w:tab/>
      </w:r>
      <w:r w:rsidRPr="00794692">
        <w:t>Safety impact</w:t>
      </w:r>
    </w:p>
    <w:p w14:paraId="00FC4FFF" w14:textId="1A2AEF27" w:rsidR="00794692" w:rsidRPr="00794692" w:rsidRDefault="008B4D3E">
      <w:pPr>
        <w:pStyle w:val="SingleTxtG"/>
        <w:rPr>
          <w:lang w:val="en-US"/>
        </w:rPr>
      </w:pPr>
      <w:r>
        <w:rPr>
          <w:lang w:val="en-US"/>
        </w:rPr>
        <w:t>7</w:t>
      </w:r>
      <w:r w:rsidR="00794692">
        <w:rPr>
          <w:lang w:val="en-US"/>
        </w:rPr>
        <w:t>.</w:t>
      </w:r>
      <w:r w:rsidR="00794692">
        <w:rPr>
          <w:lang w:val="en-US"/>
        </w:rPr>
        <w:tab/>
      </w:r>
      <w:r w:rsidR="00794692" w:rsidRPr="00794692">
        <w:rPr>
          <w:lang w:val="en-US"/>
        </w:rPr>
        <w:t xml:space="preserve">Basically, in this proposal, there is no change of the purpose of these </w:t>
      </w:r>
      <w:r w:rsidR="002E4C74">
        <w:rPr>
          <w:lang w:val="en-US"/>
        </w:rPr>
        <w:t>paragraphs</w:t>
      </w:r>
      <w:r w:rsidR="002E4C74" w:rsidRPr="00794692">
        <w:rPr>
          <w:lang w:val="en-US"/>
        </w:rPr>
        <w:t xml:space="preserve"> </w:t>
      </w:r>
      <w:r w:rsidR="00794692" w:rsidRPr="00794692">
        <w:rPr>
          <w:lang w:val="en-US"/>
        </w:rPr>
        <w:t xml:space="preserve">and </w:t>
      </w:r>
      <w:r w:rsidR="002E4C74">
        <w:rPr>
          <w:lang w:val="en-US"/>
        </w:rPr>
        <w:t>there is no</w:t>
      </w:r>
      <w:r w:rsidR="002E4C74" w:rsidRPr="00794692">
        <w:rPr>
          <w:lang w:val="en-US"/>
        </w:rPr>
        <w:t xml:space="preserve"> impact </w:t>
      </w:r>
      <w:r w:rsidR="002E4C74">
        <w:rPr>
          <w:lang w:val="en-US"/>
        </w:rPr>
        <w:t xml:space="preserve">on </w:t>
      </w:r>
      <w:r w:rsidR="00794692" w:rsidRPr="00794692">
        <w:rPr>
          <w:lang w:val="en-US"/>
        </w:rPr>
        <w:t xml:space="preserve">safety. Positive expectation is that </w:t>
      </w:r>
      <w:r w:rsidR="002E4C74">
        <w:rPr>
          <w:lang w:val="en-US"/>
        </w:rPr>
        <w:t xml:space="preserve">it will be easier to work with Table C and it will be better </w:t>
      </w:r>
      <w:r w:rsidR="00794692" w:rsidRPr="00794692">
        <w:rPr>
          <w:lang w:val="en-US"/>
        </w:rPr>
        <w:t>understood by the people on board</w:t>
      </w:r>
      <w:r w:rsidR="002E4C74">
        <w:rPr>
          <w:lang w:val="en-US"/>
        </w:rPr>
        <w:t>.</w:t>
      </w:r>
    </w:p>
    <w:p w14:paraId="6A95AC9F" w14:textId="77777777" w:rsidR="000F2AA3" w:rsidRPr="003134DF" w:rsidRDefault="000F2AA3" w:rsidP="005B3EFE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757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3329" w14:textId="77777777" w:rsidR="00E87014" w:rsidRDefault="00E87014"/>
  </w:endnote>
  <w:endnote w:type="continuationSeparator" w:id="0">
    <w:p w14:paraId="56A6256A" w14:textId="77777777" w:rsidR="00E87014" w:rsidRDefault="00E87014"/>
  </w:endnote>
  <w:endnote w:type="continuationNotice" w:id="1">
    <w:p w14:paraId="066FD2E9" w14:textId="77777777" w:rsidR="00E87014" w:rsidRDefault="00E87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D53" w14:textId="77777777" w:rsidR="00020A78" w:rsidRDefault="00020A78" w:rsidP="00020A78">
    <w:pPr>
      <w:pStyle w:val="Footer"/>
    </w:pPr>
    <w:r w:rsidRPr="009F5EED">
      <w:rPr>
        <w:b/>
        <w:bCs/>
        <w:sz w:val="18"/>
      </w:rPr>
      <w:fldChar w:fldCharType="begin"/>
    </w:r>
    <w:r w:rsidRPr="009F5EED">
      <w:rPr>
        <w:b/>
        <w:bCs/>
        <w:sz w:val="18"/>
      </w:rPr>
      <w:instrText xml:space="preserve"> PAGE  \* MERGEFORMAT </w:instrText>
    </w:r>
    <w:r w:rsidRPr="009F5EED">
      <w:rPr>
        <w:b/>
        <w:bCs/>
        <w:sz w:val="18"/>
      </w:rPr>
      <w:fldChar w:fldCharType="separate"/>
    </w:r>
    <w:r>
      <w:rPr>
        <w:b/>
        <w:bCs/>
        <w:sz w:val="18"/>
      </w:rPr>
      <w:t>2</w:t>
    </w:r>
    <w:r w:rsidRPr="009F5EED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60F4" w14:textId="77777777" w:rsidR="00794692" w:rsidRDefault="00794692" w:rsidP="00794692">
    <w:pPr>
      <w:pStyle w:val="Footer"/>
      <w:jc w:val="right"/>
    </w:pPr>
    <w:r w:rsidRPr="009F5EED">
      <w:rPr>
        <w:b/>
        <w:bCs/>
        <w:sz w:val="18"/>
      </w:rPr>
      <w:fldChar w:fldCharType="begin"/>
    </w:r>
    <w:r w:rsidRPr="009F5EED">
      <w:rPr>
        <w:b/>
        <w:bCs/>
        <w:sz w:val="18"/>
      </w:rPr>
      <w:instrText xml:space="preserve"> PAGE  \* MERGEFORMAT </w:instrText>
    </w:r>
    <w:r w:rsidRPr="009F5EED">
      <w:rPr>
        <w:b/>
        <w:bCs/>
        <w:sz w:val="18"/>
      </w:rPr>
      <w:fldChar w:fldCharType="separate"/>
    </w:r>
    <w:r>
      <w:rPr>
        <w:b/>
        <w:bCs/>
        <w:sz w:val="18"/>
      </w:rPr>
      <w:t>2</w:t>
    </w:r>
    <w:r w:rsidRPr="009F5EED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6F81" w14:textId="77777777" w:rsidR="00E87014" w:rsidRDefault="00E87014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6DAD1" w14:textId="77777777" w:rsidR="00E87014" w:rsidRDefault="00E87014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29F6B6" w14:textId="77777777" w:rsidR="00E87014" w:rsidRDefault="00E87014"/>
  </w:footnote>
  <w:footnote w:id="2">
    <w:p w14:paraId="27A7302E" w14:textId="77777777" w:rsidR="00794692" w:rsidRPr="003A7D20" w:rsidRDefault="00794692" w:rsidP="00794692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9</w:t>
      </w:r>
      <w:r w:rsidRPr="003A7D20">
        <w:rPr>
          <w:lang w:val="en-US"/>
        </w:rPr>
        <w:t>/</w:t>
      </w:r>
      <w:r>
        <w:rPr>
          <w:lang w:val="en-US"/>
        </w:rPr>
        <w:t>13</w:t>
      </w:r>
      <w:r w:rsidRPr="003A7D20">
        <w:rPr>
          <w:lang w:val="en-US"/>
        </w:rPr>
        <w:t>.</w:t>
      </w:r>
    </w:p>
  </w:footnote>
  <w:footnote w:id="3">
    <w:p w14:paraId="53F028B4" w14:textId="77777777" w:rsidR="00794692" w:rsidRPr="003A7D20" w:rsidRDefault="00794692" w:rsidP="00794692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>In accordance with the programme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Pr="002E4C74">
        <w:rPr>
          <w:lang w:val="en-GB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CC70" w14:textId="77777777" w:rsidR="000401CE" w:rsidRPr="003B35B1" w:rsidRDefault="003B35B1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</w:t>
    </w:r>
    <w:r w:rsidR="00794692">
      <w:rPr>
        <w:b/>
      </w:rPr>
      <w:t>9/13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C934" w14:textId="77777777" w:rsidR="00794692" w:rsidRPr="00794692" w:rsidRDefault="00794692" w:rsidP="00794692">
    <w:pPr>
      <w:pBdr>
        <w:bottom w:val="single" w:sz="4" w:space="1" w:color="auto"/>
      </w:pBdr>
      <w:jc w:val="right"/>
      <w:rPr>
        <w:b/>
      </w:rPr>
    </w:pPr>
    <w:r>
      <w:rPr>
        <w:b/>
      </w:rPr>
      <w:t>ECE/TRANS/WP.15/AC.2/2019/13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BCD" w14:textId="77777777" w:rsidR="000401CE" w:rsidRPr="00F4048C" w:rsidRDefault="000401CE" w:rsidP="008B4D3E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31E4C"/>
    <w:multiLevelType w:val="hybridMultilevel"/>
    <w:tmpl w:val="9F9247B6"/>
    <w:lvl w:ilvl="0" w:tplc="D6701E80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DB327C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20"/>
  </w:num>
  <w:num w:numId="17">
    <w:abstractNumId w:val="11"/>
  </w:num>
  <w:num w:numId="18">
    <w:abstractNumId w:val="21"/>
  </w:num>
  <w:num w:numId="19">
    <w:abstractNumId w:val="19"/>
  </w:num>
  <w:num w:numId="20">
    <w:abstractNumId w:val="13"/>
  </w:num>
  <w:num w:numId="21">
    <w:abstractNumId w:val="23"/>
  </w:num>
  <w:num w:numId="22">
    <w:abstractNumId w:val="22"/>
  </w:num>
  <w:num w:numId="23">
    <w:abstractNumId w:val="15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FBA"/>
    <w:rsid w:val="00020A78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5E9B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7405D"/>
    <w:rsid w:val="0018416D"/>
    <w:rsid w:val="0018765D"/>
    <w:rsid w:val="00197440"/>
    <w:rsid w:val="001A136F"/>
    <w:rsid w:val="001A4F70"/>
    <w:rsid w:val="001A752B"/>
    <w:rsid w:val="001B16EA"/>
    <w:rsid w:val="001B1E4B"/>
    <w:rsid w:val="001E1210"/>
    <w:rsid w:val="001E2770"/>
    <w:rsid w:val="001F2C99"/>
    <w:rsid w:val="001F6A92"/>
    <w:rsid w:val="00202FBB"/>
    <w:rsid w:val="00210044"/>
    <w:rsid w:val="00213C99"/>
    <w:rsid w:val="002142AC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C4BFA"/>
    <w:rsid w:val="002D0E68"/>
    <w:rsid w:val="002D1871"/>
    <w:rsid w:val="002D39F0"/>
    <w:rsid w:val="002D7FFD"/>
    <w:rsid w:val="002E4C74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270A"/>
    <w:rsid w:val="003F3BEE"/>
    <w:rsid w:val="004202BD"/>
    <w:rsid w:val="0042401A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D4787"/>
    <w:rsid w:val="004E4C77"/>
    <w:rsid w:val="004E4CC3"/>
    <w:rsid w:val="004F7E29"/>
    <w:rsid w:val="00500FC6"/>
    <w:rsid w:val="005055CC"/>
    <w:rsid w:val="00507B1C"/>
    <w:rsid w:val="0051398E"/>
    <w:rsid w:val="0052066C"/>
    <w:rsid w:val="005235DD"/>
    <w:rsid w:val="00526A9D"/>
    <w:rsid w:val="00526CCA"/>
    <w:rsid w:val="00532E46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772D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455D9"/>
    <w:rsid w:val="007503D0"/>
    <w:rsid w:val="00753671"/>
    <w:rsid w:val="00753755"/>
    <w:rsid w:val="00753ABE"/>
    <w:rsid w:val="007557E5"/>
    <w:rsid w:val="00757E9E"/>
    <w:rsid w:val="0076518E"/>
    <w:rsid w:val="007721BD"/>
    <w:rsid w:val="00775959"/>
    <w:rsid w:val="00776067"/>
    <w:rsid w:val="00781BB4"/>
    <w:rsid w:val="007848CB"/>
    <w:rsid w:val="00786F28"/>
    <w:rsid w:val="00792939"/>
    <w:rsid w:val="00794692"/>
    <w:rsid w:val="00797DEA"/>
    <w:rsid w:val="007A1097"/>
    <w:rsid w:val="007A17FC"/>
    <w:rsid w:val="007A30BD"/>
    <w:rsid w:val="007A63E9"/>
    <w:rsid w:val="007B46C5"/>
    <w:rsid w:val="007B799C"/>
    <w:rsid w:val="007C2E8E"/>
    <w:rsid w:val="007C5E57"/>
    <w:rsid w:val="007C6011"/>
    <w:rsid w:val="007D1368"/>
    <w:rsid w:val="007D59FA"/>
    <w:rsid w:val="007F0D64"/>
    <w:rsid w:val="0080168B"/>
    <w:rsid w:val="008059A3"/>
    <w:rsid w:val="00806A75"/>
    <w:rsid w:val="0081106B"/>
    <w:rsid w:val="00817A1C"/>
    <w:rsid w:val="00820A23"/>
    <w:rsid w:val="00830C13"/>
    <w:rsid w:val="00831E12"/>
    <w:rsid w:val="00835F82"/>
    <w:rsid w:val="00845127"/>
    <w:rsid w:val="0085389B"/>
    <w:rsid w:val="00856A9B"/>
    <w:rsid w:val="008610F7"/>
    <w:rsid w:val="0086743F"/>
    <w:rsid w:val="00867AAE"/>
    <w:rsid w:val="00874E4D"/>
    <w:rsid w:val="008757A0"/>
    <w:rsid w:val="00876716"/>
    <w:rsid w:val="00877E7D"/>
    <w:rsid w:val="00882429"/>
    <w:rsid w:val="00890A0F"/>
    <w:rsid w:val="00890A31"/>
    <w:rsid w:val="00891507"/>
    <w:rsid w:val="00891D8D"/>
    <w:rsid w:val="008B4D3E"/>
    <w:rsid w:val="008B670D"/>
    <w:rsid w:val="008C446A"/>
    <w:rsid w:val="008C4C09"/>
    <w:rsid w:val="008D5D3B"/>
    <w:rsid w:val="008D693C"/>
    <w:rsid w:val="008D6EFE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6035"/>
    <w:rsid w:val="00940390"/>
    <w:rsid w:val="00941BD9"/>
    <w:rsid w:val="00945226"/>
    <w:rsid w:val="00947B1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373B5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E1969"/>
    <w:rsid w:val="00AE1C51"/>
    <w:rsid w:val="00AE7FB5"/>
    <w:rsid w:val="00B00019"/>
    <w:rsid w:val="00B01B63"/>
    <w:rsid w:val="00B0360E"/>
    <w:rsid w:val="00B0650A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3497E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0573"/>
    <w:rsid w:val="00CC2982"/>
    <w:rsid w:val="00CE2FC5"/>
    <w:rsid w:val="00CF0031"/>
    <w:rsid w:val="00CF1270"/>
    <w:rsid w:val="00CF17EB"/>
    <w:rsid w:val="00CF663B"/>
    <w:rsid w:val="00CF6BF6"/>
    <w:rsid w:val="00D0177A"/>
    <w:rsid w:val="00D11D6E"/>
    <w:rsid w:val="00D14989"/>
    <w:rsid w:val="00D20433"/>
    <w:rsid w:val="00D2091B"/>
    <w:rsid w:val="00D21077"/>
    <w:rsid w:val="00D21631"/>
    <w:rsid w:val="00D21A03"/>
    <w:rsid w:val="00D41080"/>
    <w:rsid w:val="00D425BF"/>
    <w:rsid w:val="00D42E3A"/>
    <w:rsid w:val="00D53C6B"/>
    <w:rsid w:val="00D56FD2"/>
    <w:rsid w:val="00D60487"/>
    <w:rsid w:val="00D61720"/>
    <w:rsid w:val="00D66C42"/>
    <w:rsid w:val="00D71354"/>
    <w:rsid w:val="00D81596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2D76"/>
    <w:rsid w:val="00DE4089"/>
    <w:rsid w:val="00DF2DC6"/>
    <w:rsid w:val="00DF410F"/>
    <w:rsid w:val="00DF6A08"/>
    <w:rsid w:val="00E07BD6"/>
    <w:rsid w:val="00E16C6E"/>
    <w:rsid w:val="00E230BE"/>
    <w:rsid w:val="00E302C1"/>
    <w:rsid w:val="00E30A67"/>
    <w:rsid w:val="00E31D5D"/>
    <w:rsid w:val="00E351E4"/>
    <w:rsid w:val="00E41801"/>
    <w:rsid w:val="00E434E2"/>
    <w:rsid w:val="00E53672"/>
    <w:rsid w:val="00E54DA3"/>
    <w:rsid w:val="00E565A4"/>
    <w:rsid w:val="00E6137E"/>
    <w:rsid w:val="00E7429E"/>
    <w:rsid w:val="00E742AA"/>
    <w:rsid w:val="00E80222"/>
    <w:rsid w:val="00E866D6"/>
    <w:rsid w:val="00E87014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16F3"/>
    <w:rsid w:val="00ED6EF8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60ABD"/>
    <w:rsid w:val="00F711AA"/>
    <w:rsid w:val="00F714AB"/>
    <w:rsid w:val="00F729F8"/>
    <w:rsid w:val="00F75D32"/>
    <w:rsid w:val="00F84B81"/>
    <w:rsid w:val="00FA58F8"/>
    <w:rsid w:val="00FC321C"/>
    <w:rsid w:val="00FC6D5D"/>
    <w:rsid w:val="00FD53C0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732DC8B"/>
  <w15:chartTrackingRefBased/>
  <w15:docId w15:val="{4AF25DF7-A3EB-4A29-BBED-C953F03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467D-8535-4067-9912-9CCFFD80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Secretariat</cp:lastModifiedBy>
  <cp:revision>15</cp:revision>
  <cp:lastPrinted>2018-10-08T14:08:00Z</cp:lastPrinted>
  <dcterms:created xsi:type="dcterms:W3CDTF">2018-10-26T12:41:00Z</dcterms:created>
  <dcterms:modified xsi:type="dcterms:W3CDTF">2018-11-06T15:41:00Z</dcterms:modified>
</cp:coreProperties>
</file>