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3A" w:rsidRPr="009B397E" w:rsidRDefault="0023083A" w:rsidP="0023083A">
      <w:pPr>
        <w:pStyle w:val="TDatelangues"/>
        <w:ind w:left="5387" w:right="-286"/>
        <w:rPr>
          <w:rFonts w:eastAsia="Arial" w:cs="Arial"/>
          <w:bCs/>
          <w:szCs w:val="24"/>
          <w:lang w:val="de-DE" w:eastAsia="de-DE"/>
        </w:rPr>
      </w:pPr>
      <w:bookmarkStart w:id="0" w:name="_GoBack"/>
      <w:bookmarkEnd w:id="0"/>
      <w:r w:rsidRPr="009B397E">
        <w:rPr>
          <w:rFonts w:eastAsia="Arial" w:cs="Arial"/>
          <w:bCs/>
          <w:noProof/>
          <w:szCs w:val="24"/>
          <w:lang w:bidi="ar-SA"/>
        </w:rPr>
        <w:drawing>
          <wp:anchor distT="0" distB="0" distL="114300" distR="114300" simplePos="0" relativeHeight="251659264" behindDoc="0" locked="0" layoutInCell="1" allowOverlap="1" wp14:anchorId="6F1C92EF" wp14:editId="363DBABC">
            <wp:simplePos x="0" y="0"/>
            <wp:positionH relativeFrom="column">
              <wp:posOffset>31711</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9B397E">
        <w:rPr>
          <w:rFonts w:eastAsia="Arial" w:cs="Arial"/>
          <w:bCs/>
          <w:szCs w:val="24"/>
          <w:lang w:val="de-DE" w:eastAsia="de-DE"/>
        </w:rPr>
        <w:t>CCNR-ZKR/ADN/WP.15/AC.2/2019/</w:t>
      </w:r>
      <w:r w:rsidR="00243A30" w:rsidRPr="009B397E">
        <w:rPr>
          <w:rFonts w:eastAsia="Arial" w:cs="Arial"/>
          <w:bCs/>
          <w:szCs w:val="24"/>
          <w:lang w:val="de-DE" w:eastAsia="de-DE"/>
        </w:rPr>
        <w:t>14</w:t>
      </w:r>
    </w:p>
    <w:p w:rsidR="0023083A" w:rsidRPr="009B397E" w:rsidRDefault="0023083A" w:rsidP="0023083A">
      <w:pPr>
        <w:tabs>
          <w:tab w:val="left" w:pos="5670"/>
        </w:tabs>
        <w:ind w:left="5387"/>
        <w:rPr>
          <w:sz w:val="16"/>
        </w:rPr>
      </w:pPr>
      <w:r w:rsidRPr="009B397E">
        <w:rPr>
          <w:sz w:val="16"/>
        </w:rPr>
        <w:t>Allgemeine Verteilung</w:t>
      </w:r>
    </w:p>
    <w:p w:rsidR="0023083A" w:rsidRPr="009B397E" w:rsidRDefault="00084AA4" w:rsidP="0023083A">
      <w:pPr>
        <w:tabs>
          <w:tab w:val="right" w:pos="3856"/>
          <w:tab w:val="left" w:pos="5670"/>
        </w:tabs>
        <w:ind w:left="5387"/>
        <w:rPr>
          <w:rFonts w:eastAsia="Arial"/>
          <w:sz w:val="20"/>
        </w:rPr>
      </w:pPr>
      <w:r w:rsidRPr="009B397E">
        <w:rPr>
          <w:rFonts w:eastAsia="Arial"/>
          <w:sz w:val="20"/>
        </w:rPr>
        <w:t>31</w:t>
      </w:r>
      <w:r w:rsidR="0023083A" w:rsidRPr="009B397E">
        <w:rPr>
          <w:rFonts w:eastAsia="Arial"/>
          <w:sz w:val="20"/>
        </w:rPr>
        <w:t>. Oktober 2018</w:t>
      </w:r>
    </w:p>
    <w:p w:rsidR="0023083A" w:rsidRPr="009B397E" w:rsidRDefault="0023083A" w:rsidP="0023083A">
      <w:pPr>
        <w:tabs>
          <w:tab w:val="right" w:pos="3856"/>
          <w:tab w:val="left" w:pos="5670"/>
        </w:tabs>
        <w:ind w:left="5387" w:right="565"/>
        <w:rPr>
          <w:sz w:val="16"/>
        </w:rPr>
      </w:pPr>
      <w:proofErr w:type="spellStart"/>
      <w:r w:rsidRPr="009B397E">
        <w:rPr>
          <w:rFonts w:eastAsia="Arial"/>
          <w:sz w:val="16"/>
        </w:rPr>
        <w:t>Or</w:t>
      </w:r>
      <w:proofErr w:type="spellEnd"/>
      <w:r w:rsidRPr="009B397E">
        <w:rPr>
          <w:rFonts w:eastAsia="Arial"/>
          <w:sz w:val="16"/>
        </w:rPr>
        <w:t xml:space="preserve">.  </w:t>
      </w:r>
      <w:r w:rsidR="00243A30" w:rsidRPr="009B397E">
        <w:rPr>
          <w:rFonts w:eastAsia="Arial"/>
          <w:sz w:val="16"/>
        </w:rPr>
        <w:t>ENGLISCH</w:t>
      </w:r>
    </w:p>
    <w:p w:rsidR="0023083A" w:rsidRPr="009B397E" w:rsidRDefault="0023083A" w:rsidP="0023083A">
      <w:pPr>
        <w:rPr>
          <w:sz w:val="16"/>
        </w:rPr>
      </w:pPr>
    </w:p>
    <w:p w:rsidR="0023083A" w:rsidRPr="009B397E" w:rsidRDefault="0023083A" w:rsidP="0023083A">
      <w:pPr>
        <w:rPr>
          <w:sz w:val="16"/>
        </w:rPr>
      </w:pPr>
    </w:p>
    <w:p w:rsidR="0023083A" w:rsidRPr="009B397E" w:rsidRDefault="0023083A" w:rsidP="0023083A">
      <w:pPr>
        <w:overflowPunct w:val="0"/>
        <w:autoSpaceDE w:val="0"/>
        <w:autoSpaceDN w:val="0"/>
        <w:adjustRightInd w:val="0"/>
        <w:ind w:left="4111" w:right="-2"/>
        <w:textAlignment w:val="baseline"/>
        <w:rPr>
          <w:snapToGrid w:val="0"/>
          <w:sz w:val="16"/>
          <w:szCs w:val="16"/>
          <w:lang w:eastAsia="fr-FR"/>
        </w:rPr>
      </w:pPr>
      <w:r w:rsidRPr="009B397E">
        <w:rPr>
          <w:snapToGrid w:val="0"/>
          <w:sz w:val="16"/>
          <w:szCs w:val="16"/>
          <w:lang w:eastAsia="fr-FR"/>
        </w:rPr>
        <w:t>GEMEINSAME EXPERTENTAGUNG FÜR DIE DEM ÜBEREINKOMMEN ÜBER DIE INTERNATIONALE BEFÖRDERUNG VON GEFÄHRLICHEN GÜTERN AUF BINNENWASSERSTRASSEN</w:t>
      </w:r>
    </w:p>
    <w:p w:rsidR="0023083A" w:rsidRPr="009B397E" w:rsidRDefault="0023083A" w:rsidP="0023083A">
      <w:pPr>
        <w:overflowPunct w:val="0"/>
        <w:autoSpaceDE w:val="0"/>
        <w:autoSpaceDN w:val="0"/>
        <w:adjustRightInd w:val="0"/>
        <w:ind w:left="4111" w:right="-2"/>
        <w:textAlignment w:val="baseline"/>
        <w:rPr>
          <w:snapToGrid w:val="0"/>
          <w:sz w:val="16"/>
          <w:szCs w:val="16"/>
          <w:lang w:eastAsia="fr-FR"/>
        </w:rPr>
      </w:pPr>
      <w:r w:rsidRPr="009B397E">
        <w:rPr>
          <w:snapToGrid w:val="0"/>
          <w:sz w:val="16"/>
          <w:szCs w:val="16"/>
          <w:lang w:eastAsia="fr-FR"/>
        </w:rPr>
        <w:t>BEIGEFÜGTE VERORDNUNG (ADN)</w:t>
      </w:r>
    </w:p>
    <w:p w:rsidR="0023083A" w:rsidRPr="009B397E" w:rsidRDefault="0023083A" w:rsidP="0023083A">
      <w:pPr>
        <w:tabs>
          <w:tab w:val="left" w:pos="2977"/>
        </w:tabs>
        <w:ind w:left="4111" w:right="-2"/>
        <w:rPr>
          <w:snapToGrid w:val="0"/>
          <w:sz w:val="16"/>
          <w:szCs w:val="16"/>
          <w:lang w:eastAsia="fr-FR"/>
        </w:rPr>
      </w:pPr>
      <w:r w:rsidRPr="009B397E">
        <w:rPr>
          <w:snapToGrid w:val="0"/>
          <w:sz w:val="16"/>
          <w:szCs w:val="16"/>
          <w:lang w:eastAsia="fr-FR"/>
        </w:rPr>
        <w:t>(SICHERHEITSAUSSCHUSS)</w:t>
      </w:r>
    </w:p>
    <w:p w:rsidR="0023083A" w:rsidRPr="009B397E" w:rsidRDefault="0023083A" w:rsidP="0023083A">
      <w:pPr>
        <w:tabs>
          <w:tab w:val="left" w:pos="2977"/>
        </w:tabs>
        <w:ind w:left="4111" w:right="-2"/>
        <w:rPr>
          <w:snapToGrid w:val="0"/>
          <w:sz w:val="16"/>
          <w:szCs w:val="16"/>
          <w:lang w:eastAsia="fr-FR"/>
        </w:rPr>
      </w:pPr>
      <w:r w:rsidRPr="009B397E">
        <w:rPr>
          <w:snapToGrid w:val="0"/>
          <w:sz w:val="16"/>
          <w:szCs w:val="16"/>
          <w:lang w:eastAsia="fr-FR"/>
        </w:rPr>
        <w:t>(34. Tagung, Genf, 21. bis 25. Januar 2019)</w:t>
      </w:r>
    </w:p>
    <w:p w:rsidR="0023083A" w:rsidRPr="009B397E" w:rsidRDefault="0023083A" w:rsidP="0023083A">
      <w:pPr>
        <w:tabs>
          <w:tab w:val="left" w:pos="2977"/>
        </w:tabs>
        <w:ind w:left="4111" w:right="-2"/>
        <w:rPr>
          <w:snapToGrid w:val="0"/>
          <w:sz w:val="16"/>
          <w:szCs w:val="16"/>
          <w:lang w:eastAsia="fr-FR"/>
        </w:rPr>
      </w:pPr>
      <w:r w:rsidRPr="009B397E">
        <w:rPr>
          <w:snapToGrid w:val="0"/>
          <w:sz w:val="16"/>
          <w:szCs w:val="16"/>
          <w:lang w:eastAsia="fr-FR"/>
        </w:rPr>
        <w:t xml:space="preserve">Punkt </w:t>
      </w:r>
      <w:r w:rsidR="00243A30" w:rsidRPr="009B397E">
        <w:rPr>
          <w:snapToGrid w:val="0"/>
          <w:sz w:val="16"/>
          <w:szCs w:val="16"/>
          <w:lang w:eastAsia="fr-FR"/>
        </w:rPr>
        <w:t>6</w:t>
      </w:r>
      <w:r w:rsidR="00084AA4" w:rsidRPr="009B397E">
        <w:rPr>
          <w:snapToGrid w:val="0"/>
          <w:sz w:val="16"/>
          <w:szCs w:val="16"/>
          <w:lang w:eastAsia="fr-FR"/>
        </w:rPr>
        <w:t>)</w:t>
      </w:r>
      <w:r w:rsidRPr="009B397E">
        <w:rPr>
          <w:snapToGrid w:val="0"/>
          <w:sz w:val="16"/>
          <w:szCs w:val="16"/>
          <w:lang w:eastAsia="fr-FR"/>
        </w:rPr>
        <w:t xml:space="preserve"> zur vorläufigen Tagesordnung</w:t>
      </w:r>
    </w:p>
    <w:p w:rsidR="0023083A" w:rsidRPr="009B397E" w:rsidRDefault="00243A30" w:rsidP="0023083A">
      <w:pPr>
        <w:tabs>
          <w:tab w:val="left" w:pos="2977"/>
        </w:tabs>
        <w:ind w:left="4111"/>
        <w:rPr>
          <w:b/>
          <w:sz w:val="16"/>
          <w:szCs w:val="16"/>
          <w:lang w:eastAsia="en-US"/>
        </w:rPr>
      </w:pPr>
      <w:r w:rsidRPr="009B397E">
        <w:rPr>
          <w:b/>
          <w:sz w:val="16"/>
          <w:szCs w:val="16"/>
          <w:lang w:eastAsia="en-US"/>
        </w:rPr>
        <w:t>Berichte informeller Arbeitsgruppen</w:t>
      </w:r>
    </w:p>
    <w:p w:rsidR="00243A30" w:rsidRPr="009B397E" w:rsidRDefault="00243A30" w:rsidP="006815A9">
      <w:pPr>
        <w:keepNext/>
        <w:keepLines/>
        <w:tabs>
          <w:tab w:val="right" w:pos="851"/>
        </w:tabs>
        <w:suppressAutoHyphens/>
        <w:spacing w:before="360" w:after="240" w:line="240" w:lineRule="atLeast"/>
        <w:ind w:left="1134" w:right="282" w:hanging="1134"/>
        <w:rPr>
          <w:rFonts w:ascii="Times New Roman" w:hAnsi="Times New Roman" w:cs="Times New Roman"/>
          <w:b/>
          <w:sz w:val="28"/>
          <w:szCs w:val="20"/>
          <w:lang w:eastAsia="en-US"/>
        </w:rPr>
      </w:pPr>
      <w:r w:rsidRPr="009B397E">
        <w:rPr>
          <w:rFonts w:ascii="Times New Roman" w:hAnsi="Times New Roman" w:cs="Times New Roman"/>
          <w:b/>
          <w:sz w:val="28"/>
          <w:szCs w:val="20"/>
          <w:lang w:eastAsia="en-US"/>
        </w:rPr>
        <w:tab/>
      </w:r>
      <w:r w:rsidRPr="009B397E">
        <w:rPr>
          <w:rFonts w:ascii="Times New Roman" w:hAnsi="Times New Roman" w:cs="Times New Roman"/>
          <w:b/>
          <w:sz w:val="28"/>
          <w:szCs w:val="20"/>
          <w:lang w:eastAsia="en-US"/>
        </w:rPr>
        <w:tab/>
      </w:r>
      <w:r w:rsidR="006815A9" w:rsidRPr="009B397E">
        <w:rPr>
          <w:rFonts w:ascii="Times New Roman" w:hAnsi="Times New Roman" w:cs="Times New Roman"/>
          <w:b/>
          <w:sz w:val="28"/>
          <w:szCs w:val="20"/>
          <w:lang w:eastAsia="en-US"/>
        </w:rPr>
        <w:t>Bericht der informellen Arbeitsgruppe „Membrantanks“</w:t>
      </w:r>
    </w:p>
    <w:p w:rsidR="00243A30" w:rsidRPr="009B397E" w:rsidRDefault="00243A30" w:rsidP="00EC7DFB">
      <w:pPr>
        <w:keepNext/>
        <w:keepLines/>
        <w:tabs>
          <w:tab w:val="right" w:pos="851"/>
        </w:tabs>
        <w:suppressAutoHyphens/>
        <w:spacing w:before="360" w:after="240" w:line="270" w:lineRule="exact"/>
        <w:ind w:left="1134" w:right="1134" w:hanging="1134"/>
        <w:jc w:val="both"/>
        <w:rPr>
          <w:rFonts w:ascii="Times New Roman" w:hAnsi="Times New Roman" w:cs="Times New Roman"/>
          <w:b/>
          <w:szCs w:val="20"/>
          <w:lang w:eastAsia="en-US"/>
        </w:rPr>
      </w:pPr>
      <w:r w:rsidRPr="009B397E">
        <w:rPr>
          <w:rFonts w:ascii="Times New Roman" w:hAnsi="Times New Roman" w:cs="Times New Roman"/>
          <w:b/>
          <w:szCs w:val="20"/>
          <w:lang w:eastAsia="en-US"/>
        </w:rPr>
        <w:tab/>
      </w:r>
      <w:r w:rsidRPr="009B397E">
        <w:rPr>
          <w:rFonts w:ascii="Times New Roman" w:hAnsi="Times New Roman" w:cs="Times New Roman"/>
          <w:b/>
          <w:szCs w:val="20"/>
          <w:lang w:eastAsia="en-US"/>
        </w:rPr>
        <w:tab/>
      </w:r>
      <w:r w:rsidR="006815A9" w:rsidRPr="009B397E">
        <w:rPr>
          <w:rFonts w:ascii="Times New Roman" w:hAnsi="Times New Roman" w:cs="Times New Roman"/>
          <w:b/>
          <w:szCs w:val="20"/>
          <w:lang w:eastAsia="en-US"/>
        </w:rPr>
        <w:t>Eingereicht von Belgien, Frankreich, Deutschland und den Niederlanden</w:t>
      </w:r>
      <w:r w:rsidRPr="009B397E">
        <w:rPr>
          <w:rStyle w:val="FootnoteReference"/>
          <w:b/>
          <w:lang w:eastAsia="en-US"/>
        </w:rPr>
        <w:footnoteReference w:customMarkFollows="1" w:id="1"/>
        <w:t>*</w:t>
      </w:r>
      <w:r w:rsidRPr="009B397E">
        <w:rPr>
          <w:rFonts w:ascii="Times New Roman" w:hAnsi="Times New Roman" w:cs="Times New Roman"/>
          <w:b/>
          <w:sz w:val="16"/>
          <w:szCs w:val="20"/>
          <w:vertAlign w:val="superscript"/>
          <w:lang w:eastAsia="en-US"/>
        </w:rPr>
        <w:t>,,</w:t>
      </w:r>
      <w:r w:rsidRPr="009B397E">
        <w:rPr>
          <w:rStyle w:val="FootnoteReference"/>
          <w:rFonts w:eastAsia="Calibri"/>
          <w:b/>
          <w:bCs/>
          <w:lang w:eastAsia="en-US"/>
        </w:rPr>
        <w:footnoteReference w:customMarkFollows="1" w:id="2"/>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243A30" w:rsidRPr="009B397E" w:rsidTr="006B6EEA">
        <w:trPr>
          <w:jc w:val="center"/>
        </w:trPr>
        <w:tc>
          <w:tcPr>
            <w:tcW w:w="2552" w:type="dxa"/>
          </w:tcPr>
          <w:p w:rsidR="00243A30" w:rsidRPr="009B397E" w:rsidRDefault="00243A30" w:rsidP="00243A30">
            <w:pPr>
              <w:suppressAutoHyphens/>
              <w:spacing w:before="240" w:after="120" w:line="240" w:lineRule="atLeast"/>
              <w:ind w:left="73"/>
              <w:rPr>
                <w:rFonts w:ascii="Times New Roman" w:hAnsi="Times New Roman" w:cs="Times New Roman"/>
                <w:b/>
                <w:sz w:val="20"/>
                <w:szCs w:val="20"/>
                <w:lang w:eastAsia="en-US"/>
              </w:rPr>
            </w:pPr>
            <w:r w:rsidRPr="009B397E">
              <w:rPr>
                <w:rFonts w:ascii="Times New Roman" w:hAnsi="Times New Roman" w:cs="Times New Roman"/>
                <w:i/>
                <w:szCs w:val="20"/>
                <w:lang w:eastAsia="en-US"/>
              </w:rPr>
              <w:t>Zusammenfassung</w:t>
            </w:r>
          </w:p>
        </w:tc>
        <w:tc>
          <w:tcPr>
            <w:tcW w:w="5953" w:type="dxa"/>
          </w:tcPr>
          <w:p w:rsidR="00243A30" w:rsidRPr="009B397E" w:rsidRDefault="00243A30" w:rsidP="00243A30">
            <w:pPr>
              <w:suppressAutoHyphens/>
              <w:spacing w:before="240" w:after="120" w:line="240" w:lineRule="atLeast"/>
              <w:ind w:left="255"/>
              <w:rPr>
                <w:rFonts w:ascii="Times New Roman" w:hAnsi="Times New Roman" w:cs="Times New Roman"/>
                <w:bCs/>
                <w:sz w:val="20"/>
                <w:lang w:eastAsia="en-US"/>
              </w:rPr>
            </w:pPr>
          </w:p>
        </w:tc>
      </w:tr>
      <w:tr w:rsidR="00243A30" w:rsidRPr="009B397E" w:rsidTr="006B6EEA">
        <w:trPr>
          <w:jc w:val="center"/>
        </w:trPr>
        <w:tc>
          <w:tcPr>
            <w:tcW w:w="2552" w:type="dxa"/>
          </w:tcPr>
          <w:p w:rsidR="00243A30" w:rsidRPr="009B397E" w:rsidRDefault="00243A30" w:rsidP="00243A30">
            <w:pPr>
              <w:tabs>
                <w:tab w:val="left" w:pos="284"/>
              </w:tabs>
              <w:suppressAutoHyphens/>
              <w:spacing w:after="120" w:line="240" w:lineRule="atLeast"/>
              <w:rPr>
                <w:rFonts w:ascii="Times New Roman" w:hAnsi="Times New Roman" w:cs="Times New Roman"/>
                <w:sz w:val="20"/>
                <w:szCs w:val="20"/>
                <w:lang w:eastAsia="en-US"/>
              </w:rPr>
            </w:pPr>
            <w:r w:rsidRPr="009B397E">
              <w:rPr>
                <w:rFonts w:ascii="Times New Roman" w:hAnsi="Times New Roman" w:cs="Times New Roman"/>
                <w:b/>
                <w:sz w:val="20"/>
                <w:szCs w:val="20"/>
                <w:lang w:eastAsia="en-US"/>
              </w:rPr>
              <w:t>Analytische Zusammenfassung:</w:t>
            </w:r>
          </w:p>
        </w:tc>
        <w:tc>
          <w:tcPr>
            <w:tcW w:w="5953" w:type="dxa"/>
          </w:tcPr>
          <w:p w:rsidR="00243A30" w:rsidRPr="009B397E" w:rsidRDefault="00EC723E" w:rsidP="006600D3">
            <w:pPr>
              <w:suppressAutoHyphens/>
              <w:spacing w:after="120" w:line="240" w:lineRule="atLeast"/>
              <w:jc w:val="both"/>
              <w:rPr>
                <w:rFonts w:ascii="Times New Roman" w:hAnsi="Times New Roman" w:cs="Times New Roman"/>
                <w:sz w:val="20"/>
                <w:szCs w:val="20"/>
                <w:lang w:eastAsia="en-US"/>
              </w:rPr>
            </w:pPr>
            <w:r w:rsidRPr="009B397E">
              <w:rPr>
                <w:rFonts w:ascii="Times New Roman" w:hAnsi="Times New Roman" w:cs="Times New Roman"/>
                <w:bCs/>
                <w:sz w:val="20"/>
                <w:lang w:eastAsia="en-US"/>
              </w:rPr>
              <w:t>Das Dokument enthält den Bericht über die dritte Sitzung der informellen Arbeitsgruppe „Membrantanks“.</w:t>
            </w:r>
            <w:r w:rsidR="00243A30" w:rsidRPr="009B397E">
              <w:rPr>
                <w:rFonts w:ascii="Times New Roman" w:hAnsi="Times New Roman" w:cs="Times New Roman"/>
                <w:bCs/>
                <w:sz w:val="20"/>
                <w:lang w:eastAsia="en-US"/>
              </w:rPr>
              <w:t xml:space="preserve"> </w:t>
            </w:r>
            <w:r w:rsidRPr="009B397E">
              <w:rPr>
                <w:rFonts w:ascii="Times New Roman" w:hAnsi="Times New Roman" w:cs="Times New Roman"/>
                <w:bCs/>
                <w:sz w:val="20"/>
                <w:lang w:eastAsia="en-US"/>
              </w:rPr>
              <w:t>Gemäß ihrem Mandat erörterte die informelle Arbeitsgruppe die jüngsten Entwicklungen auf dem Markt für verflüssigtes Erdgas (LNG)</w:t>
            </w:r>
            <w:r w:rsidR="006B6EEA" w:rsidRPr="009B397E">
              <w:rPr>
                <w:rFonts w:ascii="Times New Roman" w:hAnsi="Times New Roman" w:cs="Times New Roman"/>
                <w:bCs/>
                <w:sz w:val="20"/>
                <w:lang w:eastAsia="en-US"/>
              </w:rPr>
              <w:t xml:space="preserve"> sowie</w:t>
            </w:r>
            <w:r w:rsidRPr="009B397E">
              <w:rPr>
                <w:rFonts w:ascii="Times New Roman" w:hAnsi="Times New Roman" w:cs="Times New Roman"/>
                <w:bCs/>
                <w:sz w:val="20"/>
                <w:lang w:eastAsia="en-US"/>
              </w:rPr>
              <w:t xml:space="preserve"> die Liste der für die Beförderung in Membrantanks geeigneten Stoffe und erarbeitete einen ersten Ansatz zur Regulierung von Membrantanks in der dem ADN beigefügten Verordnung.</w:t>
            </w:r>
          </w:p>
        </w:tc>
      </w:tr>
      <w:tr w:rsidR="00243A30" w:rsidRPr="009B397E" w:rsidTr="006B6EEA">
        <w:trPr>
          <w:trHeight w:val="509"/>
          <w:jc w:val="center"/>
        </w:trPr>
        <w:tc>
          <w:tcPr>
            <w:tcW w:w="2552" w:type="dxa"/>
          </w:tcPr>
          <w:p w:rsidR="00243A30" w:rsidRPr="009B397E" w:rsidRDefault="00243A30" w:rsidP="00243A30">
            <w:pPr>
              <w:tabs>
                <w:tab w:val="left" w:pos="284"/>
              </w:tabs>
              <w:suppressAutoHyphens/>
              <w:spacing w:after="120" w:line="240" w:lineRule="atLeast"/>
              <w:rPr>
                <w:rFonts w:ascii="Times New Roman" w:hAnsi="Times New Roman" w:cs="Times New Roman"/>
                <w:b/>
                <w:sz w:val="20"/>
                <w:szCs w:val="20"/>
                <w:lang w:eastAsia="en-US"/>
              </w:rPr>
            </w:pPr>
            <w:r w:rsidRPr="009B397E">
              <w:rPr>
                <w:rFonts w:ascii="Times New Roman" w:hAnsi="Times New Roman" w:cs="Times New Roman"/>
                <w:b/>
                <w:sz w:val="20"/>
                <w:szCs w:val="20"/>
                <w:lang w:eastAsia="en-US"/>
              </w:rPr>
              <w:t>Zu ergreifende Maßnahme:</w:t>
            </w:r>
          </w:p>
        </w:tc>
        <w:tc>
          <w:tcPr>
            <w:tcW w:w="5953" w:type="dxa"/>
          </w:tcPr>
          <w:p w:rsidR="00243A30" w:rsidRPr="009B397E" w:rsidRDefault="006B6EEA" w:rsidP="006600D3">
            <w:pPr>
              <w:suppressAutoHyphens/>
              <w:spacing w:after="120" w:line="240" w:lineRule="atLeast"/>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Der Sicherheitsausschuss wird ersucht, den Bericht der informellen Arbeitsgruppe zu erörtern und Rückmeldungen und Anregungen zu dem von der informellen Arbeitsgruppe gewählten Ansatz zu geben.</w:t>
            </w:r>
          </w:p>
        </w:tc>
      </w:tr>
      <w:tr w:rsidR="00243A30" w:rsidRPr="00EC7DFB" w:rsidTr="006B6EEA">
        <w:trPr>
          <w:jc w:val="center"/>
        </w:trPr>
        <w:tc>
          <w:tcPr>
            <w:tcW w:w="2552" w:type="dxa"/>
            <w:tcBorders>
              <w:bottom w:val="single" w:sz="4" w:space="0" w:color="auto"/>
            </w:tcBorders>
          </w:tcPr>
          <w:p w:rsidR="00243A30" w:rsidRPr="009B397E" w:rsidRDefault="00243A30" w:rsidP="00243A30">
            <w:pPr>
              <w:tabs>
                <w:tab w:val="left" w:pos="284"/>
              </w:tabs>
              <w:suppressAutoHyphens/>
              <w:spacing w:after="120" w:line="240" w:lineRule="atLeast"/>
              <w:rPr>
                <w:rFonts w:ascii="Times New Roman" w:hAnsi="Times New Roman" w:cs="Times New Roman"/>
                <w:b/>
                <w:sz w:val="20"/>
                <w:szCs w:val="20"/>
                <w:lang w:eastAsia="en-US"/>
              </w:rPr>
            </w:pPr>
            <w:r w:rsidRPr="009B397E">
              <w:rPr>
                <w:rFonts w:ascii="Times New Roman" w:hAnsi="Times New Roman" w:cs="Times New Roman"/>
                <w:b/>
                <w:sz w:val="20"/>
                <w:szCs w:val="20"/>
                <w:lang w:eastAsia="en-US"/>
              </w:rPr>
              <w:t>Verbundene Dokumente:</w:t>
            </w:r>
          </w:p>
        </w:tc>
        <w:tc>
          <w:tcPr>
            <w:tcW w:w="5953" w:type="dxa"/>
            <w:tcBorders>
              <w:bottom w:val="single" w:sz="4" w:space="0" w:color="auto"/>
            </w:tcBorders>
          </w:tcPr>
          <w:p w:rsidR="00243A30" w:rsidRPr="009B397E" w:rsidRDefault="00243A30" w:rsidP="00243A30">
            <w:pPr>
              <w:suppressAutoHyphens/>
              <w:spacing w:line="240" w:lineRule="atLeast"/>
              <w:rPr>
                <w:rFonts w:ascii="Times New Roman" w:hAnsi="Times New Roman" w:cs="Times New Roman"/>
                <w:sz w:val="20"/>
                <w:szCs w:val="20"/>
                <w:lang w:eastAsia="en-US"/>
              </w:rPr>
            </w:pPr>
            <w:r w:rsidRPr="009B397E">
              <w:rPr>
                <w:rFonts w:ascii="Times New Roman" w:hAnsi="Times New Roman" w:cs="Times New Roman"/>
                <w:sz w:val="20"/>
                <w:szCs w:val="20"/>
                <w:lang w:eastAsia="en-US"/>
              </w:rPr>
              <w:t>Informelles Dokument INF.6 der 27. Sitzung</w:t>
            </w:r>
          </w:p>
          <w:p w:rsidR="00243A30" w:rsidRPr="009B397E" w:rsidRDefault="00243A30" w:rsidP="00243A30">
            <w:pPr>
              <w:suppressAutoHyphens/>
              <w:spacing w:line="240" w:lineRule="atLeast"/>
              <w:rPr>
                <w:rFonts w:ascii="Times New Roman" w:hAnsi="Times New Roman" w:cs="Times New Roman"/>
                <w:sz w:val="20"/>
                <w:szCs w:val="20"/>
                <w:lang w:eastAsia="en-US"/>
              </w:rPr>
            </w:pPr>
            <w:r w:rsidRPr="009B397E">
              <w:rPr>
                <w:rFonts w:ascii="Times New Roman" w:hAnsi="Times New Roman" w:cs="Times New Roman"/>
                <w:sz w:val="20"/>
                <w:szCs w:val="20"/>
                <w:lang w:eastAsia="en-US"/>
              </w:rPr>
              <w:t>ECE/TRANS/WP.15/AC.2/56 (Abs. 9 - 12)</w:t>
            </w:r>
          </w:p>
          <w:p w:rsidR="00243A30" w:rsidRPr="009B397E" w:rsidRDefault="00243A30" w:rsidP="00243A30">
            <w:pPr>
              <w:suppressAutoHyphens/>
              <w:spacing w:line="240" w:lineRule="atLeast"/>
              <w:rPr>
                <w:rFonts w:ascii="Times New Roman" w:hAnsi="Times New Roman" w:cs="Times New Roman"/>
                <w:sz w:val="20"/>
                <w:szCs w:val="20"/>
                <w:lang w:eastAsia="en-US"/>
              </w:rPr>
            </w:pPr>
            <w:r w:rsidRPr="009B397E">
              <w:rPr>
                <w:rFonts w:ascii="Times New Roman" w:hAnsi="Times New Roman" w:cs="Times New Roman"/>
                <w:sz w:val="20"/>
                <w:szCs w:val="20"/>
                <w:lang w:eastAsia="en-US"/>
              </w:rPr>
              <w:t>ECE/ADN/33 (Abs. 12 und Anlage II)</w:t>
            </w:r>
          </w:p>
          <w:p w:rsidR="00243A30" w:rsidRPr="009B397E" w:rsidRDefault="00243A30" w:rsidP="00243A30">
            <w:pPr>
              <w:suppressAutoHyphens/>
              <w:spacing w:line="240" w:lineRule="atLeast"/>
              <w:rPr>
                <w:rFonts w:ascii="Times New Roman" w:hAnsi="Times New Roman" w:cs="Times New Roman"/>
                <w:sz w:val="20"/>
                <w:szCs w:val="20"/>
                <w:lang w:eastAsia="en-US"/>
              </w:rPr>
            </w:pPr>
            <w:r w:rsidRPr="009B397E">
              <w:rPr>
                <w:rFonts w:ascii="Times New Roman" w:hAnsi="Times New Roman" w:cs="Times New Roman"/>
                <w:sz w:val="20"/>
                <w:szCs w:val="20"/>
                <w:lang w:eastAsia="en-US"/>
              </w:rPr>
              <w:t>Informelles Dokument INF.26 der 31. Sitzung</w:t>
            </w:r>
          </w:p>
          <w:p w:rsidR="00243A30" w:rsidRPr="009B397E" w:rsidRDefault="00243A30" w:rsidP="00243A30">
            <w:pPr>
              <w:suppressAutoHyphens/>
              <w:spacing w:line="240" w:lineRule="atLeast"/>
              <w:rPr>
                <w:rFonts w:ascii="Times New Roman" w:hAnsi="Times New Roman" w:cs="Times New Roman"/>
                <w:sz w:val="20"/>
                <w:szCs w:val="20"/>
                <w:lang w:eastAsia="en-US"/>
              </w:rPr>
            </w:pPr>
            <w:r w:rsidRPr="009B397E">
              <w:rPr>
                <w:rFonts w:ascii="Times New Roman" w:hAnsi="Times New Roman" w:cs="Times New Roman"/>
                <w:sz w:val="20"/>
                <w:szCs w:val="20"/>
                <w:lang w:eastAsia="en-US"/>
              </w:rPr>
              <w:t>ECE/TRANS/WP.15/AC.2/64 (Abs. 62)</w:t>
            </w:r>
          </w:p>
          <w:p w:rsidR="00243A30" w:rsidRPr="009B397E" w:rsidRDefault="00243A30" w:rsidP="00243A30">
            <w:pPr>
              <w:suppressAutoHyphens/>
              <w:spacing w:line="240" w:lineRule="atLeast"/>
              <w:rPr>
                <w:rFonts w:ascii="Times New Roman" w:hAnsi="Times New Roman" w:cs="Times New Roman"/>
                <w:sz w:val="20"/>
                <w:szCs w:val="20"/>
                <w:lang w:eastAsia="en-US"/>
              </w:rPr>
            </w:pPr>
            <w:r w:rsidRPr="009B397E">
              <w:rPr>
                <w:rFonts w:ascii="Times New Roman" w:hAnsi="Times New Roman" w:cs="Times New Roman"/>
                <w:sz w:val="20"/>
                <w:szCs w:val="20"/>
                <w:lang w:eastAsia="en-US"/>
              </w:rPr>
              <w:t>ECE/TRANS/WP.15/AC.2/2018/35</w:t>
            </w:r>
          </w:p>
          <w:p w:rsidR="00243A30" w:rsidRPr="009B397E" w:rsidRDefault="00243A30" w:rsidP="00243A30">
            <w:pPr>
              <w:suppressAutoHyphens/>
              <w:spacing w:line="240" w:lineRule="atLeast"/>
              <w:rPr>
                <w:rFonts w:ascii="Times New Roman" w:hAnsi="Times New Roman" w:cs="Times New Roman"/>
                <w:sz w:val="20"/>
                <w:szCs w:val="20"/>
                <w:lang w:eastAsia="en-US"/>
              </w:rPr>
            </w:pPr>
            <w:r w:rsidRPr="009B397E">
              <w:rPr>
                <w:rFonts w:ascii="Times New Roman" w:hAnsi="Times New Roman" w:cs="Times New Roman"/>
                <w:sz w:val="20"/>
                <w:szCs w:val="20"/>
                <w:lang w:eastAsia="en-US"/>
              </w:rPr>
              <w:t>Informelles Dokument INF.25 der 33. Sitzung</w:t>
            </w:r>
          </w:p>
          <w:p w:rsidR="00243A30" w:rsidRPr="00354A3C" w:rsidRDefault="00243A30" w:rsidP="00243A30">
            <w:pPr>
              <w:suppressAutoHyphens/>
              <w:spacing w:after="120" w:line="240" w:lineRule="atLeast"/>
              <w:rPr>
                <w:rFonts w:ascii="Times New Roman" w:hAnsi="Times New Roman" w:cs="Times New Roman"/>
                <w:sz w:val="20"/>
                <w:szCs w:val="20"/>
                <w:lang w:val="fr-FR" w:eastAsia="en-US"/>
              </w:rPr>
            </w:pPr>
            <w:r w:rsidRPr="00354A3C">
              <w:rPr>
                <w:rFonts w:ascii="Times New Roman" w:hAnsi="Times New Roman" w:cs="Times New Roman"/>
                <w:sz w:val="20"/>
                <w:szCs w:val="20"/>
                <w:lang w:val="fr-FR" w:eastAsia="en-US"/>
              </w:rPr>
              <w:t>ECE/TRANS/WP.15/AC.2/68 (Abs. 68-70)</w:t>
            </w:r>
          </w:p>
        </w:tc>
      </w:tr>
    </w:tbl>
    <w:p w:rsidR="00354A3C" w:rsidRDefault="00354A3C" w:rsidP="00243A30">
      <w:pPr>
        <w:keepNext/>
        <w:keepLines/>
        <w:tabs>
          <w:tab w:val="right" w:pos="851"/>
          <w:tab w:val="left" w:pos="1701"/>
        </w:tabs>
        <w:suppressAutoHyphens/>
        <w:spacing w:before="360" w:after="240" w:line="300" w:lineRule="exact"/>
        <w:ind w:left="1134" w:right="1134" w:hanging="1134"/>
        <w:rPr>
          <w:rFonts w:ascii="Times New Roman" w:hAnsi="Times New Roman" w:cs="Times New Roman"/>
          <w:b/>
          <w:sz w:val="28"/>
          <w:szCs w:val="20"/>
          <w:lang w:val="fr-FR" w:eastAsia="en-US"/>
        </w:rPr>
      </w:pPr>
    </w:p>
    <w:p w:rsidR="00354A3C" w:rsidRDefault="00354A3C">
      <w:pPr>
        <w:rPr>
          <w:rFonts w:ascii="Times New Roman" w:hAnsi="Times New Roman" w:cs="Times New Roman"/>
          <w:b/>
          <w:sz w:val="28"/>
          <w:szCs w:val="20"/>
          <w:lang w:val="fr-FR" w:eastAsia="en-US"/>
        </w:rPr>
      </w:pPr>
      <w:r>
        <w:rPr>
          <w:rFonts w:ascii="Times New Roman" w:hAnsi="Times New Roman" w:cs="Times New Roman"/>
          <w:b/>
          <w:sz w:val="28"/>
          <w:szCs w:val="20"/>
          <w:lang w:val="fr-FR" w:eastAsia="en-US"/>
        </w:rPr>
        <w:br w:type="page"/>
      </w:r>
    </w:p>
    <w:p w:rsidR="00243A30" w:rsidRPr="009B397E" w:rsidRDefault="00243A30" w:rsidP="00243A30">
      <w:pPr>
        <w:keepNext/>
        <w:keepLines/>
        <w:tabs>
          <w:tab w:val="right" w:pos="851"/>
          <w:tab w:val="left" w:pos="1701"/>
        </w:tabs>
        <w:suppressAutoHyphens/>
        <w:spacing w:before="360" w:after="240" w:line="300" w:lineRule="exact"/>
        <w:ind w:left="1134" w:right="1134" w:hanging="1134"/>
        <w:rPr>
          <w:rFonts w:ascii="Times New Roman" w:hAnsi="Times New Roman" w:cs="Times New Roman"/>
          <w:b/>
          <w:sz w:val="28"/>
          <w:szCs w:val="20"/>
          <w:lang w:eastAsia="en-US"/>
        </w:rPr>
      </w:pPr>
      <w:r w:rsidRPr="00354A3C">
        <w:rPr>
          <w:rFonts w:ascii="Times New Roman" w:hAnsi="Times New Roman" w:cs="Times New Roman"/>
          <w:b/>
          <w:sz w:val="28"/>
          <w:szCs w:val="20"/>
          <w:lang w:val="fr-FR" w:eastAsia="en-US"/>
        </w:rPr>
        <w:lastRenderedPageBreak/>
        <w:tab/>
      </w:r>
      <w:r w:rsidRPr="00354A3C">
        <w:rPr>
          <w:rFonts w:ascii="Times New Roman" w:hAnsi="Times New Roman" w:cs="Times New Roman"/>
          <w:b/>
          <w:sz w:val="28"/>
          <w:szCs w:val="20"/>
          <w:lang w:val="fr-FR" w:eastAsia="en-US"/>
        </w:rPr>
        <w:tab/>
      </w:r>
      <w:r w:rsidRPr="009B397E">
        <w:rPr>
          <w:rFonts w:ascii="Times New Roman" w:hAnsi="Times New Roman" w:cs="Times New Roman"/>
          <w:b/>
          <w:sz w:val="28"/>
          <w:szCs w:val="20"/>
          <w:lang w:eastAsia="en-US"/>
        </w:rPr>
        <w:t>Einleitung</w:t>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1.</w:t>
      </w:r>
      <w:r w:rsidRPr="009B397E">
        <w:rPr>
          <w:rFonts w:ascii="Times New Roman" w:hAnsi="Times New Roman" w:cs="Times New Roman"/>
          <w:sz w:val="20"/>
          <w:szCs w:val="20"/>
          <w:lang w:eastAsia="en-US"/>
        </w:rPr>
        <w:tab/>
      </w:r>
      <w:r w:rsidR="00737713" w:rsidRPr="009B397E">
        <w:rPr>
          <w:rFonts w:ascii="Times New Roman" w:hAnsi="Times New Roman" w:cs="Times New Roman"/>
          <w:sz w:val="20"/>
          <w:szCs w:val="20"/>
          <w:lang w:eastAsia="en-US"/>
        </w:rPr>
        <w:t>Am 11. und 12. Oktober 2018 hielt die informelle Arbeitsgruppe „Membrantanks“ in den Räumlichkeiten des Ministeriums für Infrastruktur und Wasserwirtschaft in Den Haag, Niederlande, ihre dritte Sitzung ab.</w:t>
      </w:r>
      <w:r w:rsidRPr="009B397E">
        <w:rPr>
          <w:rFonts w:ascii="Times New Roman" w:hAnsi="Times New Roman" w:cs="Times New Roman"/>
          <w:sz w:val="20"/>
          <w:szCs w:val="20"/>
          <w:lang w:eastAsia="en-US"/>
        </w:rPr>
        <w:t xml:space="preserve"> </w:t>
      </w:r>
      <w:r w:rsidR="00737713" w:rsidRPr="009B397E">
        <w:rPr>
          <w:rFonts w:ascii="Times New Roman" w:hAnsi="Times New Roman" w:cs="Times New Roman"/>
          <w:sz w:val="20"/>
          <w:szCs w:val="20"/>
          <w:lang w:eastAsia="en-US"/>
        </w:rPr>
        <w:t>An der Sitzung nahmen Delegierte aus Belgien, Deutschland, Frankreich und den Niederlanden sowie Vertreter von Bureau Veritas, der Industrie und dem Entwicklungszentrum für Schiffstechnologie und Transportsysteme teil.</w:t>
      </w:r>
      <w:r w:rsidRPr="009B397E">
        <w:rPr>
          <w:rFonts w:ascii="Times New Roman" w:hAnsi="Times New Roman" w:cs="Times New Roman"/>
          <w:sz w:val="20"/>
          <w:szCs w:val="20"/>
          <w:lang w:eastAsia="en-US"/>
        </w:rPr>
        <w:t xml:space="preserve"> </w:t>
      </w:r>
      <w:r w:rsidR="00737713" w:rsidRPr="009B397E">
        <w:rPr>
          <w:rFonts w:ascii="Times New Roman" w:hAnsi="Times New Roman" w:cs="Times New Roman"/>
          <w:sz w:val="20"/>
          <w:szCs w:val="20"/>
          <w:lang w:eastAsia="en-US"/>
        </w:rPr>
        <w:t>Leider mussten Vertreter des Schifffahrtsgewerbes ihre geplante Teilnahme kurzfristig absagen.</w:t>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2.</w:t>
      </w:r>
      <w:r w:rsidRPr="009B397E">
        <w:rPr>
          <w:rFonts w:ascii="Times New Roman" w:hAnsi="Times New Roman" w:cs="Times New Roman"/>
          <w:sz w:val="20"/>
          <w:szCs w:val="20"/>
          <w:lang w:eastAsia="en-US"/>
        </w:rPr>
        <w:tab/>
      </w:r>
      <w:r w:rsidR="00785696" w:rsidRPr="009B397E">
        <w:rPr>
          <w:rFonts w:ascii="Times New Roman" w:hAnsi="Times New Roman" w:cs="Times New Roman"/>
          <w:sz w:val="20"/>
          <w:szCs w:val="20"/>
          <w:lang w:eastAsia="en-US"/>
        </w:rPr>
        <w:t xml:space="preserve">Zu Beginn der Sitzung fasste der Vertreter Frankreichs die Präsentation und Diskussion über Membrantanks </w:t>
      </w:r>
      <w:r w:rsidR="006600D3" w:rsidRPr="009B397E">
        <w:rPr>
          <w:rFonts w:ascii="Times New Roman" w:hAnsi="Times New Roman" w:cs="Times New Roman"/>
          <w:sz w:val="20"/>
          <w:szCs w:val="20"/>
          <w:lang w:eastAsia="en-US"/>
        </w:rPr>
        <w:t>in</w:t>
      </w:r>
      <w:r w:rsidR="00785696" w:rsidRPr="009B397E">
        <w:rPr>
          <w:rFonts w:ascii="Times New Roman" w:hAnsi="Times New Roman" w:cs="Times New Roman"/>
          <w:sz w:val="20"/>
          <w:szCs w:val="20"/>
          <w:lang w:eastAsia="en-US"/>
        </w:rPr>
        <w:t xml:space="preserve"> der letzten Sitzung des ADN-Sicherheitsausschusses (ECE/TRANS/WP.15/AC.2/2018/35 und informelles Dokument INF.25) zusammen.</w:t>
      </w:r>
      <w:r w:rsidRPr="009B397E">
        <w:rPr>
          <w:rFonts w:ascii="Times New Roman" w:hAnsi="Times New Roman" w:cs="Times New Roman"/>
          <w:sz w:val="20"/>
          <w:szCs w:val="20"/>
          <w:lang w:eastAsia="en-US"/>
        </w:rPr>
        <w:t xml:space="preserve"> </w:t>
      </w:r>
      <w:r w:rsidR="00785696" w:rsidRPr="009B397E">
        <w:rPr>
          <w:rFonts w:ascii="Times New Roman" w:hAnsi="Times New Roman" w:cs="Times New Roman"/>
          <w:sz w:val="20"/>
          <w:szCs w:val="20"/>
          <w:lang w:eastAsia="en-US"/>
        </w:rPr>
        <w:t>Die Arbeitsgruppe nahm Kenntnis von den Absätzen 68-70 des Protokolls des ADN-Sicherheitsausschusses über ihre dritte Sitzung (ECE/TRANS/WP.15/AC.2/68) und kam zu dem Schluss, dass darin ein klares Mandat für die Fortsetzung ihrer Arbeit enthalten sei.</w:t>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3.</w:t>
      </w:r>
      <w:r w:rsidRPr="009B397E">
        <w:rPr>
          <w:rFonts w:ascii="Times New Roman" w:hAnsi="Times New Roman" w:cs="Times New Roman"/>
          <w:sz w:val="20"/>
          <w:szCs w:val="20"/>
          <w:lang w:eastAsia="en-US"/>
        </w:rPr>
        <w:tab/>
      </w:r>
      <w:r w:rsidR="008F1F51" w:rsidRPr="009B397E">
        <w:rPr>
          <w:rFonts w:ascii="Times New Roman" w:hAnsi="Times New Roman" w:cs="Times New Roman"/>
          <w:sz w:val="20"/>
          <w:szCs w:val="20"/>
          <w:lang w:eastAsia="en-US"/>
        </w:rPr>
        <w:t xml:space="preserve">Die Teilnehmer waren sich </w:t>
      </w:r>
      <w:r w:rsidR="00D541BC" w:rsidRPr="009B397E">
        <w:rPr>
          <w:rFonts w:ascii="Times New Roman" w:hAnsi="Times New Roman" w:cs="Times New Roman"/>
          <w:sz w:val="20"/>
          <w:szCs w:val="20"/>
          <w:lang w:eastAsia="en-US"/>
        </w:rPr>
        <w:t>ferner</w:t>
      </w:r>
      <w:r w:rsidR="008F1F51" w:rsidRPr="009B397E">
        <w:rPr>
          <w:rFonts w:ascii="Times New Roman" w:hAnsi="Times New Roman" w:cs="Times New Roman"/>
          <w:sz w:val="20"/>
          <w:szCs w:val="20"/>
          <w:lang w:eastAsia="en-US"/>
        </w:rPr>
        <w:t xml:space="preserve"> einig, dass diese dritte Sitzung der Arbeitsgruppe als Zwischensitzung anzusehen ist: Ziel der Sitzung ist es, </w:t>
      </w:r>
      <w:r w:rsidR="00EF5339" w:rsidRPr="009B397E">
        <w:rPr>
          <w:rFonts w:ascii="Times New Roman" w:hAnsi="Times New Roman" w:cs="Times New Roman"/>
          <w:sz w:val="20"/>
          <w:szCs w:val="20"/>
          <w:lang w:eastAsia="en-US"/>
        </w:rPr>
        <w:t xml:space="preserve">über das Konzept zur Änderung der </w:t>
      </w:r>
      <w:r w:rsidR="008F1F51" w:rsidRPr="009B397E">
        <w:rPr>
          <w:rFonts w:ascii="Times New Roman" w:hAnsi="Times New Roman" w:cs="Times New Roman"/>
          <w:sz w:val="20"/>
          <w:szCs w:val="20"/>
          <w:lang w:eastAsia="en-US"/>
        </w:rPr>
        <w:t xml:space="preserve">dem ADN beigefügte Verordnung </w:t>
      </w:r>
      <w:r w:rsidR="00EF5339" w:rsidRPr="009B397E">
        <w:rPr>
          <w:rFonts w:ascii="Times New Roman" w:hAnsi="Times New Roman" w:cs="Times New Roman"/>
          <w:sz w:val="20"/>
          <w:szCs w:val="20"/>
          <w:lang w:eastAsia="en-US"/>
        </w:rPr>
        <w:t>zu befinden</w:t>
      </w:r>
      <w:r w:rsidR="008F1F51" w:rsidRPr="009B397E">
        <w:rPr>
          <w:rFonts w:ascii="Times New Roman" w:hAnsi="Times New Roman" w:cs="Times New Roman"/>
          <w:sz w:val="20"/>
          <w:szCs w:val="20"/>
          <w:lang w:eastAsia="en-US"/>
        </w:rPr>
        <w:t>, um die Beförderung bestimmter Stoffe in Membrantanks zu erleichtern</w:t>
      </w:r>
      <w:r w:rsidR="00EF5339" w:rsidRPr="009B397E">
        <w:rPr>
          <w:rFonts w:ascii="Times New Roman" w:hAnsi="Times New Roman" w:cs="Times New Roman"/>
          <w:sz w:val="20"/>
          <w:szCs w:val="20"/>
          <w:lang w:eastAsia="en-US"/>
        </w:rPr>
        <w:t>,</w:t>
      </w:r>
      <w:r w:rsidR="008F1F51" w:rsidRPr="009B397E">
        <w:rPr>
          <w:rFonts w:ascii="Times New Roman" w:hAnsi="Times New Roman" w:cs="Times New Roman"/>
          <w:sz w:val="20"/>
          <w:szCs w:val="20"/>
          <w:lang w:eastAsia="en-US"/>
        </w:rPr>
        <w:t xml:space="preserve"> und einen klareren Überblick zu </w:t>
      </w:r>
      <w:r w:rsidR="00D541BC" w:rsidRPr="009B397E">
        <w:rPr>
          <w:rFonts w:ascii="Times New Roman" w:hAnsi="Times New Roman" w:cs="Times New Roman"/>
          <w:sz w:val="20"/>
          <w:szCs w:val="20"/>
          <w:lang w:eastAsia="en-US"/>
        </w:rPr>
        <w:t>gewinnen</w:t>
      </w:r>
      <w:r w:rsidR="008F1F51" w:rsidRPr="009B397E">
        <w:rPr>
          <w:rFonts w:ascii="Times New Roman" w:hAnsi="Times New Roman" w:cs="Times New Roman"/>
          <w:sz w:val="20"/>
          <w:szCs w:val="20"/>
          <w:lang w:eastAsia="en-US"/>
        </w:rPr>
        <w:t xml:space="preserve">, welche Stoffe für die Beförderung in Membrantanks auf Binnenschiffen geeignet </w:t>
      </w:r>
      <w:r w:rsidR="00D541BC" w:rsidRPr="009B397E">
        <w:rPr>
          <w:rFonts w:ascii="Times New Roman" w:hAnsi="Times New Roman" w:cs="Times New Roman"/>
          <w:sz w:val="20"/>
          <w:szCs w:val="20"/>
          <w:lang w:eastAsia="en-US"/>
        </w:rPr>
        <w:t>sind</w:t>
      </w:r>
      <w:r w:rsidR="008F1F51" w:rsidRPr="009B397E">
        <w:rPr>
          <w:rFonts w:ascii="Times New Roman" w:hAnsi="Times New Roman" w:cs="Times New Roman"/>
          <w:sz w:val="20"/>
          <w:szCs w:val="20"/>
          <w:lang w:eastAsia="en-US"/>
        </w:rPr>
        <w:t>.</w:t>
      </w:r>
      <w:r w:rsidRPr="009B397E">
        <w:rPr>
          <w:rFonts w:ascii="Times New Roman" w:hAnsi="Times New Roman" w:cs="Times New Roman"/>
          <w:sz w:val="20"/>
          <w:szCs w:val="20"/>
          <w:lang w:eastAsia="en-US"/>
        </w:rPr>
        <w:t xml:space="preserve"> </w:t>
      </w:r>
      <w:r w:rsidR="00EF5339" w:rsidRPr="009B397E">
        <w:rPr>
          <w:rFonts w:ascii="Times New Roman" w:hAnsi="Times New Roman" w:cs="Times New Roman"/>
          <w:sz w:val="20"/>
          <w:szCs w:val="20"/>
          <w:lang w:eastAsia="en-US"/>
        </w:rPr>
        <w:t>Erst in der nächsten Sitzung wird die Arbeitsgruppe mit dem Entwurf konkreter Änderungen des ADN 2019 beginnen.</w:t>
      </w:r>
    </w:p>
    <w:p w:rsidR="00243A30" w:rsidRPr="009B397E" w:rsidRDefault="00243A30" w:rsidP="006C2045">
      <w:pPr>
        <w:keepNext/>
        <w:keepLines/>
        <w:tabs>
          <w:tab w:val="right" w:pos="851"/>
          <w:tab w:val="left" w:pos="1701"/>
        </w:tabs>
        <w:suppressAutoHyphens/>
        <w:spacing w:before="360" w:after="240" w:line="300" w:lineRule="exact"/>
        <w:ind w:left="1134" w:right="1134" w:hanging="1134"/>
        <w:rPr>
          <w:rFonts w:ascii="Times New Roman" w:hAnsi="Times New Roman" w:cs="Times New Roman"/>
          <w:b/>
          <w:sz w:val="28"/>
          <w:szCs w:val="20"/>
          <w:lang w:eastAsia="en-US"/>
        </w:rPr>
      </w:pPr>
      <w:r w:rsidRPr="009B397E">
        <w:rPr>
          <w:rFonts w:ascii="Times New Roman" w:hAnsi="Times New Roman" w:cs="Times New Roman"/>
          <w:b/>
          <w:sz w:val="28"/>
          <w:szCs w:val="20"/>
          <w:lang w:eastAsia="en-US"/>
        </w:rPr>
        <w:tab/>
      </w:r>
      <w:r w:rsidRPr="009B397E">
        <w:rPr>
          <w:rFonts w:ascii="Times New Roman" w:hAnsi="Times New Roman" w:cs="Times New Roman"/>
          <w:b/>
          <w:sz w:val="28"/>
          <w:szCs w:val="20"/>
          <w:lang w:eastAsia="en-US"/>
        </w:rPr>
        <w:tab/>
      </w:r>
      <w:r w:rsidR="00EF5339" w:rsidRPr="009B397E">
        <w:rPr>
          <w:rFonts w:ascii="Times New Roman" w:hAnsi="Times New Roman" w:cs="Times New Roman"/>
          <w:b/>
          <w:sz w:val="28"/>
          <w:szCs w:val="20"/>
          <w:lang w:eastAsia="en-US"/>
        </w:rPr>
        <w:t>Marktentwicklung</w:t>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4.</w:t>
      </w:r>
      <w:r w:rsidRPr="009B397E">
        <w:rPr>
          <w:rFonts w:ascii="Times New Roman" w:hAnsi="Times New Roman" w:cs="Times New Roman"/>
          <w:sz w:val="20"/>
          <w:szCs w:val="20"/>
          <w:lang w:eastAsia="en-US"/>
        </w:rPr>
        <w:tab/>
      </w:r>
      <w:r w:rsidR="00D82D62" w:rsidRPr="009B397E">
        <w:rPr>
          <w:rFonts w:ascii="Times New Roman" w:hAnsi="Times New Roman" w:cs="Times New Roman"/>
          <w:sz w:val="20"/>
          <w:szCs w:val="20"/>
          <w:lang w:eastAsia="en-US"/>
        </w:rPr>
        <w:t>Was die Bitte des ADN-Sicherheitsausschusses betrifft, einschlägige Informationen über die Entwicklung des Marktes für LNG und Membrantanks vorzulegen, so waren sich die Teilnehmer grundsätzlich einig, dass die Hauptaufgabe des ADN-Sicherheitsausschusses darin besteht, die sichere Beförderung gefährlicher Güter zu gewährleisten.</w:t>
      </w:r>
      <w:r w:rsidRPr="009B397E">
        <w:rPr>
          <w:rFonts w:ascii="Times New Roman" w:hAnsi="Times New Roman" w:cs="Times New Roman"/>
          <w:sz w:val="20"/>
          <w:szCs w:val="20"/>
          <w:lang w:eastAsia="en-US"/>
        </w:rPr>
        <w:t xml:space="preserve"> </w:t>
      </w:r>
      <w:r w:rsidR="00D82D62" w:rsidRPr="009B397E">
        <w:rPr>
          <w:rFonts w:ascii="Times New Roman" w:hAnsi="Times New Roman" w:cs="Times New Roman"/>
          <w:sz w:val="20"/>
          <w:szCs w:val="20"/>
          <w:lang w:eastAsia="en-US"/>
        </w:rPr>
        <w:t>Fragen zur wirtschaftlichen Zweckmäßigkeit einer möglichen Beförderung in Membrantanks wird der Markt selbst beantworten.</w:t>
      </w:r>
      <w:r w:rsidRPr="009B397E">
        <w:rPr>
          <w:rFonts w:ascii="Times New Roman" w:hAnsi="Times New Roman" w:cs="Times New Roman"/>
          <w:sz w:val="20"/>
          <w:szCs w:val="20"/>
          <w:lang w:eastAsia="en-US"/>
        </w:rPr>
        <w:t xml:space="preserve"> </w:t>
      </w:r>
      <w:r w:rsidR="008059E8" w:rsidRPr="009B397E">
        <w:rPr>
          <w:rFonts w:ascii="Times New Roman" w:hAnsi="Times New Roman" w:cs="Times New Roman"/>
          <w:sz w:val="20"/>
          <w:szCs w:val="20"/>
          <w:lang w:eastAsia="en-US"/>
        </w:rPr>
        <w:t xml:space="preserve">Die Arbeitsgruppe </w:t>
      </w:r>
      <w:r w:rsidR="00A3108F" w:rsidRPr="009B397E">
        <w:rPr>
          <w:rFonts w:ascii="Times New Roman" w:hAnsi="Times New Roman" w:cs="Times New Roman"/>
          <w:sz w:val="20"/>
          <w:szCs w:val="20"/>
          <w:lang w:eastAsia="en-US"/>
        </w:rPr>
        <w:t>weist erneut darauf hin</w:t>
      </w:r>
      <w:r w:rsidR="008059E8" w:rsidRPr="009B397E">
        <w:rPr>
          <w:rFonts w:ascii="Times New Roman" w:hAnsi="Times New Roman" w:cs="Times New Roman"/>
          <w:sz w:val="20"/>
          <w:szCs w:val="20"/>
          <w:lang w:eastAsia="en-US"/>
        </w:rPr>
        <w:t xml:space="preserve">, dass die Europäische Binnenschifffahrtsunion (EBU) den ADN-Sicherheitsausschuss </w:t>
      </w:r>
      <w:r w:rsidR="006C2045" w:rsidRPr="009B397E">
        <w:rPr>
          <w:rFonts w:ascii="Times New Roman" w:hAnsi="Times New Roman" w:cs="Times New Roman"/>
          <w:sz w:val="20"/>
          <w:szCs w:val="20"/>
          <w:lang w:eastAsia="en-US"/>
        </w:rPr>
        <w:t xml:space="preserve">bereits 2017 </w:t>
      </w:r>
      <w:r w:rsidR="008059E8" w:rsidRPr="009B397E">
        <w:rPr>
          <w:rFonts w:ascii="Times New Roman" w:hAnsi="Times New Roman" w:cs="Times New Roman"/>
          <w:sz w:val="20"/>
          <w:szCs w:val="20"/>
          <w:lang w:eastAsia="en-US"/>
        </w:rPr>
        <w:t>gebeten hat, die Verwendung von Membrantanks für die Beförderung bestimmter Stoffe zu erlauben.</w:t>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5.</w:t>
      </w:r>
      <w:r w:rsidRPr="009B397E">
        <w:rPr>
          <w:rFonts w:ascii="Times New Roman" w:hAnsi="Times New Roman" w:cs="Times New Roman"/>
          <w:sz w:val="20"/>
          <w:szCs w:val="20"/>
          <w:lang w:eastAsia="en-US"/>
        </w:rPr>
        <w:tab/>
      </w:r>
      <w:r w:rsidR="00A3108F" w:rsidRPr="009B397E">
        <w:rPr>
          <w:rFonts w:ascii="Times New Roman" w:hAnsi="Times New Roman" w:cs="Times New Roman"/>
          <w:sz w:val="20"/>
          <w:szCs w:val="20"/>
          <w:lang w:eastAsia="en-US"/>
        </w:rPr>
        <w:t>Der Vertreter Frankreichs erklärte, dass LNG eine der wenigen praktikablen Alternativen zur Verringerung der Schwefelemissionen der Schifffahrt sei (siehe Richtlinie (EU) 2016/802).</w:t>
      </w:r>
      <w:r w:rsidRPr="009B397E">
        <w:rPr>
          <w:rFonts w:ascii="Times New Roman" w:hAnsi="Times New Roman" w:cs="Times New Roman"/>
          <w:sz w:val="20"/>
          <w:szCs w:val="20"/>
          <w:lang w:eastAsia="en-US"/>
        </w:rPr>
        <w:t xml:space="preserve"> </w:t>
      </w:r>
      <w:r w:rsidR="008C0CF5" w:rsidRPr="009B397E">
        <w:rPr>
          <w:rFonts w:ascii="Times New Roman" w:hAnsi="Times New Roman" w:cs="Times New Roman"/>
          <w:sz w:val="20"/>
          <w:szCs w:val="20"/>
          <w:lang w:eastAsia="en-US"/>
        </w:rPr>
        <w:t>Da LNG flächendeckend verfügbar ist, spielt es eine entscheidende Rolle bei der Erreichung alternativer Energieziele.</w:t>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6.</w:t>
      </w:r>
      <w:r w:rsidRPr="009B397E">
        <w:rPr>
          <w:rFonts w:ascii="Times New Roman" w:hAnsi="Times New Roman" w:cs="Times New Roman"/>
          <w:sz w:val="20"/>
          <w:szCs w:val="20"/>
          <w:lang w:eastAsia="en-US"/>
        </w:rPr>
        <w:tab/>
      </w:r>
      <w:r w:rsidR="006C2045" w:rsidRPr="009B397E">
        <w:rPr>
          <w:rFonts w:ascii="Times New Roman" w:hAnsi="Times New Roman" w:cs="Times New Roman"/>
          <w:sz w:val="20"/>
          <w:szCs w:val="20"/>
          <w:lang w:eastAsia="en-US"/>
        </w:rPr>
        <w:t>Weil</w:t>
      </w:r>
      <w:r w:rsidR="008C0CF5" w:rsidRPr="009B397E">
        <w:rPr>
          <w:rFonts w:ascii="Times New Roman" w:hAnsi="Times New Roman" w:cs="Times New Roman"/>
          <w:sz w:val="20"/>
          <w:szCs w:val="20"/>
          <w:lang w:eastAsia="en-US"/>
        </w:rPr>
        <w:t xml:space="preserve"> die Verwendung von Membrantanks </w:t>
      </w:r>
      <w:r w:rsidR="00CC22BA" w:rsidRPr="009B397E">
        <w:rPr>
          <w:rFonts w:ascii="Times New Roman" w:hAnsi="Times New Roman" w:cs="Times New Roman"/>
          <w:sz w:val="20"/>
          <w:szCs w:val="20"/>
          <w:lang w:eastAsia="en-US"/>
        </w:rPr>
        <w:t xml:space="preserve">jedoch </w:t>
      </w:r>
      <w:r w:rsidR="008C0CF5" w:rsidRPr="009B397E">
        <w:rPr>
          <w:rFonts w:ascii="Times New Roman" w:hAnsi="Times New Roman" w:cs="Times New Roman"/>
          <w:sz w:val="20"/>
          <w:szCs w:val="20"/>
          <w:lang w:eastAsia="en-US"/>
        </w:rPr>
        <w:t xml:space="preserve">eine Zunahme der Beförderung bestimmter Stoffe durch Tankschiffe auslösen könnte, die sich auf das Gefahrenniveau </w:t>
      </w:r>
      <w:r w:rsidR="0068484B" w:rsidRPr="009B397E">
        <w:rPr>
          <w:rFonts w:ascii="Times New Roman" w:hAnsi="Times New Roman" w:cs="Times New Roman"/>
          <w:sz w:val="20"/>
          <w:szCs w:val="20"/>
          <w:lang w:eastAsia="en-US"/>
        </w:rPr>
        <w:t xml:space="preserve">auf europäischen Binnenwasserstraßen </w:t>
      </w:r>
      <w:r w:rsidR="008C0CF5" w:rsidRPr="009B397E">
        <w:rPr>
          <w:rFonts w:ascii="Times New Roman" w:hAnsi="Times New Roman" w:cs="Times New Roman"/>
          <w:sz w:val="20"/>
          <w:szCs w:val="20"/>
          <w:lang w:eastAsia="en-US"/>
        </w:rPr>
        <w:t>auswirken könnte, prüfte die Arbeitsgruppe einige öffentlich zugängliche Dokumente/Faltblätter großer Ölgesellschaften, die Informationen über die Entwicklung und die absehbaren Trends bei der Beförderung von LNG und der Verwendung von Membrantanks liefern</w:t>
      </w:r>
      <w:r w:rsidR="008C0CF5" w:rsidRPr="009B397E">
        <w:rPr>
          <w:rFonts w:ascii="Times New Roman" w:hAnsi="Times New Roman" w:cs="Times New Roman"/>
          <w:sz w:val="20"/>
          <w:szCs w:val="20"/>
          <w:vertAlign w:val="superscript"/>
          <w:lang w:eastAsia="en-US"/>
        </w:rPr>
        <w:footnoteReference w:id="3"/>
      </w:r>
      <w:r w:rsidR="008C0CF5" w:rsidRPr="009B397E">
        <w:rPr>
          <w:rFonts w:ascii="Times New Roman" w:hAnsi="Times New Roman" w:cs="Times New Roman"/>
          <w:sz w:val="20"/>
          <w:szCs w:val="20"/>
          <w:lang w:eastAsia="en-US"/>
        </w:rPr>
        <w:t>.</w:t>
      </w:r>
      <w:r w:rsidRPr="009B397E">
        <w:rPr>
          <w:rFonts w:ascii="Times New Roman" w:hAnsi="Times New Roman" w:cs="Times New Roman"/>
          <w:sz w:val="20"/>
          <w:szCs w:val="20"/>
          <w:lang w:eastAsia="en-US"/>
        </w:rPr>
        <w:t xml:space="preserve"> </w:t>
      </w:r>
      <w:r w:rsidR="00CC08C5" w:rsidRPr="009B397E">
        <w:rPr>
          <w:rFonts w:ascii="Times New Roman" w:hAnsi="Times New Roman" w:cs="Times New Roman"/>
          <w:sz w:val="20"/>
          <w:szCs w:val="20"/>
          <w:lang w:eastAsia="en-US"/>
        </w:rPr>
        <w:t>Danach ist ein stetiges Wachstum der Nachfrage nach LNG zu erwarten, insbesondere zur Energieerzeugung für Haushalte und Industrie.</w:t>
      </w:r>
    </w:p>
    <w:p w:rsidR="007513A8" w:rsidRDefault="007513A8">
      <w:pPr>
        <w:rPr>
          <w:rFonts w:ascii="Times New Roman" w:hAnsi="Times New Roman" w:cs="Times New Roman"/>
          <w:sz w:val="20"/>
          <w:szCs w:val="20"/>
          <w:lang w:eastAsia="en-US"/>
        </w:rPr>
      </w:pPr>
      <w:r>
        <w:rPr>
          <w:rFonts w:ascii="Times New Roman" w:hAnsi="Times New Roman" w:cs="Times New Roman"/>
          <w:sz w:val="20"/>
          <w:szCs w:val="20"/>
          <w:lang w:eastAsia="en-US"/>
        </w:rPr>
        <w:br w:type="page"/>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lastRenderedPageBreak/>
        <w:t>7.</w:t>
      </w:r>
      <w:r w:rsidRPr="009B397E">
        <w:rPr>
          <w:rFonts w:ascii="Times New Roman" w:hAnsi="Times New Roman" w:cs="Times New Roman"/>
          <w:sz w:val="20"/>
          <w:szCs w:val="20"/>
          <w:lang w:eastAsia="en-US"/>
        </w:rPr>
        <w:tab/>
      </w:r>
      <w:r w:rsidR="00756471" w:rsidRPr="009B397E">
        <w:rPr>
          <w:rFonts w:ascii="Times New Roman" w:hAnsi="Times New Roman" w:cs="Times New Roman"/>
          <w:sz w:val="20"/>
          <w:szCs w:val="20"/>
          <w:lang w:eastAsia="en-US"/>
        </w:rPr>
        <w:t xml:space="preserve">Die Teilnehmer waren sich einig, dass die untersuchten Zahlen </w:t>
      </w:r>
      <w:r w:rsidR="00040B3D" w:rsidRPr="009B397E">
        <w:rPr>
          <w:rFonts w:ascii="Times New Roman" w:hAnsi="Times New Roman" w:cs="Times New Roman"/>
          <w:sz w:val="20"/>
          <w:szCs w:val="20"/>
          <w:lang w:eastAsia="en-US"/>
        </w:rPr>
        <w:t>es nicht erforderlich machen, dass der ADN-Sicherheitsausschuss in seinen nächsten Sitzungen Änderungen beschließt,</w:t>
      </w:r>
      <w:r w:rsidR="00756471" w:rsidRPr="009B397E">
        <w:rPr>
          <w:rFonts w:ascii="Times New Roman" w:hAnsi="Times New Roman" w:cs="Times New Roman"/>
          <w:sz w:val="20"/>
          <w:szCs w:val="20"/>
          <w:lang w:eastAsia="en-US"/>
        </w:rPr>
        <w:t xml:space="preserve"> aber dennoch einen gewissen Schub und eine gewisse Rechtfertigung für die Anpassung der dem ADN beigefügten Verordnung in Bezug auf die Membrantanktechnologie darstellen, um die zu erwartende Zunahme des Handels mit LNG und ähnlichen Produkten zu erleichtern.</w:t>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8.</w:t>
      </w:r>
      <w:r w:rsidRPr="009B397E">
        <w:rPr>
          <w:rFonts w:ascii="Times New Roman" w:hAnsi="Times New Roman" w:cs="Times New Roman"/>
          <w:sz w:val="20"/>
          <w:szCs w:val="20"/>
          <w:lang w:eastAsia="en-US"/>
        </w:rPr>
        <w:tab/>
      </w:r>
      <w:r w:rsidR="00040B3D" w:rsidRPr="009B397E">
        <w:rPr>
          <w:rFonts w:ascii="Times New Roman" w:hAnsi="Times New Roman" w:cs="Times New Roman"/>
          <w:sz w:val="20"/>
          <w:szCs w:val="20"/>
          <w:lang w:eastAsia="en-US"/>
        </w:rPr>
        <w:t>Schließlich wurden die Teilnehmer gebeten, zusätzliche Informationen über die Entwicklungen von LNG- und Membrantanks aus eher nautischer oder ökologischer Sicht zu sammeln und diese Informationen in der nächsten Sitzung der Arbeitsgruppe gegebenenfalls vorzulegen.</w:t>
      </w:r>
    </w:p>
    <w:p w:rsidR="00243A30" w:rsidRPr="009B397E" w:rsidRDefault="00243A30" w:rsidP="006C2045">
      <w:pPr>
        <w:keepNext/>
        <w:keepLines/>
        <w:tabs>
          <w:tab w:val="right" w:pos="851"/>
          <w:tab w:val="left" w:pos="1701"/>
        </w:tabs>
        <w:suppressAutoHyphens/>
        <w:spacing w:before="360" w:after="240" w:line="300" w:lineRule="exact"/>
        <w:ind w:left="1134" w:right="1134" w:hanging="1134"/>
        <w:rPr>
          <w:rFonts w:ascii="Times New Roman" w:hAnsi="Times New Roman" w:cs="Times New Roman"/>
          <w:b/>
          <w:sz w:val="28"/>
          <w:szCs w:val="20"/>
          <w:lang w:eastAsia="en-US"/>
        </w:rPr>
      </w:pPr>
      <w:r w:rsidRPr="009B397E">
        <w:rPr>
          <w:rFonts w:ascii="Times New Roman" w:hAnsi="Times New Roman" w:cs="Times New Roman"/>
          <w:b/>
          <w:sz w:val="28"/>
          <w:szCs w:val="20"/>
          <w:lang w:eastAsia="en-US"/>
        </w:rPr>
        <w:tab/>
      </w:r>
      <w:r w:rsidRPr="009B397E">
        <w:rPr>
          <w:rFonts w:ascii="Times New Roman" w:hAnsi="Times New Roman" w:cs="Times New Roman"/>
          <w:b/>
          <w:sz w:val="28"/>
          <w:szCs w:val="20"/>
          <w:lang w:eastAsia="en-US"/>
        </w:rPr>
        <w:tab/>
      </w:r>
      <w:r w:rsidR="00040B3D" w:rsidRPr="009B397E">
        <w:rPr>
          <w:rFonts w:ascii="Times New Roman" w:hAnsi="Times New Roman" w:cs="Times New Roman"/>
          <w:b/>
          <w:sz w:val="28"/>
          <w:szCs w:val="20"/>
          <w:lang w:eastAsia="en-US"/>
        </w:rPr>
        <w:t>Liste der für die Beförderung in Membrantanks geeigneten Stoffe</w:t>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9.</w:t>
      </w:r>
      <w:r w:rsidRPr="009B397E">
        <w:rPr>
          <w:rFonts w:ascii="Times New Roman" w:hAnsi="Times New Roman" w:cs="Times New Roman"/>
          <w:sz w:val="20"/>
          <w:szCs w:val="20"/>
          <w:lang w:eastAsia="en-US"/>
        </w:rPr>
        <w:tab/>
      </w:r>
      <w:r w:rsidR="009D48F0" w:rsidRPr="009B397E">
        <w:rPr>
          <w:rFonts w:ascii="Times New Roman" w:hAnsi="Times New Roman" w:cs="Times New Roman"/>
          <w:sz w:val="20"/>
          <w:szCs w:val="20"/>
          <w:lang w:eastAsia="en-US"/>
        </w:rPr>
        <w:t>Die Arbeitsgruppe diskutierte sehr ausführlich über ein geeignetes Verfahren zur Festlegung der Liste der zur Beförderung in Membrantanks geeigneten Stoffe.</w:t>
      </w:r>
      <w:r w:rsidRPr="009B397E">
        <w:rPr>
          <w:rFonts w:ascii="Times New Roman" w:hAnsi="Times New Roman" w:cs="Times New Roman"/>
          <w:sz w:val="20"/>
          <w:szCs w:val="20"/>
          <w:lang w:eastAsia="en-US"/>
        </w:rPr>
        <w:t xml:space="preserve"> </w:t>
      </w:r>
      <w:r w:rsidR="009D48F0" w:rsidRPr="009B397E">
        <w:rPr>
          <w:rFonts w:ascii="Times New Roman" w:hAnsi="Times New Roman" w:cs="Times New Roman"/>
          <w:sz w:val="20"/>
          <w:szCs w:val="20"/>
          <w:lang w:eastAsia="en-US"/>
        </w:rPr>
        <w:t>Nach langer Diskussion wurde beschlossen, den Internationalen Code für den Bau und die Ausrüstung von Schiffen, die Flüssiggas als Massengut befördern (IGC-Code) als Quelle zu verwenden, um zu bestimmen, welche Stoffe in Tabelle C des ADN für die Beförderung in Membrantanks geeignet sind.</w:t>
      </w:r>
      <w:r w:rsidRPr="009B397E">
        <w:rPr>
          <w:rFonts w:ascii="Times New Roman" w:hAnsi="Times New Roman" w:cs="Times New Roman"/>
          <w:sz w:val="20"/>
          <w:szCs w:val="20"/>
          <w:lang w:eastAsia="en-US"/>
        </w:rPr>
        <w:t xml:space="preserve"> </w:t>
      </w:r>
      <w:r w:rsidR="009D48F0" w:rsidRPr="009B397E">
        <w:rPr>
          <w:rFonts w:ascii="Times New Roman" w:hAnsi="Times New Roman" w:cs="Times New Roman"/>
          <w:sz w:val="20"/>
          <w:szCs w:val="20"/>
          <w:lang w:eastAsia="en-US"/>
        </w:rPr>
        <w:t>Diese Entscheidung wurde getroffen, weil der IGC-Code in Kapitel 19 eine Liste von Stoffen enthält, die größtenteils für die Beförderung in Membrantanks geeignet sind.</w:t>
      </w:r>
      <w:r w:rsidRPr="009B397E">
        <w:rPr>
          <w:rFonts w:ascii="Times New Roman" w:hAnsi="Times New Roman" w:cs="Times New Roman"/>
          <w:sz w:val="20"/>
          <w:szCs w:val="20"/>
          <w:lang w:eastAsia="en-US"/>
        </w:rPr>
        <w:t xml:space="preserve"> </w:t>
      </w:r>
      <w:r w:rsidR="00981FC7" w:rsidRPr="009B397E">
        <w:rPr>
          <w:rFonts w:ascii="Times New Roman" w:hAnsi="Times New Roman" w:cs="Times New Roman"/>
          <w:sz w:val="20"/>
          <w:szCs w:val="20"/>
          <w:lang w:eastAsia="en-US"/>
        </w:rPr>
        <w:t>Diese Liste wurde von einer internationalen Behörde erstellt und hat sich in der Seeschifffahrt bewährt. So werden diese Produkte seit vielen Jahren sicher in Membrantanks auf Seeschiffen befördert.</w:t>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10.</w:t>
      </w:r>
      <w:r w:rsidRPr="009B397E">
        <w:rPr>
          <w:rFonts w:ascii="Times New Roman" w:hAnsi="Times New Roman" w:cs="Times New Roman"/>
          <w:sz w:val="20"/>
          <w:szCs w:val="20"/>
          <w:lang w:eastAsia="en-US"/>
        </w:rPr>
        <w:tab/>
      </w:r>
      <w:r w:rsidR="00981FC7" w:rsidRPr="009B397E">
        <w:rPr>
          <w:rFonts w:ascii="Times New Roman" w:hAnsi="Times New Roman" w:cs="Times New Roman"/>
          <w:sz w:val="20"/>
          <w:szCs w:val="20"/>
          <w:lang w:eastAsia="en-US"/>
        </w:rPr>
        <w:t>Die in Kapitel 19 des IGC-Codes aufgeführten (und für die Beförderung in Membrantanks nach dem IGC-Code geeigneten) Stoffe wurden mit den Tabellen A und C des ADN verglichen.</w:t>
      </w:r>
      <w:r w:rsidRPr="009B397E">
        <w:rPr>
          <w:rFonts w:ascii="Times New Roman" w:hAnsi="Times New Roman" w:cs="Times New Roman"/>
          <w:sz w:val="20"/>
          <w:szCs w:val="20"/>
          <w:lang w:eastAsia="en-US"/>
        </w:rPr>
        <w:t xml:space="preserve"> </w:t>
      </w:r>
      <w:r w:rsidR="00CF417F" w:rsidRPr="009B397E">
        <w:rPr>
          <w:rFonts w:ascii="Times New Roman" w:hAnsi="Times New Roman" w:cs="Times New Roman"/>
          <w:sz w:val="20"/>
          <w:szCs w:val="20"/>
          <w:lang w:eastAsia="en-US"/>
        </w:rPr>
        <w:t>Nur Stoffe, die in Tankschiffen nach Tabelle A befördert werden dürfen und in Tankschiffen des Typs G.1.1 nach Tabelle C befördert werden sollen, wurden für die Aufnahme in die Liste der für die Beförderung in Membrantanks geeigneten Stoffe ausgewählt.</w:t>
      </w:r>
      <w:r w:rsidRPr="009B397E">
        <w:rPr>
          <w:rFonts w:ascii="Times New Roman" w:hAnsi="Times New Roman" w:cs="Times New Roman"/>
          <w:sz w:val="20"/>
          <w:szCs w:val="20"/>
          <w:lang w:eastAsia="en-US"/>
        </w:rPr>
        <w:t xml:space="preserve"> </w:t>
      </w:r>
      <w:r w:rsidR="00CF417F" w:rsidRPr="009B397E">
        <w:rPr>
          <w:rFonts w:ascii="Times New Roman" w:hAnsi="Times New Roman" w:cs="Times New Roman"/>
          <w:sz w:val="20"/>
          <w:szCs w:val="20"/>
          <w:lang w:eastAsia="en-US"/>
        </w:rPr>
        <w:t xml:space="preserve">Dieses letzte Kriterium wurde gewählt, weil sich die Arbeitsgruppe auf den Kernpunkt einigte, dass der geschlossene Membrantank als Alternative zum unabhängigen Drucktank und sicherlich nicht als Ersatz </w:t>
      </w:r>
      <w:r w:rsidR="006C2045" w:rsidRPr="009B397E">
        <w:rPr>
          <w:rFonts w:ascii="Times New Roman" w:hAnsi="Times New Roman" w:cs="Times New Roman"/>
          <w:sz w:val="20"/>
          <w:szCs w:val="20"/>
          <w:lang w:eastAsia="en-US"/>
        </w:rPr>
        <w:t xml:space="preserve">zu ihm </w:t>
      </w:r>
      <w:r w:rsidR="00CF417F" w:rsidRPr="009B397E">
        <w:rPr>
          <w:rFonts w:ascii="Times New Roman" w:hAnsi="Times New Roman" w:cs="Times New Roman"/>
          <w:sz w:val="20"/>
          <w:szCs w:val="20"/>
          <w:lang w:eastAsia="en-US"/>
        </w:rPr>
        <w:t>betrachtet werden sollte:</w:t>
      </w:r>
    </w:p>
    <w:p w:rsidR="00243A30" w:rsidRPr="009B397E" w:rsidRDefault="00243A30" w:rsidP="001D73C4">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1005</w:t>
      </w:r>
      <w:r w:rsidRPr="009B397E">
        <w:rPr>
          <w:rFonts w:ascii="Times New Roman" w:hAnsi="Times New Roman" w:cs="Times New Roman"/>
          <w:sz w:val="20"/>
          <w:szCs w:val="20"/>
          <w:lang w:eastAsia="en-US"/>
        </w:rPr>
        <w:tab/>
      </w:r>
      <w:r w:rsidR="001D73C4" w:rsidRPr="009B397E">
        <w:rPr>
          <w:rFonts w:ascii="Times New Roman" w:hAnsi="Times New Roman" w:cs="Times New Roman"/>
          <w:sz w:val="20"/>
          <w:szCs w:val="20"/>
          <w:lang w:eastAsia="en-US"/>
        </w:rPr>
        <w:t>AMMONIAK, WASSERFREI</w:t>
      </w:r>
    </w:p>
    <w:p w:rsidR="00243A30" w:rsidRPr="009B397E" w:rsidRDefault="00243A30" w:rsidP="001D73C4">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1010</w:t>
      </w:r>
      <w:r w:rsidRPr="009B397E">
        <w:rPr>
          <w:rFonts w:ascii="Times New Roman" w:hAnsi="Times New Roman" w:cs="Times New Roman"/>
          <w:sz w:val="20"/>
          <w:szCs w:val="20"/>
          <w:lang w:eastAsia="en-US"/>
        </w:rPr>
        <w:tab/>
      </w:r>
      <w:r w:rsidR="001D73C4" w:rsidRPr="009B397E">
        <w:rPr>
          <w:rFonts w:ascii="Times New Roman" w:hAnsi="Times New Roman" w:cs="Times New Roman"/>
          <w:sz w:val="20"/>
          <w:szCs w:val="20"/>
          <w:lang w:eastAsia="en-US"/>
        </w:rPr>
        <w:t xml:space="preserve">BUTADIENE </w:t>
      </w:r>
      <w:r w:rsidRPr="009B397E">
        <w:rPr>
          <w:rFonts w:ascii="Times New Roman" w:hAnsi="Times New Roman" w:cs="Times New Roman"/>
          <w:sz w:val="20"/>
          <w:szCs w:val="20"/>
          <w:lang w:eastAsia="en-US"/>
        </w:rPr>
        <w:t>(</w:t>
      </w:r>
      <w:r w:rsidR="001D73C4" w:rsidRPr="009B397E">
        <w:rPr>
          <w:rFonts w:ascii="Times New Roman" w:hAnsi="Times New Roman" w:cs="Times New Roman"/>
          <w:sz w:val="20"/>
          <w:szCs w:val="20"/>
          <w:lang w:eastAsia="en-US"/>
        </w:rPr>
        <w:t>vier Einträge</w:t>
      </w:r>
      <w:r w:rsidRPr="009B397E">
        <w:rPr>
          <w:rFonts w:ascii="Times New Roman" w:hAnsi="Times New Roman" w:cs="Times New Roman"/>
          <w:sz w:val="20"/>
          <w:szCs w:val="20"/>
          <w:lang w:eastAsia="en-US"/>
        </w:rPr>
        <w:t>)</w:t>
      </w:r>
    </w:p>
    <w:p w:rsidR="00243A30" w:rsidRPr="009B397E" w:rsidRDefault="00243A30" w:rsidP="00243A30">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1011</w:t>
      </w:r>
      <w:r w:rsidRPr="009B397E">
        <w:rPr>
          <w:rFonts w:ascii="Times New Roman" w:hAnsi="Times New Roman" w:cs="Times New Roman"/>
          <w:sz w:val="20"/>
          <w:szCs w:val="20"/>
          <w:lang w:eastAsia="en-US"/>
        </w:rPr>
        <w:tab/>
        <w:t>BUTAN (</w:t>
      </w:r>
      <w:r w:rsidR="001D73C4" w:rsidRPr="009B397E">
        <w:rPr>
          <w:rFonts w:ascii="Times New Roman" w:hAnsi="Times New Roman" w:cs="Times New Roman"/>
          <w:sz w:val="20"/>
          <w:szCs w:val="20"/>
          <w:lang w:eastAsia="en-US"/>
        </w:rPr>
        <w:t>zwei Einträge</w:t>
      </w:r>
      <w:r w:rsidRPr="009B397E">
        <w:rPr>
          <w:rFonts w:ascii="Times New Roman" w:hAnsi="Times New Roman" w:cs="Times New Roman"/>
          <w:sz w:val="20"/>
          <w:szCs w:val="20"/>
          <w:lang w:eastAsia="en-US"/>
        </w:rPr>
        <w:t>)</w:t>
      </w:r>
    </w:p>
    <w:p w:rsidR="00B10DFB" w:rsidRPr="009B397E" w:rsidRDefault="00243A30" w:rsidP="006815A9">
      <w:pPr>
        <w:numPr>
          <w:ilvl w:val="0"/>
          <w:numId w:val="34"/>
        </w:numPr>
        <w:tabs>
          <w:tab w:val="left" w:pos="1701"/>
        </w:tabs>
        <w:suppressAutoHyphens/>
        <w:spacing w:after="120" w:line="240" w:lineRule="atLeast"/>
        <w:ind w:left="1701" w:right="1134" w:hanging="207"/>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1012</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BUT-1-EN</w:t>
      </w:r>
    </w:p>
    <w:p w:rsidR="00B10DFB" w:rsidRPr="009B397E" w:rsidRDefault="00243A30" w:rsidP="00B10DFB">
      <w:pPr>
        <w:numPr>
          <w:ilvl w:val="0"/>
          <w:numId w:val="34"/>
        </w:numPr>
        <w:suppressAutoHyphens/>
        <w:spacing w:after="120" w:line="240" w:lineRule="atLeast"/>
        <w:ind w:left="1701" w:right="1134" w:hanging="207"/>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1020</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CHLORPENTAFLUORETHAN (GAS ALS KÄLTEMITTEL R 115)</w:t>
      </w:r>
    </w:p>
    <w:p w:rsidR="00B10DFB" w:rsidRPr="009B397E" w:rsidRDefault="00243A30" w:rsidP="00B10DFB">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1030</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1,1-DIFLUORETHAN (GAS ALS KÄLTEMITTEL R 152a)</w:t>
      </w:r>
    </w:p>
    <w:p w:rsidR="00243A30" w:rsidRPr="009B397E" w:rsidRDefault="00243A30" w:rsidP="00B10DFB">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1033</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DIMETHYLETHER</w:t>
      </w:r>
    </w:p>
    <w:p w:rsidR="00B10DFB" w:rsidRPr="009B397E" w:rsidRDefault="00243A30" w:rsidP="00B10DFB">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1038</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ETHYLEN, TIEFGEKÜHLT, FLÜSSIG</w:t>
      </w:r>
    </w:p>
    <w:p w:rsidR="00243A30" w:rsidRPr="009B397E" w:rsidRDefault="00243A30" w:rsidP="00B10DFB">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1055</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ISOBUTEN</w:t>
      </w:r>
    </w:p>
    <w:p w:rsidR="007513A8" w:rsidRDefault="007513A8">
      <w:pPr>
        <w:rPr>
          <w:rFonts w:ascii="Times New Roman" w:hAnsi="Times New Roman" w:cs="Times New Roman"/>
          <w:sz w:val="20"/>
          <w:szCs w:val="20"/>
          <w:lang w:eastAsia="en-US"/>
        </w:rPr>
      </w:pPr>
      <w:r>
        <w:rPr>
          <w:rFonts w:ascii="Times New Roman" w:hAnsi="Times New Roman" w:cs="Times New Roman"/>
          <w:sz w:val="20"/>
          <w:szCs w:val="20"/>
          <w:lang w:eastAsia="en-US"/>
        </w:rPr>
        <w:br w:type="page"/>
      </w:r>
    </w:p>
    <w:p w:rsidR="00B10DFB" w:rsidRPr="009B397E" w:rsidRDefault="00243A30" w:rsidP="00B10DFB">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lastRenderedPageBreak/>
        <w:t>UN 1063</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METHYLCHLORID (GAS ALS KÄLTEMITTEL R 40)</w:t>
      </w:r>
    </w:p>
    <w:p w:rsidR="00243A30" w:rsidRPr="009B397E" w:rsidRDefault="00243A30" w:rsidP="00B10DFB">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1077</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PROPEN</w:t>
      </w:r>
    </w:p>
    <w:p w:rsidR="00B10DFB" w:rsidRPr="009B397E" w:rsidRDefault="00243A30" w:rsidP="00B10DFB">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1086</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VINYLCHLORID, STABILISIERT</w:t>
      </w:r>
    </w:p>
    <w:p w:rsidR="00243A30" w:rsidRPr="009B397E" w:rsidRDefault="00243A30" w:rsidP="00B10DFB">
      <w:pPr>
        <w:numPr>
          <w:ilvl w:val="0"/>
          <w:numId w:val="34"/>
        </w:numPr>
        <w:suppressAutoHyphens/>
        <w:spacing w:after="120" w:line="240" w:lineRule="atLeast"/>
        <w:ind w:left="1701" w:right="1134" w:hanging="207"/>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1965</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 xml:space="preserve">KOHLENWASSERSTOFFGAS, GEMISCH, VERFLÜSSIGT, N.A.G. </w:t>
      </w:r>
      <w:r w:rsidRPr="009B397E">
        <w:rPr>
          <w:rFonts w:ascii="Times New Roman" w:hAnsi="Times New Roman" w:cs="Times New Roman"/>
          <w:sz w:val="20"/>
          <w:szCs w:val="20"/>
          <w:lang w:eastAsia="en-US"/>
        </w:rPr>
        <w:t>(</w:t>
      </w:r>
      <w:r w:rsidR="00B10DFB" w:rsidRPr="009B397E">
        <w:rPr>
          <w:rFonts w:ascii="Times New Roman" w:hAnsi="Times New Roman" w:cs="Times New Roman"/>
          <w:sz w:val="20"/>
          <w:szCs w:val="20"/>
          <w:lang w:eastAsia="en-US"/>
        </w:rPr>
        <w:t>neun Einträge</w:t>
      </w:r>
      <w:r w:rsidRPr="009B397E">
        <w:rPr>
          <w:rFonts w:ascii="Times New Roman" w:hAnsi="Times New Roman" w:cs="Times New Roman"/>
          <w:sz w:val="20"/>
          <w:szCs w:val="20"/>
          <w:lang w:eastAsia="en-US"/>
        </w:rPr>
        <w:t>)</w:t>
      </w:r>
    </w:p>
    <w:p w:rsidR="00243A30" w:rsidRPr="009B397E" w:rsidRDefault="00243A30" w:rsidP="00B10DFB">
      <w:pPr>
        <w:numPr>
          <w:ilvl w:val="0"/>
          <w:numId w:val="34"/>
        </w:numPr>
        <w:suppressAutoHyphens/>
        <w:spacing w:after="120" w:line="240" w:lineRule="atLeast"/>
        <w:ind w:left="1701" w:right="1134" w:hanging="207"/>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1972</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METHAN, TIEFGEKÜHLT, FLÜSSIG oder ERDGAS, TIEFGEKÜHLT, FLÜSSIG, mit hohem Methangehalt</w:t>
      </w:r>
    </w:p>
    <w:p w:rsidR="00243A30" w:rsidRPr="009B397E" w:rsidRDefault="00243A30" w:rsidP="00243A30">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1978</w:t>
      </w:r>
      <w:r w:rsidRPr="009B397E">
        <w:rPr>
          <w:rFonts w:ascii="Times New Roman" w:hAnsi="Times New Roman" w:cs="Times New Roman"/>
          <w:sz w:val="20"/>
          <w:szCs w:val="20"/>
          <w:lang w:eastAsia="en-US"/>
        </w:rPr>
        <w:tab/>
        <w:t>PROPAN</w:t>
      </w:r>
    </w:p>
    <w:p w:rsidR="00243A30" w:rsidRPr="009B397E" w:rsidRDefault="00243A30" w:rsidP="00B10DFB">
      <w:pPr>
        <w:numPr>
          <w:ilvl w:val="0"/>
          <w:numId w:val="34"/>
        </w:numPr>
        <w:tabs>
          <w:tab w:val="left" w:pos="1701"/>
        </w:tabs>
        <w:suppressAutoHyphens/>
        <w:spacing w:after="120" w:line="240" w:lineRule="atLeast"/>
        <w:ind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UN 2187</w:t>
      </w:r>
      <w:r w:rsidRPr="009B397E">
        <w:rPr>
          <w:rFonts w:ascii="Times New Roman" w:hAnsi="Times New Roman" w:cs="Times New Roman"/>
          <w:sz w:val="20"/>
          <w:szCs w:val="20"/>
          <w:lang w:eastAsia="en-US"/>
        </w:rPr>
        <w:tab/>
      </w:r>
      <w:r w:rsidR="00B10DFB" w:rsidRPr="009B397E">
        <w:rPr>
          <w:rFonts w:ascii="Times New Roman" w:hAnsi="Times New Roman" w:cs="Times New Roman"/>
          <w:sz w:val="20"/>
          <w:szCs w:val="20"/>
          <w:lang w:eastAsia="en-US"/>
        </w:rPr>
        <w:t>KOHLENDIOXID, TIEFGEKÜHLT, FLÜSSIG</w:t>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11.</w:t>
      </w:r>
      <w:r w:rsidRPr="009B397E">
        <w:rPr>
          <w:rFonts w:ascii="Times New Roman" w:hAnsi="Times New Roman" w:cs="Times New Roman"/>
          <w:sz w:val="20"/>
          <w:szCs w:val="20"/>
          <w:lang w:eastAsia="en-US"/>
        </w:rPr>
        <w:tab/>
      </w:r>
      <w:r w:rsidR="00CF417F" w:rsidRPr="009B397E">
        <w:rPr>
          <w:rFonts w:ascii="Times New Roman" w:hAnsi="Times New Roman" w:cs="Times New Roman"/>
          <w:sz w:val="20"/>
          <w:szCs w:val="20"/>
          <w:lang w:eastAsia="en-US"/>
        </w:rPr>
        <w:t>Andere in Kapitel 19 des IGC-Codes aufgeführte und für die Beförderung in Membrantanks geeignete Gase in Verbindung mit Tabelle 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708"/>
        <w:gridCol w:w="2567"/>
        <w:gridCol w:w="2535"/>
      </w:tblGrid>
      <w:tr w:rsidR="00243A30" w:rsidRPr="009B397E" w:rsidTr="00276E07">
        <w:trPr>
          <w:cantSplit/>
          <w:trHeight w:val="683"/>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243A30" w:rsidP="006815A9">
            <w:pPr>
              <w:tabs>
                <w:tab w:val="left" w:pos="1701"/>
              </w:tabs>
              <w:spacing w:before="80" w:after="80" w:line="240" w:lineRule="atLeast"/>
              <w:ind w:right="113"/>
              <w:jc w:val="center"/>
              <w:rPr>
                <w:rFonts w:ascii="Times New Roman" w:hAnsi="Times New Roman" w:cs="Times New Roman"/>
                <w:b/>
                <w:bCs/>
                <w:iCs/>
                <w:sz w:val="20"/>
                <w:szCs w:val="20"/>
                <w:lang w:eastAsia="en-US"/>
              </w:rPr>
            </w:pPr>
            <w:r w:rsidRPr="009B397E">
              <w:rPr>
                <w:rFonts w:ascii="Times New Roman" w:hAnsi="Times New Roman" w:cs="Times New Roman"/>
                <w:b/>
                <w:bCs/>
                <w:iCs/>
                <w:sz w:val="20"/>
                <w:szCs w:val="20"/>
                <w:lang w:eastAsia="en-US"/>
              </w:rPr>
              <w:t>IGC</w:t>
            </w:r>
            <w:r w:rsidR="003504D4" w:rsidRPr="009B397E">
              <w:rPr>
                <w:rFonts w:ascii="Times New Roman" w:hAnsi="Times New Roman" w:cs="Times New Roman"/>
                <w:b/>
                <w:bCs/>
                <w:iCs/>
                <w:sz w:val="20"/>
                <w:szCs w:val="20"/>
                <w:lang w:eastAsia="en-US"/>
              </w:rPr>
              <w:t>-</w:t>
            </w:r>
            <w:r w:rsidRPr="009B397E">
              <w:rPr>
                <w:rFonts w:ascii="Times New Roman" w:hAnsi="Times New Roman" w:cs="Times New Roman"/>
                <w:b/>
                <w:bCs/>
                <w:iCs/>
                <w:sz w:val="20"/>
                <w:szCs w:val="20"/>
                <w:lang w:eastAsia="en-US"/>
              </w:rPr>
              <w:t>Code</w:t>
            </w:r>
          </w:p>
          <w:p w:rsidR="00243A30" w:rsidRPr="009B397E" w:rsidRDefault="003504D4" w:rsidP="006815A9">
            <w:pPr>
              <w:tabs>
                <w:tab w:val="left" w:pos="1701"/>
              </w:tabs>
              <w:spacing w:before="80" w:after="80" w:line="240" w:lineRule="atLeast"/>
              <w:ind w:right="113"/>
              <w:jc w:val="center"/>
              <w:rPr>
                <w:rFonts w:ascii="Times New Roman" w:hAnsi="Times New Roman" w:cs="Times New Roman"/>
                <w:i/>
                <w:sz w:val="16"/>
                <w:szCs w:val="16"/>
                <w:lang w:eastAsia="en-US"/>
              </w:rPr>
            </w:pPr>
            <w:r w:rsidRPr="009B397E">
              <w:rPr>
                <w:rFonts w:ascii="Times New Roman" w:hAnsi="Times New Roman" w:cs="Times New Roman"/>
                <w:b/>
                <w:bCs/>
                <w:iCs/>
                <w:sz w:val="20"/>
                <w:szCs w:val="20"/>
                <w:lang w:eastAsia="en-US"/>
              </w:rPr>
              <w:t>Kapitel</w:t>
            </w:r>
            <w:r w:rsidR="00243A30" w:rsidRPr="009B397E">
              <w:rPr>
                <w:rFonts w:ascii="Times New Roman" w:hAnsi="Times New Roman" w:cs="Times New Roman"/>
                <w:b/>
                <w:bCs/>
                <w:iCs/>
                <w:sz w:val="20"/>
                <w:szCs w:val="20"/>
                <w:lang w:eastAsia="en-US"/>
              </w:rPr>
              <w:t xml:space="preserve"> 19</w:t>
            </w:r>
          </w:p>
        </w:tc>
        <w:tc>
          <w:tcPr>
            <w:tcW w:w="5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243A30" w:rsidP="006815A9">
            <w:pPr>
              <w:tabs>
                <w:tab w:val="left" w:pos="1701"/>
              </w:tabs>
              <w:spacing w:before="80" w:after="80" w:line="240" w:lineRule="atLeast"/>
              <w:ind w:right="113"/>
              <w:jc w:val="center"/>
              <w:rPr>
                <w:rFonts w:ascii="Times New Roman" w:hAnsi="Times New Roman" w:cs="Times New Roman"/>
                <w:i/>
                <w:sz w:val="16"/>
                <w:szCs w:val="16"/>
                <w:lang w:eastAsia="en-US"/>
              </w:rPr>
            </w:pPr>
            <w:r w:rsidRPr="009B397E">
              <w:rPr>
                <w:rFonts w:ascii="Times New Roman" w:hAnsi="Times New Roman" w:cs="Times New Roman"/>
                <w:b/>
                <w:bCs/>
                <w:iCs/>
                <w:sz w:val="20"/>
                <w:szCs w:val="20"/>
                <w:lang w:eastAsia="en-US"/>
              </w:rPr>
              <w:t>ADN</w:t>
            </w:r>
          </w:p>
        </w:tc>
      </w:tr>
      <w:tr w:rsidR="00243A30" w:rsidRPr="009B397E" w:rsidTr="00276E07">
        <w:trPr>
          <w:cantSplit/>
          <w:trHeight w:val="49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center"/>
          </w:tcPr>
          <w:p w:rsidR="00243A30" w:rsidRPr="009B397E" w:rsidRDefault="00243A30" w:rsidP="006815A9">
            <w:pPr>
              <w:tabs>
                <w:tab w:val="left" w:pos="1701"/>
              </w:tabs>
              <w:spacing w:before="80" w:after="80" w:line="240" w:lineRule="atLeast"/>
              <w:ind w:right="113"/>
              <w:jc w:val="center"/>
              <w:rPr>
                <w:rFonts w:ascii="Times New Roman" w:hAnsi="Times New Roman" w:cs="Times New Roman"/>
                <w:sz w:val="16"/>
                <w:szCs w:val="16"/>
                <w:lang w:eastAsia="en-US"/>
              </w:rPr>
            </w:pPr>
          </w:p>
        </w:tc>
        <w:tc>
          <w:tcPr>
            <w:tcW w:w="708" w:type="dxa"/>
            <w:tcBorders>
              <w:top w:val="single" w:sz="4" w:space="0" w:color="auto"/>
              <w:left w:val="single" w:sz="4" w:space="0" w:color="auto"/>
              <w:bottom w:val="single" w:sz="12" w:space="0" w:color="auto"/>
            </w:tcBorders>
            <w:shd w:val="clear" w:color="auto" w:fill="auto"/>
            <w:vAlign w:val="center"/>
          </w:tcPr>
          <w:p w:rsidR="00243A30" w:rsidRPr="009B397E" w:rsidRDefault="00D10AB5" w:rsidP="00D10AB5">
            <w:pPr>
              <w:tabs>
                <w:tab w:val="left" w:pos="1701"/>
              </w:tabs>
              <w:spacing w:before="80" w:after="80" w:line="240" w:lineRule="atLeast"/>
              <w:ind w:right="113"/>
              <w:jc w:val="center"/>
              <w:rPr>
                <w:rFonts w:ascii="Times New Roman" w:hAnsi="Times New Roman" w:cs="Times New Roman"/>
                <w:i/>
                <w:sz w:val="16"/>
                <w:szCs w:val="16"/>
                <w:lang w:eastAsia="en-US"/>
              </w:rPr>
            </w:pPr>
            <w:r w:rsidRPr="009B397E">
              <w:rPr>
                <w:rFonts w:ascii="Times New Roman" w:hAnsi="Times New Roman" w:cs="Times New Roman"/>
                <w:i/>
                <w:sz w:val="16"/>
                <w:szCs w:val="16"/>
                <w:lang w:eastAsia="en-US"/>
              </w:rPr>
              <w:t>UN-Nummer</w:t>
            </w:r>
          </w:p>
        </w:tc>
        <w:tc>
          <w:tcPr>
            <w:tcW w:w="2567" w:type="dxa"/>
            <w:tcBorders>
              <w:top w:val="single" w:sz="4" w:space="0" w:color="auto"/>
              <w:bottom w:val="single" w:sz="12" w:space="0" w:color="auto"/>
            </w:tcBorders>
            <w:shd w:val="clear" w:color="auto" w:fill="auto"/>
            <w:vAlign w:val="center"/>
          </w:tcPr>
          <w:p w:rsidR="00243A30" w:rsidRPr="009B397E" w:rsidRDefault="00D10AB5" w:rsidP="00D10AB5">
            <w:pPr>
              <w:tabs>
                <w:tab w:val="left" w:pos="1701"/>
              </w:tabs>
              <w:spacing w:before="80" w:after="80" w:line="240" w:lineRule="atLeast"/>
              <w:ind w:right="113"/>
              <w:jc w:val="center"/>
              <w:rPr>
                <w:rFonts w:ascii="Times New Roman" w:hAnsi="Times New Roman" w:cs="Times New Roman"/>
                <w:i/>
                <w:sz w:val="16"/>
                <w:szCs w:val="16"/>
                <w:lang w:eastAsia="en-US"/>
              </w:rPr>
            </w:pPr>
            <w:r w:rsidRPr="009B397E">
              <w:rPr>
                <w:rFonts w:ascii="Times New Roman" w:hAnsi="Times New Roman" w:cs="Times New Roman"/>
                <w:i/>
                <w:sz w:val="16"/>
                <w:szCs w:val="16"/>
                <w:lang w:eastAsia="en-US"/>
              </w:rPr>
              <w:t>Benennung und Beschreibung</w:t>
            </w:r>
          </w:p>
        </w:tc>
        <w:tc>
          <w:tcPr>
            <w:tcW w:w="2535" w:type="dxa"/>
            <w:tcBorders>
              <w:top w:val="single" w:sz="4" w:space="0" w:color="auto"/>
              <w:bottom w:val="single" w:sz="12" w:space="0" w:color="auto"/>
              <w:right w:val="single" w:sz="4" w:space="0" w:color="auto"/>
            </w:tcBorders>
            <w:shd w:val="clear" w:color="auto" w:fill="auto"/>
            <w:vAlign w:val="center"/>
          </w:tcPr>
          <w:p w:rsidR="00243A30" w:rsidRPr="009B397E" w:rsidRDefault="004F5538" w:rsidP="006600D3">
            <w:pPr>
              <w:tabs>
                <w:tab w:val="left" w:pos="1701"/>
              </w:tabs>
              <w:spacing w:before="80" w:after="80" w:line="240" w:lineRule="atLeast"/>
              <w:ind w:right="113"/>
              <w:jc w:val="center"/>
              <w:rPr>
                <w:rFonts w:ascii="Times New Roman" w:hAnsi="Times New Roman" w:cs="Times New Roman"/>
                <w:i/>
                <w:sz w:val="16"/>
                <w:szCs w:val="16"/>
                <w:lang w:eastAsia="en-US"/>
              </w:rPr>
            </w:pPr>
            <w:r w:rsidRPr="009B397E">
              <w:rPr>
                <w:rFonts w:ascii="Times New Roman" w:hAnsi="Times New Roman" w:cs="Times New Roman"/>
                <w:i/>
                <w:sz w:val="16"/>
                <w:szCs w:val="16"/>
                <w:lang w:eastAsia="en-US"/>
              </w:rPr>
              <w:t>Anmerkungen</w:t>
            </w:r>
          </w:p>
        </w:tc>
      </w:tr>
      <w:tr w:rsidR="00243A30" w:rsidRPr="009B397E" w:rsidTr="00276E07">
        <w:trPr>
          <w:cantSplit/>
        </w:trPr>
        <w:tc>
          <w:tcPr>
            <w:tcW w:w="1560" w:type="dxa"/>
            <w:tcBorders>
              <w:top w:val="single" w:sz="12" w:space="0" w:color="auto"/>
              <w:left w:val="single" w:sz="4" w:space="0" w:color="auto"/>
              <w:bottom w:val="single" w:sz="4" w:space="0" w:color="auto"/>
              <w:right w:val="single" w:sz="4" w:space="0" w:color="auto"/>
            </w:tcBorders>
            <w:shd w:val="clear" w:color="auto" w:fill="auto"/>
            <w:vAlign w:val="center"/>
          </w:tcPr>
          <w:p w:rsidR="00243A30" w:rsidRPr="009B397E" w:rsidRDefault="004F5538"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Acetaldehyd</w:t>
            </w:r>
          </w:p>
        </w:tc>
        <w:tc>
          <w:tcPr>
            <w:tcW w:w="708" w:type="dxa"/>
            <w:tcBorders>
              <w:top w:val="single" w:sz="12"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1089</w:t>
            </w:r>
          </w:p>
        </w:tc>
        <w:tc>
          <w:tcPr>
            <w:tcW w:w="2567" w:type="dxa"/>
            <w:tcBorders>
              <w:top w:val="single" w:sz="12" w:space="0" w:color="auto"/>
              <w:bottom w:val="single" w:sz="4" w:space="0" w:color="auto"/>
            </w:tcBorders>
            <w:shd w:val="clear" w:color="auto" w:fill="auto"/>
            <w:vAlign w:val="center"/>
          </w:tcPr>
          <w:p w:rsidR="00243A30" w:rsidRPr="009B397E" w:rsidRDefault="00B10DFB"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eastAsia="MS Mincho" w:hAnsi="Times New Roman" w:cs="Times New Roman"/>
                <w:sz w:val="20"/>
                <w:szCs w:val="18"/>
                <w:lang w:eastAsia="ja-JP"/>
              </w:rPr>
              <w:t>ACETALDEHYD (Ethanal)</w:t>
            </w:r>
          </w:p>
        </w:tc>
        <w:tc>
          <w:tcPr>
            <w:tcW w:w="2535" w:type="dxa"/>
            <w:tcBorders>
              <w:top w:val="single" w:sz="12" w:space="0" w:color="auto"/>
              <w:bottom w:val="single" w:sz="4" w:space="0" w:color="auto"/>
              <w:right w:val="single" w:sz="4" w:space="0" w:color="auto"/>
            </w:tcBorders>
            <w:shd w:val="clear" w:color="auto" w:fill="auto"/>
            <w:vAlign w:val="center"/>
          </w:tcPr>
          <w:p w:rsidR="00243A30" w:rsidRPr="009B397E" w:rsidRDefault="00E63E9D" w:rsidP="00E63E9D">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Beförderung auf Tankschiffen des Typs C</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4F5538"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Butan-Propan-Gemisch</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w:t>
            </w:r>
          </w:p>
        </w:tc>
        <w:tc>
          <w:tcPr>
            <w:tcW w:w="2567" w:type="dxa"/>
            <w:tcBorders>
              <w:top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4F5538" w:rsidP="004F5538">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In den ADN-Tabellen A und C nicht aufgeführt</w:t>
            </w:r>
          </w:p>
          <w:p w:rsidR="00243A30" w:rsidRPr="009B397E" w:rsidRDefault="004F5538"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Zu behandeln nach ADN Kapitel 2.1</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645453" w:rsidP="006600D3">
            <w:pPr>
              <w:tabs>
                <w:tab w:val="left" w:pos="1701"/>
              </w:tabs>
              <w:spacing w:before="40" w:after="120" w:line="240" w:lineRule="atLeast"/>
              <w:ind w:right="113"/>
              <w:jc w:val="center"/>
              <w:rPr>
                <w:rFonts w:ascii="Times New Roman" w:hAnsi="Times New Roman" w:cs="Times New Roman"/>
                <w:sz w:val="20"/>
                <w:szCs w:val="18"/>
                <w:lang w:eastAsia="en-US"/>
              </w:rPr>
            </w:pPr>
            <w:proofErr w:type="spellStart"/>
            <w:r w:rsidRPr="009B397E">
              <w:rPr>
                <w:rFonts w:ascii="Times New Roman" w:hAnsi="Times New Roman" w:cs="Times New Roman"/>
                <w:sz w:val="20"/>
                <w:szCs w:val="18"/>
                <w:lang w:eastAsia="en-US"/>
              </w:rPr>
              <w:t>Diethylether</w:t>
            </w:r>
            <w:proofErr w:type="spellEnd"/>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1155</w:t>
            </w:r>
          </w:p>
        </w:tc>
        <w:tc>
          <w:tcPr>
            <w:tcW w:w="2567" w:type="dxa"/>
            <w:tcBorders>
              <w:top w:val="single" w:sz="4" w:space="0" w:color="auto"/>
              <w:bottom w:val="single" w:sz="4" w:space="0" w:color="auto"/>
            </w:tcBorders>
            <w:shd w:val="clear" w:color="auto" w:fill="auto"/>
            <w:vAlign w:val="center"/>
          </w:tcPr>
          <w:p w:rsidR="00243A30" w:rsidRPr="009B397E" w:rsidRDefault="00D10AB5" w:rsidP="00D10AB5">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eastAsia="MS Mincho" w:hAnsi="Times New Roman" w:cs="Times New Roman"/>
                <w:sz w:val="20"/>
                <w:szCs w:val="18"/>
                <w:lang w:eastAsia="ja-JP"/>
              </w:rPr>
              <w:t>DIETHYLETHER</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Beförderung auf Tankschiffen des Typs C</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645453" w:rsidP="006600D3">
            <w:pPr>
              <w:tabs>
                <w:tab w:val="left" w:pos="1701"/>
              </w:tabs>
              <w:spacing w:before="40" w:after="120" w:line="240" w:lineRule="atLeast"/>
              <w:ind w:right="113"/>
              <w:jc w:val="center"/>
              <w:rPr>
                <w:rFonts w:ascii="Times New Roman" w:hAnsi="Times New Roman" w:cs="Times New Roman"/>
                <w:sz w:val="20"/>
                <w:szCs w:val="18"/>
                <w:lang w:eastAsia="en-US"/>
              </w:rPr>
            </w:pPr>
            <w:proofErr w:type="spellStart"/>
            <w:r w:rsidRPr="009B397E">
              <w:rPr>
                <w:rFonts w:ascii="Times New Roman" w:hAnsi="Times New Roman" w:cs="Times New Roman"/>
                <w:sz w:val="20"/>
                <w:szCs w:val="18"/>
                <w:lang w:eastAsia="en-US"/>
              </w:rPr>
              <w:t>Dimethylamin</w:t>
            </w:r>
            <w:proofErr w:type="spellEnd"/>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1160</w:t>
            </w:r>
          </w:p>
        </w:tc>
        <w:tc>
          <w:tcPr>
            <w:tcW w:w="2567" w:type="dxa"/>
            <w:tcBorders>
              <w:top w:val="single" w:sz="4" w:space="0" w:color="auto"/>
              <w:bottom w:val="single" w:sz="4" w:space="0" w:color="auto"/>
            </w:tcBorders>
            <w:shd w:val="clear" w:color="auto" w:fill="auto"/>
            <w:vAlign w:val="center"/>
          </w:tcPr>
          <w:p w:rsidR="00243A30" w:rsidRPr="009B397E" w:rsidRDefault="00D10AB5" w:rsidP="00D10AB5">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eastAsia="MS Mincho" w:hAnsi="Times New Roman" w:cs="Times New Roman"/>
                <w:sz w:val="20"/>
                <w:szCs w:val="18"/>
                <w:lang w:eastAsia="ja-JP"/>
              </w:rPr>
              <w:t>DIMETHYLAMIN, WÄSSERIGE LÖSUNG</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Beförderung auf Tankschiffen des Typs C</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645453"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Ethan</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1035</w:t>
            </w:r>
          </w:p>
        </w:tc>
        <w:tc>
          <w:tcPr>
            <w:tcW w:w="2567" w:type="dxa"/>
            <w:tcBorders>
              <w:top w:val="single" w:sz="4" w:space="0" w:color="auto"/>
              <w:bottom w:val="single" w:sz="4" w:space="0" w:color="auto"/>
            </w:tcBorders>
            <w:shd w:val="clear" w:color="auto" w:fill="auto"/>
            <w:vAlign w:val="center"/>
          </w:tcPr>
          <w:p w:rsidR="00243A30" w:rsidRPr="009B397E" w:rsidRDefault="00243A30" w:rsidP="00D10AB5">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eastAsia="MS Mincho" w:hAnsi="Times New Roman" w:cs="Times New Roman"/>
                <w:sz w:val="20"/>
                <w:szCs w:val="18"/>
                <w:lang w:eastAsia="ja-JP"/>
              </w:rPr>
              <w:t>ETHAN</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E63E9D" w:rsidP="00E63E9D">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 xml:space="preserve">Im ADN nicht erlaubt in Tankschiffen </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645453"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Ethylchlorid</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1037</w:t>
            </w:r>
          </w:p>
        </w:tc>
        <w:tc>
          <w:tcPr>
            <w:tcW w:w="2567" w:type="dxa"/>
            <w:tcBorders>
              <w:top w:val="single" w:sz="4" w:space="0" w:color="auto"/>
              <w:bottom w:val="single" w:sz="4" w:space="0" w:color="auto"/>
            </w:tcBorders>
            <w:shd w:val="clear" w:color="auto" w:fill="auto"/>
            <w:vAlign w:val="center"/>
          </w:tcPr>
          <w:p w:rsidR="00243A30" w:rsidRPr="009B397E" w:rsidRDefault="00D10AB5" w:rsidP="006815A9">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ETHYLCHLORID</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Im ADN nicht erlaubt in Tankschiffen</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645453"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Ethylenoxid-Propylenoxid-</w:t>
            </w:r>
            <w:r w:rsidR="00022514" w:rsidRPr="009B397E">
              <w:rPr>
                <w:rFonts w:ascii="Times New Roman" w:hAnsi="Times New Roman" w:cs="Times New Roman"/>
                <w:sz w:val="20"/>
                <w:szCs w:val="18"/>
                <w:lang w:eastAsia="en-US"/>
              </w:rPr>
              <w:t>Gem</w:t>
            </w:r>
            <w:r w:rsidRPr="009B397E">
              <w:rPr>
                <w:rFonts w:ascii="Times New Roman" w:hAnsi="Times New Roman" w:cs="Times New Roman"/>
                <w:sz w:val="20"/>
                <w:szCs w:val="18"/>
                <w:lang w:eastAsia="en-US"/>
              </w:rPr>
              <w:t xml:space="preserve">isch mit einem </w:t>
            </w:r>
            <w:r w:rsidR="00022514" w:rsidRPr="009B397E">
              <w:rPr>
                <w:rFonts w:ascii="Times New Roman" w:hAnsi="Times New Roman" w:cs="Times New Roman"/>
                <w:sz w:val="20"/>
                <w:szCs w:val="18"/>
                <w:lang w:eastAsia="en-US"/>
              </w:rPr>
              <w:t xml:space="preserve">Massenanteil von nicht mehr als 30 % </w:t>
            </w:r>
            <w:r w:rsidRPr="009B397E">
              <w:rPr>
                <w:rFonts w:ascii="Times New Roman" w:hAnsi="Times New Roman" w:cs="Times New Roman"/>
                <w:sz w:val="20"/>
                <w:szCs w:val="18"/>
                <w:lang w:eastAsia="en-US"/>
              </w:rPr>
              <w:t>Ethylenoxid</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2983</w:t>
            </w:r>
          </w:p>
        </w:tc>
        <w:tc>
          <w:tcPr>
            <w:tcW w:w="2567" w:type="dxa"/>
            <w:tcBorders>
              <w:top w:val="single" w:sz="4" w:space="0" w:color="auto"/>
              <w:bottom w:val="single" w:sz="4" w:space="0" w:color="auto"/>
            </w:tcBorders>
            <w:shd w:val="clear" w:color="auto" w:fill="auto"/>
            <w:vAlign w:val="center"/>
          </w:tcPr>
          <w:p w:rsidR="00243A30" w:rsidRPr="009B397E" w:rsidRDefault="00D10AB5" w:rsidP="00D10AB5">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ETHYLENOXID UND PROPYLENOXID, MISCHUNG, mit höchstens 30 % Ethylenoxid</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Beförderung auf Tankschiffen des Typs C</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645453"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Isopren (alle Isomere)</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1218</w:t>
            </w:r>
          </w:p>
        </w:tc>
        <w:tc>
          <w:tcPr>
            <w:tcW w:w="2567" w:type="dxa"/>
            <w:tcBorders>
              <w:top w:val="single" w:sz="4" w:space="0" w:color="auto"/>
              <w:bottom w:val="single" w:sz="4" w:space="0" w:color="auto"/>
            </w:tcBorders>
            <w:shd w:val="clear" w:color="auto" w:fill="auto"/>
            <w:vAlign w:val="center"/>
          </w:tcPr>
          <w:p w:rsidR="00243A30" w:rsidRPr="009B397E" w:rsidRDefault="00D10AB5" w:rsidP="00D10AB5">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ISOPREN, STABILISIERT</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E63E9D" w:rsidP="00E63E9D">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Beförderung auf Tankschiffen des Typs N</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A860FC" w:rsidP="006600D3">
            <w:pPr>
              <w:tabs>
                <w:tab w:val="left" w:pos="1701"/>
              </w:tabs>
              <w:spacing w:before="40" w:after="120" w:line="240" w:lineRule="atLeast"/>
              <w:ind w:right="113"/>
              <w:jc w:val="center"/>
              <w:rPr>
                <w:rFonts w:ascii="Times New Roman" w:hAnsi="Times New Roman" w:cs="Times New Roman"/>
                <w:sz w:val="20"/>
                <w:szCs w:val="18"/>
                <w:lang w:eastAsia="en-US"/>
              </w:rPr>
            </w:pPr>
            <w:proofErr w:type="spellStart"/>
            <w:r w:rsidRPr="009B397E">
              <w:rPr>
                <w:rFonts w:ascii="Times New Roman" w:hAnsi="Times New Roman" w:cs="Times New Roman"/>
                <w:sz w:val="20"/>
                <w:szCs w:val="18"/>
                <w:lang w:eastAsia="en-US"/>
              </w:rPr>
              <w:t>Isorpren</w:t>
            </w:r>
            <w:proofErr w:type="spellEnd"/>
            <w:r w:rsidRPr="009B397E">
              <w:rPr>
                <w:rFonts w:ascii="Times New Roman" w:hAnsi="Times New Roman" w:cs="Times New Roman"/>
                <w:sz w:val="20"/>
                <w:szCs w:val="18"/>
                <w:lang w:eastAsia="en-US"/>
              </w:rPr>
              <w:t xml:space="preserve"> (teilraffiniert)</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1218</w:t>
            </w:r>
          </w:p>
        </w:tc>
        <w:tc>
          <w:tcPr>
            <w:tcW w:w="2567" w:type="dxa"/>
            <w:tcBorders>
              <w:top w:val="single" w:sz="4" w:space="0" w:color="auto"/>
              <w:bottom w:val="single" w:sz="4" w:space="0" w:color="auto"/>
            </w:tcBorders>
            <w:shd w:val="clear" w:color="auto" w:fill="auto"/>
            <w:vAlign w:val="center"/>
          </w:tcPr>
          <w:p w:rsidR="00243A30" w:rsidRPr="009B397E" w:rsidRDefault="00D10AB5" w:rsidP="006815A9">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ISOPREN, STABILISIERT</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E63E9D" w:rsidP="00E63E9D">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Beförderung auf Tankschiffen des Typs N</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proofErr w:type="spellStart"/>
            <w:r w:rsidRPr="009B397E">
              <w:rPr>
                <w:rFonts w:ascii="Times New Roman" w:hAnsi="Times New Roman" w:cs="Times New Roman"/>
                <w:sz w:val="20"/>
                <w:szCs w:val="18"/>
                <w:lang w:eastAsia="en-US"/>
              </w:rPr>
              <w:t>Isopropylamin</w:t>
            </w:r>
            <w:proofErr w:type="spellEnd"/>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1221</w:t>
            </w:r>
          </w:p>
        </w:tc>
        <w:tc>
          <w:tcPr>
            <w:tcW w:w="2567" w:type="dxa"/>
            <w:tcBorders>
              <w:top w:val="single" w:sz="4" w:space="0" w:color="auto"/>
              <w:bottom w:val="single" w:sz="4" w:space="0" w:color="auto"/>
            </w:tcBorders>
            <w:shd w:val="clear" w:color="auto" w:fill="auto"/>
            <w:vAlign w:val="center"/>
          </w:tcPr>
          <w:p w:rsidR="00243A30" w:rsidRPr="009B397E" w:rsidRDefault="00D10AB5" w:rsidP="00D10AB5">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ISOPROPYLAMIN</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Beförderung auf Tankschiffen des Typs C</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lastRenderedPageBreak/>
              <w:t>Methyl-Acetylen-</w:t>
            </w:r>
            <w:proofErr w:type="spellStart"/>
            <w:r w:rsidRPr="009B397E">
              <w:rPr>
                <w:rFonts w:ascii="Times New Roman" w:hAnsi="Times New Roman" w:cs="Times New Roman"/>
                <w:sz w:val="20"/>
                <w:szCs w:val="18"/>
                <w:lang w:eastAsia="en-US"/>
              </w:rPr>
              <w:t>Propadien</w:t>
            </w:r>
            <w:proofErr w:type="spellEnd"/>
            <w:r w:rsidRPr="009B397E">
              <w:rPr>
                <w:rFonts w:ascii="Times New Roman" w:hAnsi="Times New Roman" w:cs="Times New Roman"/>
                <w:sz w:val="20"/>
                <w:szCs w:val="18"/>
                <w:lang w:eastAsia="en-US"/>
              </w:rPr>
              <w:t>-Gemische</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1060</w:t>
            </w:r>
          </w:p>
        </w:tc>
        <w:tc>
          <w:tcPr>
            <w:tcW w:w="2567" w:type="dxa"/>
            <w:tcBorders>
              <w:top w:val="single" w:sz="4" w:space="0" w:color="auto"/>
              <w:bottom w:val="single" w:sz="4" w:space="0" w:color="auto"/>
            </w:tcBorders>
            <w:shd w:val="clear" w:color="auto" w:fill="auto"/>
            <w:vAlign w:val="center"/>
          </w:tcPr>
          <w:p w:rsidR="00243A30" w:rsidRPr="009B397E" w:rsidRDefault="00243A30" w:rsidP="00330384">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 xml:space="preserve">METHYLACETYLEN </w:t>
            </w:r>
            <w:r w:rsidR="00330384" w:rsidRPr="009B397E">
              <w:rPr>
                <w:rFonts w:ascii="Times New Roman" w:eastAsia="MS Mincho" w:hAnsi="Times New Roman" w:cs="Times New Roman"/>
                <w:sz w:val="20"/>
                <w:szCs w:val="18"/>
                <w:lang w:eastAsia="ja-JP"/>
              </w:rPr>
              <w:t>UND</w:t>
            </w:r>
            <w:r w:rsidRPr="009B397E">
              <w:rPr>
                <w:rFonts w:ascii="Times New Roman" w:eastAsia="MS Mincho" w:hAnsi="Times New Roman" w:cs="Times New Roman"/>
                <w:sz w:val="20"/>
                <w:szCs w:val="18"/>
                <w:lang w:eastAsia="ja-JP"/>
              </w:rPr>
              <w:t xml:space="preserve"> PROPADIEN</w:t>
            </w:r>
            <w:r w:rsidR="00330384" w:rsidRPr="009B397E">
              <w:rPr>
                <w:rFonts w:ascii="Times New Roman" w:eastAsia="MS Mincho" w:hAnsi="Times New Roman" w:cs="Times New Roman"/>
                <w:sz w:val="20"/>
                <w:szCs w:val="18"/>
                <w:lang w:eastAsia="ja-JP"/>
              </w:rPr>
              <w:t>, GEMISCH,</w:t>
            </w:r>
            <w:r w:rsidRPr="009B397E">
              <w:rPr>
                <w:rFonts w:ascii="Times New Roman" w:eastAsia="MS Mincho" w:hAnsi="Times New Roman" w:cs="Times New Roman"/>
                <w:sz w:val="20"/>
                <w:szCs w:val="18"/>
                <w:lang w:eastAsia="ja-JP"/>
              </w:rPr>
              <w:t xml:space="preserve"> STABILI</w:t>
            </w:r>
            <w:r w:rsidR="00330384" w:rsidRPr="009B397E">
              <w:rPr>
                <w:rFonts w:ascii="Times New Roman" w:eastAsia="MS Mincho" w:hAnsi="Times New Roman" w:cs="Times New Roman"/>
                <w:sz w:val="20"/>
                <w:szCs w:val="18"/>
                <w:lang w:eastAsia="ja-JP"/>
              </w:rPr>
              <w:t>SIERT</w:t>
            </w:r>
            <w:r w:rsidRPr="009B397E">
              <w:rPr>
                <w:rFonts w:ascii="Times New Roman" w:eastAsia="MS Mincho" w:hAnsi="Times New Roman" w:cs="Times New Roman"/>
                <w:sz w:val="20"/>
                <w:szCs w:val="18"/>
                <w:lang w:eastAsia="ja-JP"/>
              </w:rPr>
              <w:t xml:space="preserve"> </w:t>
            </w:r>
            <w:r w:rsidR="00330384" w:rsidRPr="009B397E">
              <w:rPr>
                <w:rFonts w:ascii="Times New Roman" w:eastAsia="MS Mincho" w:hAnsi="Times New Roman" w:cs="Times New Roman"/>
                <w:sz w:val="20"/>
                <w:szCs w:val="18"/>
                <w:lang w:eastAsia="ja-JP"/>
              </w:rPr>
              <w:t>(Gemisch</w:t>
            </w:r>
            <w:r w:rsidRPr="009B397E">
              <w:rPr>
                <w:rFonts w:ascii="Times New Roman" w:eastAsia="MS Mincho" w:hAnsi="Times New Roman" w:cs="Times New Roman"/>
                <w:sz w:val="20"/>
                <w:szCs w:val="18"/>
                <w:lang w:eastAsia="ja-JP"/>
              </w:rPr>
              <w:t xml:space="preserve"> P1</w:t>
            </w:r>
            <w:r w:rsidR="00330384" w:rsidRPr="009B397E">
              <w:rPr>
                <w:rFonts w:ascii="Times New Roman" w:eastAsia="MS Mincho" w:hAnsi="Times New Roman" w:cs="Times New Roman"/>
                <w:sz w:val="20"/>
                <w:szCs w:val="18"/>
                <w:lang w:eastAsia="ja-JP"/>
              </w:rPr>
              <w:t>)</w:t>
            </w:r>
            <w:r w:rsidRPr="009B397E">
              <w:rPr>
                <w:rFonts w:ascii="Times New Roman" w:eastAsia="MS Mincho" w:hAnsi="Times New Roman" w:cs="Times New Roman"/>
                <w:sz w:val="20"/>
                <w:szCs w:val="18"/>
                <w:lang w:eastAsia="ja-JP"/>
              </w:rPr>
              <w:t xml:space="preserve"> </w:t>
            </w:r>
            <w:r w:rsidR="00330384" w:rsidRPr="009B397E">
              <w:rPr>
                <w:rFonts w:ascii="Times New Roman" w:eastAsia="MS Mincho" w:hAnsi="Times New Roman" w:cs="Times New Roman"/>
                <w:sz w:val="20"/>
                <w:szCs w:val="18"/>
                <w:lang w:eastAsia="ja-JP"/>
              </w:rPr>
              <w:t>(Gemisch P</w:t>
            </w:r>
            <w:r w:rsidRPr="009B397E">
              <w:rPr>
                <w:rFonts w:ascii="Times New Roman" w:eastAsia="MS Mincho" w:hAnsi="Times New Roman" w:cs="Times New Roman"/>
                <w:sz w:val="20"/>
                <w:szCs w:val="18"/>
                <w:lang w:eastAsia="ja-JP"/>
              </w:rPr>
              <w:t>2</w:t>
            </w:r>
            <w:r w:rsidR="00330384" w:rsidRPr="009B397E">
              <w:rPr>
                <w:rFonts w:ascii="Times New Roman" w:eastAsia="MS Mincho" w:hAnsi="Times New Roman" w:cs="Times New Roman"/>
                <w:sz w:val="20"/>
                <w:szCs w:val="18"/>
                <w:lang w:eastAsia="ja-JP"/>
              </w:rPr>
              <w:t>)</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Im ADN nicht erlaubt in Tankschiffen</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Gemischte C4-Ladungen</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w:t>
            </w:r>
          </w:p>
        </w:tc>
        <w:tc>
          <w:tcPr>
            <w:tcW w:w="2567" w:type="dxa"/>
            <w:tcBorders>
              <w:top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022514" w:rsidP="00022514">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In den ADN-Tabellen A und C nicht aufgeführt</w:t>
            </w:r>
          </w:p>
          <w:p w:rsidR="00243A30" w:rsidRPr="009B397E" w:rsidRDefault="00022514" w:rsidP="00022514">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Zu behandeln nach ADN Kapitel 2.1</w:t>
            </w:r>
          </w:p>
          <w:p w:rsidR="00243A30"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Verweis in den IMO-Dokumenten BLG 15/10/3 und BLG.1/Circ.32</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Monoethylamin</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1036</w:t>
            </w:r>
          </w:p>
        </w:tc>
        <w:tc>
          <w:tcPr>
            <w:tcW w:w="2567" w:type="dxa"/>
            <w:tcBorders>
              <w:top w:val="single" w:sz="4" w:space="0" w:color="auto"/>
              <w:bottom w:val="single" w:sz="4" w:space="0" w:color="auto"/>
            </w:tcBorders>
            <w:shd w:val="clear" w:color="auto" w:fill="auto"/>
            <w:vAlign w:val="center"/>
          </w:tcPr>
          <w:p w:rsidR="00243A30" w:rsidRPr="009B397E" w:rsidRDefault="00243A30" w:rsidP="00330384">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ETHYLAMIN</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022514" w:rsidP="00022514">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Monoethylamin ist in ADN-Tabelle B als Synonym aufgeführt</w:t>
            </w:r>
          </w:p>
          <w:p w:rsidR="00243A30"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Im ADN nicht erlaubt in Tankschiffen</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Nitrogen</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1977</w:t>
            </w:r>
          </w:p>
        </w:tc>
        <w:tc>
          <w:tcPr>
            <w:tcW w:w="2567" w:type="dxa"/>
            <w:tcBorders>
              <w:top w:val="single" w:sz="4" w:space="0" w:color="auto"/>
              <w:bottom w:val="single" w:sz="4" w:space="0" w:color="auto"/>
            </w:tcBorders>
            <w:shd w:val="clear" w:color="auto" w:fill="auto"/>
            <w:vAlign w:val="center"/>
          </w:tcPr>
          <w:p w:rsidR="00243A30" w:rsidRPr="009B397E" w:rsidRDefault="00330384" w:rsidP="00330384">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STICKSTOFF</w:t>
            </w:r>
            <w:r w:rsidR="00243A30" w:rsidRPr="009B397E">
              <w:rPr>
                <w:rFonts w:ascii="Times New Roman" w:eastAsia="MS Mincho" w:hAnsi="Times New Roman" w:cs="Times New Roman"/>
                <w:sz w:val="20"/>
                <w:szCs w:val="18"/>
                <w:lang w:eastAsia="ja-JP"/>
              </w:rPr>
              <w:t xml:space="preserve">, </w:t>
            </w:r>
            <w:r w:rsidRPr="009B397E">
              <w:rPr>
                <w:rFonts w:ascii="Times New Roman" w:eastAsia="MS Mincho" w:hAnsi="Times New Roman" w:cs="Times New Roman"/>
                <w:sz w:val="20"/>
                <w:szCs w:val="18"/>
                <w:lang w:eastAsia="ja-JP"/>
              </w:rPr>
              <w:t>TIEFGEKÜHLT, FLÜSSIG</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Im ADN nicht erlaubt in Tankschiffen</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Pentan (alle Isomere)</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1265</w:t>
            </w:r>
          </w:p>
        </w:tc>
        <w:tc>
          <w:tcPr>
            <w:tcW w:w="2567" w:type="dxa"/>
            <w:tcBorders>
              <w:top w:val="single" w:sz="4" w:space="0" w:color="auto"/>
              <w:bottom w:val="single" w:sz="4" w:space="0" w:color="auto"/>
            </w:tcBorders>
            <w:shd w:val="clear" w:color="auto" w:fill="auto"/>
            <w:vAlign w:val="center"/>
          </w:tcPr>
          <w:p w:rsidR="00243A30" w:rsidRPr="009B397E" w:rsidRDefault="00D10AB5" w:rsidP="00A21F40">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PENTANE, flüssig</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 xml:space="preserve">5 </w:t>
            </w:r>
            <w:r w:rsidR="00D10AB5" w:rsidRPr="009B397E">
              <w:rPr>
                <w:rFonts w:ascii="Times New Roman" w:hAnsi="Times New Roman" w:cs="Times New Roman"/>
                <w:sz w:val="20"/>
                <w:szCs w:val="18"/>
                <w:lang w:eastAsia="en-US"/>
              </w:rPr>
              <w:t>Einträge in Tabelle C ADN</w:t>
            </w:r>
          </w:p>
          <w:p w:rsidR="00243A30"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Beförderung auf Tankschiffen des Typs N oder Entscheidungsdiagramm (ADN 3.2.3.3)</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Pentan (alle Isomere)</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1108</w:t>
            </w:r>
          </w:p>
        </w:tc>
        <w:tc>
          <w:tcPr>
            <w:tcW w:w="2567" w:type="dxa"/>
            <w:tcBorders>
              <w:top w:val="single" w:sz="4" w:space="0" w:color="auto"/>
              <w:bottom w:val="single" w:sz="4" w:space="0" w:color="auto"/>
            </w:tcBorders>
            <w:shd w:val="clear" w:color="auto" w:fill="auto"/>
            <w:vAlign w:val="center"/>
          </w:tcPr>
          <w:p w:rsidR="00243A30" w:rsidRPr="009B397E" w:rsidRDefault="00A21F40" w:rsidP="00A21F40">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PENT-1-EN oder n-AMYLEN</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91573C" w:rsidP="0091573C">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Beförderung auf Tankschiffe</w:t>
            </w:r>
            <w:r w:rsidR="00E63E9D" w:rsidRPr="009B397E">
              <w:rPr>
                <w:rFonts w:ascii="Times New Roman" w:hAnsi="Times New Roman" w:cs="Times New Roman"/>
                <w:sz w:val="20"/>
                <w:szCs w:val="18"/>
                <w:lang w:eastAsia="en-US"/>
              </w:rPr>
              <w:t>n</w:t>
            </w:r>
            <w:r w:rsidRPr="009B397E">
              <w:rPr>
                <w:rFonts w:ascii="Times New Roman" w:hAnsi="Times New Roman" w:cs="Times New Roman"/>
                <w:sz w:val="20"/>
                <w:szCs w:val="18"/>
                <w:lang w:eastAsia="en-US"/>
              </w:rPr>
              <w:t xml:space="preserve"> des Typs N</w:t>
            </w:r>
          </w:p>
        </w:tc>
      </w:tr>
      <w:tr w:rsidR="00243A30"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3A30"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Propylenoxid</w:t>
            </w:r>
          </w:p>
        </w:tc>
        <w:tc>
          <w:tcPr>
            <w:tcW w:w="708" w:type="dxa"/>
            <w:tcBorders>
              <w:top w:val="single" w:sz="4" w:space="0" w:color="auto"/>
              <w:left w:val="single" w:sz="4" w:space="0" w:color="auto"/>
              <w:bottom w:val="single" w:sz="4" w:space="0" w:color="auto"/>
            </w:tcBorders>
            <w:shd w:val="clear" w:color="auto" w:fill="auto"/>
            <w:vAlign w:val="center"/>
          </w:tcPr>
          <w:p w:rsidR="00243A30" w:rsidRPr="009B397E" w:rsidRDefault="00243A30"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1280</w:t>
            </w:r>
          </w:p>
        </w:tc>
        <w:tc>
          <w:tcPr>
            <w:tcW w:w="2567" w:type="dxa"/>
            <w:tcBorders>
              <w:top w:val="single" w:sz="4" w:space="0" w:color="auto"/>
              <w:bottom w:val="single" w:sz="4" w:space="0" w:color="auto"/>
            </w:tcBorders>
            <w:shd w:val="clear" w:color="auto" w:fill="auto"/>
            <w:vAlign w:val="center"/>
          </w:tcPr>
          <w:p w:rsidR="00243A30" w:rsidRPr="009B397E" w:rsidRDefault="00A21F40" w:rsidP="00A21F40">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PROPYLENOXID</w:t>
            </w:r>
          </w:p>
        </w:tc>
        <w:tc>
          <w:tcPr>
            <w:tcW w:w="2535" w:type="dxa"/>
            <w:tcBorders>
              <w:top w:val="single" w:sz="4" w:space="0" w:color="auto"/>
              <w:bottom w:val="single" w:sz="4" w:space="0" w:color="auto"/>
              <w:right w:val="single" w:sz="4" w:space="0" w:color="auto"/>
            </w:tcBorders>
            <w:shd w:val="clear" w:color="auto" w:fill="auto"/>
            <w:vAlign w:val="center"/>
          </w:tcPr>
          <w:p w:rsidR="00243A30" w:rsidRPr="009B397E" w:rsidRDefault="00E63E9D" w:rsidP="00E63E9D">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Beförderung auf Tankschiffen des Typs C</w:t>
            </w:r>
          </w:p>
        </w:tc>
      </w:tr>
      <w:tr w:rsidR="00E63E9D"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63E9D"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Kältemittelgase</w:t>
            </w:r>
          </w:p>
        </w:tc>
        <w:tc>
          <w:tcPr>
            <w:tcW w:w="708" w:type="dxa"/>
            <w:tcBorders>
              <w:top w:val="single" w:sz="4" w:space="0" w:color="auto"/>
              <w:left w:val="single" w:sz="4" w:space="0" w:color="auto"/>
              <w:bottom w:val="single" w:sz="4" w:space="0" w:color="auto"/>
            </w:tcBorders>
            <w:shd w:val="clear" w:color="auto" w:fill="auto"/>
            <w:vAlign w:val="center"/>
          </w:tcPr>
          <w:p w:rsidR="00E63E9D"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1009</w:t>
            </w:r>
          </w:p>
        </w:tc>
        <w:tc>
          <w:tcPr>
            <w:tcW w:w="2567" w:type="dxa"/>
            <w:tcBorders>
              <w:top w:val="single" w:sz="4" w:space="0" w:color="auto"/>
              <w:bottom w:val="single" w:sz="4" w:space="0" w:color="auto"/>
            </w:tcBorders>
            <w:shd w:val="clear" w:color="auto" w:fill="auto"/>
            <w:vAlign w:val="center"/>
          </w:tcPr>
          <w:p w:rsidR="00E63E9D" w:rsidRPr="009B397E" w:rsidRDefault="00E63E9D" w:rsidP="0091332D">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 xml:space="preserve">BROMTRIFLUORMETHAN (GAS </w:t>
            </w:r>
            <w:r w:rsidR="0091332D" w:rsidRPr="009B397E">
              <w:rPr>
                <w:rFonts w:ascii="Times New Roman" w:eastAsia="MS Mincho" w:hAnsi="Times New Roman" w:cs="Times New Roman"/>
                <w:sz w:val="20"/>
                <w:szCs w:val="18"/>
                <w:lang w:eastAsia="ja-JP"/>
              </w:rPr>
              <w:t xml:space="preserve">ALS KÄLTEMITTEL </w:t>
            </w:r>
            <w:r w:rsidRPr="009B397E">
              <w:rPr>
                <w:rFonts w:ascii="Times New Roman" w:eastAsia="MS Mincho" w:hAnsi="Times New Roman" w:cs="Times New Roman"/>
                <w:sz w:val="20"/>
                <w:szCs w:val="18"/>
                <w:lang w:eastAsia="ja-JP"/>
              </w:rPr>
              <w:t>R 13B1)</w:t>
            </w:r>
          </w:p>
        </w:tc>
        <w:tc>
          <w:tcPr>
            <w:tcW w:w="2535" w:type="dxa"/>
            <w:tcBorders>
              <w:top w:val="single" w:sz="4" w:space="0" w:color="auto"/>
              <w:bottom w:val="single" w:sz="4" w:space="0" w:color="auto"/>
              <w:right w:val="single" w:sz="4" w:space="0" w:color="auto"/>
            </w:tcBorders>
            <w:shd w:val="clear" w:color="auto" w:fill="auto"/>
          </w:tcPr>
          <w:p w:rsidR="00E63E9D" w:rsidRPr="009B397E" w:rsidRDefault="00E63E9D" w:rsidP="00E63E9D">
            <w:pPr>
              <w:jc w:val="center"/>
            </w:pPr>
            <w:r w:rsidRPr="009B397E">
              <w:rPr>
                <w:rFonts w:ascii="Times New Roman" w:hAnsi="Times New Roman" w:cs="Times New Roman"/>
                <w:sz w:val="20"/>
                <w:szCs w:val="18"/>
                <w:lang w:eastAsia="en-US"/>
              </w:rPr>
              <w:t>Im ADN nicht erlaubt in Tankschiffen</w:t>
            </w:r>
          </w:p>
        </w:tc>
      </w:tr>
      <w:tr w:rsidR="00E63E9D"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63E9D"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Kältemittelgase</w:t>
            </w:r>
          </w:p>
        </w:tc>
        <w:tc>
          <w:tcPr>
            <w:tcW w:w="708" w:type="dxa"/>
            <w:tcBorders>
              <w:top w:val="single" w:sz="4" w:space="0" w:color="auto"/>
              <w:left w:val="single" w:sz="4" w:space="0" w:color="auto"/>
              <w:bottom w:val="single" w:sz="4" w:space="0" w:color="auto"/>
            </w:tcBorders>
            <w:shd w:val="clear" w:color="auto" w:fill="auto"/>
            <w:vAlign w:val="center"/>
          </w:tcPr>
          <w:p w:rsidR="00E63E9D"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1018</w:t>
            </w:r>
          </w:p>
        </w:tc>
        <w:tc>
          <w:tcPr>
            <w:tcW w:w="2567" w:type="dxa"/>
            <w:tcBorders>
              <w:top w:val="single" w:sz="4" w:space="0" w:color="auto"/>
              <w:bottom w:val="single" w:sz="4" w:space="0" w:color="auto"/>
            </w:tcBorders>
            <w:shd w:val="clear" w:color="auto" w:fill="auto"/>
            <w:vAlign w:val="center"/>
          </w:tcPr>
          <w:p w:rsidR="00E63E9D" w:rsidRPr="009B397E" w:rsidRDefault="00E63E9D" w:rsidP="0091332D">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CHLORDIFLUORMETHAN (</w:t>
            </w:r>
            <w:r w:rsidR="0091332D" w:rsidRPr="009B397E">
              <w:rPr>
                <w:rFonts w:ascii="Times New Roman" w:eastAsia="MS Mincho" w:hAnsi="Times New Roman" w:cs="Times New Roman"/>
                <w:sz w:val="20"/>
                <w:szCs w:val="18"/>
                <w:lang w:eastAsia="ja-JP"/>
              </w:rPr>
              <w:t xml:space="preserve">GAS ALS KÄLTEMITTEL </w:t>
            </w:r>
            <w:r w:rsidRPr="009B397E">
              <w:rPr>
                <w:rFonts w:ascii="Times New Roman" w:eastAsia="MS Mincho" w:hAnsi="Times New Roman" w:cs="Times New Roman"/>
                <w:sz w:val="20"/>
                <w:szCs w:val="18"/>
                <w:lang w:eastAsia="ja-JP"/>
              </w:rPr>
              <w:t>R 22)</w:t>
            </w:r>
          </w:p>
        </w:tc>
        <w:tc>
          <w:tcPr>
            <w:tcW w:w="2535" w:type="dxa"/>
            <w:tcBorders>
              <w:top w:val="single" w:sz="4" w:space="0" w:color="auto"/>
              <w:bottom w:val="single" w:sz="4" w:space="0" w:color="auto"/>
              <w:right w:val="single" w:sz="4" w:space="0" w:color="auto"/>
            </w:tcBorders>
            <w:shd w:val="clear" w:color="auto" w:fill="auto"/>
          </w:tcPr>
          <w:p w:rsidR="00E63E9D" w:rsidRPr="009B397E" w:rsidRDefault="00E63E9D" w:rsidP="00E63E9D">
            <w:pPr>
              <w:jc w:val="center"/>
            </w:pPr>
            <w:r w:rsidRPr="009B397E">
              <w:rPr>
                <w:rFonts w:ascii="Times New Roman" w:hAnsi="Times New Roman" w:cs="Times New Roman"/>
                <w:sz w:val="20"/>
                <w:szCs w:val="18"/>
                <w:lang w:eastAsia="en-US"/>
              </w:rPr>
              <w:t>Im ADN nicht erlaubt in Tankschiffen</w:t>
            </w:r>
          </w:p>
        </w:tc>
      </w:tr>
      <w:tr w:rsidR="00E63E9D"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63E9D"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Kältemittelgase</w:t>
            </w:r>
          </w:p>
        </w:tc>
        <w:tc>
          <w:tcPr>
            <w:tcW w:w="708" w:type="dxa"/>
            <w:tcBorders>
              <w:top w:val="single" w:sz="4" w:space="0" w:color="auto"/>
              <w:left w:val="single" w:sz="4" w:space="0" w:color="auto"/>
              <w:bottom w:val="single" w:sz="4" w:space="0" w:color="auto"/>
            </w:tcBorders>
            <w:shd w:val="clear" w:color="auto" w:fill="auto"/>
            <w:vAlign w:val="center"/>
          </w:tcPr>
          <w:p w:rsidR="00E63E9D"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1021</w:t>
            </w:r>
          </w:p>
        </w:tc>
        <w:tc>
          <w:tcPr>
            <w:tcW w:w="2567" w:type="dxa"/>
            <w:tcBorders>
              <w:top w:val="single" w:sz="4" w:space="0" w:color="auto"/>
              <w:bottom w:val="single" w:sz="4" w:space="0" w:color="auto"/>
            </w:tcBorders>
            <w:shd w:val="clear" w:color="auto" w:fill="auto"/>
            <w:vAlign w:val="center"/>
          </w:tcPr>
          <w:p w:rsidR="00E63E9D" w:rsidRPr="009B397E" w:rsidRDefault="00E63E9D" w:rsidP="0091332D">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1-CHLOR-1,2,2,2-TETRAFLUORETHAN (</w:t>
            </w:r>
            <w:r w:rsidR="0091332D" w:rsidRPr="009B397E">
              <w:rPr>
                <w:rFonts w:ascii="Times New Roman" w:eastAsia="MS Mincho" w:hAnsi="Times New Roman" w:cs="Times New Roman"/>
                <w:sz w:val="20"/>
                <w:szCs w:val="18"/>
                <w:lang w:eastAsia="ja-JP"/>
              </w:rPr>
              <w:t xml:space="preserve">GAS ALS KÄLTEMITTEL </w:t>
            </w:r>
            <w:r w:rsidRPr="009B397E">
              <w:rPr>
                <w:rFonts w:ascii="Times New Roman" w:eastAsia="MS Mincho" w:hAnsi="Times New Roman" w:cs="Times New Roman"/>
                <w:sz w:val="20"/>
                <w:szCs w:val="18"/>
                <w:lang w:eastAsia="ja-JP"/>
              </w:rPr>
              <w:t xml:space="preserve"> R 124)</w:t>
            </w:r>
          </w:p>
        </w:tc>
        <w:tc>
          <w:tcPr>
            <w:tcW w:w="2535" w:type="dxa"/>
            <w:tcBorders>
              <w:top w:val="single" w:sz="4" w:space="0" w:color="auto"/>
              <w:bottom w:val="single" w:sz="4" w:space="0" w:color="auto"/>
              <w:right w:val="single" w:sz="4" w:space="0" w:color="auto"/>
            </w:tcBorders>
            <w:shd w:val="clear" w:color="auto" w:fill="auto"/>
          </w:tcPr>
          <w:p w:rsidR="00E63E9D" w:rsidRPr="009B397E" w:rsidRDefault="00E63E9D" w:rsidP="00E63E9D">
            <w:pPr>
              <w:jc w:val="center"/>
            </w:pPr>
            <w:r w:rsidRPr="009B397E">
              <w:rPr>
                <w:rFonts w:ascii="Times New Roman" w:hAnsi="Times New Roman" w:cs="Times New Roman"/>
                <w:sz w:val="20"/>
                <w:szCs w:val="18"/>
                <w:lang w:eastAsia="en-US"/>
              </w:rPr>
              <w:t>Im ADN nicht erlaubt in Tankschiffen</w:t>
            </w:r>
          </w:p>
        </w:tc>
      </w:tr>
      <w:tr w:rsidR="00E63E9D"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63E9D"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Kältemittelgase</w:t>
            </w:r>
          </w:p>
        </w:tc>
        <w:tc>
          <w:tcPr>
            <w:tcW w:w="708" w:type="dxa"/>
            <w:tcBorders>
              <w:top w:val="single" w:sz="4" w:space="0" w:color="auto"/>
              <w:left w:val="single" w:sz="4" w:space="0" w:color="auto"/>
              <w:bottom w:val="single" w:sz="4" w:space="0" w:color="auto"/>
            </w:tcBorders>
            <w:shd w:val="clear" w:color="auto" w:fill="auto"/>
            <w:vAlign w:val="center"/>
          </w:tcPr>
          <w:p w:rsidR="00E63E9D"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1022</w:t>
            </w:r>
          </w:p>
        </w:tc>
        <w:tc>
          <w:tcPr>
            <w:tcW w:w="2567" w:type="dxa"/>
            <w:tcBorders>
              <w:top w:val="single" w:sz="4" w:space="0" w:color="auto"/>
              <w:bottom w:val="single" w:sz="4" w:space="0" w:color="auto"/>
            </w:tcBorders>
            <w:shd w:val="clear" w:color="auto" w:fill="auto"/>
            <w:vAlign w:val="center"/>
          </w:tcPr>
          <w:p w:rsidR="00E63E9D" w:rsidRPr="009B397E" w:rsidRDefault="00E63E9D" w:rsidP="0091332D">
            <w:pPr>
              <w:tabs>
                <w:tab w:val="left" w:pos="1701"/>
              </w:tabs>
              <w:spacing w:before="40" w:after="120" w:line="240" w:lineRule="atLeast"/>
              <w:ind w:right="10"/>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CHLORTRIFLUORMETHAN (</w:t>
            </w:r>
            <w:r w:rsidR="0091332D" w:rsidRPr="009B397E">
              <w:rPr>
                <w:rFonts w:ascii="Times New Roman" w:eastAsia="MS Mincho" w:hAnsi="Times New Roman" w:cs="Times New Roman"/>
                <w:sz w:val="20"/>
                <w:szCs w:val="18"/>
                <w:lang w:eastAsia="ja-JP"/>
              </w:rPr>
              <w:t xml:space="preserve">GAS ALS KÄLTEMITTEL  </w:t>
            </w:r>
            <w:r w:rsidRPr="009B397E">
              <w:rPr>
                <w:rFonts w:ascii="Times New Roman" w:eastAsia="MS Mincho" w:hAnsi="Times New Roman" w:cs="Times New Roman"/>
                <w:sz w:val="20"/>
                <w:szCs w:val="18"/>
                <w:lang w:eastAsia="ja-JP"/>
              </w:rPr>
              <w:t>R 13)</w:t>
            </w:r>
          </w:p>
        </w:tc>
        <w:tc>
          <w:tcPr>
            <w:tcW w:w="2535" w:type="dxa"/>
            <w:tcBorders>
              <w:top w:val="single" w:sz="4" w:space="0" w:color="auto"/>
              <w:bottom w:val="single" w:sz="4" w:space="0" w:color="auto"/>
              <w:right w:val="single" w:sz="4" w:space="0" w:color="auto"/>
            </w:tcBorders>
            <w:shd w:val="clear" w:color="auto" w:fill="auto"/>
          </w:tcPr>
          <w:p w:rsidR="00E63E9D" w:rsidRPr="009B397E" w:rsidRDefault="00E63E9D" w:rsidP="00E63E9D">
            <w:pPr>
              <w:jc w:val="center"/>
            </w:pPr>
            <w:r w:rsidRPr="009B397E">
              <w:rPr>
                <w:rFonts w:ascii="Times New Roman" w:hAnsi="Times New Roman" w:cs="Times New Roman"/>
                <w:sz w:val="20"/>
                <w:szCs w:val="18"/>
                <w:lang w:eastAsia="en-US"/>
              </w:rPr>
              <w:t>Im ADN nicht erlaubt in Tankschiffen</w:t>
            </w:r>
          </w:p>
        </w:tc>
      </w:tr>
      <w:tr w:rsidR="00E63E9D"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63E9D"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lastRenderedPageBreak/>
              <w:t>Kältemittelgase</w:t>
            </w:r>
          </w:p>
        </w:tc>
        <w:tc>
          <w:tcPr>
            <w:tcW w:w="708" w:type="dxa"/>
            <w:tcBorders>
              <w:top w:val="single" w:sz="4" w:space="0" w:color="auto"/>
              <w:left w:val="single" w:sz="4" w:space="0" w:color="auto"/>
              <w:bottom w:val="single" w:sz="4" w:space="0" w:color="auto"/>
            </w:tcBorders>
            <w:shd w:val="clear" w:color="auto" w:fill="auto"/>
            <w:vAlign w:val="center"/>
          </w:tcPr>
          <w:p w:rsidR="00E63E9D"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1028</w:t>
            </w:r>
          </w:p>
        </w:tc>
        <w:tc>
          <w:tcPr>
            <w:tcW w:w="2567" w:type="dxa"/>
            <w:tcBorders>
              <w:top w:val="single" w:sz="4" w:space="0" w:color="auto"/>
              <w:bottom w:val="single" w:sz="4" w:space="0" w:color="auto"/>
            </w:tcBorders>
            <w:shd w:val="clear" w:color="auto" w:fill="auto"/>
            <w:vAlign w:val="center"/>
          </w:tcPr>
          <w:p w:rsidR="00E63E9D" w:rsidRPr="009B397E" w:rsidRDefault="00E63E9D" w:rsidP="0091332D">
            <w:pPr>
              <w:tabs>
                <w:tab w:val="left" w:pos="1701"/>
              </w:tabs>
              <w:spacing w:before="40" w:after="120" w:line="240" w:lineRule="atLeast"/>
              <w:ind w:left="5"/>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DICHLORDIFLUORMETHAN (</w:t>
            </w:r>
            <w:r w:rsidR="0091332D" w:rsidRPr="009B397E">
              <w:rPr>
                <w:rFonts w:ascii="Times New Roman" w:eastAsia="MS Mincho" w:hAnsi="Times New Roman" w:cs="Times New Roman"/>
                <w:sz w:val="20"/>
                <w:szCs w:val="18"/>
                <w:lang w:eastAsia="ja-JP"/>
              </w:rPr>
              <w:t xml:space="preserve">GAS ALS KÄLTEMITTEL  </w:t>
            </w:r>
            <w:r w:rsidRPr="009B397E">
              <w:rPr>
                <w:rFonts w:ascii="Times New Roman" w:eastAsia="MS Mincho" w:hAnsi="Times New Roman" w:cs="Times New Roman"/>
                <w:sz w:val="20"/>
                <w:szCs w:val="18"/>
                <w:lang w:eastAsia="ja-JP"/>
              </w:rPr>
              <w:t>R 12)</w:t>
            </w:r>
          </w:p>
        </w:tc>
        <w:tc>
          <w:tcPr>
            <w:tcW w:w="2535" w:type="dxa"/>
            <w:tcBorders>
              <w:top w:val="single" w:sz="4" w:space="0" w:color="auto"/>
              <w:bottom w:val="single" w:sz="4" w:space="0" w:color="auto"/>
              <w:right w:val="single" w:sz="4" w:space="0" w:color="auto"/>
            </w:tcBorders>
            <w:shd w:val="clear" w:color="auto" w:fill="auto"/>
          </w:tcPr>
          <w:p w:rsidR="00E63E9D" w:rsidRPr="009B397E" w:rsidRDefault="00E63E9D" w:rsidP="00E63E9D">
            <w:pPr>
              <w:jc w:val="center"/>
            </w:pPr>
            <w:r w:rsidRPr="009B397E">
              <w:rPr>
                <w:rFonts w:ascii="Times New Roman" w:hAnsi="Times New Roman" w:cs="Times New Roman"/>
                <w:sz w:val="20"/>
                <w:szCs w:val="18"/>
                <w:lang w:eastAsia="en-US"/>
              </w:rPr>
              <w:t>Im ADN nicht erlaubt in Tankschiffen</w:t>
            </w:r>
          </w:p>
        </w:tc>
      </w:tr>
      <w:tr w:rsidR="00E63E9D"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63E9D"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Kältemittelgase</w:t>
            </w:r>
          </w:p>
        </w:tc>
        <w:tc>
          <w:tcPr>
            <w:tcW w:w="708" w:type="dxa"/>
            <w:tcBorders>
              <w:top w:val="single" w:sz="4" w:space="0" w:color="auto"/>
              <w:left w:val="single" w:sz="4" w:space="0" w:color="auto"/>
              <w:bottom w:val="single" w:sz="4" w:space="0" w:color="auto"/>
            </w:tcBorders>
            <w:shd w:val="clear" w:color="auto" w:fill="auto"/>
            <w:vAlign w:val="center"/>
          </w:tcPr>
          <w:p w:rsidR="00E63E9D"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1029</w:t>
            </w:r>
          </w:p>
        </w:tc>
        <w:tc>
          <w:tcPr>
            <w:tcW w:w="2567" w:type="dxa"/>
            <w:tcBorders>
              <w:top w:val="single" w:sz="4" w:space="0" w:color="auto"/>
              <w:bottom w:val="single" w:sz="4" w:space="0" w:color="auto"/>
            </w:tcBorders>
            <w:shd w:val="clear" w:color="auto" w:fill="auto"/>
            <w:vAlign w:val="center"/>
          </w:tcPr>
          <w:p w:rsidR="00E63E9D" w:rsidRPr="009B397E" w:rsidRDefault="00E63E9D" w:rsidP="0091332D">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DICHLOR</w:t>
            </w:r>
            <w:r w:rsidR="0091332D" w:rsidRPr="009B397E">
              <w:rPr>
                <w:rFonts w:ascii="Times New Roman" w:eastAsia="MS Mincho" w:hAnsi="Times New Roman" w:cs="Times New Roman"/>
                <w:sz w:val="20"/>
                <w:szCs w:val="18"/>
                <w:lang w:eastAsia="ja-JP"/>
              </w:rPr>
              <w:t>MONO</w:t>
            </w:r>
            <w:r w:rsidRPr="009B397E">
              <w:rPr>
                <w:rFonts w:ascii="Times New Roman" w:eastAsia="MS Mincho" w:hAnsi="Times New Roman" w:cs="Times New Roman"/>
                <w:sz w:val="20"/>
                <w:szCs w:val="18"/>
                <w:lang w:eastAsia="ja-JP"/>
              </w:rPr>
              <w:t>FLUORMETHAN (</w:t>
            </w:r>
            <w:r w:rsidR="0091332D" w:rsidRPr="009B397E">
              <w:rPr>
                <w:rFonts w:ascii="Times New Roman" w:eastAsia="MS Mincho" w:hAnsi="Times New Roman" w:cs="Times New Roman"/>
                <w:sz w:val="20"/>
                <w:szCs w:val="18"/>
                <w:lang w:eastAsia="ja-JP"/>
              </w:rPr>
              <w:t xml:space="preserve">GAS ALS KÄLTEMITTEL </w:t>
            </w:r>
            <w:r w:rsidRPr="009B397E">
              <w:rPr>
                <w:rFonts w:ascii="Times New Roman" w:eastAsia="MS Mincho" w:hAnsi="Times New Roman" w:cs="Times New Roman"/>
                <w:sz w:val="20"/>
                <w:szCs w:val="18"/>
                <w:lang w:eastAsia="ja-JP"/>
              </w:rPr>
              <w:t>R 21)</w:t>
            </w:r>
          </w:p>
        </w:tc>
        <w:tc>
          <w:tcPr>
            <w:tcW w:w="2535" w:type="dxa"/>
            <w:tcBorders>
              <w:top w:val="single" w:sz="4" w:space="0" w:color="auto"/>
              <w:bottom w:val="single" w:sz="4" w:space="0" w:color="auto"/>
              <w:right w:val="single" w:sz="4" w:space="0" w:color="auto"/>
            </w:tcBorders>
            <w:shd w:val="clear" w:color="auto" w:fill="auto"/>
          </w:tcPr>
          <w:p w:rsidR="00E63E9D" w:rsidRPr="009B397E" w:rsidRDefault="00E63E9D" w:rsidP="00E63E9D">
            <w:pPr>
              <w:jc w:val="center"/>
            </w:pPr>
            <w:r w:rsidRPr="009B397E">
              <w:rPr>
                <w:rFonts w:ascii="Times New Roman" w:hAnsi="Times New Roman" w:cs="Times New Roman"/>
                <w:sz w:val="20"/>
                <w:szCs w:val="18"/>
                <w:lang w:eastAsia="en-US"/>
              </w:rPr>
              <w:t>Im ADN nicht erlaubt in Tankschiffen</w:t>
            </w:r>
          </w:p>
        </w:tc>
      </w:tr>
      <w:tr w:rsidR="00E63E9D"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63E9D"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Kältemittelgase</w:t>
            </w:r>
          </w:p>
        </w:tc>
        <w:tc>
          <w:tcPr>
            <w:tcW w:w="708" w:type="dxa"/>
            <w:tcBorders>
              <w:top w:val="single" w:sz="4" w:space="0" w:color="auto"/>
              <w:left w:val="single" w:sz="4" w:space="0" w:color="auto"/>
              <w:bottom w:val="single" w:sz="4" w:space="0" w:color="auto"/>
            </w:tcBorders>
            <w:shd w:val="clear" w:color="auto" w:fill="auto"/>
            <w:vAlign w:val="center"/>
          </w:tcPr>
          <w:p w:rsidR="00E63E9D"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1078</w:t>
            </w:r>
          </w:p>
        </w:tc>
        <w:tc>
          <w:tcPr>
            <w:tcW w:w="2567" w:type="dxa"/>
            <w:tcBorders>
              <w:top w:val="single" w:sz="4" w:space="0" w:color="auto"/>
              <w:bottom w:val="single" w:sz="4" w:space="0" w:color="auto"/>
            </w:tcBorders>
            <w:shd w:val="clear" w:color="auto" w:fill="auto"/>
            <w:vAlign w:val="center"/>
          </w:tcPr>
          <w:p w:rsidR="00E63E9D" w:rsidRPr="009B397E" w:rsidRDefault="0091332D" w:rsidP="005079A1">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GAS ALS KÄLTEMITTEL</w:t>
            </w:r>
            <w:r w:rsidR="005079A1" w:rsidRPr="009B397E">
              <w:rPr>
                <w:rFonts w:ascii="Times New Roman" w:eastAsia="MS Mincho" w:hAnsi="Times New Roman" w:cs="Times New Roman"/>
                <w:sz w:val="20"/>
                <w:szCs w:val="18"/>
                <w:lang w:eastAsia="ja-JP"/>
              </w:rPr>
              <w:t>, N.A.G. (Gemisch F1) (Gemisch F2) (Gemisch F3)</w:t>
            </w:r>
            <w:r w:rsidRPr="009B397E">
              <w:rPr>
                <w:rFonts w:ascii="Times New Roman" w:eastAsia="MS Mincho" w:hAnsi="Times New Roman" w:cs="Times New Roman"/>
                <w:sz w:val="20"/>
                <w:szCs w:val="18"/>
                <w:lang w:eastAsia="ja-JP"/>
              </w:rPr>
              <w:t xml:space="preserve"> </w:t>
            </w:r>
          </w:p>
        </w:tc>
        <w:tc>
          <w:tcPr>
            <w:tcW w:w="2535" w:type="dxa"/>
            <w:tcBorders>
              <w:top w:val="single" w:sz="4" w:space="0" w:color="auto"/>
              <w:bottom w:val="single" w:sz="4" w:space="0" w:color="auto"/>
              <w:right w:val="single" w:sz="4" w:space="0" w:color="auto"/>
            </w:tcBorders>
            <w:shd w:val="clear" w:color="auto" w:fill="auto"/>
          </w:tcPr>
          <w:p w:rsidR="00E63E9D" w:rsidRPr="009B397E" w:rsidRDefault="00E63E9D" w:rsidP="00E63E9D">
            <w:pPr>
              <w:jc w:val="center"/>
            </w:pPr>
            <w:r w:rsidRPr="009B397E">
              <w:rPr>
                <w:rFonts w:ascii="Times New Roman" w:hAnsi="Times New Roman" w:cs="Times New Roman"/>
                <w:sz w:val="20"/>
                <w:szCs w:val="18"/>
                <w:lang w:eastAsia="en-US"/>
              </w:rPr>
              <w:t>Im ADN nicht erlaubt in Tankschiffen</w:t>
            </w:r>
          </w:p>
        </w:tc>
      </w:tr>
      <w:tr w:rsidR="00E63E9D" w:rsidRPr="009B397E" w:rsidTr="00276E0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63E9D"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Vinylethylether</w:t>
            </w:r>
          </w:p>
        </w:tc>
        <w:tc>
          <w:tcPr>
            <w:tcW w:w="708" w:type="dxa"/>
            <w:tcBorders>
              <w:top w:val="single" w:sz="4" w:space="0" w:color="auto"/>
              <w:left w:val="single" w:sz="4" w:space="0" w:color="auto"/>
              <w:bottom w:val="single" w:sz="4" w:space="0" w:color="auto"/>
            </w:tcBorders>
            <w:shd w:val="clear" w:color="auto" w:fill="auto"/>
            <w:vAlign w:val="center"/>
          </w:tcPr>
          <w:p w:rsidR="00E63E9D"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1302</w:t>
            </w:r>
          </w:p>
        </w:tc>
        <w:tc>
          <w:tcPr>
            <w:tcW w:w="2567" w:type="dxa"/>
            <w:tcBorders>
              <w:top w:val="single" w:sz="4" w:space="0" w:color="auto"/>
              <w:bottom w:val="single" w:sz="4" w:space="0" w:color="auto"/>
            </w:tcBorders>
            <w:shd w:val="clear" w:color="auto" w:fill="auto"/>
            <w:vAlign w:val="center"/>
          </w:tcPr>
          <w:p w:rsidR="00E63E9D" w:rsidRPr="009B397E" w:rsidRDefault="00E63E9D" w:rsidP="005079A1">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 xml:space="preserve">VINYLETHYLETHER, </w:t>
            </w:r>
            <w:r w:rsidR="005079A1" w:rsidRPr="009B397E">
              <w:rPr>
                <w:rFonts w:ascii="Times New Roman" w:eastAsia="MS Mincho" w:hAnsi="Times New Roman" w:cs="Times New Roman"/>
                <w:sz w:val="20"/>
                <w:szCs w:val="18"/>
                <w:lang w:eastAsia="ja-JP"/>
              </w:rPr>
              <w:t>STABILISIERT</w:t>
            </w:r>
          </w:p>
        </w:tc>
        <w:tc>
          <w:tcPr>
            <w:tcW w:w="2535" w:type="dxa"/>
            <w:tcBorders>
              <w:top w:val="single" w:sz="4" w:space="0" w:color="auto"/>
              <w:bottom w:val="single" w:sz="4" w:space="0" w:color="auto"/>
              <w:right w:val="single" w:sz="4" w:space="0" w:color="auto"/>
            </w:tcBorders>
            <w:shd w:val="clear" w:color="auto" w:fill="auto"/>
          </w:tcPr>
          <w:p w:rsidR="00E63E9D" w:rsidRPr="009B397E" w:rsidRDefault="00E63E9D" w:rsidP="00E63E9D">
            <w:pPr>
              <w:jc w:val="center"/>
            </w:pPr>
            <w:r w:rsidRPr="009B397E">
              <w:rPr>
                <w:rFonts w:ascii="Times New Roman" w:hAnsi="Times New Roman" w:cs="Times New Roman"/>
                <w:sz w:val="20"/>
                <w:szCs w:val="18"/>
                <w:lang w:eastAsia="en-US"/>
              </w:rPr>
              <w:t>Im ADN nicht erlaubt in Tankschiffen</w:t>
            </w:r>
          </w:p>
        </w:tc>
      </w:tr>
      <w:tr w:rsidR="00E63E9D" w:rsidRPr="009B397E" w:rsidTr="00276E07">
        <w:trPr>
          <w:cantSplit/>
        </w:trPr>
        <w:tc>
          <w:tcPr>
            <w:tcW w:w="1560" w:type="dxa"/>
            <w:tcBorders>
              <w:top w:val="single" w:sz="4" w:space="0" w:color="auto"/>
              <w:left w:val="single" w:sz="4" w:space="0" w:color="auto"/>
              <w:bottom w:val="single" w:sz="12" w:space="0" w:color="auto"/>
              <w:right w:val="single" w:sz="4" w:space="0" w:color="auto"/>
            </w:tcBorders>
            <w:shd w:val="clear" w:color="auto" w:fill="auto"/>
            <w:vAlign w:val="center"/>
          </w:tcPr>
          <w:p w:rsidR="00E63E9D" w:rsidRPr="009B397E" w:rsidRDefault="00022514" w:rsidP="006600D3">
            <w:pPr>
              <w:tabs>
                <w:tab w:val="left" w:pos="1701"/>
              </w:tabs>
              <w:spacing w:before="40" w:after="120" w:line="240" w:lineRule="atLeast"/>
              <w:ind w:right="113"/>
              <w:jc w:val="center"/>
              <w:rPr>
                <w:rFonts w:ascii="Times New Roman" w:hAnsi="Times New Roman" w:cs="Times New Roman"/>
                <w:sz w:val="20"/>
                <w:szCs w:val="18"/>
                <w:lang w:eastAsia="en-US"/>
              </w:rPr>
            </w:pPr>
            <w:proofErr w:type="spellStart"/>
            <w:r w:rsidRPr="009B397E">
              <w:rPr>
                <w:rFonts w:ascii="Times New Roman" w:hAnsi="Times New Roman" w:cs="Times New Roman"/>
                <w:sz w:val="20"/>
                <w:szCs w:val="18"/>
                <w:lang w:eastAsia="en-US"/>
              </w:rPr>
              <w:t>Vinylidenchlorid</w:t>
            </w:r>
            <w:proofErr w:type="spellEnd"/>
          </w:p>
        </w:tc>
        <w:tc>
          <w:tcPr>
            <w:tcW w:w="708" w:type="dxa"/>
            <w:tcBorders>
              <w:top w:val="single" w:sz="4" w:space="0" w:color="auto"/>
              <w:left w:val="single" w:sz="4" w:space="0" w:color="auto"/>
              <w:bottom w:val="single" w:sz="12" w:space="0" w:color="auto"/>
            </w:tcBorders>
            <w:shd w:val="clear" w:color="auto" w:fill="auto"/>
            <w:vAlign w:val="center"/>
          </w:tcPr>
          <w:p w:rsidR="00E63E9D" w:rsidRPr="009B397E" w:rsidRDefault="00E63E9D" w:rsidP="006815A9">
            <w:pPr>
              <w:tabs>
                <w:tab w:val="left" w:pos="1701"/>
              </w:tabs>
              <w:spacing w:before="40" w:after="120" w:line="240" w:lineRule="atLeast"/>
              <w:ind w:right="113"/>
              <w:jc w:val="center"/>
              <w:rPr>
                <w:rFonts w:ascii="Times New Roman" w:hAnsi="Times New Roman" w:cs="Times New Roman"/>
                <w:sz w:val="20"/>
                <w:szCs w:val="18"/>
                <w:lang w:eastAsia="en-US"/>
              </w:rPr>
            </w:pPr>
            <w:r w:rsidRPr="009B397E">
              <w:rPr>
                <w:rFonts w:ascii="Times New Roman" w:hAnsi="Times New Roman" w:cs="Times New Roman"/>
                <w:sz w:val="20"/>
                <w:szCs w:val="18"/>
                <w:lang w:eastAsia="en-US"/>
              </w:rPr>
              <w:t>1303</w:t>
            </w:r>
          </w:p>
        </w:tc>
        <w:tc>
          <w:tcPr>
            <w:tcW w:w="2567" w:type="dxa"/>
            <w:tcBorders>
              <w:top w:val="single" w:sz="4" w:space="0" w:color="auto"/>
              <w:bottom w:val="single" w:sz="12" w:space="0" w:color="auto"/>
            </w:tcBorders>
            <w:shd w:val="clear" w:color="auto" w:fill="auto"/>
            <w:vAlign w:val="center"/>
          </w:tcPr>
          <w:p w:rsidR="00E63E9D" w:rsidRPr="009B397E" w:rsidRDefault="00E63E9D" w:rsidP="005079A1">
            <w:pPr>
              <w:tabs>
                <w:tab w:val="left" w:pos="1701"/>
              </w:tabs>
              <w:spacing w:before="40" w:after="120" w:line="240" w:lineRule="atLeast"/>
              <w:ind w:right="113"/>
              <w:jc w:val="center"/>
              <w:rPr>
                <w:rFonts w:ascii="Times New Roman" w:eastAsia="MS Mincho" w:hAnsi="Times New Roman" w:cs="Times New Roman"/>
                <w:sz w:val="20"/>
                <w:szCs w:val="18"/>
                <w:lang w:eastAsia="ja-JP"/>
              </w:rPr>
            </w:pPr>
            <w:r w:rsidRPr="009B397E">
              <w:rPr>
                <w:rFonts w:ascii="Times New Roman" w:eastAsia="MS Mincho" w:hAnsi="Times New Roman" w:cs="Times New Roman"/>
                <w:sz w:val="20"/>
                <w:szCs w:val="18"/>
                <w:lang w:eastAsia="ja-JP"/>
              </w:rPr>
              <w:t xml:space="preserve">VINYLIDENCHLORID, </w:t>
            </w:r>
            <w:r w:rsidR="005079A1" w:rsidRPr="009B397E">
              <w:rPr>
                <w:rFonts w:ascii="Times New Roman" w:eastAsia="MS Mincho" w:hAnsi="Times New Roman" w:cs="Times New Roman"/>
                <w:sz w:val="20"/>
                <w:szCs w:val="18"/>
                <w:lang w:eastAsia="ja-JP"/>
              </w:rPr>
              <w:t>STABILISIERT</w:t>
            </w:r>
          </w:p>
        </w:tc>
        <w:tc>
          <w:tcPr>
            <w:tcW w:w="2535" w:type="dxa"/>
            <w:tcBorders>
              <w:top w:val="single" w:sz="4" w:space="0" w:color="auto"/>
              <w:bottom w:val="single" w:sz="12" w:space="0" w:color="auto"/>
              <w:right w:val="single" w:sz="4" w:space="0" w:color="auto"/>
            </w:tcBorders>
            <w:shd w:val="clear" w:color="auto" w:fill="auto"/>
          </w:tcPr>
          <w:p w:rsidR="00E63E9D" w:rsidRPr="009B397E" w:rsidRDefault="00E63E9D" w:rsidP="00E63E9D">
            <w:pPr>
              <w:jc w:val="center"/>
            </w:pPr>
            <w:r w:rsidRPr="009B397E">
              <w:rPr>
                <w:rFonts w:ascii="Times New Roman" w:hAnsi="Times New Roman" w:cs="Times New Roman"/>
                <w:sz w:val="20"/>
                <w:szCs w:val="18"/>
                <w:lang w:eastAsia="en-US"/>
              </w:rPr>
              <w:t>Im ADN nicht erlaubt in Tankschiffen</w:t>
            </w:r>
          </w:p>
        </w:tc>
      </w:tr>
    </w:tbl>
    <w:p w:rsidR="0091332D" w:rsidRPr="009B397E" w:rsidRDefault="0091332D">
      <w:pPr>
        <w:rPr>
          <w:rFonts w:ascii="Times New Roman" w:hAnsi="Times New Roman" w:cs="Times New Roman"/>
          <w:sz w:val="20"/>
          <w:szCs w:val="20"/>
          <w:lang w:eastAsia="en-US"/>
        </w:rPr>
      </w:pPr>
    </w:p>
    <w:p w:rsidR="00243A30" w:rsidRPr="009B397E" w:rsidRDefault="00243A30" w:rsidP="006C2045">
      <w:pPr>
        <w:tabs>
          <w:tab w:val="left" w:pos="1701"/>
        </w:tabs>
        <w:suppressAutoHyphens/>
        <w:spacing w:before="120"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12.</w:t>
      </w:r>
      <w:r w:rsidRPr="009B397E">
        <w:rPr>
          <w:rFonts w:ascii="Times New Roman" w:hAnsi="Times New Roman" w:cs="Times New Roman"/>
          <w:sz w:val="20"/>
          <w:szCs w:val="20"/>
          <w:lang w:eastAsia="en-US"/>
        </w:rPr>
        <w:tab/>
      </w:r>
      <w:r w:rsidR="00022514" w:rsidRPr="009B397E">
        <w:rPr>
          <w:rFonts w:ascii="Times New Roman" w:hAnsi="Times New Roman" w:cs="Times New Roman"/>
          <w:sz w:val="20"/>
          <w:szCs w:val="20"/>
          <w:lang w:eastAsia="en-US"/>
        </w:rPr>
        <w:t xml:space="preserve">Die Teilnehmer kamen jedoch zu dem Schluss, dass die Liste der Stoffe in Absatz 10 einer zusätzlichen Bewertung bedarf, um insbesondere zu prüfen, ob andere vorgeschriebene Beförderungsbedingungen in Tabelle C und die Bemerkungen in Spalte 20 der Tabelle C und die besonderen Anforderungen in Spalte i von Kapitel 19 des IGC-Codes keine Bestimmungen enthalten, die </w:t>
      </w:r>
      <w:r w:rsidR="0042355E" w:rsidRPr="009B397E">
        <w:rPr>
          <w:rFonts w:ascii="Times New Roman" w:hAnsi="Times New Roman" w:cs="Times New Roman"/>
          <w:sz w:val="20"/>
          <w:szCs w:val="20"/>
          <w:lang w:eastAsia="en-US"/>
        </w:rPr>
        <w:t>der</w:t>
      </w:r>
      <w:r w:rsidR="00022514" w:rsidRPr="009B397E">
        <w:rPr>
          <w:rFonts w:ascii="Times New Roman" w:hAnsi="Times New Roman" w:cs="Times New Roman"/>
          <w:sz w:val="20"/>
          <w:szCs w:val="20"/>
          <w:lang w:eastAsia="en-US"/>
        </w:rPr>
        <w:t xml:space="preserve"> Verwendung von Membrantanks für die Beförderung dieser Stoffe </w:t>
      </w:r>
      <w:r w:rsidR="0042355E" w:rsidRPr="009B397E">
        <w:rPr>
          <w:rFonts w:ascii="Times New Roman" w:hAnsi="Times New Roman" w:cs="Times New Roman"/>
          <w:sz w:val="20"/>
          <w:szCs w:val="20"/>
          <w:lang w:eastAsia="en-US"/>
        </w:rPr>
        <w:t>entgegenstehen</w:t>
      </w:r>
      <w:r w:rsidR="00022514" w:rsidRPr="009B397E">
        <w:rPr>
          <w:rFonts w:ascii="Times New Roman" w:hAnsi="Times New Roman" w:cs="Times New Roman"/>
          <w:sz w:val="20"/>
          <w:szCs w:val="20"/>
          <w:lang w:eastAsia="en-US"/>
        </w:rPr>
        <w:t>.</w:t>
      </w:r>
      <w:r w:rsidRPr="009B397E">
        <w:rPr>
          <w:rFonts w:ascii="Times New Roman" w:hAnsi="Times New Roman" w:cs="Times New Roman"/>
          <w:sz w:val="20"/>
          <w:szCs w:val="20"/>
          <w:lang w:eastAsia="en-US"/>
        </w:rPr>
        <w:t xml:space="preserve"> </w:t>
      </w:r>
      <w:r w:rsidR="0042355E" w:rsidRPr="009B397E">
        <w:rPr>
          <w:rFonts w:ascii="Times New Roman" w:hAnsi="Times New Roman" w:cs="Times New Roman"/>
          <w:sz w:val="20"/>
          <w:szCs w:val="20"/>
          <w:lang w:eastAsia="en-US"/>
        </w:rPr>
        <w:t xml:space="preserve">Unter anderem wurde die Frage gestellt, inwieweit Stoffe, die nach dem ADN stabilisiert und nicht nur temperaturkontrolliert befördert werden sollen, </w:t>
      </w:r>
      <w:r w:rsidR="00D958D3" w:rsidRPr="009B397E">
        <w:rPr>
          <w:rFonts w:ascii="Times New Roman" w:hAnsi="Times New Roman" w:cs="Times New Roman"/>
          <w:sz w:val="20"/>
          <w:szCs w:val="20"/>
          <w:lang w:eastAsia="en-US"/>
        </w:rPr>
        <w:t xml:space="preserve">wie </w:t>
      </w:r>
      <w:r w:rsidR="00B24FD7" w:rsidRPr="009B397E">
        <w:rPr>
          <w:rFonts w:ascii="Times New Roman" w:hAnsi="Times New Roman" w:cs="Times New Roman"/>
          <w:sz w:val="20"/>
          <w:szCs w:val="20"/>
          <w:lang w:eastAsia="en-US"/>
        </w:rPr>
        <w:t>auf</w:t>
      </w:r>
      <w:r w:rsidR="00D958D3" w:rsidRPr="009B397E">
        <w:rPr>
          <w:rFonts w:ascii="Times New Roman" w:hAnsi="Times New Roman" w:cs="Times New Roman"/>
          <w:sz w:val="20"/>
          <w:szCs w:val="20"/>
          <w:lang w:eastAsia="en-US"/>
        </w:rPr>
        <w:t xml:space="preserve"> Seeschiffen für Membrantanks geeignet sind</w:t>
      </w:r>
      <w:r w:rsidR="0042355E" w:rsidRPr="009B397E">
        <w:rPr>
          <w:rFonts w:ascii="Times New Roman" w:hAnsi="Times New Roman" w:cs="Times New Roman"/>
          <w:sz w:val="20"/>
          <w:szCs w:val="20"/>
          <w:lang w:eastAsia="en-US"/>
        </w:rPr>
        <w:t>.</w:t>
      </w:r>
      <w:r w:rsidRPr="009B397E">
        <w:rPr>
          <w:rFonts w:ascii="Times New Roman" w:hAnsi="Times New Roman" w:cs="Times New Roman"/>
          <w:sz w:val="20"/>
          <w:szCs w:val="20"/>
          <w:lang w:eastAsia="en-US"/>
        </w:rPr>
        <w:t xml:space="preserve"> </w:t>
      </w:r>
      <w:r w:rsidR="00B24FD7" w:rsidRPr="009B397E">
        <w:rPr>
          <w:rFonts w:ascii="Times New Roman" w:hAnsi="Times New Roman" w:cs="Times New Roman"/>
          <w:sz w:val="20"/>
          <w:szCs w:val="20"/>
          <w:lang w:eastAsia="en-US"/>
        </w:rPr>
        <w:t>Diese Bewertung wird bei der nächsten Sitzung der Arbeitsgruppe durchgeführt.</w:t>
      </w:r>
      <w:r w:rsidRPr="009B397E">
        <w:rPr>
          <w:rFonts w:ascii="Times New Roman" w:hAnsi="Times New Roman" w:cs="Times New Roman"/>
          <w:sz w:val="20"/>
          <w:szCs w:val="20"/>
          <w:lang w:eastAsia="en-US"/>
        </w:rPr>
        <w:t xml:space="preserve"> </w:t>
      </w:r>
      <w:r w:rsidR="00B24FD7" w:rsidRPr="009B397E">
        <w:rPr>
          <w:rFonts w:ascii="Times New Roman" w:hAnsi="Times New Roman" w:cs="Times New Roman"/>
          <w:sz w:val="20"/>
          <w:szCs w:val="20"/>
          <w:lang w:eastAsia="en-US"/>
        </w:rPr>
        <w:t>Die Arbeitsgruppe kam überein, die informelle Arbeitsgruppe „Stoffe“ zu bitten, die vorläufige Liste der für die Beförderung in Membrantanks geeigneten Stoffe zu überprüfen.</w:t>
      </w:r>
      <w:r w:rsidRPr="009B397E">
        <w:rPr>
          <w:rFonts w:ascii="Times New Roman" w:hAnsi="Times New Roman" w:cs="Times New Roman"/>
          <w:sz w:val="20"/>
          <w:szCs w:val="20"/>
          <w:lang w:eastAsia="en-US"/>
        </w:rPr>
        <w:t xml:space="preserve"> </w:t>
      </w:r>
    </w:p>
    <w:p w:rsidR="00243A30" w:rsidRPr="009B397E" w:rsidRDefault="00243A30" w:rsidP="006C2045">
      <w:pPr>
        <w:keepNext/>
        <w:keepLines/>
        <w:tabs>
          <w:tab w:val="right" w:pos="851"/>
          <w:tab w:val="left" w:pos="1701"/>
        </w:tabs>
        <w:suppressAutoHyphens/>
        <w:spacing w:before="360" w:after="240" w:line="300" w:lineRule="exact"/>
        <w:ind w:left="1134" w:right="1134" w:hanging="1134"/>
        <w:rPr>
          <w:rFonts w:ascii="Times New Roman" w:hAnsi="Times New Roman" w:cs="Times New Roman"/>
          <w:b/>
          <w:sz w:val="28"/>
          <w:szCs w:val="20"/>
          <w:lang w:eastAsia="en-US"/>
        </w:rPr>
      </w:pPr>
      <w:r w:rsidRPr="009B397E">
        <w:rPr>
          <w:rFonts w:ascii="Times New Roman" w:hAnsi="Times New Roman" w:cs="Times New Roman"/>
          <w:b/>
          <w:sz w:val="28"/>
          <w:szCs w:val="20"/>
          <w:lang w:eastAsia="en-US"/>
        </w:rPr>
        <w:tab/>
      </w:r>
      <w:r w:rsidRPr="009B397E">
        <w:rPr>
          <w:rFonts w:ascii="Times New Roman" w:hAnsi="Times New Roman" w:cs="Times New Roman"/>
          <w:b/>
          <w:sz w:val="28"/>
          <w:szCs w:val="20"/>
          <w:lang w:eastAsia="en-US"/>
        </w:rPr>
        <w:tab/>
      </w:r>
      <w:r w:rsidR="00B24FD7" w:rsidRPr="009B397E">
        <w:rPr>
          <w:rFonts w:ascii="Times New Roman" w:hAnsi="Times New Roman" w:cs="Times New Roman"/>
          <w:b/>
          <w:sz w:val="28"/>
          <w:szCs w:val="20"/>
          <w:lang w:eastAsia="en-US"/>
        </w:rPr>
        <w:t xml:space="preserve">Änderungen für </w:t>
      </w:r>
      <w:r w:rsidR="00854221" w:rsidRPr="009B397E">
        <w:rPr>
          <w:rFonts w:ascii="Times New Roman" w:hAnsi="Times New Roman" w:cs="Times New Roman"/>
          <w:b/>
          <w:sz w:val="28"/>
          <w:szCs w:val="20"/>
          <w:lang w:eastAsia="en-US"/>
        </w:rPr>
        <w:t xml:space="preserve">das </w:t>
      </w:r>
      <w:r w:rsidR="00B24FD7" w:rsidRPr="009B397E">
        <w:rPr>
          <w:rFonts w:ascii="Times New Roman" w:hAnsi="Times New Roman" w:cs="Times New Roman"/>
          <w:b/>
          <w:sz w:val="28"/>
          <w:szCs w:val="20"/>
          <w:lang w:eastAsia="en-US"/>
        </w:rPr>
        <w:t>ADN 2019</w:t>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t>13.</w:t>
      </w:r>
      <w:r w:rsidRPr="009B397E">
        <w:rPr>
          <w:rFonts w:ascii="Times New Roman" w:hAnsi="Times New Roman" w:cs="Times New Roman"/>
          <w:sz w:val="20"/>
          <w:szCs w:val="20"/>
          <w:lang w:eastAsia="en-US"/>
        </w:rPr>
        <w:tab/>
      </w:r>
      <w:r w:rsidR="00E94E1C" w:rsidRPr="009B397E">
        <w:rPr>
          <w:rFonts w:ascii="Times New Roman" w:hAnsi="Times New Roman" w:cs="Times New Roman"/>
          <w:sz w:val="20"/>
          <w:szCs w:val="20"/>
          <w:lang w:eastAsia="en-US"/>
        </w:rPr>
        <w:t>Nach Festlegung der vorläufigen Liste der für die Beförderung in Membrantanks geeigneten Stoffe erörterte die Arbeitsgruppe den besten Ansatz zur Regulierung von Membrantanks in der dem ADN beigefügten Verordnung.</w:t>
      </w:r>
      <w:r w:rsidRPr="009B397E">
        <w:rPr>
          <w:rFonts w:ascii="Times New Roman" w:hAnsi="Times New Roman" w:cs="Times New Roman"/>
          <w:sz w:val="20"/>
          <w:szCs w:val="20"/>
          <w:lang w:eastAsia="en-US"/>
        </w:rPr>
        <w:t xml:space="preserve"> </w:t>
      </w:r>
      <w:r w:rsidR="00E94E1C" w:rsidRPr="009B397E">
        <w:rPr>
          <w:rFonts w:ascii="Times New Roman" w:hAnsi="Times New Roman" w:cs="Times New Roman"/>
          <w:sz w:val="20"/>
          <w:szCs w:val="20"/>
          <w:lang w:eastAsia="en-US"/>
        </w:rPr>
        <w:t>Die Teilnehmer unterstützten den Vorschlag des französischen Delegierten, für die identifizierten relevanten Stoffe in Tabelle C Zeilen mit alternativen Beförderungsanforderungen (Membrantanks) aufzunehmen.</w:t>
      </w:r>
      <w:r w:rsidRPr="009B397E">
        <w:rPr>
          <w:rFonts w:ascii="Times New Roman" w:hAnsi="Times New Roman" w:cs="Times New Roman"/>
          <w:sz w:val="20"/>
          <w:szCs w:val="20"/>
          <w:lang w:eastAsia="en-US"/>
        </w:rPr>
        <w:t xml:space="preserve"> </w:t>
      </w:r>
      <w:r w:rsidR="00E94E1C" w:rsidRPr="009B397E">
        <w:rPr>
          <w:rFonts w:ascii="Times New Roman" w:hAnsi="Times New Roman" w:cs="Times New Roman"/>
          <w:sz w:val="20"/>
          <w:szCs w:val="20"/>
          <w:lang w:eastAsia="en-US"/>
        </w:rPr>
        <w:t>Dieser Ansatz verdeutlicht, dass die Beförderung in Membrantanks für einige Stoffe eine Alternative zur Beförderung in unabhängigen Drucktanks ist.</w:t>
      </w:r>
    </w:p>
    <w:p w:rsidR="00EC7DFB" w:rsidRDefault="00EC7DFB">
      <w:pPr>
        <w:rPr>
          <w:rFonts w:ascii="Times New Roman" w:hAnsi="Times New Roman" w:cs="Times New Roman"/>
          <w:sz w:val="20"/>
          <w:szCs w:val="20"/>
          <w:lang w:eastAsia="en-US"/>
        </w:rPr>
      </w:pPr>
      <w:r>
        <w:rPr>
          <w:rFonts w:ascii="Times New Roman" w:hAnsi="Times New Roman" w:cs="Times New Roman"/>
          <w:sz w:val="20"/>
          <w:szCs w:val="20"/>
          <w:lang w:eastAsia="en-US"/>
        </w:rPr>
        <w:br w:type="page"/>
      </w:r>
    </w:p>
    <w:p w:rsidR="00243A30" w:rsidRPr="009B397E" w:rsidRDefault="00243A30" w:rsidP="006C2045">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lastRenderedPageBreak/>
        <w:t>14.</w:t>
      </w:r>
      <w:r w:rsidRPr="009B397E">
        <w:rPr>
          <w:rFonts w:ascii="Times New Roman" w:hAnsi="Times New Roman" w:cs="Times New Roman"/>
          <w:sz w:val="20"/>
          <w:szCs w:val="20"/>
          <w:lang w:eastAsia="en-US"/>
        </w:rPr>
        <w:tab/>
      </w:r>
      <w:r w:rsidR="00E94E1C" w:rsidRPr="009B397E">
        <w:rPr>
          <w:rFonts w:ascii="Times New Roman" w:hAnsi="Times New Roman" w:cs="Times New Roman"/>
          <w:sz w:val="20"/>
          <w:szCs w:val="20"/>
          <w:lang w:eastAsia="en-US"/>
        </w:rPr>
        <w:t xml:space="preserve">Für den Fall, dass der ADN-Sicherheitsausschuss den in Absatz 13 beschriebenen Ansatz unterstützt, hat die Arbeitsgruppe in einer vorläufigen Bestandsaufnahme die folgenden </w:t>
      </w:r>
      <w:r w:rsidR="00765D62" w:rsidRPr="009B397E">
        <w:rPr>
          <w:rFonts w:ascii="Times New Roman" w:hAnsi="Times New Roman" w:cs="Times New Roman"/>
          <w:sz w:val="20"/>
          <w:szCs w:val="20"/>
          <w:lang w:eastAsia="en-US"/>
        </w:rPr>
        <w:t>Vorschriften</w:t>
      </w:r>
      <w:r w:rsidR="00E94E1C" w:rsidRPr="009B397E">
        <w:rPr>
          <w:rFonts w:ascii="Times New Roman" w:hAnsi="Times New Roman" w:cs="Times New Roman"/>
          <w:sz w:val="20"/>
          <w:szCs w:val="20"/>
          <w:lang w:eastAsia="en-US"/>
        </w:rPr>
        <w:t xml:space="preserve"> identifiziert, die weitere Untersuchungen und mögliche Änderungen erfordern: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4"/>
        <w:gridCol w:w="3352"/>
        <w:gridCol w:w="2794"/>
      </w:tblGrid>
      <w:tr w:rsidR="00243A30" w:rsidRPr="009B397E" w:rsidTr="006815A9">
        <w:trPr>
          <w:cantSplit/>
          <w:tblHeader/>
        </w:trPr>
        <w:tc>
          <w:tcPr>
            <w:tcW w:w="1224" w:type="dxa"/>
            <w:tcBorders>
              <w:top w:val="single" w:sz="4" w:space="0" w:color="auto"/>
              <w:bottom w:val="single" w:sz="12" w:space="0" w:color="auto"/>
            </w:tcBorders>
            <w:shd w:val="clear" w:color="auto" w:fill="auto"/>
            <w:vAlign w:val="bottom"/>
          </w:tcPr>
          <w:p w:rsidR="00243A30" w:rsidRPr="009B397E" w:rsidRDefault="00765D62" w:rsidP="00276E07">
            <w:pPr>
              <w:tabs>
                <w:tab w:val="left" w:pos="1701"/>
              </w:tabs>
              <w:spacing w:before="80" w:after="80" w:line="240" w:lineRule="atLeast"/>
              <w:ind w:right="113"/>
              <w:rPr>
                <w:rFonts w:ascii="Times New Roman" w:hAnsi="Times New Roman" w:cs="Times New Roman"/>
                <w:i/>
                <w:sz w:val="16"/>
                <w:szCs w:val="20"/>
                <w:lang w:eastAsia="en-US"/>
              </w:rPr>
            </w:pPr>
            <w:r w:rsidRPr="009B397E">
              <w:rPr>
                <w:rFonts w:ascii="Times New Roman" w:hAnsi="Times New Roman" w:cs="Times New Roman"/>
                <w:i/>
                <w:sz w:val="16"/>
                <w:szCs w:val="20"/>
                <w:lang w:eastAsia="en-US"/>
              </w:rPr>
              <w:t>Vorschrift</w:t>
            </w:r>
          </w:p>
        </w:tc>
        <w:tc>
          <w:tcPr>
            <w:tcW w:w="3352" w:type="dxa"/>
            <w:tcBorders>
              <w:top w:val="single" w:sz="4" w:space="0" w:color="auto"/>
              <w:bottom w:val="single" w:sz="12" w:space="0" w:color="auto"/>
            </w:tcBorders>
            <w:shd w:val="clear" w:color="auto" w:fill="auto"/>
            <w:vAlign w:val="bottom"/>
          </w:tcPr>
          <w:p w:rsidR="00243A30" w:rsidRPr="009B397E" w:rsidRDefault="00765D62" w:rsidP="00276E07">
            <w:pPr>
              <w:tabs>
                <w:tab w:val="left" w:pos="1701"/>
              </w:tabs>
              <w:spacing w:before="80" w:after="80" w:line="240" w:lineRule="atLeast"/>
              <w:ind w:right="113"/>
              <w:rPr>
                <w:rFonts w:ascii="Times New Roman" w:hAnsi="Times New Roman" w:cs="Times New Roman"/>
                <w:i/>
                <w:sz w:val="16"/>
                <w:szCs w:val="20"/>
                <w:lang w:eastAsia="en-US"/>
              </w:rPr>
            </w:pPr>
            <w:r w:rsidRPr="009B397E">
              <w:rPr>
                <w:rFonts w:ascii="Times New Roman" w:hAnsi="Times New Roman" w:cs="Times New Roman"/>
                <w:i/>
                <w:sz w:val="16"/>
                <w:szCs w:val="20"/>
                <w:lang w:eastAsia="en-US"/>
              </w:rPr>
              <w:t>Gegenstand</w:t>
            </w:r>
          </w:p>
        </w:tc>
        <w:tc>
          <w:tcPr>
            <w:tcW w:w="2794" w:type="dxa"/>
            <w:tcBorders>
              <w:top w:val="single" w:sz="4" w:space="0" w:color="auto"/>
              <w:bottom w:val="single" w:sz="12" w:space="0" w:color="auto"/>
            </w:tcBorders>
            <w:shd w:val="clear" w:color="auto" w:fill="auto"/>
            <w:vAlign w:val="bottom"/>
          </w:tcPr>
          <w:p w:rsidR="00243A30" w:rsidRPr="009B397E" w:rsidRDefault="00765D62" w:rsidP="00276E07">
            <w:pPr>
              <w:tabs>
                <w:tab w:val="left" w:pos="1701"/>
              </w:tabs>
              <w:spacing w:before="80" w:after="80" w:line="240" w:lineRule="atLeast"/>
              <w:ind w:right="113"/>
              <w:rPr>
                <w:rFonts w:ascii="Times New Roman" w:hAnsi="Times New Roman" w:cs="Times New Roman"/>
                <w:i/>
                <w:sz w:val="16"/>
                <w:szCs w:val="20"/>
                <w:lang w:eastAsia="en-US"/>
              </w:rPr>
            </w:pPr>
            <w:r w:rsidRPr="009B397E">
              <w:rPr>
                <w:rFonts w:ascii="Times New Roman" w:hAnsi="Times New Roman" w:cs="Times New Roman"/>
                <w:i/>
                <w:sz w:val="16"/>
                <w:szCs w:val="20"/>
                <w:lang w:eastAsia="en-US"/>
              </w:rPr>
              <w:t>Zusätzliche Anmerkungen</w:t>
            </w:r>
          </w:p>
        </w:tc>
      </w:tr>
      <w:tr w:rsidR="00243A30" w:rsidRPr="009B397E" w:rsidTr="006815A9">
        <w:trPr>
          <w:cantSplit/>
        </w:trPr>
        <w:tc>
          <w:tcPr>
            <w:tcW w:w="1224" w:type="dxa"/>
            <w:tcBorders>
              <w:top w:val="single" w:sz="12" w:space="0" w:color="auto"/>
            </w:tcBorders>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1.2.1</w:t>
            </w:r>
          </w:p>
        </w:tc>
        <w:tc>
          <w:tcPr>
            <w:tcW w:w="3352" w:type="dxa"/>
            <w:tcBorders>
              <w:top w:val="single" w:sz="12" w:space="0" w:color="auto"/>
            </w:tcBorders>
            <w:shd w:val="clear" w:color="auto" w:fill="auto"/>
          </w:tcPr>
          <w:p w:rsidR="00243A30" w:rsidRPr="009B397E" w:rsidRDefault="00765D62"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 xml:space="preserve">Definition des Membrantanks als vierter </w:t>
            </w:r>
            <w:r w:rsidRPr="009B397E">
              <w:rPr>
                <w:rFonts w:ascii="Times New Roman" w:hAnsi="Times New Roman" w:cs="Times New Roman"/>
                <w:i/>
                <w:sz w:val="20"/>
                <w:szCs w:val="20"/>
                <w:lang w:eastAsia="en-US"/>
              </w:rPr>
              <w:t>Ladetanktyp</w:t>
            </w:r>
          </w:p>
        </w:tc>
        <w:tc>
          <w:tcPr>
            <w:tcW w:w="2794" w:type="dxa"/>
            <w:tcBorders>
              <w:top w:val="single" w:sz="12" w:space="0" w:color="auto"/>
            </w:tcBorders>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S</w:t>
            </w:r>
            <w:r w:rsidR="00765D62" w:rsidRPr="009B397E">
              <w:rPr>
                <w:rFonts w:ascii="Times New Roman" w:hAnsi="Times New Roman" w:cs="Times New Roman"/>
                <w:sz w:val="20"/>
                <w:szCs w:val="20"/>
                <w:lang w:eastAsia="en-US"/>
              </w:rPr>
              <w:t>i</w:t>
            </w:r>
            <w:r w:rsidRPr="009B397E">
              <w:rPr>
                <w:rFonts w:ascii="Times New Roman" w:hAnsi="Times New Roman" w:cs="Times New Roman"/>
                <w:sz w:val="20"/>
                <w:szCs w:val="20"/>
                <w:lang w:eastAsia="en-US"/>
              </w:rPr>
              <w:t>e</w:t>
            </w:r>
            <w:r w:rsidR="00765D62" w:rsidRPr="009B397E">
              <w:rPr>
                <w:rFonts w:ascii="Times New Roman" w:hAnsi="Times New Roman" w:cs="Times New Roman"/>
                <w:sz w:val="20"/>
                <w:szCs w:val="20"/>
                <w:lang w:eastAsia="en-US"/>
              </w:rPr>
              <w:t>h</w:t>
            </w:r>
            <w:r w:rsidRPr="009B397E">
              <w:rPr>
                <w:rFonts w:ascii="Times New Roman" w:hAnsi="Times New Roman" w:cs="Times New Roman"/>
                <w:sz w:val="20"/>
                <w:szCs w:val="20"/>
                <w:lang w:eastAsia="en-US"/>
              </w:rPr>
              <w:t>e IGC</w:t>
            </w:r>
            <w:r w:rsidR="00765D62" w:rsidRPr="009B397E">
              <w:rPr>
                <w:rFonts w:ascii="Times New Roman" w:hAnsi="Times New Roman" w:cs="Times New Roman"/>
                <w:sz w:val="20"/>
                <w:szCs w:val="20"/>
                <w:lang w:eastAsia="en-US"/>
              </w:rPr>
              <w:t>-</w:t>
            </w:r>
            <w:r w:rsidRPr="009B397E">
              <w:rPr>
                <w:rFonts w:ascii="Times New Roman" w:hAnsi="Times New Roman" w:cs="Times New Roman"/>
                <w:sz w:val="20"/>
                <w:szCs w:val="20"/>
                <w:lang w:eastAsia="en-US"/>
              </w:rPr>
              <w:t>Code 4.1.5</w:t>
            </w:r>
            <w:r w:rsidR="00D64CC3" w:rsidRPr="009B397E">
              <w:rPr>
                <w:rFonts w:ascii="Times New Roman" w:hAnsi="Times New Roman" w:cs="Times New Roman"/>
                <w:sz w:val="20"/>
                <w:szCs w:val="20"/>
                <w:lang w:eastAsia="en-US"/>
              </w:rPr>
              <w:t>, 4.24.1.1, 4.24.1.3, 4.24.1.4 u</w:t>
            </w:r>
            <w:r w:rsidRPr="009B397E">
              <w:rPr>
                <w:rFonts w:ascii="Times New Roman" w:hAnsi="Times New Roman" w:cs="Times New Roman"/>
                <w:sz w:val="20"/>
                <w:szCs w:val="20"/>
                <w:lang w:eastAsia="en-US"/>
              </w:rPr>
              <w:t>nd 4.24.1.7</w:t>
            </w:r>
          </w:p>
        </w:tc>
      </w:tr>
      <w:tr w:rsidR="00243A30" w:rsidRPr="009B397E" w:rsidTr="006815A9">
        <w:trPr>
          <w:cantSplit/>
        </w:trPr>
        <w:tc>
          <w:tcPr>
            <w:tcW w:w="122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1.2.1</w:t>
            </w:r>
          </w:p>
        </w:tc>
        <w:tc>
          <w:tcPr>
            <w:tcW w:w="3352" w:type="dxa"/>
            <w:shd w:val="clear" w:color="auto" w:fill="auto"/>
          </w:tcPr>
          <w:p w:rsidR="00243A30" w:rsidRPr="009B397E" w:rsidRDefault="00765D62"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Definition des IGC-Codes</w:t>
            </w:r>
          </w:p>
        </w:tc>
        <w:tc>
          <w:tcPr>
            <w:tcW w:w="2794" w:type="dxa"/>
            <w:shd w:val="clear" w:color="auto" w:fill="auto"/>
          </w:tcPr>
          <w:p w:rsidR="00243A30" w:rsidRPr="009B397E" w:rsidRDefault="00D64CC3"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w:t>
            </w:r>
            <w:r w:rsidRPr="009B397E">
              <w:rPr>
                <w:rFonts w:ascii="Times New Roman" w:hAnsi="Times New Roman" w:cs="Times New Roman"/>
                <w:i/>
                <w:sz w:val="20"/>
                <w:szCs w:val="20"/>
                <w:lang w:eastAsia="en-US"/>
              </w:rPr>
              <w:t>IGC-Code</w:t>
            </w:r>
            <w:r w:rsidRPr="009B397E">
              <w:rPr>
                <w:rFonts w:ascii="Times New Roman" w:hAnsi="Times New Roman" w:cs="Times New Roman"/>
                <w:sz w:val="20"/>
                <w:szCs w:val="20"/>
                <w:lang w:eastAsia="en-US"/>
              </w:rPr>
              <w:t>“ der von der Internationalen Seeschifffahrtsorganisation (IMO) veröffentlichte Internationale Code für den Bau und die Ausrüstung von Schiffen, die Flüssiggas als Massengut befördern</w:t>
            </w:r>
          </w:p>
        </w:tc>
      </w:tr>
      <w:tr w:rsidR="00243A30" w:rsidRPr="009B397E" w:rsidTr="006815A9">
        <w:trPr>
          <w:cantSplit/>
        </w:trPr>
        <w:tc>
          <w:tcPr>
            <w:tcW w:w="122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1.2.1</w:t>
            </w:r>
          </w:p>
        </w:tc>
        <w:tc>
          <w:tcPr>
            <w:tcW w:w="3352" w:type="dxa"/>
            <w:shd w:val="clear" w:color="auto" w:fill="auto"/>
          </w:tcPr>
          <w:p w:rsidR="00243A30" w:rsidRPr="009B397E" w:rsidRDefault="00BA0AAF" w:rsidP="00276E07">
            <w:pPr>
              <w:tabs>
                <w:tab w:val="left" w:pos="1701"/>
              </w:tabs>
              <w:spacing w:before="40" w:after="120" w:line="240" w:lineRule="atLeast"/>
              <w:ind w:right="113"/>
              <w:rPr>
                <w:rFonts w:ascii="Times New Roman" w:hAnsi="Times New Roman" w:cs="Times New Roman"/>
                <w:i/>
                <w:sz w:val="20"/>
                <w:szCs w:val="20"/>
                <w:lang w:eastAsia="en-US"/>
              </w:rPr>
            </w:pPr>
            <w:r w:rsidRPr="009B397E">
              <w:rPr>
                <w:rFonts w:ascii="Times New Roman" w:hAnsi="Times New Roman" w:cs="Times New Roman"/>
                <w:sz w:val="20"/>
                <w:szCs w:val="20"/>
                <w:lang w:eastAsia="en-US"/>
              </w:rPr>
              <w:t xml:space="preserve">G.2.4 als alternativen </w:t>
            </w:r>
            <w:r w:rsidRPr="009B397E">
              <w:rPr>
                <w:rFonts w:ascii="Times New Roman" w:hAnsi="Times New Roman" w:cs="Times New Roman"/>
                <w:i/>
                <w:sz w:val="20"/>
                <w:szCs w:val="20"/>
                <w:lang w:eastAsia="en-US"/>
              </w:rPr>
              <w:t>Schiffstyp, Typ G</w:t>
            </w:r>
            <w:r w:rsidRPr="009B397E">
              <w:rPr>
                <w:rFonts w:ascii="Times New Roman" w:hAnsi="Times New Roman" w:cs="Times New Roman"/>
                <w:sz w:val="20"/>
                <w:szCs w:val="20"/>
                <w:lang w:eastAsia="en-US"/>
              </w:rPr>
              <w:t>, hinzufügen</w:t>
            </w:r>
          </w:p>
        </w:tc>
        <w:tc>
          <w:tcPr>
            <w:tcW w:w="2794" w:type="dxa"/>
            <w:shd w:val="clear" w:color="auto" w:fill="auto"/>
          </w:tcPr>
          <w:p w:rsidR="00243A30" w:rsidRPr="009B397E" w:rsidRDefault="00B82933"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 xml:space="preserve">Zeichnung </w:t>
            </w:r>
            <w:r w:rsidR="00BC49B3" w:rsidRPr="009B397E">
              <w:rPr>
                <w:rFonts w:ascii="Times New Roman" w:hAnsi="Times New Roman" w:cs="Times New Roman"/>
                <w:sz w:val="20"/>
                <w:szCs w:val="20"/>
                <w:lang w:eastAsia="en-US"/>
              </w:rPr>
              <w:t>vom</w:t>
            </w:r>
            <w:r w:rsidRPr="009B397E">
              <w:rPr>
                <w:rFonts w:ascii="Times New Roman" w:hAnsi="Times New Roman" w:cs="Times New Roman"/>
                <w:sz w:val="20"/>
                <w:szCs w:val="20"/>
                <w:lang w:eastAsia="en-US"/>
              </w:rPr>
              <w:t xml:space="preserve"> Typ G, Ladetankzustand 2, Ladetanktyp 4 (Membrantank) hinzufügen</w:t>
            </w:r>
          </w:p>
        </w:tc>
      </w:tr>
      <w:tr w:rsidR="00243A30" w:rsidRPr="009B397E" w:rsidTr="006815A9">
        <w:trPr>
          <w:cantSplit/>
        </w:trPr>
        <w:tc>
          <w:tcPr>
            <w:tcW w:w="122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3.2</w:t>
            </w:r>
          </w:p>
        </w:tc>
        <w:tc>
          <w:tcPr>
            <w:tcW w:w="3352" w:type="dxa"/>
            <w:shd w:val="clear" w:color="auto" w:fill="auto"/>
          </w:tcPr>
          <w:p w:rsidR="00243A30" w:rsidRPr="009B397E" w:rsidRDefault="00BC49B3"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Zu bestimmten UN-Nummern in Tabelle C zusätzliche Zeilen hinzufügen</w:t>
            </w:r>
          </w:p>
        </w:tc>
        <w:tc>
          <w:tcPr>
            <w:tcW w:w="279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p>
        </w:tc>
      </w:tr>
      <w:tr w:rsidR="00243A30" w:rsidRPr="009B397E" w:rsidTr="006815A9">
        <w:trPr>
          <w:cantSplit/>
        </w:trPr>
        <w:tc>
          <w:tcPr>
            <w:tcW w:w="1224" w:type="dxa"/>
            <w:shd w:val="clear" w:color="auto" w:fill="auto"/>
          </w:tcPr>
          <w:p w:rsidR="00243A30" w:rsidRPr="009B397E" w:rsidRDefault="00BC49B3" w:rsidP="00276E07">
            <w:pPr>
              <w:tabs>
                <w:tab w:val="left" w:pos="1701"/>
              </w:tabs>
              <w:spacing w:before="40" w:after="120" w:line="240" w:lineRule="atLeast"/>
              <w:rPr>
                <w:rFonts w:ascii="Times New Roman" w:hAnsi="Times New Roman" w:cs="Times New Roman"/>
                <w:sz w:val="20"/>
                <w:szCs w:val="20"/>
                <w:lang w:eastAsia="en-US"/>
              </w:rPr>
            </w:pPr>
            <w:r w:rsidRPr="009B397E">
              <w:rPr>
                <w:rFonts w:ascii="Times New Roman" w:hAnsi="Times New Roman" w:cs="Times New Roman"/>
                <w:sz w:val="20"/>
                <w:szCs w:val="20"/>
                <w:lang w:eastAsia="en-US"/>
              </w:rPr>
              <w:t>7.2 (Allgemeines)</w:t>
            </w:r>
          </w:p>
        </w:tc>
        <w:tc>
          <w:tcPr>
            <w:tcW w:w="3352" w:type="dxa"/>
            <w:shd w:val="clear" w:color="auto" w:fill="auto"/>
          </w:tcPr>
          <w:p w:rsidR="00243A30" w:rsidRPr="009B397E" w:rsidRDefault="00BC49B3"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 xml:space="preserve">Prüfen, welche Anforderungen an das Beladen, Befördern, Entladen und </w:t>
            </w:r>
            <w:r w:rsidR="00F25911" w:rsidRPr="009B397E">
              <w:rPr>
                <w:rFonts w:ascii="Times New Roman" w:hAnsi="Times New Roman" w:cs="Times New Roman"/>
                <w:sz w:val="20"/>
                <w:szCs w:val="20"/>
                <w:lang w:eastAsia="en-US"/>
              </w:rPr>
              <w:t>Umschlagen</w:t>
            </w:r>
            <w:r w:rsidRPr="009B397E">
              <w:rPr>
                <w:rFonts w:ascii="Times New Roman" w:hAnsi="Times New Roman" w:cs="Times New Roman"/>
                <w:sz w:val="20"/>
                <w:szCs w:val="20"/>
                <w:lang w:eastAsia="en-US"/>
              </w:rPr>
              <w:t xml:space="preserve"> der Ladung für die Beförderung in Membrantanks gelten und/oder angepasst werden müssen</w:t>
            </w:r>
            <w:r w:rsidR="00243A30" w:rsidRPr="009B397E">
              <w:rPr>
                <w:rFonts w:ascii="Times New Roman" w:hAnsi="Times New Roman" w:cs="Times New Roman"/>
                <w:sz w:val="20"/>
                <w:szCs w:val="20"/>
                <w:lang w:eastAsia="en-US"/>
              </w:rPr>
              <w:t xml:space="preserve"> </w:t>
            </w:r>
          </w:p>
        </w:tc>
        <w:tc>
          <w:tcPr>
            <w:tcW w:w="2794" w:type="dxa"/>
            <w:shd w:val="clear" w:color="auto" w:fill="auto"/>
          </w:tcPr>
          <w:p w:rsidR="00243A30" w:rsidRPr="009B397E" w:rsidRDefault="00F25911"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Zum Beispiel Füllbedingungen</w:t>
            </w:r>
          </w:p>
        </w:tc>
      </w:tr>
      <w:tr w:rsidR="00243A30" w:rsidRPr="009B397E" w:rsidTr="006815A9">
        <w:trPr>
          <w:cantSplit/>
        </w:trPr>
        <w:tc>
          <w:tcPr>
            <w:tcW w:w="122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7.2.1.21</w:t>
            </w:r>
          </w:p>
        </w:tc>
        <w:tc>
          <w:tcPr>
            <w:tcW w:w="3352" w:type="dxa"/>
            <w:shd w:val="clear" w:color="auto" w:fill="auto"/>
          </w:tcPr>
          <w:p w:rsidR="00243A30" w:rsidRPr="009B397E" w:rsidRDefault="00F25911"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Feststellen, dass Membrantanks nur eine Alternative für bestimmte Stoffe d</w:t>
            </w:r>
            <w:r w:rsidR="00854221" w:rsidRPr="009B397E">
              <w:rPr>
                <w:rFonts w:ascii="Times New Roman" w:hAnsi="Times New Roman" w:cs="Times New Roman"/>
                <w:sz w:val="20"/>
                <w:szCs w:val="20"/>
                <w:lang w:eastAsia="en-US"/>
              </w:rPr>
              <w:t>arstellen, die derzeit in G.1.1-</w:t>
            </w:r>
            <w:r w:rsidRPr="009B397E">
              <w:rPr>
                <w:rFonts w:ascii="Times New Roman" w:hAnsi="Times New Roman" w:cs="Times New Roman"/>
                <w:sz w:val="20"/>
                <w:szCs w:val="20"/>
                <w:lang w:eastAsia="en-US"/>
              </w:rPr>
              <w:t>Tankschiffen befördert werden</w:t>
            </w:r>
          </w:p>
        </w:tc>
        <w:tc>
          <w:tcPr>
            <w:tcW w:w="279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p>
        </w:tc>
      </w:tr>
      <w:tr w:rsidR="00243A30" w:rsidRPr="009B397E" w:rsidTr="006815A9">
        <w:trPr>
          <w:cantSplit/>
        </w:trPr>
        <w:tc>
          <w:tcPr>
            <w:tcW w:w="122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 xml:space="preserve">7.2.4.16.16 </w:t>
            </w:r>
          </w:p>
        </w:tc>
        <w:tc>
          <w:tcPr>
            <w:tcW w:w="3352" w:type="dxa"/>
            <w:shd w:val="clear" w:color="auto" w:fill="auto"/>
          </w:tcPr>
          <w:p w:rsidR="00243A30" w:rsidRPr="009B397E" w:rsidRDefault="00F25911"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Maßnahmen vor dem Laden tiefgekühlt verflüssigter Gase</w:t>
            </w:r>
          </w:p>
        </w:tc>
        <w:tc>
          <w:tcPr>
            <w:tcW w:w="279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p>
        </w:tc>
      </w:tr>
      <w:tr w:rsidR="00243A30" w:rsidRPr="009B397E" w:rsidTr="006815A9">
        <w:trPr>
          <w:cantSplit/>
        </w:trPr>
        <w:tc>
          <w:tcPr>
            <w:tcW w:w="122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7.2.4.16.17</w:t>
            </w:r>
          </w:p>
        </w:tc>
        <w:tc>
          <w:tcPr>
            <w:tcW w:w="3352" w:type="dxa"/>
            <w:shd w:val="clear" w:color="auto" w:fill="auto"/>
          </w:tcPr>
          <w:p w:rsidR="00243A30" w:rsidRPr="009B397E" w:rsidRDefault="00F25911"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Berechnung der Haltezeit</w:t>
            </w:r>
          </w:p>
        </w:tc>
        <w:tc>
          <w:tcPr>
            <w:tcW w:w="279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p>
        </w:tc>
      </w:tr>
      <w:tr w:rsidR="00243A30" w:rsidRPr="009B397E" w:rsidTr="006815A9">
        <w:trPr>
          <w:cantSplit/>
        </w:trPr>
        <w:tc>
          <w:tcPr>
            <w:tcW w:w="122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8.2.2.3.3.1</w:t>
            </w:r>
          </w:p>
        </w:tc>
        <w:tc>
          <w:tcPr>
            <w:tcW w:w="3352" w:type="dxa"/>
            <w:shd w:val="clear" w:color="auto" w:fill="auto"/>
          </w:tcPr>
          <w:p w:rsidR="00243A30" w:rsidRPr="009B397E" w:rsidRDefault="00F25911"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 xml:space="preserve">Kenntnisse über Membrantanks in die Prüfungsziele des Aufbaukurses „Gas“ aufnehmen </w:t>
            </w:r>
          </w:p>
        </w:tc>
        <w:tc>
          <w:tcPr>
            <w:tcW w:w="279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p>
        </w:tc>
      </w:tr>
      <w:tr w:rsidR="00243A30" w:rsidRPr="009B397E" w:rsidTr="006815A9">
        <w:trPr>
          <w:cantSplit/>
        </w:trPr>
        <w:tc>
          <w:tcPr>
            <w:tcW w:w="1224" w:type="dxa"/>
            <w:shd w:val="clear" w:color="auto" w:fill="auto"/>
          </w:tcPr>
          <w:p w:rsidR="00243A30" w:rsidRPr="009B397E" w:rsidRDefault="00D22DBC" w:rsidP="00276E07">
            <w:pPr>
              <w:tabs>
                <w:tab w:val="left" w:pos="1701"/>
              </w:tabs>
              <w:spacing w:before="40" w:after="120" w:line="240" w:lineRule="atLeast"/>
              <w:rPr>
                <w:rFonts w:ascii="Times New Roman" w:hAnsi="Times New Roman" w:cs="Times New Roman"/>
                <w:sz w:val="20"/>
                <w:szCs w:val="20"/>
                <w:lang w:eastAsia="en-US"/>
              </w:rPr>
            </w:pPr>
            <w:r w:rsidRPr="009B397E">
              <w:rPr>
                <w:rFonts w:ascii="Times New Roman" w:hAnsi="Times New Roman" w:cs="Times New Roman"/>
                <w:sz w:val="20"/>
                <w:szCs w:val="20"/>
                <w:lang w:eastAsia="en-US"/>
              </w:rPr>
              <w:t>9.3.1 (Allgemeines)</w:t>
            </w:r>
          </w:p>
        </w:tc>
        <w:tc>
          <w:tcPr>
            <w:tcW w:w="3352" w:type="dxa"/>
            <w:shd w:val="clear" w:color="auto" w:fill="auto"/>
          </w:tcPr>
          <w:p w:rsidR="00243A30" w:rsidRPr="009B397E" w:rsidRDefault="00D22DBC"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Überprüfen, welche baulichen Anforderungen bei der Einführung von Membrantanks geändert werden müssen</w:t>
            </w:r>
          </w:p>
        </w:tc>
        <w:tc>
          <w:tcPr>
            <w:tcW w:w="2794" w:type="dxa"/>
            <w:shd w:val="clear" w:color="auto" w:fill="auto"/>
          </w:tcPr>
          <w:p w:rsidR="00243A30" w:rsidRPr="009B397E" w:rsidRDefault="00D22DBC"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 xml:space="preserve">Zum Beispiel Stabilität, </w:t>
            </w:r>
            <w:proofErr w:type="spellStart"/>
            <w:r w:rsidRPr="009B397E">
              <w:rPr>
                <w:rFonts w:ascii="Times New Roman" w:hAnsi="Times New Roman" w:cs="Times New Roman"/>
                <w:sz w:val="20"/>
                <w:szCs w:val="20"/>
                <w:lang w:eastAsia="en-US"/>
              </w:rPr>
              <w:t>Boil</w:t>
            </w:r>
            <w:proofErr w:type="spellEnd"/>
            <w:r w:rsidRPr="009B397E">
              <w:rPr>
                <w:rFonts w:ascii="Times New Roman" w:hAnsi="Times New Roman" w:cs="Times New Roman"/>
                <w:sz w:val="20"/>
                <w:szCs w:val="20"/>
                <w:lang w:eastAsia="en-US"/>
              </w:rPr>
              <w:t xml:space="preserve">-off, </w:t>
            </w:r>
            <w:proofErr w:type="spellStart"/>
            <w:r w:rsidR="00D517B4" w:rsidRPr="009B397E">
              <w:rPr>
                <w:rFonts w:ascii="Times New Roman" w:hAnsi="Times New Roman" w:cs="Times New Roman"/>
                <w:sz w:val="20"/>
                <w:szCs w:val="20"/>
                <w:lang w:eastAsia="en-US"/>
              </w:rPr>
              <w:t>Sloshing</w:t>
            </w:r>
            <w:proofErr w:type="spellEnd"/>
          </w:p>
        </w:tc>
      </w:tr>
      <w:tr w:rsidR="00243A30" w:rsidRPr="009B397E" w:rsidTr="006815A9">
        <w:trPr>
          <w:cantSplit/>
        </w:trPr>
        <w:tc>
          <w:tcPr>
            <w:tcW w:w="122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9.3.1.0</w:t>
            </w:r>
          </w:p>
        </w:tc>
        <w:tc>
          <w:tcPr>
            <w:tcW w:w="3352" w:type="dxa"/>
            <w:shd w:val="clear" w:color="auto" w:fill="auto"/>
          </w:tcPr>
          <w:p w:rsidR="00243A30" w:rsidRPr="009B397E" w:rsidRDefault="00D517B4"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Bauwerkstoffe</w:t>
            </w:r>
          </w:p>
        </w:tc>
        <w:tc>
          <w:tcPr>
            <w:tcW w:w="2794" w:type="dxa"/>
            <w:shd w:val="clear" w:color="auto" w:fill="auto"/>
          </w:tcPr>
          <w:p w:rsidR="00243A30" w:rsidRPr="009B397E" w:rsidRDefault="00D517B4"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Überprüfen, ob alle Baustoffe in Membrantanks ADN-konform sind</w:t>
            </w:r>
          </w:p>
        </w:tc>
      </w:tr>
      <w:tr w:rsidR="00243A30" w:rsidRPr="009B397E" w:rsidTr="006815A9">
        <w:trPr>
          <w:cantSplit/>
        </w:trPr>
        <w:tc>
          <w:tcPr>
            <w:tcW w:w="1224" w:type="dxa"/>
            <w:shd w:val="clear" w:color="auto" w:fill="auto"/>
          </w:tcPr>
          <w:p w:rsidR="00243A30" w:rsidRPr="009B397E" w:rsidRDefault="00243A30"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9.3.1.21</w:t>
            </w:r>
          </w:p>
        </w:tc>
        <w:tc>
          <w:tcPr>
            <w:tcW w:w="3352" w:type="dxa"/>
            <w:shd w:val="clear" w:color="auto" w:fill="auto"/>
          </w:tcPr>
          <w:p w:rsidR="00243A30" w:rsidRPr="009B397E" w:rsidRDefault="00D517B4"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Sicherheits- und Kontrolleinrichtungen</w:t>
            </w:r>
          </w:p>
        </w:tc>
        <w:tc>
          <w:tcPr>
            <w:tcW w:w="2794" w:type="dxa"/>
            <w:shd w:val="clear" w:color="auto" w:fill="auto"/>
          </w:tcPr>
          <w:p w:rsidR="00243A30" w:rsidRPr="009B397E" w:rsidRDefault="00D517B4" w:rsidP="00276E07">
            <w:pPr>
              <w:tabs>
                <w:tab w:val="left" w:pos="1701"/>
              </w:tabs>
              <w:spacing w:before="40" w:after="120" w:line="240" w:lineRule="atLeast"/>
              <w:ind w:right="113"/>
              <w:rPr>
                <w:rFonts w:ascii="Times New Roman" w:hAnsi="Times New Roman" w:cs="Times New Roman"/>
                <w:sz w:val="20"/>
                <w:szCs w:val="20"/>
                <w:lang w:eastAsia="en-US"/>
              </w:rPr>
            </w:pPr>
            <w:r w:rsidRPr="009B397E">
              <w:rPr>
                <w:rFonts w:ascii="Times New Roman" w:hAnsi="Times New Roman" w:cs="Times New Roman"/>
                <w:sz w:val="20"/>
                <w:szCs w:val="20"/>
                <w:lang w:eastAsia="en-US"/>
              </w:rPr>
              <w:t>Überprüfen, ob alle Sicherheitseinrichtungen in Membrantanks vorgeschrieben sind</w:t>
            </w:r>
          </w:p>
        </w:tc>
      </w:tr>
    </w:tbl>
    <w:p w:rsidR="00EC7DFB" w:rsidRDefault="00EC7DFB" w:rsidP="00854221">
      <w:pPr>
        <w:tabs>
          <w:tab w:val="left" w:pos="1701"/>
        </w:tabs>
        <w:suppressAutoHyphens/>
        <w:spacing w:before="120" w:after="120" w:line="240" w:lineRule="atLeast"/>
        <w:ind w:left="1134" w:right="1134"/>
        <w:jc w:val="both"/>
        <w:rPr>
          <w:rFonts w:ascii="Times New Roman" w:hAnsi="Times New Roman" w:cs="Times New Roman"/>
          <w:sz w:val="20"/>
          <w:szCs w:val="20"/>
          <w:lang w:eastAsia="en-US"/>
        </w:rPr>
      </w:pPr>
    </w:p>
    <w:p w:rsidR="00EC7DFB" w:rsidRDefault="00EC7DFB">
      <w:pPr>
        <w:rPr>
          <w:rFonts w:ascii="Times New Roman" w:hAnsi="Times New Roman" w:cs="Times New Roman"/>
          <w:sz w:val="20"/>
          <w:szCs w:val="20"/>
          <w:lang w:eastAsia="en-US"/>
        </w:rPr>
      </w:pPr>
      <w:r>
        <w:rPr>
          <w:rFonts w:ascii="Times New Roman" w:hAnsi="Times New Roman" w:cs="Times New Roman"/>
          <w:sz w:val="20"/>
          <w:szCs w:val="20"/>
          <w:lang w:eastAsia="en-US"/>
        </w:rPr>
        <w:br w:type="page"/>
      </w:r>
    </w:p>
    <w:p w:rsidR="00243A30" w:rsidRPr="009B397E" w:rsidRDefault="00243A30" w:rsidP="00854221">
      <w:pPr>
        <w:tabs>
          <w:tab w:val="left" w:pos="1701"/>
        </w:tabs>
        <w:suppressAutoHyphens/>
        <w:spacing w:before="120" w:after="120" w:line="240" w:lineRule="atLeast"/>
        <w:ind w:left="1134" w:right="1134"/>
        <w:jc w:val="both"/>
        <w:rPr>
          <w:rFonts w:ascii="Times New Roman" w:hAnsi="Times New Roman" w:cs="Times New Roman"/>
          <w:sz w:val="20"/>
          <w:szCs w:val="20"/>
          <w:lang w:eastAsia="en-US"/>
        </w:rPr>
      </w:pPr>
      <w:r w:rsidRPr="009B397E">
        <w:rPr>
          <w:rFonts w:ascii="Times New Roman" w:hAnsi="Times New Roman" w:cs="Times New Roman"/>
          <w:sz w:val="20"/>
          <w:szCs w:val="20"/>
          <w:lang w:eastAsia="en-US"/>
        </w:rPr>
        <w:lastRenderedPageBreak/>
        <w:t>15.</w:t>
      </w:r>
      <w:r w:rsidRPr="009B397E">
        <w:rPr>
          <w:rFonts w:ascii="Times New Roman" w:hAnsi="Times New Roman" w:cs="Times New Roman"/>
          <w:sz w:val="20"/>
          <w:szCs w:val="20"/>
          <w:lang w:eastAsia="en-US"/>
        </w:rPr>
        <w:tab/>
      </w:r>
      <w:r w:rsidR="00D517B4" w:rsidRPr="009B397E">
        <w:rPr>
          <w:rFonts w:ascii="Times New Roman" w:hAnsi="Times New Roman" w:cs="Times New Roman"/>
          <w:sz w:val="20"/>
          <w:szCs w:val="20"/>
          <w:lang w:eastAsia="en-US"/>
        </w:rPr>
        <w:t>Der ADN-Sicherheitsausschuss wird ersucht, zu dieser vorläufigen Bestandsaufnahme Stellung zu nehmen und aus seiner Sicht relevante Artikel/Gegenstände hinzuzufügen.</w:t>
      </w:r>
      <w:r w:rsidRPr="009B397E">
        <w:rPr>
          <w:rFonts w:ascii="Times New Roman" w:hAnsi="Times New Roman" w:cs="Times New Roman"/>
          <w:sz w:val="20"/>
          <w:szCs w:val="20"/>
          <w:lang w:eastAsia="en-US"/>
        </w:rPr>
        <w:t xml:space="preserve"> </w:t>
      </w:r>
      <w:r w:rsidR="00D517B4" w:rsidRPr="009B397E">
        <w:rPr>
          <w:rFonts w:ascii="Times New Roman" w:hAnsi="Times New Roman" w:cs="Times New Roman"/>
          <w:sz w:val="20"/>
          <w:szCs w:val="20"/>
          <w:lang w:eastAsia="en-US"/>
        </w:rPr>
        <w:t xml:space="preserve">Diese Ergänzungen und Anmerkungen werden die informelle Arbeitsgruppe in der nächsten Phase der Arbeit, dem Entwurf konkreter Änderungen für </w:t>
      </w:r>
      <w:r w:rsidR="00854221" w:rsidRPr="009B397E">
        <w:rPr>
          <w:rFonts w:ascii="Times New Roman" w:hAnsi="Times New Roman" w:cs="Times New Roman"/>
          <w:sz w:val="20"/>
          <w:szCs w:val="20"/>
          <w:lang w:eastAsia="en-US"/>
        </w:rPr>
        <w:t xml:space="preserve">das </w:t>
      </w:r>
      <w:r w:rsidR="00D517B4" w:rsidRPr="009B397E">
        <w:rPr>
          <w:rFonts w:ascii="Times New Roman" w:hAnsi="Times New Roman" w:cs="Times New Roman"/>
          <w:sz w:val="20"/>
          <w:szCs w:val="20"/>
          <w:lang w:eastAsia="en-US"/>
        </w:rPr>
        <w:t>ADN 2019, leiten.</w:t>
      </w:r>
    </w:p>
    <w:p w:rsidR="00243A30" w:rsidRPr="009B397E" w:rsidRDefault="00243A30" w:rsidP="00854221">
      <w:pPr>
        <w:keepNext/>
        <w:keepLines/>
        <w:tabs>
          <w:tab w:val="right" w:pos="851"/>
          <w:tab w:val="left" w:pos="1701"/>
        </w:tabs>
        <w:suppressAutoHyphens/>
        <w:spacing w:before="360" w:after="240" w:line="300" w:lineRule="exact"/>
        <w:ind w:left="1134" w:right="1134" w:hanging="1134"/>
        <w:rPr>
          <w:rFonts w:ascii="Times New Roman" w:hAnsi="Times New Roman" w:cs="Times New Roman"/>
          <w:b/>
          <w:sz w:val="28"/>
          <w:szCs w:val="20"/>
          <w:lang w:eastAsia="en-US"/>
        </w:rPr>
      </w:pPr>
      <w:r w:rsidRPr="009B397E">
        <w:rPr>
          <w:rFonts w:ascii="Times New Roman" w:hAnsi="Times New Roman" w:cs="Times New Roman"/>
          <w:b/>
          <w:sz w:val="28"/>
          <w:szCs w:val="20"/>
          <w:lang w:eastAsia="en-US"/>
        </w:rPr>
        <w:tab/>
      </w:r>
      <w:r w:rsidRPr="009B397E">
        <w:rPr>
          <w:rFonts w:ascii="Times New Roman" w:hAnsi="Times New Roman" w:cs="Times New Roman"/>
          <w:b/>
          <w:sz w:val="28"/>
          <w:szCs w:val="20"/>
          <w:lang w:eastAsia="en-US"/>
        </w:rPr>
        <w:tab/>
      </w:r>
      <w:r w:rsidR="00D517B4" w:rsidRPr="009B397E">
        <w:rPr>
          <w:rFonts w:ascii="Times New Roman" w:hAnsi="Times New Roman" w:cs="Times New Roman"/>
          <w:b/>
          <w:sz w:val="28"/>
          <w:szCs w:val="20"/>
          <w:lang w:eastAsia="en-US"/>
        </w:rPr>
        <w:t>Sonstiges</w:t>
      </w:r>
    </w:p>
    <w:p w:rsidR="0023083A" w:rsidRPr="009B397E" w:rsidRDefault="00243A30" w:rsidP="00276E07">
      <w:pPr>
        <w:tabs>
          <w:tab w:val="left" w:pos="1701"/>
        </w:tabs>
        <w:suppressAutoHyphens/>
        <w:spacing w:after="120" w:line="240" w:lineRule="atLeast"/>
        <w:ind w:left="1134" w:right="1134"/>
        <w:jc w:val="both"/>
        <w:rPr>
          <w:rFonts w:ascii="Times New Roman" w:hAnsi="Times New Roman" w:cs="Times New Roman"/>
          <w:sz w:val="20"/>
          <w:szCs w:val="20"/>
        </w:rPr>
      </w:pPr>
      <w:r w:rsidRPr="009B397E">
        <w:rPr>
          <w:rFonts w:ascii="Times New Roman" w:hAnsi="Times New Roman" w:cs="Times New Roman"/>
          <w:sz w:val="20"/>
          <w:szCs w:val="20"/>
          <w:lang w:eastAsia="en-US"/>
        </w:rPr>
        <w:t>16.</w:t>
      </w:r>
      <w:r w:rsidRPr="009B397E">
        <w:rPr>
          <w:rFonts w:ascii="Times New Roman" w:hAnsi="Times New Roman" w:cs="Times New Roman"/>
          <w:sz w:val="20"/>
          <w:szCs w:val="20"/>
          <w:lang w:eastAsia="en-US"/>
        </w:rPr>
        <w:tab/>
      </w:r>
      <w:r w:rsidR="00D517B4" w:rsidRPr="009B397E">
        <w:rPr>
          <w:rFonts w:ascii="Times New Roman" w:hAnsi="Times New Roman" w:cs="Times New Roman"/>
          <w:sz w:val="20"/>
          <w:szCs w:val="20"/>
          <w:lang w:eastAsia="en-US"/>
        </w:rPr>
        <w:t>Die nächste Sitzung der informellen Arbeitsgruppe ist für Mittwoch, den 24.</w:t>
      </w:r>
      <w:r w:rsidR="00276E07">
        <w:rPr>
          <w:rFonts w:ascii="Times New Roman" w:hAnsi="Times New Roman" w:cs="Times New Roman"/>
          <w:sz w:val="20"/>
          <w:szCs w:val="20"/>
          <w:lang w:eastAsia="en-US"/>
        </w:rPr>
        <w:t> </w:t>
      </w:r>
      <w:r w:rsidR="00D517B4" w:rsidRPr="009B397E">
        <w:rPr>
          <w:rFonts w:ascii="Times New Roman" w:hAnsi="Times New Roman" w:cs="Times New Roman"/>
          <w:sz w:val="20"/>
          <w:szCs w:val="20"/>
          <w:lang w:eastAsia="en-US"/>
        </w:rPr>
        <w:t>und Donnerstag, den 25. April in Paris, Frankreich, geplant.</w:t>
      </w:r>
      <w:r w:rsidRPr="009B397E">
        <w:rPr>
          <w:rFonts w:ascii="Times New Roman" w:hAnsi="Times New Roman" w:cs="Times New Roman"/>
          <w:sz w:val="20"/>
          <w:szCs w:val="20"/>
          <w:lang w:eastAsia="en-US"/>
        </w:rPr>
        <w:t xml:space="preserve"> </w:t>
      </w:r>
      <w:r w:rsidR="00D517B4" w:rsidRPr="009B397E">
        <w:rPr>
          <w:rFonts w:ascii="Times New Roman" w:hAnsi="Times New Roman" w:cs="Times New Roman"/>
          <w:sz w:val="20"/>
          <w:szCs w:val="20"/>
          <w:lang w:eastAsia="en-US"/>
        </w:rPr>
        <w:t>Alle anderen interessierten Parteien sind herzlich eingeladen, teilzunehmen.</w:t>
      </w:r>
    </w:p>
    <w:p w:rsidR="000C44F3" w:rsidRPr="00FD688A" w:rsidRDefault="0023083A" w:rsidP="0023083A">
      <w:pPr>
        <w:tabs>
          <w:tab w:val="left" w:pos="1134"/>
        </w:tabs>
        <w:spacing w:line="240" w:lineRule="atLeast"/>
        <w:ind w:left="567" w:right="566"/>
        <w:jc w:val="center"/>
        <w:rPr>
          <w:rFonts w:ascii="Times New Roman" w:eastAsia="Calibri" w:hAnsi="Times New Roman" w:cs="Times New Roman"/>
          <w:sz w:val="20"/>
          <w:szCs w:val="20"/>
        </w:rPr>
      </w:pPr>
      <w:r w:rsidRPr="009B397E">
        <w:rPr>
          <w:rFonts w:ascii="Times New Roman" w:hAnsi="Times New Roman" w:cs="Times New Roman"/>
          <w:sz w:val="20"/>
          <w:szCs w:val="20"/>
        </w:rPr>
        <w:t>***</w:t>
      </w:r>
    </w:p>
    <w:sectPr w:rsidR="000C44F3" w:rsidRPr="00FD688A" w:rsidSect="00276E07">
      <w:headerReference w:type="even" r:id="rId9"/>
      <w:headerReference w:type="default" r:id="rId10"/>
      <w:footerReference w:type="even" r:id="rId11"/>
      <w:footerReference w:type="default" r:id="rId12"/>
      <w:pgSz w:w="11907" w:h="16840" w:code="9"/>
      <w:pgMar w:top="1418" w:right="1418" w:bottom="1247"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501" w:rsidRDefault="00C92501">
      <w:r>
        <w:separator/>
      </w:r>
    </w:p>
  </w:endnote>
  <w:endnote w:type="continuationSeparator" w:id="0">
    <w:p w:rsidR="00C92501" w:rsidRDefault="00C9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0FC" w:rsidRPr="0023083A" w:rsidRDefault="00A860FC" w:rsidP="0023083A">
    <w:pPr>
      <w:pStyle w:val="Header"/>
      <w:tabs>
        <w:tab w:val="right" w:pos="3856"/>
        <w:tab w:val="left" w:pos="5387"/>
      </w:tabs>
      <w:jc w:val="right"/>
      <w:rPr>
        <w:sz w:val="12"/>
        <w:szCs w:val="12"/>
      </w:rPr>
    </w:pPr>
    <w:proofErr w:type="spellStart"/>
    <w:r>
      <w:rPr>
        <w:sz w:val="12"/>
        <w:szCs w:val="12"/>
      </w:rPr>
      <w:t>m</w:t>
    </w:r>
    <w:r w:rsidRPr="0023083A">
      <w:rPr>
        <w:sz w:val="12"/>
        <w:szCs w:val="12"/>
      </w:rPr>
      <w:t>m</w:t>
    </w:r>
    <w:r>
      <w:rPr>
        <w:sz w:val="12"/>
        <w:szCs w:val="12"/>
      </w:rPr>
      <w:t>_ba</w:t>
    </w:r>
    <w:proofErr w:type="spellEnd"/>
    <w:r w:rsidRPr="0023083A">
      <w:rPr>
        <w:sz w:val="12"/>
        <w:szCs w:val="12"/>
      </w:rPr>
      <w:t>/</w:t>
    </w:r>
    <w:proofErr w:type="spellStart"/>
    <w:r w:rsidRPr="0023083A">
      <w:rPr>
        <w:sz w:val="12"/>
        <w:szCs w:val="12"/>
      </w:rPr>
      <w:t>adn</w:t>
    </w:r>
    <w:proofErr w:type="spellEnd"/>
    <w:r w:rsidRPr="0023083A">
      <w:rPr>
        <w:sz w:val="12"/>
        <w:szCs w:val="12"/>
      </w:rPr>
      <w:t>/wp15ac2/2019/</w:t>
    </w:r>
    <w:r>
      <w:rPr>
        <w:sz w:val="12"/>
        <w:szCs w:val="12"/>
      </w:rPr>
      <w:t>14</w:t>
    </w:r>
    <w:r w:rsidRPr="0023083A">
      <w:rPr>
        <w:rFonts w:eastAsia="Arial"/>
        <w:sz w:val="12"/>
        <w:szCs w:val="12"/>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0FC" w:rsidRPr="00243A30" w:rsidRDefault="00A860FC" w:rsidP="00243A30">
    <w:pPr>
      <w:pStyle w:val="Header"/>
      <w:tabs>
        <w:tab w:val="right" w:pos="3856"/>
        <w:tab w:val="left" w:pos="5387"/>
      </w:tabs>
      <w:jc w:val="right"/>
    </w:pPr>
    <w:proofErr w:type="spellStart"/>
    <w:r>
      <w:rPr>
        <w:sz w:val="12"/>
        <w:szCs w:val="12"/>
      </w:rPr>
      <w:t>m</w:t>
    </w:r>
    <w:r w:rsidRPr="0023083A">
      <w:rPr>
        <w:sz w:val="12"/>
        <w:szCs w:val="12"/>
      </w:rPr>
      <w:t>m</w:t>
    </w:r>
    <w:r>
      <w:rPr>
        <w:sz w:val="12"/>
        <w:szCs w:val="12"/>
      </w:rPr>
      <w:t>_ba</w:t>
    </w:r>
    <w:proofErr w:type="spellEnd"/>
    <w:r w:rsidRPr="0023083A">
      <w:rPr>
        <w:sz w:val="12"/>
        <w:szCs w:val="12"/>
      </w:rPr>
      <w:t>/</w:t>
    </w:r>
    <w:proofErr w:type="spellStart"/>
    <w:r w:rsidRPr="0023083A">
      <w:rPr>
        <w:sz w:val="12"/>
        <w:szCs w:val="12"/>
      </w:rPr>
      <w:t>adn</w:t>
    </w:r>
    <w:proofErr w:type="spellEnd"/>
    <w:r w:rsidRPr="0023083A">
      <w:rPr>
        <w:sz w:val="12"/>
        <w:szCs w:val="12"/>
      </w:rPr>
      <w:t>/wp15ac2/2019/</w:t>
    </w:r>
    <w:r>
      <w:rPr>
        <w:sz w:val="12"/>
        <w:szCs w:val="12"/>
      </w:rPr>
      <w:t>14</w:t>
    </w:r>
    <w:r w:rsidRPr="0023083A">
      <w:rPr>
        <w:rFonts w:eastAsia="Arial"/>
        <w:sz w:val="12"/>
        <w:szCs w:val="1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501" w:rsidRDefault="00C92501">
      <w:r>
        <w:separator/>
      </w:r>
    </w:p>
  </w:footnote>
  <w:footnote w:type="continuationSeparator" w:id="0">
    <w:p w:rsidR="00C92501" w:rsidRDefault="00C92501">
      <w:r>
        <w:continuationSeparator/>
      </w:r>
    </w:p>
  </w:footnote>
  <w:footnote w:id="1">
    <w:p w:rsidR="00A860FC" w:rsidRPr="0023083A" w:rsidRDefault="00A860FC" w:rsidP="00243A30">
      <w:pPr>
        <w:pStyle w:val="FootnoteText"/>
        <w:ind w:left="284" w:hanging="284"/>
        <w:rPr>
          <w:rFonts w:ascii="Times New Roman" w:hAnsi="Times New Roman" w:cs="Times New Roman"/>
          <w:sz w:val="16"/>
          <w:szCs w:val="16"/>
        </w:rPr>
      </w:pPr>
      <w:r w:rsidRPr="0023083A">
        <w:rPr>
          <w:rStyle w:val="FootnoteReference"/>
        </w:rPr>
        <w:t>*</w:t>
      </w:r>
      <w:r w:rsidRPr="0023083A">
        <w:rPr>
          <w:rFonts w:ascii="Times New Roman" w:hAnsi="Times New Roman" w:cs="Times New Roman"/>
          <w:sz w:val="16"/>
          <w:szCs w:val="16"/>
        </w:rPr>
        <w:t xml:space="preserve"> </w:t>
      </w:r>
      <w:r w:rsidRPr="0023083A">
        <w:rPr>
          <w:rFonts w:ascii="Times New Roman" w:hAnsi="Times New Roman" w:cs="Times New Roman"/>
          <w:sz w:val="16"/>
          <w:szCs w:val="16"/>
        </w:rPr>
        <w:tab/>
        <w:t>Von der UN-ECE in Englisch, Französisch und Russisch unter dem Aktenzeichen ECE/TRANS/WP.15/AC.2/2019/</w:t>
      </w:r>
      <w:r>
        <w:rPr>
          <w:rFonts w:ascii="Times New Roman" w:hAnsi="Times New Roman" w:cs="Times New Roman"/>
          <w:sz w:val="16"/>
          <w:szCs w:val="16"/>
        </w:rPr>
        <w:t>14</w:t>
      </w:r>
      <w:r w:rsidRPr="0023083A">
        <w:rPr>
          <w:rFonts w:ascii="Times New Roman" w:hAnsi="Times New Roman" w:cs="Times New Roman"/>
          <w:sz w:val="16"/>
          <w:szCs w:val="16"/>
        </w:rPr>
        <w:t xml:space="preserve"> verteilt.</w:t>
      </w:r>
    </w:p>
  </w:footnote>
  <w:footnote w:id="2">
    <w:p w:rsidR="00A860FC" w:rsidRPr="0023083A" w:rsidRDefault="00A860FC" w:rsidP="00243A30">
      <w:pPr>
        <w:pStyle w:val="FootnoteText"/>
        <w:tabs>
          <w:tab w:val="left" w:pos="284"/>
        </w:tabs>
        <w:ind w:left="284" w:hanging="284"/>
        <w:rPr>
          <w:rFonts w:ascii="Times New Roman" w:hAnsi="Times New Roman" w:cs="Times New Roman"/>
          <w:sz w:val="16"/>
          <w:szCs w:val="16"/>
        </w:rPr>
      </w:pPr>
      <w:r w:rsidRPr="0023083A">
        <w:rPr>
          <w:rStyle w:val="FootnoteReference"/>
        </w:rPr>
        <w:t>**</w:t>
      </w:r>
      <w:r w:rsidRPr="0023083A">
        <w:rPr>
          <w:rFonts w:ascii="Times New Roman" w:hAnsi="Times New Roman" w:cs="Times New Roman"/>
          <w:sz w:val="16"/>
          <w:szCs w:val="16"/>
        </w:rPr>
        <w:t xml:space="preserve"> </w:t>
      </w:r>
      <w:r w:rsidRPr="0023083A">
        <w:rPr>
          <w:rFonts w:ascii="Times New Roman" w:hAnsi="Times New Roman" w:cs="Times New Roman"/>
          <w:sz w:val="16"/>
          <w:szCs w:val="16"/>
        </w:rPr>
        <w:tab/>
        <w:t>Entsprechend dem Arbeitsprogramm des Binnenverkehrsausschusses für 201</w:t>
      </w:r>
      <w:r>
        <w:rPr>
          <w:rFonts w:ascii="Times New Roman" w:hAnsi="Times New Roman" w:cs="Times New Roman"/>
          <w:sz w:val="16"/>
          <w:szCs w:val="16"/>
        </w:rPr>
        <w:t>8</w:t>
      </w:r>
      <w:r w:rsidRPr="0023083A">
        <w:rPr>
          <w:rFonts w:ascii="Times New Roman" w:hAnsi="Times New Roman" w:cs="Times New Roman"/>
          <w:sz w:val="16"/>
          <w:szCs w:val="16"/>
        </w:rPr>
        <w:t>-201</w:t>
      </w:r>
      <w:r>
        <w:rPr>
          <w:rFonts w:ascii="Times New Roman" w:hAnsi="Times New Roman" w:cs="Times New Roman"/>
          <w:sz w:val="16"/>
          <w:szCs w:val="16"/>
        </w:rPr>
        <w:t>9 (ECE/TRANS/2018</w:t>
      </w:r>
      <w:r w:rsidRPr="0023083A">
        <w:rPr>
          <w:rFonts w:ascii="Times New Roman" w:hAnsi="Times New Roman" w:cs="Times New Roman"/>
          <w:sz w:val="16"/>
          <w:szCs w:val="16"/>
        </w:rPr>
        <w:t>/</w:t>
      </w:r>
      <w:r>
        <w:rPr>
          <w:rFonts w:ascii="Times New Roman" w:hAnsi="Times New Roman" w:cs="Times New Roman"/>
          <w:sz w:val="16"/>
          <w:szCs w:val="16"/>
        </w:rPr>
        <w:t>21</w:t>
      </w:r>
      <w:r w:rsidRPr="0023083A">
        <w:rPr>
          <w:rFonts w:ascii="Times New Roman" w:hAnsi="Times New Roman" w:cs="Times New Roman"/>
          <w:sz w:val="16"/>
          <w:szCs w:val="16"/>
        </w:rPr>
        <w:t>/Add.1 (9.3.)).</w:t>
      </w:r>
    </w:p>
  </w:footnote>
  <w:footnote w:id="3">
    <w:p w:rsidR="00A860FC" w:rsidRPr="006815A9" w:rsidRDefault="00A860FC" w:rsidP="008C0CF5">
      <w:pPr>
        <w:pStyle w:val="FootnoteText"/>
        <w:ind w:left="284" w:hanging="284"/>
        <w:rPr>
          <w:sz w:val="16"/>
          <w:szCs w:val="16"/>
          <w:lang w:val="en-US"/>
        </w:rPr>
      </w:pPr>
      <w:r>
        <w:rPr>
          <w:rStyle w:val="FootnoteReference"/>
        </w:rPr>
        <w:footnoteRef/>
      </w:r>
      <w:r w:rsidRPr="006815A9">
        <w:t xml:space="preserve"> </w:t>
      </w:r>
      <w:r w:rsidRPr="006815A9">
        <w:tab/>
      </w:r>
      <w:hyperlink r:id="rId1" w:history="1">
        <w:r w:rsidRPr="006815A9">
          <w:rPr>
            <w:rStyle w:val="Hyperlink"/>
            <w:sz w:val="16"/>
            <w:szCs w:val="16"/>
          </w:rPr>
          <w:t>https://www.shell.com/energy-and-innovation/natural-gas/liquefied-natural-gas-lng/lng-outlook/_jcr_content/par/textimage_864093748.stream/1519731114519/890e687a18cdc644e5b80609a8280bc474b0b8806046b6f3ee89bf231f00fa8f/shell-lng-outlook-2018-infographic-download-final.pdf</w:t>
        </w:r>
      </w:hyperlink>
      <w:r>
        <w:rPr>
          <w:sz w:val="16"/>
          <w:szCs w:val="16"/>
          <w:lang w:val="en-US"/>
        </w:rPr>
        <w:t xml:space="preserve"> u</w:t>
      </w:r>
      <w:r w:rsidRPr="006815A9">
        <w:rPr>
          <w:sz w:val="16"/>
          <w:szCs w:val="16"/>
          <w:lang w:val="en-US"/>
        </w:rPr>
        <w:t xml:space="preserve">nd </w:t>
      </w:r>
      <w:hyperlink r:id="rId2" w:history="1">
        <w:r w:rsidRPr="006815A9">
          <w:rPr>
            <w:rStyle w:val="Hyperlink"/>
            <w:sz w:val="16"/>
            <w:szCs w:val="16"/>
            <w:lang w:val="en-US"/>
          </w:rPr>
          <w:t>https://cdn.exxonmobil.com/~/media/global/files/outlook-for-energy/2017/2017-outlook-for-energy.pdf</w:t>
        </w:r>
      </w:hyperlink>
      <w:r w:rsidRPr="006815A9">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0FC" w:rsidRPr="0023083A" w:rsidRDefault="00A860FC" w:rsidP="0023083A">
    <w:pPr>
      <w:tabs>
        <w:tab w:val="center" w:pos="4320"/>
        <w:tab w:val="right" w:pos="8640"/>
      </w:tabs>
      <w:rPr>
        <w:sz w:val="16"/>
        <w:szCs w:val="16"/>
        <w:lang w:val="en-GB" w:eastAsia="en-US"/>
      </w:rPr>
    </w:pPr>
    <w:r w:rsidRPr="0023083A">
      <w:rPr>
        <w:sz w:val="16"/>
        <w:szCs w:val="16"/>
        <w:lang w:val="en-GB" w:eastAsia="en-US"/>
      </w:rPr>
      <w:t>CCNR-ZKR/ADN/WP.15/AC.2/201</w:t>
    </w:r>
    <w:r>
      <w:rPr>
        <w:sz w:val="16"/>
        <w:szCs w:val="16"/>
        <w:lang w:val="en-GB" w:eastAsia="en-US"/>
      </w:rPr>
      <w:t>9</w:t>
    </w:r>
    <w:r w:rsidRPr="0023083A">
      <w:rPr>
        <w:sz w:val="16"/>
        <w:szCs w:val="16"/>
        <w:lang w:val="en-GB" w:eastAsia="en-US"/>
      </w:rPr>
      <w:t>/</w:t>
    </w:r>
    <w:r>
      <w:rPr>
        <w:sz w:val="16"/>
        <w:szCs w:val="16"/>
        <w:lang w:val="en-GB" w:eastAsia="en-US"/>
      </w:rPr>
      <w:t>14</w:t>
    </w:r>
  </w:p>
  <w:p w:rsidR="00A860FC" w:rsidRPr="0023083A" w:rsidRDefault="00A860FC" w:rsidP="0023083A">
    <w:pPr>
      <w:tabs>
        <w:tab w:val="center" w:pos="4320"/>
        <w:tab w:val="right" w:pos="8640"/>
      </w:tabs>
      <w:rPr>
        <w:sz w:val="16"/>
        <w:szCs w:val="16"/>
        <w:lang w:val="en-GB" w:eastAsia="en-US"/>
      </w:rPr>
    </w:pPr>
    <w:proofErr w:type="spellStart"/>
    <w:r w:rsidRPr="0023083A">
      <w:rPr>
        <w:sz w:val="16"/>
        <w:szCs w:val="16"/>
        <w:lang w:val="en-GB" w:eastAsia="en-US"/>
      </w:rPr>
      <w:t>Seite</w:t>
    </w:r>
    <w:proofErr w:type="spellEnd"/>
    <w:r w:rsidRPr="0023083A">
      <w:rPr>
        <w:sz w:val="16"/>
        <w:szCs w:val="16"/>
        <w:lang w:val="en-GB" w:eastAsia="en-US"/>
      </w:rPr>
      <w:t xml:space="preserve"> </w:t>
    </w:r>
    <w:r w:rsidRPr="0023083A">
      <w:rPr>
        <w:sz w:val="16"/>
        <w:szCs w:val="16"/>
        <w:lang w:val="en-GB" w:eastAsia="en-US"/>
      </w:rPr>
      <w:fldChar w:fldCharType="begin"/>
    </w:r>
    <w:r w:rsidRPr="0023083A">
      <w:rPr>
        <w:sz w:val="16"/>
        <w:szCs w:val="16"/>
        <w:lang w:val="en-GB" w:eastAsia="en-US"/>
      </w:rPr>
      <w:instrText xml:space="preserve"> PAGE  \* MERGEFORMAT </w:instrText>
    </w:r>
    <w:r w:rsidRPr="0023083A">
      <w:rPr>
        <w:sz w:val="16"/>
        <w:szCs w:val="16"/>
        <w:lang w:val="en-GB" w:eastAsia="en-US"/>
      </w:rPr>
      <w:fldChar w:fldCharType="separate"/>
    </w:r>
    <w:r w:rsidR="00EC7DFB" w:rsidRPr="00EC7DFB">
      <w:rPr>
        <w:noProof/>
        <w:sz w:val="16"/>
        <w:szCs w:val="16"/>
      </w:rPr>
      <w:t>4</w:t>
    </w:r>
    <w:r w:rsidRPr="0023083A">
      <w:rPr>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0FC" w:rsidRPr="0023083A" w:rsidRDefault="00A860FC" w:rsidP="0023083A">
    <w:pPr>
      <w:pStyle w:val="Header"/>
      <w:jc w:val="right"/>
      <w:rPr>
        <w:sz w:val="16"/>
        <w:szCs w:val="16"/>
        <w:lang w:val="en-GB" w:eastAsia="en-US"/>
      </w:rPr>
    </w:pPr>
    <w:r w:rsidRPr="0023083A">
      <w:rPr>
        <w:sz w:val="16"/>
        <w:szCs w:val="16"/>
        <w:lang w:val="en-GB" w:eastAsia="en-US"/>
      </w:rPr>
      <w:t>CCNR-ZKR/ADN/WP.15/AC.2/2019/</w:t>
    </w:r>
    <w:r>
      <w:rPr>
        <w:sz w:val="16"/>
        <w:szCs w:val="16"/>
        <w:lang w:val="en-GB" w:eastAsia="en-US"/>
      </w:rPr>
      <w:t>14</w:t>
    </w:r>
  </w:p>
  <w:p w:rsidR="00A860FC" w:rsidRPr="0023083A" w:rsidRDefault="00A860FC" w:rsidP="0023083A">
    <w:pPr>
      <w:pStyle w:val="Header"/>
      <w:jc w:val="right"/>
      <w:rPr>
        <w:sz w:val="16"/>
        <w:szCs w:val="16"/>
        <w:lang w:val="en-GB" w:eastAsia="en-US"/>
      </w:rPr>
    </w:pPr>
    <w:proofErr w:type="spellStart"/>
    <w:r w:rsidRPr="0023083A">
      <w:rPr>
        <w:sz w:val="16"/>
        <w:szCs w:val="16"/>
        <w:lang w:val="en-GB" w:eastAsia="en-US"/>
      </w:rPr>
      <w:t>Seite</w:t>
    </w:r>
    <w:proofErr w:type="spellEnd"/>
    <w:r w:rsidRPr="0023083A">
      <w:rPr>
        <w:sz w:val="16"/>
        <w:szCs w:val="16"/>
        <w:lang w:val="en-GB" w:eastAsia="en-US"/>
      </w:rPr>
      <w:t xml:space="preserve"> </w:t>
    </w:r>
    <w:r w:rsidRPr="0023083A">
      <w:rPr>
        <w:sz w:val="16"/>
        <w:szCs w:val="16"/>
        <w:lang w:val="en-GB" w:eastAsia="en-US"/>
      </w:rPr>
      <w:fldChar w:fldCharType="begin"/>
    </w:r>
    <w:r w:rsidRPr="0023083A">
      <w:rPr>
        <w:sz w:val="16"/>
        <w:szCs w:val="16"/>
        <w:lang w:val="en-GB" w:eastAsia="en-US"/>
      </w:rPr>
      <w:instrText xml:space="preserve"> PAGE  \* MERGEFORMAT </w:instrText>
    </w:r>
    <w:r w:rsidRPr="0023083A">
      <w:rPr>
        <w:sz w:val="16"/>
        <w:szCs w:val="16"/>
        <w:lang w:val="en-GB" w:eastAsia="en-US"/>
      </w:rPr>
      <w:fldChar w:fldCharType="separate"/>
    </w:r>
    <w:r w:rsidR="00EC7DFB" w:rsidRPr="00EC7DFB">
      <w:rPr>
        <w:noProof/>
        <w:sz w:val="16"/>
        <w:szCs w:val="16"/>
      </w:rPr>
      <w:t>3</w:t>
    </w:r>
    <w:r w:rsidRPr="0023083A">
      <w:rPr>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FA48C5"/>
    <w:multiLevelType w:val="hybridMultilevel"/>
    <w:tmpl w:val="EDE293B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 w15:restartNumberingAfterBreak="0">
    <w:nsid w:val="07AA28CD"/>
    <w:multiLevelType w:val="hybridMultilevel"/>
    <w:tmpl w:val="DFC4FE60"/>
    <w:lvl w:ilvl="0" w:tplc="040C0017">
      <w:start w:val="1"/>
      <w:numFmt w:val="lowerLetter"/>
      <w:lvlText w:val="%1)"/>
      <w:lvlJc w:val="left"/>
      <w:pPr>
        <w:ind w:left="3905" w:hanging="360"/>
      </w:pPr>
      <w:rPr>
        <w:rFonts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4" w15:restartNumberingAfterBreak="0">
    <w:nsid w:val="0CF8293C"/>
    <w:multiLevelType w:val="hybridMultilevel"/>
    <w:tmpl w:val="223001A4"/>
    <w:lvl w:ilvl="0" w:tplc="040C0017">
      <w:start w:val="1"/>
      <w:numFmt w:val="lowerLetter"/>
      <w:lvlText w:val="%1)"/>
      <w:lvlJc w:val="left"/>
      <w:pPr>
        <w:ind w:left="1287" w:hanging="360"/>
      </w:pPr>
      <w:rPr>
        <w:rFonts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1F0C547B"/>
    <w:multiLevelType w:val="hybridMultilevel"/>
    <w:tmpl w:val="8B244A98"/>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9"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5E33AD"/>
    <w:multiLevelType w:val="hybridMultilevel"/>
    <w:tmpl w:val="689457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9" w15:restartNumberingAfterBreak="0">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07D6F61"/>
    <w:multiLevelType w:val="hybridMultilevel"/>
    <w:tmpl w:val="38A228E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5"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0"/>
  </w:num>
  <w:num w:numId="3">
    <w:abstractNumId w:val="7"/>
  </w:num>
  <w:num w:numId="4">
    <w:abstractNumId w:val="9"/>
  </w:num>
  <w:num w:numId="5">
    <w:abstractNumId w:val="12"/>
  </w:num>
  <w:num w:numId="6">
    <w:abstractNumId w:val="23"/>
  </w:num>
  <w:num w:numId="7">
    <w:abstractNumId w:val="25"/>
  </w:num>
  <w:num w:numId="8">
    <w:abstractNumId w:val="11"/>
  </w:num>
  <w:num w:numId="9">
    <w:abstractNumId w:val="28"/>
  </w:num>
  <w:num w:numId="10">
    <w:abstractNumId w:val="27"/>
  </w:num>
  <w:num w:numId="11">
    <w:abstractNumId w:val="20"/>
  </w:num>
  <w:num w:numId="12">
    <w:abstractNumId w:val="10"/>
  </w:num>
  <w:num w:numId="13">
    <w:abstractNumId w:val="18"/>
  </w:num>
  <w:num w:numId="14">
    <w:abstractNumId w:val="1"/>
  </w:num>
  <w:num w:numId="15">
    <w:abstractNumId w:val="26"/>
  </w:num>
  <w:num w:numId="16">
    <w:abstractNumId w:val="17"/>
  </w:num>
  <w:num w:numId="17">
    <w:abstractNumId w:val="14"/>
  </w:num>
  <w:num w:numId="18">
    <w:abstractNumId w:val="11"/>
  </w:num>
  <w:num w:numId="19">
    <w:abstractNumId w:val="11"/>
  </w:num>
  <w:num w:numId="20">
    <w:abstractNumId w:val="24"/>
  </w:num>
  <w:num w:numId="21">
    <w:abstractNumId w:val="11"/>
  </w:num>
  <w:num w:numId="22">
    <w:abstractNumId w:val="11"/>
  </w:num>
  <w:num w:numId="23">
    <w:abstractNumId w:val="11"/>
  </w:num>
  <w:num w:numId="24">
    <w:abstractNumId w:val="5"/>
  </w:num>
  <w:num w:numId="25">
    <w:abstractNumId w:val="15"/>
  </w:num>
  <w:num w:numId="26">
    <w:abstractNumId w:val="6"/>
  </w:num>
  <w:num w:numId="27">
    <w:abstractNumId w:val="19"/>
  </w:num>
  <w:num w:numId="28">
    <w:abstractNumId w:val="22"/>
  </w:num>
  <w:num w:numId="29">
    <w:abstractNumId w:val="13"/>
  </w:num>
  <w:num w:numId="30">
    <w:abstractNumId w:val="8"/>
  </w:num>
  <w:num w:numId="31">
    <w:abstractNumId w:val="4"/>
  </w:num>
  <w:num w:numId="32">
    <w:abstractNumId w:val="3"/>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C:\Users\b.achhammer\AppData\Roaming\Microsoft\Word\STARTUP\WfContext.shd"/>
    <w:docVar w:name="WfCounter" w:val="Vs104_x0009_11631_x0009_0_x0009_0_x0009_0_x0009_0_x0009_0_x0009_0_x0009_0_x0009_"/>
    <w:docVar w:name="WfGraphics" w:val="X"/>
    <w:docVar w:name="WfID" w:val="14641048"/>
    <w:docVar w:name="WfLastSegment" w:val="25180 n"/>
    <w:docVar w:name="WfMT" w:val="0"/>
    <w:docVar w:name="WfProtection" w:val="1"/>
    <w:docVar w:name="WfSegPar" w:val="10010 -1 0 0 6"/>
    <w:docVar w:name="WfSetup" w:val="C:\users\b.achhammer\appdata\roaming\microsoft\word\startup\Wordfast.ini"/>
    <w:docVar w:name="WfStyles" w:val=" 271   no"/>
    <w:docVar w:name="WfWarned" w:val="X"/>
  </w:docVars>
  <w:rsids>
    <w:rsidRoot w:val="003E761E"/>
    <w:rsid w:val="00006AF8"/>
    <w:rsid w:val="00010F4E"/>
    <w:rsid w:val="00011839"/>
    <w:rsid w:val="00012BA6"/>
    <w:rsid w:val="000132F7"/>
    <w:rsid w:val="000146DB"/>
    <w:rsid w:val="00022514"/>
    <w:rsid w:val="00022F21"/>
    <w:rsid w:val="000238DE"/>
    <w:rsid w:val="00025844"/>
    <w:rsid w:val="000259B2"/>
    <w:rsid w:val="00025FDF"/>
    <w:rsid w:val="000261A7"/>
    <w:rsid w:val="000270F0"/>
    <w:rsid w:val="000300CF"/>
    <w:rsid w:val="00032823"/>
    <w:rsid w:val="0003294B"/>
    <w:rsid w:val="00040B3D"/>
    <w:rsid w:val="00042AC4"/>
    <w:rsid w:val="000434ED"/>
    <w:rsid w:val="00044369"/>
    <w:rsid w:val="00044B03"/>
    <w:rsid w:val="0004500B"/>
    <w:rsid w:val="00045F71"/>
    <w:rsid w:val="00046EC8"/>
    <w:rsid w:val="00053296"/>
    <w:rsid w:val="0005494C"/>
    <w:rsid w:val="00054A29"/>
    <w:rsid w:val="00055F9E"/>
    <w:rsid w:val="000567A5"/>
    <w:rsid w:val="00070BC6"/>
    <w:rsid w:val="00070DD1"/>
    <w:rsid w:val="000716F8"/>
    <w:rsid w:val="0007217F"/>
    <w:rsid w:val="00076DD3"/>
    <w:rsid w:val="00076F11"/>
    <w:rsid w:val="0007778F"/>
    <w:rsid w:val="00077EF0"/>
    <w:rsid w:val="0008097E"/>
    <w:rsid w:val="00082AE1"/>
    <w:rsid w:val="0008316D"/>
    <w:rsid w:val="00084AA4"/>
    <w:rsid w:val="000864C6"/>
    <w:rsid w:val="00090717"/>
    <w:rsid w:val="00090F08"/>
    <w:rsid w:val="00093F3F"/>
    <w:rsid w:val="000A3FBE"/>
    <w:rsid w:val="000A7979"/>
    <w:rsid w:val="000B4A24"/>
    <w:rsid w:val="000B4B5F"/>
    <w:rsid w:val="000C1FC0"/>
    <w:rsid w:val="000C44F3"/>
    <w:rsid w:val="000C4DAE"/>
    <w:rsid w:val="000D23EB"/>
    <w:rsid w:val="000D5521"/>
    <w:rsid w:val="000D6DD2"/>
    <w:rsid w:val="000E287F"/>
    <w:rsid w:val="000E4A90"/>
    <w:rsid w:val="000E5CC7"/>
    <w:rsid w:val="000F1645"/>
    <w:rsid w:val="000F1B45"/>
    <w:rsid w:val="000F1E33"/>
    <w:rsid w:val="000F288E"/>
    <w:rsid w:val="0010623F"/>
    <w:rsid w:val="00107973"/>
    <w:rsid w:val="00107F81"/>
    <w:rsid w:val="001111A0"/>
    <w:rsid w:val="00112AC6"/>
    <w:rsid w:val="00112DDD"/>
    <w:rsid w:val="001132DA"/>
    <w:rsid w:val="00114A90"/>
    <w:rsid w:val="001153C0"/>
    <w:rsid w:val="00121FAF"/>
    <w:rsid w:val="0012341C"/>
    <w:rsid w:val="0012380B"/>
    <w:rsid w:val="0013071E"/>
    <w:rsid w:val="00133AB6"/>
    <w:rsid w:val="00135FE0"/>
    <w:rsid w:val="0013609A"/>
    <w:rsid w:val="0014147E"/>
    <w:rsid w:val="001418C3"/>
    <w:rsid w:val="00141D42"/>
    <w:rsid w:val="00142C18"/>
    <w:rsid w:val="00144942"/>
    <w:rsid w:val="00146411"/>
    <w:rsid w:val="00146869"/>
    <w:rsid w:val="00146DC4"/>
    <w:rsid w:val="00150C17"/>
    <w:rsid w:val="001522A7"/>
    <w:rsid w:val="00153E0F"/>
    <w:rsid w:val="00155493"/>
    <w:rsid w:val="00155C6D"/>
    <w:rsid w:val="00160BB2"/>
    <w:rsid w:val="0016390B"/>
    <w:rsid w:val="00165B09"/>
    <w:rsid w:val="00170680"/>
    <w:rsid w:val="0017301E"/>
    <w:rsid w:val="0017386F"/>
    <w:rsid w:val="00173F05"/>
    <w:rsid w:val="00174074"/>
    <w:rsid w:val="00174E6F"/>
    <w:rsid w:val="0017592D"/>
    <w:rsid w:val="00176323"/>
    <w:rsid w:val="00182EA6"/>
    <w:rsid w:val="00183FF1"/>
    <w:rsid w:val="00185E7E"/>
    <w:rsid w:val="0018710B"/>
    <w:rsid w:val="001917D5"/>
    <w:rsid w:val="00191BF3"/>
    <w:rsid w:val="00192632"/>
    <w:rsid w:val="0019507E"/>
    <w:rsid w:val="00195679"/>
    <w:rsid w:val="001A0381"/>
    <w:rsid w:val="001A36D4"/>
    <w:rsid w:val="001A3D4A"/>
    <w:rsid w:val="001A7D52"/>
    <w:rsid w:val="001B24A4"/>
    <w:rsid w:val="001B5C16"/>
    <w:rsid w:val="001B6511"/>
    <w:rsid w:val="001B7C90"/>
    <w:rsid w:val="001C3025"/>
    <w:rsid w:val="001C7EB5"/>
    <w:rsid w:val="001D1451"/>
    <w:rsid w:val="001D16F3"/>
    <w:rsid w:val="001D1B61"/>
    <w:rsid w:val="001D245B"/>
    <w:rsid w:val="001D3B4B"/>
    <w:rsid w:val="001D3F45"/>
    <w:rsid w:val="001D445D"/>
    <w:rsid w:val="001D49F0"/>
    <w:rsid w:val="001D73C4"/>
    <w:rsid w:val="001E0DCD"/>
    <w:rsid w:val="001E12C1"/>
    <w:rsid w:val="001E2DF1"/>
    <w:rsid w:val="001E71D3"/>
    <w:rsid w:val="001F1FA2"/>
    <w:rsid w:val="001F2665"/>
    <w:rsid w:val="001F2FBE"/>
    <w:rsid w:val="001F32D1"/>
    <w:rsid w:val="001F35BA"/>
    <w:rsid w:val="001F56C8"/>
    <w:rsid w:val="001F75EB"/>
    <w:rsid w:val="002030E7"/>
    <w:rsid w:val="0020333D"/>
    <w:rsid w:val="002035CD"/>
    <w:rsid w:val="002036C8"/>
    <w:rsid w:val="002054CD"/>
    <w:rsid w:val="00206165"/>
    <w:rsid w:val="00206FD6"/>
    <w:rsid w:val="0021278B"/>
    <w:rsid w:val="00213767"/>
    <w:rsid w:val="002145E2"/>
    <w:rsid w:val="0021472B"/>
    <w:rsid w:val="00216452"/>
    <w:rsid w:val="0021655A"/>
    <w:rsid w:val="00220646"/>
    <w:rsid w:val="002255DC"/>
    <w:rsid w:val="0023083A"/>
    <w:rsid w:val="002353E2"/>
    <w:rsid w:val="002368BC"/>
    <w:rsid w:val="00236DE2"/>
    <w:rsid w:val="0024116D"/>
    <w:rsid w:val="00241739"/>
    <w:rsid w:val="00241B8F"/>
    <w:rsid w:val="00243A30"/>
    <w:rsid w:val="0024493F"/>
    <w:rsid w:val="002507D6"/>
    <w:rsid w:val="002507D8"/>
    <w:rsid w:val="00252984"/>
    <w:rsid w:val="00255E1E"/>
    <w:rsid w:val="00256BA2"/>
    <w:rsid w:val="00260BFA"/>
    <w:rsid w:val="00260F14"/>
    <w:rsid w:val="0026153B"/>
    <w:rsid w:val="00261B9D"/>
    <w:rsid w:val="00261EC0"/>
    <w:rsid w:val="002636CB"/>
    <w:rsid w:val="00265222"/>
    <w:rsid w:val="00272254"/>
    <w:rsid w:val="00272A74"/>
    <w:rsid w:val="0027353E"/>
    <w:rsid w:val="0027663E"/>
    <w:rsid w:val="00276E07"/>
    <w:rsid w:val="00291383"/>
    <w:rsid w:val="00292891"/>
    <w:rsid w:val="002932E4"/>
    <w:rsid w:val="002963E1"/>
    <w:rsid w:val="00297F52"/>
    <w:rsid w:val="002A25D6"/>
    <w:rsid w:val="002A3A2D"/>
    <w:rsid w:val="002A3F70"/>
    <w:rsid w:val="002A6C03"/>
    <w:rsid w:val="002A7198"/>
    <w:rsid w:val="002B30FB"/>
    <w:rsid w:val="002B46CC"/>
    <w:rsid w:val="002B5FF9"/>
    <w:rsid w:val="002C0BB1"/>
    <w:rsid w:val="002C3380"/>
    <w:rsid w:val="002C4E34"/>
    <w:rsid w:val="002D02ED"/>
    <w:rsid w:val="002D16A7"/>
    <w:rsid w:val="002D1A45"/>
    <w:rsid w:val="002D2E03"/>
    <w:rsid w:val="002D2F78"/>
    <w:rsid w:val="002D3768"/>
    <w:rsid w:val="002D401D"/>
    <w:rsid w:val="002D4D56"/>
    <w:rsid w:val="002D7068"/>
    <w:rsid w:val="002D7FDD"/>
    <w:rsid w:val="002E077E"/>
    <w:rsid w:val="002E3667"/>
    <w:rsid w:val="002F10EE"/>
    <w:rsid w:val="002F1891"/>
    <w:rsid w:val="002F2A7C"/>
    <w:rsid w:val="002F2C35"/>
    <w:rsid w:val="002F42B6"/>
    <w:rsid w:val="002F4A2A"/>
    <w:rsid w:val="002F5219"/>
    <w:rsid w:val="002F62D7"/>
    <w:rsid w:val="00301DE5"/>
    <w:rsid w:val="00305FC0"/>
    <w:rsid w:val="00310F5A"/>
    <w:rsid w:val="00315443"/>
    <w:rsid w:val="00315E5F"/>
    <w:rsid w:val="00316775"/>
    <w:rsid w:val="003220FB"/>
    <w:rsid w:val="00324AC1"/>
    <w:rsid w:val="003261CE"/>
    <w:rsid w:val="00326982"/>
    <w:rsid w:val="003270B3"/>
    <w:rsid w:val="003272A9"/>
    <w:rsid w:val="003275AF"/>
    <w:rsid w:val="00330384"/>
    <w:rsid w:val="00333384"/>
    <w:rsid w:val="003504D4"/>
    <w:rsid w:val="00352AAA"/>
    <w:rsid w:val="003542DB"/>
    <w:rsid w:val="003543E0"/>
    <w:rsid w:val="00354A3C"/>
    <w:rsid w:val="00355D13"/>
    <w:rsid w:val="00362241"/>
    <w:rsid w:val="0036290E"/>
    <w:rsid w:val="003638F9"/>
    <w:rsid w:val="00363AA6"/>
    <w:rsid w:val="00363F1F"/>
    <w:rsid w:val="0036453D"/>
    <w:rsid w:val="00364C93"/>
    <w:rsid w:val="00365907"/>
    <w:rsid w:val="0036751E"/>
    <w:rsid w:val="00374ABF"/>
    <w:rsid w:val="00375F07"/>
    <w:rsid w:val="00382702"/>
    <w:rsid w:val="00386EBF"/>
    <w:rsid w:val="00387595"/>
    <w:rsid w:val="00394C29"/>
    <w:rsid w:val="003974D8"/>
    <w:rsid w:val="00397F10"/>
    <w:rsid w:val="003A2724"/>
    <w:rsid w:val="003A3B1D"/>
    <w:rsid w:val="003A4624"/>
    <w:rsid w:val="003A4E3E"/>
    <w:rsid w:val="003A648D"/>
    <w:rsid w:val="003A70E1"/>
    <w:rsid w:val="003B00CF"/>
    <w:rsid w:val="003B1C86"/>
    <w:rsid w:val="003B2380"/>
    <w:rsid w:val="003B2BBC"/>
    <w:rsid w:val="003B6A28"/>
    <w:rsid w:val="003B6CBC"/>
    <w:rsid w:val="003B6EC0"/>
    <w:rsid w:val="003B7713"/>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37E9"/>
    <w:rsid w:val="00404F24"/>
    <w:rsid w:val="0040583E"/>
    <w:rsid w:val="00405C12"/>
    <w:rsid w:val="00405F4A"/>
    <w:rsid w:val="00410F05"/>
    <w:rsid w:val="00413012"/>
    <w:rsid w:val="00413C31"/>
    <w:rsid w:val="004216B4"/>
    <w:rsid w:val="0042355E"/>
    <w:rsid w:val="00431F5C"/>
    <w:rsid w:val="00433BFE"/>
    <w:rsid w:val="004404CF"/>
    <w:rsid w:val="00443666"/>
    <w:rsid w:val="00443D12"/>
    <w:rsid w:val="004450B8"/>
    <w:rsid w:val="00450BB6"/>
    <w:rsid w:val="00456C16"/>
    <w:rsid w:val="00457D95"/>
    <w:rsid w:val="00460944"/>
    <w:rsid w:val="004642C3"/>
    <w:rsid w:val="004650DA"/>
    <w:rsid w:val="004673B6"/>
    <w:rsid w:val="0047327B"/>
    <w:rsid w:val="004739F4"/>
    <w:rsid w:val="0047541C"/>
    <w:rsid w:val="00475D52"/>
    <w:rsid w:val="004760AC"/>
    <w:rsid w:val="00476453"/>
    <w:rsid w:val="004765D3"/>
    <w:rsid w:val="00476C46"/>
    <w:rsid w:val="004774AA"/>
    <w:rsid w:val="00480108"/>
    <w:rsid w:val="00481F58"/>
    <w:rsid w:val="0048469E"/>
    <w:rsid w:val="004846E9"/>
    <w:rsid w:val="0048531C"/>
    <w:rsid w:val="004857C3"/>
    <w:rsid w:val="00491F76"/>
    <w:rsid w:val="00494230"/>
    <w:rsid w:val="0049629F"/>
    <w:rsid w:val="004970EE"/>
    <w:rsid w:val="004B0E21"/>
    <w:rsid w:val="004B6273"/>
    <w:rsid w:val="004B6DFA"/>
    <w:rsid w:val="004B716B"/>
    <w:rsid w:val="004C2B2F"/>
    <w:rsid w:val="004C2D16"/>
    <w:rsid w:val="004C357F"/>
    <w:rsid w:val="004C531A"/>
    <w:rsid w:val="004C7666"/>
    <w:rsid w:val="004C7698"/>
    <w:rsid w:val="004D04FF"/>
    <w:rsid w:val="004D2CB1"/>
    <w:rsid w:val="004E1965"/>
    <w:rsid w:val="004E55C6"/>
    <w:rsid w:val="004F4012"/>
    <w:rsid w:val="004F424B"/>
    <w:rsid w:val="004F5538"/>
    <w:rsid w:val="00500427"/>
    <w:rsid w:val="0050105F"/>
    <w:rsid w:val="0050388A"/>
    <w:rsid w:val="00505236"/>
    <w:rsid w:val="005079A1"/>
    <w:rsid w:val="00510736"/>
    <w:rsid w:val="0051159A"/>
    <w:rsid w:val="005121D9"/>
    <w:rsid w:val="00513201"/>
    <w:rsid w:val="0052018D"/>
    <w:rsid w:val="00520F60"/>
    <w:rsid w:val="005228CB"/>
    <w:rsid w:val="005239B9"/>
    <w:rsid w:val="00526A1A"/>
    <w:rsid w:val="00526AEC"/>
    <w:rsid w:val="00526FCA"/>
    <w:rsid w:val="005278EF"/>
    <w:rsid w:val="00531E72"/>
    <w:rsid w:val="00533B91"/>
    <w:rsid w:val="0053727C"/>
    <w:rsid w:val="00537B92"/>
    <w:rsid w:val="00542E25"/>
    <w:rsid w:val="0054328A"/>
    <w:rsid w:val="00546E7D"/>
    <w:rsid w:val="00554187"/>
    <w:rsid w:val="005541B1"/>
    <w:rsid w:val="005556CF"/>
    <w:rsid w:val="00560F32"/>
    <w:rsid w:val="00563433"/>
    <w:rsid w:val="00571996"/>
    <w:rsid w:val="00572243"/>
    <w:rsid w:val="00575B24"/>
    <w:rsid w:val="00577FB9"/>
    <w:rsid w:val="00580E9E"/>
    <w:rsid w:val="00583CED"/>
    <w:rsid w:val="005844EB"/>
    <w:rsid w:val="005848F6"/>
    <w:rsid w:val="005858A2"/>
    <w:rsid w:val="0058686B"/>
    <w:rsid w:val="00591153"/>
    <w:rsid w:val="0059123A"/>
    <w:rsid w:val="0059210D"/>
    <w:rsid w:val="00592329"/>
    <w:rsid w:val="005945A2"/>
    <w:rsid w:val="00594859"/>
    <w:rsid w:val="00594E9B"/>
    <w:rsid w:val="005A3FDD"/>
    <w:rsid w:val="005B07E1"/>
    <w:rsid w:val="005B3059"/>
    <w:rsid w:val="005B7094"/>
    <w:rsid w:val="005B7348"/>
    <w:rsid w:val="005C1B9D"/>
    <w:rsid w:val="005C664B"/>
    <w:rsid w:val="005C6F41"/>
    <w:rsid w:val="005C7BD3"/>
    <w:rsid w:val="005D0E46"/>
    <w:rsid w:val="005D16A0"/>
    <w:rsid w:val="005D6A8C"/>
    <w:rsid w:val="005D780D"/>
    <w:rsid w:val="005E11BE"/>
    <w:rsid w:val="005E2179"/>
    <w:rsid w:val="005E32C5"/>
    <w:rsid w:val="005E5ACA"/>
    <w:rsid w:val="005F08E2"/>
    <w:rsid w:val="005F1292"/>
    <w:rsid w:val="00602A95"/>
    <w:rsid w:val="00603322"/>
    <w:rsid w:val="0060357B"/>
    <w:rsid w:val="0061161C"/>
    <w:rsid w:val="00614FB6"/>
    <w:rsid w:val="0061638E"/>
    <w:rsid w:val="0062044E"/>
    <w:rsid w:val="006221F5"/>
    <w:rsid w:val="00623156"/>
    <w:rsid w:val="00623E5B"/>
    <w:rsid w:val="006275AC"/>
    <w:rsid w:val="00634A0E"/>
    <w:rsid w:val="00634B19"/>
    <w:rsid w:val="00635F2B"/>
    <w:rsid w:val="00637AA4"/>
    <w:rsid w:val="00640A0D"/>
    <w:rsid w:val="0064495D"/>
    <w:rsid w:val="00645453"/>
    <w:rsid w:val="00646D94"/>
    <w:rsid w:val="00652440"/>
    <w:rsid w:val="006541C2"/>
    <w:rsid w:val="00654B5E"/>
    <w:rsid w:val="00655E2A"/>
    <w:rsid w:val="006600D3"/>
    <w:rsid w:val="00660403"/>
    <w:rsid w:val="00662861"/>
    <w:rsid w:val="0066407A"/>
    <w:rsid w:val="00666A5E"/>
    <w:rsid w:val="0067080B"/>
    <w:rsid w:val="006723B1"/>
    <w:rsid w:val="0067310B"/>
    <w:rsid w:val="00674B24"/>
    <w:rsid w:val="00680A19"/>
    <w:rsid w:val="00680C4B"/>
    <w:rsid w:val="00680DE4"/>
    <w:rsid w:val="00681158"/>
    <w:rsid w:val="006815A9"/>
    <w:rsid w:val="006818C0"/>
    <w:rsid w:val="0068368E"/>
    <w:rsid w:val="0068484B"/>
    <w:rsid w:val="00686973"/>
    <w:rsid w:val="00686DED"/>
    <w:rsid w:val="00692CCE"/>
    <w:rsid w:val="006931A4"/>
    <w:rsid w:val="00693F96"/>
    <w:rsid w:val="006972CD"/>
    <w:rsid w:val="006A0188"/>
    <w:rsid w:val="006A20F8"/>
    <w:rsid w:val="006A328D"/>
    <w:rsid w:val="006A36B3"/>
    <w:rsid w:val="006A3BBB"/>
    <w:rsid w:val="006A7DB2"/>
    <w:rsid w:val="006B2584"/>
    <w:rsid w:val="006B2B1E"/>
    <w:rsid w:val="006B60F1"/>
    <w:rsid w:val="006B6EEA"/>
    <w:rsid w:val="006B7DE2"/>
    <w:rsid w:val="006C09C3"/>
    <w:rsid w:val="006C2045"/>
    <w:rsid w:val="006C3065"/>
    <w:rsid w:val="006C617A"/>
    <w:rsid w:val="006D6170"/>
    <w:rsid w:val="006D6237"/>
    <w:rsid w:val="006E0B04"/>
    <w:rsid w:val="006E0D6B"/>
    <w:rsid w:val="006E5BC9"/>
    <w:rsid w:val="006F2FFB"/>
    <w:rsid w:val="006F4FC8"/>
    <w:rsid w:val="006F5C6F"/>
    <w:rsid w:val="006F5E56"/>
    <w:rsid w:val="0070105E"/>
    <w:rsid w:val="00703A40"/>
    <w:rsid w:val="00704BBC"/>
    <w:rsid w:val="007103AA"/>
    <w:rsid w:val="00710F8D"/>
    <w:rsid w:val="00720324"/>
    <w:rsid w:val="007205F6"/>
    <w:rsid w:val="007220CE"/>
    <w:rsid w:val="00722199"/>
    <w:rsid w:val="0072266A"/>
    <w:rsid w:val="007237AF"/>
    <w:rsid w:val="00726208"/>
    <w:rsid w:val="00737713"/>
    <w:rsid w:val="00740B66"/>
    <w:rsid w:val="0074487F"/>
    <w:rsid w:val="00745C3D"/>
    <w:rsid w:val="007513A8"/>
    <w:rsid w:val="00751502"/>
    <w:rsid w:val="007551D1"/>
    <w:rsid w:val="007555B2"/>
    <w:rsid w:val="00756471"/>
    <w:rsid w:val="00756483"/>
    <w:rsid w:val="0075783E"/>
    <w:rsid w:val="007578C0"/>
    <w:rsid w:val="0076355A"/>
    <w:rsid w:val="00765D62"/>
    <w:rsid w:val="00767010"/>
    <w:rsid w:val="007702B5"/>
    <w:rsid w:val="00771CA6"/>
    <w:rsid w:val="00772145"/>
    <w:rsid w:val="00774508"/>
    <w:rsid w:val="00775A49"/>
    <w:rsid w:val="00777BDF"/>
    <w:rsid w:val="007800E0"/>
    <w:rsid w:val="0078563F"/>
    <w:rsid w:val="00785696"/>
    <w:rsid w:val="00785B7B"/>
    <w:rsid w:val="0079041D"/>
    <w:rsid w:val="007904D0"/>
    <w:rsid w:val="0079404E"/>
    <w:rsid w:val="00795CF9"/>
    <w:rsid w:val="007A294E"/>
    <w:rsid w:val="007A3650"/>
    <w:rsid w:val="007A472A"/>
    <w:rsid w:val="007A6C67"/>
    <w:rsid w:val="007A6D5B"/>
    <w:rsid w:val="007A77E0"/>
    <w:rsid w:val="007B559E"/>
    <w:rsid w:val="007B723A"/>
    <w:rsid w:val="007C53A1"/>
    <w:rsid w:val="007C64F6"/>
    <w:rsid w:val="007C7E5A"/>
    <w:rsid w:val="007D59FB"/>
    <w:rsid w:val="007D7CE5"/>
    <w:rsid w:val="007F69CB"/>
    <w:rsid w:val="00801F8C"/>
    <w:rsid w:val="00803870"/>
    <w:rsid w:val="00803F7D"/>
    <w:rsid w:val="00804401"/>
    <w:rsid w:val="008059E8"/>
    <w:rsid w:val="00810E70"/>
    <w:rsid w:val="00817902"/>
    <w:rsid w:val="00820863"/>
    <w:rsid w:val="00823118"/>
    <w:rsid w:val="008236F0"/>
    <w:rsid w:val="008243CE"/>
    <w:rsid w:val="0082544F"/>
    <w:rsid w:val="008259D3"/>
    <w:rsid w:val="00833459"/>
    <w:rsid w:val="0083462B"/>
    <w:rsid w:val="0083677F"/>
    <w:rsid w:val="00837C5B"/>
    <w:rsid w:val="00840248"/>
    <w:rsid w:val="00846959"/>
    <w:rsid w:val="00851FCC"/>
    <w:rsid w:val="00852519"/>
    <w:rsid w:val="00854221"/>
    <w:rsid w:val="00855A49"/>
    <w:rsid w:val="008560C6"/>
    <w:rsid w:val="008564C5"/>
    <w:rsid w:val="00861C2F"/>
    <w:rsid w:val="00865931"/>
    <w:rsid w:val="008711CD"/>
    <w:rsid w:val="00871939"/>
    <w:rsid w:val="008746C3"/>
    <w:rsid w:val="00875D32"/>
    <w:rsid w:val="00876AD1"/>
    <w:rsid w:val="00880DF8"/>
    <w:rsid w:val="0088112A"/>
    <w:rsid w:val="008851C8"/>
    <w:rsid w:val="00886998"/>
    <w:rsid w:val="00892E7D"/>
    <w:rsid w:val="0089503B"/>
    <w:rsid w:val="00895951"/>
    <w:rsid w:val="0089698C"/>
    <w:rsid w:val="008A0DC2"/>
    <w:rsid w:val="008A6B3D"/>
    <w:rsid w:val="008B0044"/>
    <w:rsid w:val="008B2617"/>
    <w:rsid w:val="008B4A3C"/>
    <w:rsid w:val="008B4E3C"/>
    <w:rsid w:val="008C0CF5"/>
    <w:rsid w:val="008C1A16"/>
    <w:rsid w:val="008C2D9D"/>
    <w:rsid w:val="008C3BE1"/>
    <w:rsid w:val="008C4745"/>
    <w:rsid w:val="008C7D1D"/>
    <w:rsid w:val="008D2953"/>
    <w:rsid w:val="008D69C3"/>
    <w:rsid w:val="008D769B"/>
    <w:rsid w:val="008E1990"/>
    <w:rsid w:val="008E4D62"/>
    <w:rsid w:val="008E7E5C"/>
    <w:rsid w:val="008F0069"/>
    <w:rsid w:val="008F18D4"/>
    <w:rsid w:val="008F1F51"/>
    <w:rsid w:val="008F2578"/>
    <w:rsid w:val="008F49B0"/>
    <w:rsid w:val="008F588E"/>
    <w:rsid w:val="008F64DF"/>
    <w:rsid w:val="00903D09"/>
    <w:rsid w:val="009050EC"/>
    <w:rsid w:val="009057EC"/>
    <w:rsid w:val="009061E8"/>
    <w:rsid w:val="0090678B"/>
    <w:rsid w:val="00907186"/>
    <w:rsid w:val="009102DF"/>
    <w:rsid w:val="00912B4F"/>
    <w:rsid w:val="0091332D"/>
    <w:rsid w:val="009134E7"/>
    <w:rsid w:val="00914CF2"/>
    <w:rsid w:val="00914FFA"/>
    <w:rsid w:val="0091573C"/>
    <w:rsid w:val="0092068F"/>
    <w:rsid w:val="00930D43"/>
    <w:rsid w:val="009366B2"/>
    <w:rsid w:val="00936F35"/>
    <w:rsid w:val="00937D6C"/>
    <w:rsid w:val="009400E2"/>
    <w:rsid w:val="00942304"/>
    <w:rsid w:val="00943D04"/>
    <w:rsid w:val="00944AFA"/>
    <w:rsid w:val="0094519E"/>
    <w:rsid w:val="00947A01"/>
    <w:rsid w:val="00950067"/>
    <w:rsid w:val="00950728"/>
    <w:rsid w:val="00951593"/>
    <w:rsid w:val="00952EC7"/>
    <w:rsid w:val="009532B3"/>
    <w:rsid w:val="00955BCD"/>
    <w:rsid w:val="00956636"/>
    <w:rsid w:val="00962EA1"/>
    <w:rsid w:val="00964232"/>
    <w:rsid w:val="00981FC7"/>
    <w:rsid w:val="0098394C"/>
    <w:rsid w:val="009842C5"/>
    <w:rsid w:val="00984564"/>
    <w:rsid w:val="00991C57"/>
    <w:rsid w:val="00993B56"/>
    <w:rsid w:val="009949E4"/>
    <w:rsid w:val="00994E9A"/>
    <w:rsid w:val="009A19D6"/>
    <w:rsid w:val="009A1E87"/>
    <w:rsid w:val="009A4F28"/>
    <w:rsid w:val="009B126A"/>
    <w:rsid w:val="009B3428"/>
    <w:rsid w:val="009B397E"/>
    <w:rsid w:val="009B623C"/>
    <w:rsid w:val="009B7517"/>
    <w:rsid w:val="009C0501"/>
    <w:rsid w:val="009C1117"/>
    <w:rsid w:val="009D0A76"/>
    <w:rsid w:val="009D48F0"/>
    <w:rsid w:val="009F1CD1"/>
    <w:rsid w:val="009F2D9A"/>
    <w:rsid w:val="009F3F20"/>
    <w:rsid w:val="009F41F5"/>
    <w:rsid w:val="009F4C1F"/>
    <w:rsid w:val="009F7CE9"/>
    <w:rsid w:val="00A00023"/>
    <w:rsid w:val="00A02203"/>
    <w:rsid w:val="00A03B0F"/>
    <w:rsid w:val="00A0436E"/>
    <w:rsid w:val="00A05BFA"/>
    <w:rsid w:val="00A1058D"/>
    <w:rsid w:val="00A12707"/>
    <w:rsid w:val="00A12DC2"/>
    <w:rsid w:val="00A17587"/>
    <w:rsid w:val="00A21F40"/>
    <w:rsid w:val="00A22E66"/>
    <w:rsid w:val="00A230CE"/>
    <w:rsid w:val="00A23DB6"/>
    <w:rsid w:val="00A254D7"/>
    <w:rsid w:val="00A3108F"/>
    <w:rsid w:val="00A31AC4"/>
    <w:rsid w:val="00A32335"/>
    <w:rsid w:val="00A335C0"/>
    <w:rsid w:val="00A34025"/>
    <w:rsid w:val="00A34D40"/>
    <w:rsid w:val="00A3655E"/>
    <w:rsid w:val="00A42C58"/>
    <w:rsid w:val="00A4321F"/>
    <w:rsid w:val="00A671E2"/>
    <w:rsid w:val="00A6761A"/>
    <w:rsid w:val="00A67CA0"/>
    <w:rsid w:val="00A71AE7"/>
    <w:rsid w:val="00A83224"/>
    <w:rsid w:val="00A835C5"/>
    <w:rsid w:val="00A860FC"/>
    <w:rsid w:val="00A86586"/>
    <w:rsid w:val="00A871D1"/>
    <w:rsid w:val="00A90073"/>
    <w:rsid w:val="00A90A44"/>
    <w:rsid w:val="00A92ECB"/>
    <w:rsid w:val="00A93742"/>
    <w:rsid w:val="00A94997"/>
    <w:rsid w:val="00A95CB3"/>
    <w:rsid w:val="00AA423A"/>
    <w:rsid w:val="00AA685F"/>
    <w:rsid w:val="00AB106E"/>
    <w:rsid w:val="00AB5D3F"/>
    <w:rsid w:val="00AB6A2B"/>
    <w:rsid w:val="00AC043A"/>
    <w:rsid w:val="00AC1558"/>
    <w:rsid w:val="00AC393B"/>
    <w:rsid w:val="00AC45F3"/>
    <w:rsid w:val="00AD51A0"/>
    <w:rsid w:val="00AD7C4D"/>
    <w:rsid w:val="00AE2732"/>
    <w:rsid w:val="00AE30CF"/>
    <w:rsid w:val="00AE34C0"/>
    <w:rsid w:val="00AE689F"/>
    <w:rsid w:val="00AF1111"/>
    <w:rsid w:val="00AF28DB"/>
    <w:rsid w:val="00B0024A"/>
    <w:rsid w:val="00B01AEF"/>
    <w:rsid w:val="00B0299F"/>
    <w:rsid w:val="00B039F6"/>
    <w:rsid w:val="00B04C19"/>
    <w:rsid w:val="00B06FA3"/>
    <w:rsid w:val="00B10DFB"/>
    <w:rsid w:val="00B1159D"/>
    <w:rsid w:val="00B22971"/>
    <w:rsid w:val="00B23446"/>
    <w:rsid w:val="00B24FD7"/>
    <w:rsid w:val="00B25853"/>
    <w:rsid w:val="00B2606F"/>
    <w:rsid w:val="00B26707"/>
    <w:rsid w:val="00B30856"/>
    <w:rsid w:val="00B3167C"/>
    <w:rsid w:val="00B32807"/>
    <w:rsid w:val="00B404B7"/>
    <w:rsid w:val="00B5210A"/>
    <w:rsid w:val="00B52133"/>
    <w:rsid w:val="00B52421"/>
    <w:rsid w:val="00B53C68"/>
    <w:rsid w:val="00B5429E"/>
    <w:rsid w:val="00B55BC1"/>
    <w:rsid w:val="00B56375"/>
    <w:rsid w:val="00B62066"/>
    <w:rsid w:val="00B658CD"/>
    <w:rsid w:val="00B66C70"/>
    <w:rsid w:val="00B701A2"/>
    <w:rsid w:val="00B7299C"/>
    <w:rsid w:val="00B81E80"/>
    <w:rsid w:val="00B82933"/>
    <w:rsid w:val="00B8594D"/>
    <w:rsid w:val="00B91121"/>
    <w:rsid w:val="00B93CE5"/>
    <w:rsid w:val="00B949C9"/>
    <w:rsid w:val="00B94ADB"/>
    <w:rsid w:val="00B94DA1"/>
    <w:rsid w:val="00B95C42"/>
    <w:rsid w:val="00BA0AAF"/>
    <w:rsid w:val="00BA2369"/>
    <w:rsid w:val="00BA5744"/>
    <w:rsid w:val="00BA6B9A"/>
    <w:rsid w:val="00BB0155"/>
    <w:rsid w:val="00BB17CB"/>
    <w:rsid w:val="00BB18CA"/>
    <w:rsid w:val="00BB5CA9"/>
    <w:rsid w:val="00BB6365"/>
    <w:rsid w:val="00BC49B3"/>
    <w:rsid w:val="00BC63EC"/>
    <w:rsid w:val="00BD0540"/>
    <w:rsid w:val="00BD137E"/>
    <w:rsid w:val="00BD1BA9"/>
    <w:rsid w:val="00BD263F"/>
    <w:rsid w:val="00BD2E90"/>
    <w:rsid w:val="00BD3A6A"/>
    <w:rsid w:val="00BD3BCA"/>
    <w:rsid w:val="00BD47DB"/>
    <w:rsid w:val="00BD4D98"/>
    <w:rsid w:val="00BD5FA3"/>
    <w:rsid w:val="00BE0BAF"/>
    <w:rsid w:val="00BE26B4"/>
    <w:rsid w:val="00BE50F7"/>
    <w:rsid w:val="00BE5B94"/>
    <w:rsid w:val="00BE6E92"/>
    <w:rsid w:val="00BF3A54"/>
    <w:rsid w:val="00BF4D42"/>
    <w:rsid w:val="00BF5EFB"/>
    <w:rsid w:val="00BF71F8"/>
    <w:rsid w:val="00BF7CC0"/>
    <w:rsid w:val="00C03AEA"/>
    <w:rsid w:val="00C04D70"/>
    <w:rsid w:val="00C05475"/>
    <w:rsid w:val="00C15693"/>
    <w:rsid w:val="00C21FB6"/>
    <w:rsid w:val="00C223DC"/>
    <w:rsid w:val="00C224D9"/>
    <w:rsid w:val="00C22997"/>
    <w:rsid w:val="00C23542"/>
    <w:rsid w:val="00C23E00"/>
    <w:rsid w:val="00C274C0"/>
    <w:rsid w:val="00C27A58"/>
    <w:rsid w:val="00C31EED"/>
    <w:rsid w:val="00C36B21"/>
    <w:rsid w:val="00C40BC0"/>
    <w:rsid w:val="00C46FC4"/>
    <w:rsid w:val="00C472BC"/>
    <w:rsid w:val="00C531CD"/>
    <w:rsid w:val="00C547E5"/>
    <w:rsid w:val="00C55963"/>
    <w:rsid w:val="00C60472"/>
    <w:rsid w:val="00C63CF2"/>
    <w:rsid w:val="00C668F9"/>
    <w:rsid w:val="00C734AF"/>
    <w:rsid w:val="00C750F4"/>
    <w:rsid w:val="00C77229"/>
    <w:rsid w:val="00C773A5"/>
    <w:rsid w:val="00C77741"/>
    <w:rsid w:val="00C85AD5"/>
    <w:rsid w:val="00C92501"/>
    <w:rsid w:val="00C954AA"/>
    <w:rsid w:val="00C9667E"/>
    <w:rsid w:val="00CA0684"/>
    <w:rsid w:val="00CA5246"/>
    <w:rsid w:val="00CA6748"/>
    <w:rsid w:val="00CB1551"/>
    <w:rsid w:val="00CB1EA7"/>
    <w:rsid w:val="00CB33D6"/>
    <w:rsid w:val="00CB76D6"/>
    <w:rsid w:val="00CC08C5"/>
    <w:rsid w:val="00CC0ECE"/>
    <w:rsid w:val="00CC22BA"/>
    <w:rsid w:val="00CC253B"/>
    <w:rsid w:val="00CC31D7"/>
    <w:rsid w:val="00CC50C8"/>
    <w:rsid w:val="00CD0E5C"/>
    <w:rsid w:val="00CD1867"/>
    <w:rsid w:val="00CD2D1C"/>
    <w:rsid w:val="00CD6F13"/>
    <w:rsid w:val="00CD7395"/>
    <w:rsid w:val="00CD755C"/>
    <w:rsid w:val="00CE025C"/>
    <w:rsid w:val="00CE4920"/>
    <w:rsid w:val="00CE5CA8"/>
    <w:rsid w:val="00CE70C5"/>
    <w:rsid w:val="00CF1BA9"/>
    <w:rsid w:val="00CF22CD"/>
    <w:rsid w:val="00CF22D6"/>
    <w:rsid w:val="00CF417F"/>
    <w:rsid w:val="00CF4B26"/>
    <w:rsid w:val="00CF60E7"/>
    <w:rsid w:val="00CF74F6"/>
    <w:rsid w:val="00D007B5"/>
    <w:rsid w:val="00D01355"/>
    <w:rsid w:val="00D02725"/>
    <w:rsid w:val="00D06776"/>
    <w:rsid w:val="00D076F2"/>
    <w:rsid w:val="00D07B27"/>
    <w:rsid w:val="00D10AB5"/>
    <w:rsid w:val="00D122F8"/>
    <w:rsid w:val="00D13192"/>
    <w:rsid w:val="00D22590"/>
    <w:rsid w:val="00D22DBC"/>
    <w:rsid w:val="00D308B8"/>
    <w:rsid w:val="00D30B3E"/>
    <w:rsid w:val="00D35315"/>
    <w:rsid w:val="00D35901"/>
    <w:rsid w:val="00D35CD9"/>
    <w:rsid w:val="00D36F09"/>
    <w:rsid w:val="00D40BED"/>
    <w:rsid w:val="00D45A66"/>
    <w:rsid w:val="00D517B4"/>
    <w:rsid w:val="00D541BC"/>
    <w:rsid w:val="00D55F4A"/>
    <w:rsid w:val="00D57885"/>
    <w:rsid w:val="00D6252A"/>
    <w:rsid w:val="00D64CC3"/>
    <w:rsid w:val="00D665FD"/>
    <w:rsid w:val="00D6786A"/>
    <w:rsid w:val="00D71FB8"/>
    <w:rsid w:val="00D73252"/>
    <w:rsid w:val="00D80F55"/>
    <w:rsid w:val="00D82D37"/>
    <w:rsid w:val="00D82D62"/>
    <w:rsid w:val="00D87771"/>
    <w:rsid w:val="00D87F83"/>
    <w:rsid w:val="00D93E52"/>
    <w:rsid w:val="00D93F2B"/>
    <w:rsid w:val="00D9439B"/>
    <w:rsid w:val="00D958D3"/>
    <w:rsid w:val="00D9593E"/>
    <w:rsid w:val="00D96EB2"/>
    <w:rsid w:val="00D97346"/>
    <w:rsid w:val="00DA1158"/>
    <w:rsid w:val="00DA1EAE"/>
    <w:rsid w:val="00DA25C7"/>
    <w:rsid w:val="00DA575E"/>
    <w:rsid w:val="00DB0ADF"/>
    <w:rsid w:val="00DB7E49"/>
    <w:rsid w:val="00DC0542"/>
    <w:rsid w:val="00DC20C8"/>
    <w:rsid w:val="00DC51A6"/>
    <w:rsid w:val="00DC54C1"/>
    <w:rsid w:val="00DC562D"/>
    <w:rsid w:val="00DC58AB"/>
    <w:rsid w:val="00DC6E58"/>
    <w:rsid w:val="00DD417A"/>
    <w:rsid w:val="00DD520E"/>
    <w:rsid w:val="00DD6680"/>
    <w:rsid w:val="00DD6E46"/>
    <w:rsid w:val="00DE26B2"/>
    <w:rsid w:val="00DE3780"/>
    <w:rsid w:val="00DE6AEB"/>
    <w:rsid w:val="00DF4437"/>
    <w:rsid w:val="00DF5253"/>
    <w:rsid w:val="00E00BF2"/>
    <w:rsid w:val="00E01AA0"/>
    <w:rsid w:val="00E035F9"/>
    <w:rsid w:val="00E03636"/>
    <w:rsid w:val="00E04F85"/>
    <w:rsid w:val="00E05E5B"/>
    <w:rsid w:val="00E12DBE"/>
    <w:rsid w:val="00E14B53"/>
    <w:rsid w:val="00E16271"/>
    <w:rsid w:val="00E16A83"/>
    <w:rsid w:val="00E17FA5"/>
    <w:rsid w:val="00E25BA2"/>
    <w:rsid w:val="00E277D9"/>
    <w:rsid w:val="00E30CF0"/>
    <w:rsid w:val="00E31396"/>
    <w:rsid w:val="00E317BF"/>
    <w:rsid w:val="00E33697"/>
    <w:rsid w:val="00E343A5"/>
    <w:rsid w:val="00E34A3A"/>
    <w:rsid w:val="00E354BB"/>
    <w:rsid w:val="00E36E2A"/>
    <w:rsid w:val="00E3799E"/>
    <w:rsid w:val="00E435E5"/>
    <w:rsid w:val="00E443CC"/>
    <w:rsid w:val="00E5136C"/>
    <w:rsid w:val="00E550A4"/>
    <w:rsid w:val="00E57158"/>
    <w:rsid w:val="00E57E5E"/>
    <w:rsid w:val="00E60204"/>
    <w:rsid w:val="00E63E9D"/>
    <w:rsid w:val="00E64015"/>
    <w:rsid w:val="00E64330"/>
    <w:rsid w:val="00E64F49"/>
    <w:rsid w:val="00E654B3"/>
    <w:rsid w:val="00E6585D"/>
    <w:rsid w:val="00E65EC3"/>
    <w:rsid w:val="00E708FC"/>
    <w:rsid w:val="00E71A7D"/>
    <w:rsid w:val="00E762EC"/>
    <w:rsid w:val="00E76E58"/>
    <w:rsid w:val="00E817A5"/>
    <w:rsid w:val="00E829A1"/>
    <w:rsid w:val="00E84AEB"/>
    <w:rsid w:val="00E8707E"/>
    <w:rsid w:val="00E879CE"/>
    <w:rsid w:val="00E87AA8"/>
    <w:rsid w:val="00E9380C"/>
    <w:rsid w:val="00E94CA6"/>
    <w:rsid w:val="00E94E1C"/>
    <w:rsid w:val="00E95062"/>
    <w:rsid w:val="00E95778"/>
    <w:rsid w:val="00E969A6"/>
    <w:rsid w:val="00EA14B1"/>
    <w:rsid w:val="00EA3086"/>
    <w:rsid w:val="00EA4050"/>
    <w:rsid w:val="00EA45B4"/>
    <w:rsid w:val="00EB156D"/>
    <w:rsid w:val="00EB1EE3"/>
    <w:rsid w:val="00EC0858"/>
    <w:rsid w:val="00EC46A9"/>
    <w:rsid w:val="00EC5BFC"/>
    <w:rsid w:val="00EC723E"/>
    <w:rsid w:val="00EC7DFB"/>
    <w:rsid w:val="00ED0A56"/>
    <w:rsid w:val="00ED4790"/>
    <w:rsid w:val="00ED4BEF"/>
    <w:rsid w:val="00ED6B0C"/>
    <w:rsid w:val="00EE0184"/>
    <w:rsid w:val="00EE14D0"/>
    <w:rsid w:val="00EE2050"/>
    <w:rsid w:val="00EE5B38"/>
    <w:rsid w:val="00EF047C"/>
    <w:rsid w:val="00EF0D5E"/>
    <w:rsid w:val="00EF11C6"/>
    <w:rsid w:val="00EF185D"/>
    <w:rsid w:val="00EF2BDE"/>
    <w:rsid w:val="00EF5339"/>
    <w:rsid w:val="00EF663D"/>
    <w:rsid w:val="00F02ECF"/>
    <w:rsid w:val="00F06560"/>
    <w:rsid w:val="00F06B0D"/>
    <w:rsid w:val="00F07065"/>
    <w:rsid w:val="00F11878"/>
    <w:rsid w:val="00F123F9"/>
    <w:rsid w:val="00F14286"/>
    <w:rsid w:val="00F14BBA"/>
    <w:rsid w:val="00F225D2"/>
    <w:rsid w:val="00F25911"/>
    <w:rsid w:val="00F32021"/>
    <w:rsid w:val="00F33F04"/>
    <w:rsid w:val="00F347C2"/>
    <w:rsid w:val="00F36B1D"/>
    <w:rsid w:val="00F40086"/>
    <w:rsid w:val="00F4106A"/>
    <w:rsid w:val="00F418F3"/>
    <w:rsid w:val="00F422ED"/>
    <w:rsid w:val="00F432F1"/>
    <w:rsid w:val="00F45598"/>
    <w:rsid w:val="00F46FD1"/>
    <w:rsid w:val="00F5164A"/>
    <w:rsid w:val="00F53238"/>
    <w:rsid w:val="00F53D8B"/>
    <w:rsid w:val="00F5410A"/>
    <w:rsid w:val="00F554FE"/>
    <w:rsid w:val="00F55C93"/>
    <w:rsid w:val="00F57CAA"/>
    <w:rsid w:val="00F6140A"/>
    <w:rsid w:val="00F6231A"/>
    <w:rsid w:val="00F640EC"/>
    <w:rsid w:val="00F64964"/>
    <w:rsid w:val="00F71525"/>
    <w:rsid w:val="00F71588"/>
    <w:rsid w:val="00F72FC2"/>
    <w:rsid w:val="00F75394"/>
    <w:rsid w:val="00F76408"/>
    <w:rsid w:val="00F778A0"/>
    <w:rsid w:val="00F832DF"/>
    <w:rsid w:val="00F83319"/>
    <w:rsid w:val="00F85BCF"/>
    <w:rsid w:val="00F92489"/>
    <w:rsid w:val="00F927A8"/>
    <w:rsid w:val="00F95992"/>
    <w:rsid w:val="00F97DDB"/>
    <w:rsid w:val="00FA1F96"/>
    <w:rsid w:val="00FA6D35"/>
    <w:rsid w:val="00FB2E20"/>
    <w:rsid w:val="00FB6234"/>
    <w:rsid w:val="00FB7A81"/>
    <w:rsid w:val="00FC0719"/>
    <w:rsid w:val="00FC3A27"/>
    <w:rsid w:val="00FC73B8"/>
    <w:rsid w:val="00FD3D23"/>
    <w:rsid w:val="00FD525A"/>
    <w:rsid w:val="00FD688A"/>
    <w:rsid w:val="00FD784C"/>
    <w:rsid w:val="00FD7CDE"/>
    <w:rsid w:val="00FE0266"/>
    <w:rsid w:val="00FE0535"/>
    <w:rsid w:val="00FE18E2"/>
    <w:rsid w:val="00FE2DDD"/>
    <w:rsid w:val="00FE35ED"/>
    <w:rsid w:val="00FE413E"/>
    <w:rsid w:val="00FE758D"/>
    <w:rsid w:val="00FE7CF2"/>
    <w:rsid w:val="00FF2E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D8CE68CF-81DA-4572-ABD7-FD821FE1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 w:type="character" w:customStyle="1" w:styleId="tw4winMark">
    <w:name w:val="tw4winMark"/>
    <w:basedOn w:val="DefaultParagraphFont"/>
    <w:rsid w:val="00EC723E"/>
    <w:rPr>
      <w:rFonts w:ascii="Courier New" w:hAnsi="Courier New" w:cs="Courier New"/>
      <w:b w:val="0"/>
      <w:bCs/>
      <w:i w:val="0"/>
      <w:dstrike w:val="0"/>
      <w:noProof/>
      <w:vanish/>
      <w:color w:val="800080"/>
      <w:spacing w:val="0"/>
      <w:kern w:val="30"/>
      <w:sz w:val="18"/>
      <w:effect w:val="none"/>
      <w:vertAlign w:val="sub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838032748">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dn.exxonmobil.com/~/media/global/files/outlook-for-energy/2017/2017-outlook-for-energy.pdf" TargetMode="External"/><Relationship Id="rId1" Type="http://schemas.openxmlformats.org/officeDocument/2006/relationships/hyperlink" Target="https://www.shell.com/energy-and-innovation/natural-gas/liquefied-natural-gas-lng/lng-outlook/_jcr_content/par/textimage_864093748.stream/1519731114519/890e687a18cdc644e5b80609a8280bc474b0b8806046b6f3ee89bf231f00fa8f/shell-lng-outlook-2018-infographic-download-fina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24B0-DCBC-4F32-8C0D-82F1FC89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12589</Characters>
  <Application>Microsoft Office Word</Application>
  <DocSecurity>0</DocSecurity>
  <Lines>104</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Marie-Claude Collet</cp:lastModifiedBy>
  <cp:revision>2</cp:revision>
  <cp:lastPrinted>2017-05-31T08:47:00Z</cp:lastPrinted>
  <dcterms:created xsi:type="dcterms:W3CDTF">2018-12-04T07:29:00Z</dcterms:created>
  <dcterms:modified xsi:type="dcterms:W3CDTF">2018-12-04T07:29:00Z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