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RPr="00D73DBB" w14:paraId="75643535" w14:textId="77777777" w:rsidTr="00B6553F">
        <w:trPr>
          <w:cantSplit/>
          <w:trHeight w:hRule="exact" w:val="851"/>
        </w:trPr>
        <w:tc>
          <w:tcPr>
            <w:tcW w:w="1276" w:type="dxa"/>
            <w:tcBorders>
              <w:bottom w:val="single" w:sz="4" w:space="0" w:color="auto"/>
            </w:tcBorders>
            <w:vAlign w:val="bottom"/>
          </w:tcPr>
          <w:p w14:paraId="05C1366B" w14:textId="77777777" w:rsidR="00B56E9C" w:rsidRPr="00D73DBB" w:rsidRDefault="00B56E9C" w:rsidP="00B6553F">
            <w:pPr>
              <w:spacing w:after="80"/>
            </w:pPr>
          </w:p>
        </w:tc>
        <w:tc>
          <w:tcPr>
            <w:tcW w:w="2268" w:type="dxa"/>
            <w:tcBorders>
              <w:bottom w:val="single" w:sz="4" w:space="0" w:color="auto"/>
            </w:tcBorders>
            <w:vAlign w:val="bottom"/>
          </w:tcPr>
          <w:p w14:paraId="60516450" w14:textId="77777777" w:rsidR="00B56E9C" w:rsidRPr="00D73DBB" w:rsidRDefault="00B56E9C" w:rsidP="00B6553F">
            <w:pPr>
              <w:spacing w:after="80" w:line="300" w:lineRule="exact"/>
              <w:rPr>
                <w:b/>
                <w:sz w:val="24"/>
                <w:szCs w:val="24"/>
              </w:rPr>
            </w:pPr>
            <w:r w:rsidRPr="00D73DBB">
              <w:rPr>
                <w:sz w:val="28"/>
                <w:szCs w:val="28"/>
              </w:rPr>
              <w:t>United Nations</w:t>
            </w:r>
          </w:p>
        </w:tc>
        <w:tc>
          <w:tcPr>
            <w:tcW w:w="6095" w:type="dxa"/>
            <w:gridSpan w:val="2"/>
            <w:tcBorders>
              <w:bottom w:val="single" w:sz="4" w:space="0" w:color="auto"/>
            </w:tcBorders>
            <w:vAlign w:val="bottom"/>
          </w:tcPr>
          <w:p w14:paraId="2D8228CE" w14:textId="09D29C02" w:rsidR="00B56E9C" w:rsidRPr="00D73DBB" w:rsidRDefault="00916DC5" w:rsidP="00670612">
            <w:pPr>
              <w:jc w:val="right"/>
            </w:pPr>
            <w:r w:rsidRPr="00D73DBB">
              <w:rPr>
                <w:sz w:val="40"/>
              </w:rPr>
              <w:t>ECE</w:t>
            </w:r>
            <w:r w:rsidRPr="00D73DBB">
              <w:t>/TRANS/WP.11/</w:t>
            </w:r>
            <w:r w:rsidR="00D31CC7">
              <w:t>241</w:t>
            </w:r>
          </w:p>
        </w:tc>
      </w:tr>
      <w:tr w:rsidR="00B56E9C" w:rsidRPr="00D73DBB" w14:paraId="62A6C844" w14:textId="77777777" w:rsidTr="00B6553F">
        <w:trPr>
          <w:cantSplit/>
          <w:trHeight w:hRule="exact" w:val="2835"/>
        </w:trPr>
        <w:tc>
          <w:tcPr>
            <w:tcW w:w="1276" w:type="dxa"/>
            <w:tcBorders>
              <w:top w:val="single" w:sz="4" w:space="0" w:color="auto"/>
              <w:bottom w:val="single" w:sz="12" w:space="0" w:color="auto"/>
            </w:tcBorders>
          </w:tcPr>
          <w:p w14:paraId="205A324F" w14:textId="77777777" w:rsidR="00B56E9C" w:rsidRPr="00D73DBB" w:rsidRDefault="00D46842" w:rsidP="00B6553F">
            <w:pPr>
              <w:spacing w:before="120"/>
            </w:pPr>
            <w:r w:rsidRPr="00D73DBB">
              <w:rPr>
                <w:noProof/>
                <w:lang w:eastAsia="en-GB"/>
              </w:rPr>
              <w:drawing>
                <wp:inline distT="0" distB="0" distL="0" distR="0" wp14:anchorId="174130E7" wp14:editId="3AFDCD9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48C482" w14:textId="77777777" w:rsidR="00B56E9C" w:rsidRPr="00D73DBB" w:rsidRDefault="00D773DF" w:rsidP="00D773DF">
            <w:pPr>
              <w:spacing w:before="120" w:line="420" w:lineRule="exact"/>
              <w:rPr>
                <w:sz w:val="40"/>
                <w:szCs w:val="40"/>
              </w:rPr>
            </w:pPr>
            <w:r w:rsidRPr="00D73DBB">
              <w:rPr>
                <w:b/>
                <w:sz w:val="40"/>
                <w:szCs w:val="40"/>
              </w:rPr>
              <w:t>Economic and Social Council</w:t>
            </w:r>
          </w:p>
        </w:tc>
        <w:tc>
          <w:tcPr>
            <w:tcW w:w="2835" w:type="dxa"/>
            <w:tcBorders>
              <w:top w:val="single" w:sz="4" w:space="0" w:color="auto"/>
              <w:bottom w:val="single" w:sz="12" w:space="0" w:color="auto"/>
            </w:tcBorders>
          </w:tcPr>
          <w:p w14:paraId="65A797D3" w14:textId="77777777" w:rsidR="00B56E9C" w:rsidRPr="00D73DBB" w:rsidRDefault="00916DC5" w:rsidP="00916DC5">
            <w:pPr>
              <w:spacing w:before="240" w:line="240" w:lineRule="exact"/>
            </w:pPr>
            <w:r w:rsidRPr="00D73DBB">
              <w:t>Distr.: General</w:t>
            </w:r>
          </w:p>
          <w:p w14:paraId="6978695E" w14:textId="5D458CD3" w:rsidR="00916DC5" w:rsidRPr="00D73DBB" w:rsidRDefault="008D3599" w:rsidP="00916DC5">
            <w:pPr>
              <w:spacing w:line="240" w:lineRule="exact"/>
            </w:pPr>
            <w:r>
              <w:t xml:space="preserve">5 November </w:t>
            </w:r>
            <w:r w:rsidR="0006328C" w:rsidRPr="00D73DBB">
              <w:t>201</w:t>
            </w:r>
            <w:r w:rsidR="0006328C">
              <w:t>9</w:t>
            </w:r>
          </w:p>
          <w:p w14:paraId="4B6F34AF" w14:textId="77777777" w:rsidR="00916DC5" w:rsidRPr="00D73DBB" w:rsidRDefault="00916DC5" w:rsidP="00916DC5">
            <w:pPr>
              <w:spacing w:line="240" w:lineRule="exact"/>
            </w:pPr>
          </w:p>
          <w:p w14:paraId="0444E8E2" w14:textId="77777777" w:rsidR="00916DC5" w:rsidRPr="00D73DBB" w:rsidRDefault="00916DC5" w:rsidP="00916DC5">
            <w:pPr>
              <w:spacing w:line="240" w:lineRule="exact"/>
            </w:pPr>
            <w:r w:rsidRPr="00D73DBB">
              <w:t>Original: English</w:t>
            </w:r>
          </w:p>
        </w:tc>
      </w:tr>
    </w:tbl>
    <w:p w14:paraId="335DD250" w14:textId="77777777" w:rsidR="00442A83" w:rsidRPr="00D73DBB" w:rsidRDefault="00C96DF2" w:rsidP="00C96DF2">
      <w:pPr>
        <w:spacing w:before="120"/>
        <w:rPr>
          <w:b/>
          <w:sz w:val="28"/>
          <w:szCs w:val="28"/>
        </w:rPr>
      </w:pPr>
      <w:r w:rsidRPr="00D73DBB">
        <w:rPr>
          <w:b/>
          <w:sz w:val="28"/>
          <w:szCs w:val="28"/>
        </w:rPr>
        <w:t>Economic Commission for Europe</w:t>
      </w:r>
    </w:p>
    <w:p w14:paraId="315A1956" w14:textId="77777777" w:rsidR="00C96DF2" w:rsidRPr="00D73DBB" w:rsidRDefault="008F31D2" w:rsidP="00C96DF2">
      <w:pPr>
        <w:spacing w:before="120"/>
        <w:rPr>
          <w:sz w:val="28"/>
          <w:szCs w:val="28"/>
        </w:rPr>
      </w:pPr>
      <w:r w:rsidRPr="00D73DBB">
        <w:rPr>
          <w:sz w:val="28"/>
          <w:szCs w:val="28"/>
        </w:rPr>
        <w:t>Inland Transport Committee</w:t>
      </w:r>
    </w:p>
    <w:p w14:paraId="688ABCA6" w14:textId="77777777" w:rsidR="008F31D2" w:rsidRPr="00D73DBB" w:rsidRDefault="008F31D2" w:rsidP="00C96DF2">
      <w:pPr>
        <w:spacing w:before="120"/>
        <w:rPr>
          <w:b/>
          <w:sz w:val="24"/>
          <w:szCs w:val="24"/>
        </w:rPr>
      </w:pPr>
      <w:r w:rsidRPr="00D73DBB">
        <w:rPr>
          <w:b/>
          <w:sz w:val="24"/>
          <w:szCs w:val="24"/>
        </w:rPr>
        <w:t xml:space="preserve">Working Party on the Transport of </w:t>
      </w:r>
      <w:r w:rsidR="00FE2FEF" w:rsidRPr="00D73DBB">
        <w:rPr>
          <w:b/>
          <w:sz w:val="24"/>
          <w:szCs w:val="24"/>
        </w:rPr>
        <w:t>Perishable Foodstuffs</w:t>
      </w:r>
    </w:p>
    <w:p w14:paraId="2D74264A" w14:textId="640B44CB" w:rsidR="00C96DF2" w:rsidRPr="00D73DBB" w:rsidRDefault="00916DC5" w:rsidP="00C96DF2">
      <w:pPr>
        <w:spacing w:before="120"/>
        <w:rPr>
          <w:b/>
        </w:rPr>
      </w:pPr>
      <w:r w:rsidRPr="00D73DBB">
        <w:rPr>
          <w:b/>
        </w:rPr>
        <w:t>Seventy-</w:t>
      </w:r>
      <w:r w:rsidR="005C7DF9">
        <w:rPr>
          <w:b/>
        </w:rPr>
        <w:t>f</w:t>
      </w:r>
      <w:r w:rsidR="00D31CC7">
        <w:rPr>
          <w:b/>
        </w:rPr>
        <w:t>ifth</w:t>
      </w:r>
      <w:r w:rsidRPr="00D73DBB">
        <w:rPr>
          <w:b/>
        </w:rPr>
        <w:t xml:space="preserve"> </w:t>
      </w:r>
      <w:r w:rsidR="00C96DF2" w:rsidRPr="00D73DBB">
        <w:rPr>
          <w:b/>
        </w:rPr>
        <w:t>session</w:t>
      </w:r>
    </w:p>
    <w:p w14:paraId="5BEDB3A2" w14:textId="27007901" w:rsidR="00916DC5" w:rsidRPr="00D73DBB" w:rsidRDefault="00916DC5" w:rsidP="00916DC5">
      <w:pPr>
        <w:pStyle w:val="HChG"/>
      </w:pPr>
      <w:r w:rsidRPr="00D73DBB">
        <w:tab/>
      </w:r>
      <w:r w:rsidRPr="00D73DBB">
        <w:tab/>
      </w:r>
      <w:bookmarkStart w:id="0" w:name="_Toc432670158"/>
      <w:bookmarkStart w:id="1" w:name="_Toc528146957"/>
      <w:r w:rsidRPr="00D73DBB">
        <w:t xml:space="preserve">Report of the Working Party on the Transport of Perishable Foodstuffs on its </w:t>
      </w:r>
      <w:r w:rsidR="00670612" w:rsidRPr="00D73DBB">
        <w:t>seventy-</w:t>
      </w:r>
      <w:r w:rsidR="005C7DF9">
        <w:t>f</w:t>
      </w:r>
      <w:r w:rsidR="00D31CC7">
        <w:t>ifth</w:t>
      </w:r>
      <w:r w:rsidRPr="00D73DBB">
        <w:t xml:space="preserve"> session</w:t>
      </w:r>
      <w:bookmarkEnd w:id="0"/>
      <w:bookmarkEnd w:id="1"/>
    </w:p>
    <w:p w14:paraId="49112405" w14:textId="36428517" w:rsidR="00C96DF2" w:rsidRPr="00D73DBB" w:rsidRDefault="00916DC5" w:rsidP="00916DC5">
      <w:pPr>
        <w:ind w:left="567" w:firstLine="567"/>
      </w:pPr>
      <w:r w:rsidRPr="00D73DBB">
        <w:t xml:space="preserve">held in Geneva from </w:t>
      </w:r>
      <w:r w:rsidR="005C7DF9">
        <w:t>8</w:t>
      </w:r>
      <w:r w:rsidRPr="00D73DBB">
        <w:t>-</w:t>
      </w:r>
      <w:r w:rsidR="005C7DF9">
        <w:t>1</w:t>
      </w:r>
      <w:r w:rsidR="00D31CC7">
        <w:t>1</w:t>
      </w:r>
      <w:r w:rsidRPr="00D73DBB">
        <w:t xml:space="preserve"> October </w:t>
      </w:r>
      <w:r w:rsidR="0006328C" w:rsidRPr="00D73DBB">
        <w:t>201</w:t>
      </w:r>
      <w:r w:rsidR="0006328C">
        <w:t>9</w:t>
      </w:r>
    </w:p>
    <w:p w14:paraId="319FA950" w14:textId="77777777" w:rsidR="00A6129C" w:rsidRPr="00D73DBB" w:rsidRDefault="00A6129C" w:rsidP="00C96DF2"/>
    <w:p w14:paraId="552F1F34" w14:textId="77777777" w:rsidR="00916DC5" w:rsidRPr="00D73DBB" w:rsidRDefault="00916DC5">
      <w:pPr>
        <w:suppressAutoHyphens w:val="0"/>
        <w:spacing w:line="240" w:lineRule="auto"/>
        <w:rPr>
          <w:b/>
        </w:rPr>
      </w:pPr>
      <w:r w:rsidRPr="00D73DBB">
        <w:rPr>
          <w:b/>
        </w:rPr>
        <w:br w:type="page"/>
      </w:r>
    </w:p>
    <w:p w14:paraId="0BCCF020" w14:textId="77777777" w:rsidR="00802923" w:rsidRPr="00D73DBB" w:rsidRDefault="00802923" w:rsidP="00802923">
      <w:pPr>
        <w:spacing w:after="120"/>
        <w:rPr>
          <w:sz w:val="28"/>
          <w:lang w:val="fr-CH"/>
        </w:rPr>
      </w:pPr>
      <w:r w:rsidRPr="00D73DBB">
        <w:rPr>
          <w:sz w:val="28"/>
          <w:lang w:val="fr-CH"/>
        </w:rPr>
        <w:lastRenderedPageBreak/>
        <w:t>Contents</w:t>
      </w:r>
    </w:p>
    <w:p w14:paraId="5024B41F" w14:textId="3C8FBDB4" w:rsidR="00802923" w:rsidRDefault="00802923" w:rsidP="00802923">
      <w:pPr>
        <w:tabs>
          <w:tab w:val="right" w:pos="8929"/>
          <w:tab w:val="right" w:pos="9638"/>
        </w:tabs>
        <w:spacing w:after="120"/>
        <w:ind w:left="283"/>
        <w:rPr>
          <w:i/>
          <w:sz w:val="18"/>
          <w:lang w:val="fr-CH"/>
        </w:rPr>
      </w:pPr>
      <w:r w:rsidRPr="00D73DBB">
        <w:rPr>
          <w:i/>
          <w:sz w:val="18"/>
          <w:lang w:val="fr-CH"/>
        </w:rPr>
        <w:tab/>
      </w:r>
      <w:proofErr w:type="spellStart"/>
      <w:r w:rsidRPr="00D73DBB">
        <w:rPr>
          <w:i/>
          <w:sz w:val="18"/>
          <w:lang w:val="fr-CH"/>
        </w:rPr>
        <w:t>Paragraphs</w:t>
      </w:r>
      <w:proofErr w:type="spellEnd"/>
      <w:r w:rsidRPr="00D73DBB">
        <w:rPr>
          <w:i/>
          <w:sz w:val="18"/>
          <w:lang w:val="fr-CH"/>
        </w:rPr>
        <w:tab/>
        <w:t>Page</w:t>
      </w:r>
    </w:p>
    <w:p w14:paraId="1D33FFEF" w14:textId="12CCA73B" w:rsidR="00695CF0" w:rsidRPr="00D27180" w:rsidRDefault="00695CF0" w:rsidP="00695CF0">
      <w:pPr>
        <w:tabs>
          <w:tab w:val="right" w:pos="850"/>
          <w:tab w:val="left" w:pos="1134"/>
          <w:tab w:val="left" w:pos="1559"/>
          <w:tab w:val="left" w:pos="1984"/>
          <w:tab w:val="left" w:leader="dot" w:pos="7654"/>
          <w:tab w:val="right" w:pos="8929"/>
          <w:tab w:val="right" w:pos="9638"/>
        </w:tabs>
        <w:spacing w:after="120"/>
        <w:ind w:left="1134" w:hanging="1134"/>
        <w:rPr>
          <w:noProof/>
          <w:lang w:val="fr-CH"/>
        </w:rPr>
      </w:pPr>
      <w:r>
        <w:rPr>
          <w:noProof/>
          <w:lang w:val="fr-CH"/>
        </w:rPr>
        <w:tab/>
      </w:r>
      <w:hyperlink w:anchor="_Toc528146958" w:history="1">
        <w:r w:rsidRPr="00D27180">
          <w:rPr>
            <w:noProof/>
            <w:lang w:val="fr-CH"/>
          </w:rPr>
          <w:t>I.</w:t>
        </w:r>
        <w:r w:rsidRPr="00D27180">
          <w:rPr>
            <w:noProof/>
            <w:lang w:val="fr-CH"/>
          </w:rPr>
          <w:tab/>
          <w:t>Attendance</w:t>
        </w:r>
        <w:r w:rsidRPr="00D27180">
          <w:rPr>
            <w:noProof/>
            <w:webHidden/>
            <w:lang w:val="fr-CH"/>
          </w:rPr>
          <w:tab/>
        </w:r>
        <w:r>
          <w:rPr>
            <w:noProof/>
            <w:webHidden/>
            <w:lang w:val="fr-CH"/>
          </w:rPr>
          <w:tab/>
          <w:t>1-</w:t>
        </w:r>
        <w:r w:rsidR="00800694">
          <w:rPr>
            <w:noProof/>
            <w:webHidden/>
            <w:lang w:val="fr-CH"/>
          </w:rPr>
          <w:t>4</w:t>
        </w:r>
        <w:r>
          <w:rPr>
            <w:noProof/>
            <w:webHidden/>
            <w:lang w:val="fr-CH"/>
          </w:rPr>
          <w:tab/>
        </w:r>
        <w:r w:rsidR="00873A64">
          <w:rPr>
            <w:noProof/>
            <w:webHidden/>
            <w:lang w:val="fr-CH"/>
          </w:rPr>
          <w:t>5</w:t>
        </w:r>
      </w:hyperlink>
    </w:p>
    <w:p w14:paraId="6EEE415F" w14:textId="18A11000" w:rsidR="00695CF0" w:rsidRPr="00A5265E" w:rsidRDefault="00695CF0" w:rsidP="00695CF0">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lang w:val="fr-CH"/>
        </w:rPr>
        <w:tab/>
      </w:r>
      <w:hyperlink w:anchor="_Toc528146959" w:history="1">
        <w:r w:rsidRPr="00A5265E">
          <w:rPr>
            <w:noProof/>
          </w:rPr>
          <w:t>II.</w:t>
        </w:r>
        <w:r w:rsidRPr="00A5265E">
          <w:rPr>
            <w:noProof/>
          </w:rPr>
          <w:tab/>
          <w:t>Adoption of the agenda (agenda item 1)</w:t>
        </w:r>
        <w:r w:rsidRPr="00A5265E">
          <w:rPr>
            <w:noProof/>
            <w:webHidden/>
          </w:rPr>
          <w:tab/>
        </w:r>
        <w:r w:rsidRPr="00A5265E">
          <w:rPr>
            <w:noProof/>
            <w:webHidden/>
          </w:rPr>
          <w:tab/>
        </w:r>
        <w:r w:rsidR="001348C1">
          <w:rPr>
            <w:noProof/>
            <w:webHidden/>
            <w:lang w:val="fr-CH"/>
          </w:rPr>
          <w:t>5</w:t>
        </w:r>
      </w:hyperlink>
      <w:r w:rsidR="00800694" w:rsidRPr="00F81B3C">
        <w:rPr>
          <w:noProof/>
        </w:rPr>
        <w:tab/>
      </w:r>
      <w:r w:rsidR="00873A64">
        <w:rPr>
          <w:noProof/>
        </w:rPr>
        <w:t>5</w:t>
      </w:r>
    </w:p>
    <w:p w14:paraId="7D00336E" w14:textId="0023960A" w:rsidR="00695CF0" w:rsidRDefault="00695CF0" w:rsidP="00AB3843">
      <w:pPr>
        <w:tabs>
          <w:tab w:val="right" w:pos="850"/>
          <w:tab w:val="left" w:pos="1134"/>
          <w:tab w:val="left" w:pos="1559"/>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val="en-US" w:eastAsia="zh-CN"/>
        </w:rPr>
      </w:pPr>
      <w:r>
        <w:rPr>
          <w:rStyle w:val="Hyperlink"/>
          <w:noProof/>
        </w:rPr>
        <w:tab/>
      </w:r>
      <w:hyperlink w:anchor="_Toc528146961" w:history="1">
        <w:r w:rsidRPr="00A01FFC">
          <w:rPr>
            <w:rStyle w:val="Hyperlink"/>
            <w:noProof/>
          </w:rPr>
          <w:t>I</w:t>
        </w:r>
        <w:r w:rsidR="00AB3843">
          <w:rPr>
            <w:rStyle w:val="Hyperlink"/>
            <w:noProof/>
          </w:rPr>
          <w:t>II</w:t>
        </w:r>
        <w:r w:rsidRPr="00A01FFC">
          <w:rPr>
            <w:rStyle w:val="Hyperlink"/>
            <w:noProof/>
          </w:rPr>
          <w:t>.</w:t>
        </w:r>
        <w:r>
          <w:rPr>
            <w:rFonts w:asciiTheme="minorHAnsi" w:eastAsiaTheme="minorEastAsia" w:hAnsiTheme="minorHAnsi" w:cstheme="minorBidi"/>
            <w:noProof/>
            <w:sz w:val="22"/>
            <w:szCs w:val="22"/>
            <w:lang w:val="en-US" w:eastAsia="zh-CN"/>
          </w:rPr>
          <w:tab/>
        </w:r>
        <w:r w:rsidRPr="00A5265E">
          <w:rPr>
            <w:noProof/>
          </w:rPr>
          <w:t>Activities</w:t>
        </w:r>
        <w:r w:rsidRPr="00A01FFC">
          <w:rPr>
            <w:rStyle w:val="Hyperlink"/>
            <w:noProof/>
          </w:rPr>
          <w:t xml:space="preserve"> of ECE bodies of interest to the Working Party (agenda item </w:t>
        </w:r>
        <w:r w:rsidR="00D31CC7">
          <w:rPr>
            <w:rStyle w:val="Hyperlink"/>
            <w:noProof/>
          </w:rPr>
          <w:t>2</w:t>
        </w:r>
        <w:r w:rsidRPr="00A01FFC">
          <w:rPr>
            <w:rStyle w:val="Hyperlink"/>
            <w:noProof/>
          </w:rPr>
          <w:t>)</w:t>
        </w:r>
        <w:r>
          <w:rPr>
            <w:noProof/>
            <w:webHidden/>
          </w:rPr>
          <w:tab/>
        </w:r>
        <w:r>
          <w:rPr>
            <w:noProof/>
            <w:webHidden/>
          </w:rPr>
          <w:tab/>
        </w:r>
      </w:hyperlink>
      <w:r w:rsidR="009329AD">
        <w:rPr>
          <w:noProof/>
        </w:rPr>
        <w:t>6-11</w:t>
      </w:r>
      <w:r w:rsidR="009329AD">
        <w:rPr>
          <w:noProof/>
        </w:rPr>
        <w:tab/>
      </w:r>
      <w:r w:rsidR="00873A64">
        <w:rPr>
          <w:noProof/>
        </w:rPr>
        <w:t>5</w:t>
      </w:r>
    </w:p>
    <w:p w14:paraId="0BC1EE69" w14:textId="5782C4F2" w:rsidR="00695CF0" w:rsidRDefault="00695CF0" w:rsidP="00695CF0">
      <w:pPr>
        <w:tabs>
          <w:tab w:val="right" w:pos="850"/>
          <w:tab w:val="left" w:pos="1134"/>
          <w:tab w:val="left" w:pos="1559"/>
          <w:tab w:val="left" w:pos="1984"/>
          <w:tab w:val="left" w:leader="dot" w:pos="7654"/>
          <w:tab w:val="right" w:pos="8929"/>
          <w:tab w:val="right" w:pos="9638"/>
        </w:tabs>
        <w:spacing w:after="110"/>
        <w:ind w:left="1559" w:hanging="1559"/>
        <w:rPr>
          <w:noProof/>
        </w:rPr>
      </w:pPr>
      <w:r>
        <w:rPr>
          <w:rStyle w:val="Hyperlink"/>
          <w:noProof/>
        </w:rPr>
        <w:tab/>
      </w:r>
      <w:r>
        <w:rPr>
          <w:rStyle w:val="Hyperlink"/>
          <w:noProof/>
        </w:rPr>
        <w:tab/>
      </w:r>
      <w:hyperlink w:anchor="_Toc528146962" w:history="1">
        <w:r w:rsidRPr="00A01FFC">
          <w:rPr>
            <w:rStyle w:val="Hyperlink"/>
            <w:noProof/>
          </w:rPr>
          <w:t>A.</w:t>
        </w:r>
        <w:r>
          <w:rPr>
            <w:rFonts w:asciiTheme="minorHAnsi" w:eastAsiaTheme="minorEastAsia" w:hAnsiTheme="minorHAnsi" w:cstheme="minorBidi"/>
            <w:noProof/>
            <w:sz w:val="22"/>
            <w:szCs w:val="22"/>
            <w:lang w:val="en-US" w:eastAsia="zh-CN"/>
          </w:rPr>
          <w:tab/>
        </w:r>
        <w:r w:rsidRPr="00D27180">
          <w:rPr>
            <w:noProof/>
          </w:rPr>
          <w:t>Inland</w:t>
        </w:r>
        <w:r w:rsidRPr="00A01FFC">
          <w:rPr>
            <w:rStyle w:val="Hyperlink"/>
            <w:noProof/>
          </w:rPr>
          <w:t xml:space="preserve"> Transport Committee</w:t>
        </w:r>
        <w:r>
          <w:rPr>
            <w:noProof/>
            <w:webHidden/>
          </w:rPr>
          <w:tab/>
        </w:r>
        <w:r>
          <w:rPr>
            <w:noProof/>
            <w:webHidden/>
          </w:rPr>
          <w:tab/>
        </w:r>
        <w:r w:rsidR="00800694">
          <w:rPr>
            <w:noProof/>
            <w:webHidden/>
          </w:rPr>
          <w:t>6-</w:t>
        </w:r>
      </w:hyperlink>
      <w:r w:rsidR="00800694">
        <w:rPr>
          <w:noProof/>
        </w:rPr>
        <w:t>9</w:t>
      </w:r>
      <w:r w:rsidR="00800694">
        <w:rPr>
          <w:noProof/>
        </w:rPr>
        <w:tab/>
      </w:r>
      <w:r w:rsidR="00873A64">
        <w:rPr>
          <w:noProof/>
        </w:rPr>
        <w:t>5</w:t>
      </w:r>
    </w:p>
    <w:p w14:paraId="78612DBD" w14:textId="45724AF9" w:rsidR="00800694" w:rsidRDefault="00800694" w:rsidP="00695CF0">
      <w:pPr>
        <w:tabs>
          <w:tab w:val="right" w:pos="850"/>
          <w:tab w:val="left" w:pos="1134"/>
          <w:tab w:val="left" w:pos="1559"/>
          <w:tab w:val="left" w:pos="1984"/>
          <w:tab w:val="left" w:leader="dot" w:pos="7654"/>
          <w:tab w:val="right" w:pos="8929"/>
          <w:tab w:val="right" w:pos="9638"/>
        </w:tabs>
        <w:spacing w:after="110"/>
        <w:ind w:left="1559" w:hanging="1559"/>
        <w:rPr>
          <w:rFonts w:asciiTheme="minorHAnsi" w:eastAsiaTheme="minorEastAsia" w:hAnsiTheme="minorHAnsi" w:cstheme="minorBidi"/>
          <w:noProof/>
          <w:sz w:val="22"/>
          <w:szCs w:val="22"/>
          <w:lang w:val="en-US" w:eastAsia="zh-CN"/>
        </w:rPr>
      </w:pPr>
      <w:r>
        <w:rPr>
          <w:noProof/>
        </w:rPr>
        <w:tab/>
      </w:r>
      <w:r>
        <w:rPr>
          <w:noProof/>
        </w:rPr>
        <w:tab/>
        <w:t>B.</w:t>
      </w:r>
      <w:r>
        <w:rPr>
          <w:noProof/>
        </w:rPr>
        <w:tab/>
      </w:r>
      <w:r w:rsidRPr="00800694">
        <w:rPr>
          <w:noProof/>
        </w:rPr>
        <w:t>Working Party on Agricultural Quality Standards</w:t>
      </w:r>
      <w:r>
        <w:rPr>
          <w:noProof/>
        </w:rPr>
        <w:tab/>
      </w:r>
      <w:r>
        <w:rPr>
          <w:noProof/>
        </w:rPr>
        <w:tab/>
        <w:t>10-11</w:t>
      </w:r>
      <w:r>
        <w:rPr>
          <w:noProof/>
        </w:rPr>
        <w:tab/>
      </w:r>
      <w:r w:rsidR="00873A64">
        <w:rPr>
          <w:noProof/>
        </w:rPr>
        <w:t>5</w:t>
      </w:r>
    </w:p>
    <w:p w14:paraId="29AA36E1" w14:textId="0967AE41" w:rsidR="00695CF0" w:rsidRDefault="00695CF0" w:rsidP="00695CF0">
      <w:pPr>
        <w:tabs>
          <w:tab w:val="right" w:pos="850"/>
          <w:tab w:val="left" w:pos="1134"/>
          <w:tab w:val="left" w:pos="1559"/>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val="en-US" w:eastAsia="zh-CN"/>
        </w:rPr>
      </w:pPr>
      <w:r>
        <w:rPr>
          <w:rStyle w:val="Hyperlink"/>
          <w:noProof/>
        </w:rPr>
        <w:tab/>
      </w:r>
      <w:r w:rsidR="00AB3843">
        <w:rPr>
          <w:rStyle w:val="Hyperlink"/>
          <w:noProof/>
        </w:rPr>
        <w:t>I</w:t>
      </w:r>
      <w:hyperlink w:anchor="_Toc528146964" w:history="1">
        <w:r w:rsidRPr="00A01FFC">
          <w:rPr>
            <w:rStyle w:val="Hyperlink"/>
            <w:noProof/>
          </w:rPr>
          <w:t>V.</w:t>
        </w:r>
        <w:r>
          <w:rPr>
            <w:rFonts w:asciiTheme="minorHAnsi" w:eastAsiaTheme="minorEastAsia" w:hAnsiTheme="minorHAnsi" w:cstheme="minorBidi"/>
            <w:noProof/>
            <w:sz w:val="22"/>
            <w:szCs w:val="22"/>
            <w:lang w:val="en-US" w:eastAsia="zh-CN"/>
          </w:rPr>
          <w:tab/>
        </w:r>
        <w:r w:rsidRPr="00A01FFC">
          <w:rPr>
            <w:rStyle w:val="Hyperlink"/>
            <w:noProof/>
          </w:rPr>
          <w:t xml:space="preserve">Activities of other international organizations dealing with issues of interest </w:t>
        </w:r>
        <w:r>
          <w:rPr>
            <w:rStyle w:val="Hyperlink"/>
            <w:noProof/>
          </w:rPr>
          <w:br/>
        </w:r>
        <w:r w:rsidRPr="00A01FFC">
          <w:rPr>
            <w:rStyle w:val="Hyperlink"/>
            <w:noProof/>
          </w:rPr>
          <w:t>to the Working Party (agenda item </w:t>
        </w:r>
        <w:r w:rsidR="00D31CC7">
          <w:rPr>
            <w:rStyle w:val="Hyperlink"/>
            <w:noProof/>
          </w:rPr>
          <w:t>3</w:t>
        </w:r>
        <w:r w:rsidRPr="00A01FFC">
          <w:rPr>
            <w:rStyle w:val="Hyperlink"/>
            <w:noProof/>
          </w:rPr>
          <w:t>)</w:t>
        </w:r>
        <w:r>
          <w:rPr>
            <w:noProof/>
            <w:webHidden/>
          </w:rPr>
          <w:tab/>
        </w:r>
        <w:r>
          <w:rPr>
            <w:noProof/>
            <w:webHidden/>
          </w:rPr>
          <w:tab/>
        </w:r>
        <w:r w:rsidR="009329AD">
          <w:rPr>
            <w:noProof/>
            <w:webHidden/>
          </w:rPr>
          <w:t>12-3</w:t>
        </w:r>
        <w:r w:rsidR="00F60C1D">
          <w:rPr>
            <w:noProof/>
            <w:webHidden/>
          </w:rPr>
          <w:t>1</w:t>
        </w:r>
        <w:r w:rsidR="009329AD">
          <w:rPr>
            <w:noProof/>
            <w:webHidden/>
          </w:rPr>
          <w:tab/>
        </w:r>
        <w:r w:rsidR="00873A64">
          <w:rPr>
            <w:noProof/>
            <w:webHidden/>
          </w:rPr>
          <w:t>6</w:t>
        </w:r>
      </w:hyperlink>
    </w:p>
    <w:p w14:paraId="0208270A" w14:textId="0725ABAB" w:rsidR="00695CF0" w:rsidRDefault="00695CF0" w:rsidP="00695CF0">
      <w:pPr>
        <w:tabs>
          <w:tab w:val="right" w:pos="850"/>
          <w:tab w:val="left" w:pos="1134"/>
          <w:tab w:val="left" w:pos="1559"/>
          <w:tab w:val="left" w:pos="1984"/>
          <w:tab w:val="left" w:leader="dot" w:pos="7654"/>
          <w:tab w:val="right" w:pos="8929"/>
          <w:tab w:val="right" w:pos="9638"/>
        </w:tabs>
        <w:spacing w:after="110"/>
        <w:ind w:left="1559" w:hanging="1559"/>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hyperlink w:anchor="_Toc528146965" w:history="1">
        <w:r w:rsidRPr="00A01FFC">
          <w:rPr>
            <w:rStyle w:val="Hyperlink"/>
            <w:noProof/>
          </w:rPr>
          <w:t>A.</w:t>
        </w:r>
        <w:r>
          <w:rPr>
            <w:rFonts w:asciiTheme="minorHAnsi" w:eastAsiaTheme="minorEastAsia" w:hAnsiTheme="minorHAnsi" w:cstheme="minorBidi"/>
            <w:noProof/>
            <w:sz w:val="22"/>
            <w:szCs w:val="22"/>
            <w:lang w:val="en-US" w:eastAsia="zh-CN"/>
          </w:rPr>
          <w:tab/>
        </w:r>
        <w:r w:rsidRPr="00A01FFC">
          <w:rPr>
            <w:rStyle w:val="Hyperlink"/>
            <w:noProof/>
          </w:rPr>
          <w:t>International Institute of Refrigeration (IIR)</w:t>
        </w:r>
        <w:r>
          <w:rPr>
            <w:noProof/>
            <w:webHidden/>
          </w:rPr>
          <w:tab/>
        </w:r>
        <w:r>
          <w:rPr>
            <w:noProof/>
            <w:webHidden/>
          </w:rPr>
          <w:tab/>
        </w:r>
      </w:hyperlink>
      <w:r w:rsidR="00800694">
        <w:rPr>
          <w:noProof/>
        </w:rPr>
        <w:t>12-13</w:t>
      </w:r>
      <w:r w:rsidR="00800694">
        <w:rPr>
          <w:noProof/>
        </w:rPr>
        <w:tab/>
      </w:r>
      <w:r w:rsidR="00873A64">
        <w:rPr>
          <w:noProof/>
        </w:rPr>
        <w:t>6</w:t>
      </w:r>
    </w:p>
    <w:p w14:paraId="0DCE612F" w14:textId="2A539C53" w:rsidR="00695CF0" w:rsidRDefault="00695CF0" w:rsidP="00695CF0">
      <w:pPr>
        <w:tabs>
          <w:tab w:val="right" w:pos="850"/>
          <w:tab w:val="left" w:pos="1134"/>
          <w:tab w:val="left" w:pos="1559"/>
          <w:tab w:val="left" w:pos="1984"/>
          <w:tab w:val="left" w:leader="dot" w:pos="7654"/>
          <w:tab w:val="right" w:pos="8929"/>
          <w:tab w:val="right" w:pos="9638"/>
        </w:tabs>
        <w:spacing w:after="110"/>
        <w:ind w:left="1559" w:hanging="1559"/>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hyperlink w:anchor="_Toc528146966" w:history="1">
        <w:r w:rsidRPr="00A5265E">
          <w:rPr>
            <w:rStyle w:val="Hyperlink"/>
            <w:noProof/>
          </w:rPr>
          <w:t>B.</w:t>
        </w:r>
        <w:r>
          <w:rPr>
            <w:rFonts w:asciiTheme="minorHAnsi" w:eastAsiaTheme="minorEastAsia" w:hAnsiTheme="minorHAnsi" w:cstheme="minorBidi"/>
            <w:noProof/>
            <w:sz w:val="22"/>
            <w:szCs w:val="22"/>
            <w:lang w:val="en-US" w:eastAsia="zh-CN"/>
          </w:rPr>
          <w:tab/>
        </w:r>
        <w:r w:rsidRPr="00A5265E">
          <w:rPr>
            <w:rStyle w:val="Hyperlink"/>
            <w:noProof/>
          </w:rPr>
          <w:t>Transfrigoroute International</w:t>
        </w:r>
        <w:r>
          <w:rPr>
            <w:noProof/>
            <w:webHidden/>
          </w:rPr>
          <w:tab/>
        </w:r>
        <w:r>
          <w:rPr>
            <w:noProof/>
            <w:webHidden/>
          </w:rPr>
          <w:tab/>
        </w:r>
      </w:hyperlink>
      <w:r w:rsidR="00800694">
        <w:rPr>
          <w:noProof/>
        </w:rPr>
        <w:t>14</w:t>
      </w:r>
      <w:r w:rsidR="00800694">
        <w:rPr>
          <w:noProof/>
        </w:rPr>
        <w:tab/>
      </w:r>
      <w:r w:rsidR="00873A64">
        <w:rPr>
          <w:noProof/>
        </w:rPr>
        <w:t>6</w:t>
      </w:r>
    </w:p>
    <w:p w14:paraId="4173048B" w14:textId="09B454DE" w:rsidR="00695CF0" w:rsidRDefault="00695CF0" w:rsidP="00695CF0">
      <w:pPr>
        <w:tabs>
          <w:tab w:val="right" w:pos="850"/>
          <w:tab w:val="left" w:pos="1134"/>
          <w:tab w:val="left" w:pos="1559"/>
          <w:tab w:val="left" w:pos="1984"/>
          <w:tab w:val="left" w:leader="dot" w:pos="7654"/>
          <w:tab w:val="right" w:pos="8929"/>
          <w:tab w:val="right" w:pos="9638"/>
        </w:tabs>
        <w:spacing w:after="110"/>
        <w:ind w:left="1559" w:hanging="1559"/>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hyperlink w:anchor="_Toc528146967" w:history="1">
        <w:r w:rsidRPr="00A01FFC">
          <w:rPr>
            <w:rStyle w:val="Hyperlink"/>
            <w:noProof/>
          </w:rPr>
          <w:t>C.</w:t>
        </w:r>
        <w:r>
          <w:rPr>
            <w:rFonts w:asciiTheme="minorHAnsi" w:eastAsiaTheme="minorEastAsia" w:hAnsiTheme="minorHAnsi" w:cstheme="minorBidi"/>
            <w:noProof/>
            <w:sz w:val="22"/>
            <w:szCs w:val="22"/>
            <w:lang w:val="en-US" w:eastAsia="zh-CN"/>
          </w:rPr>
          <w:tab/>
        </w:r>
        <w:r w:rsidRPr="00A01FFC">
          <w:rPr>
            <w:rStyle w:val="Hyperlink"/>
            <w:noProof/>
          </w:rPr>
          <w:t>Standardization organizations</w:t>
        </w:r>
        <w:r>
          <w:rPr>
            <w:noProof/>
            <w:webHidden/>
          </w:rPr>
          <w:tab/>
        </w:r>
        <w:r>
          <w:rPr>
            <w:noProof/>
            <w:webHidden/>
          </w:rPr>
          <w:tab/>
        </w:r>
      </w:hyperlink>
      <w:r w:rsidR="00800694">
        <w:rPr>
          <w:noProof/>
        </w:rPr>
        <w:t>15</w:t>
      </w:r>
      <w:r w:rsidR="00800694">
        <w:rPr>
          <w:noProof/>
        </w:rPr>
        <w:tab/>
      </w:r>
      <w:r w:rsidR="00873A64">
        <w:rPr>
          <w:noProof/>
        </w:rPr>
        <w:t>6</w:t>
      </w:r>
    </w:p>
    <w:p w14:paraId="407A42C2" w14:textId="3CC98B4B" w:rsidR="00695CF0" w:rsidRDefault="00695CF0" w:rsidP="00695CF0">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r>
        <w:rPr>
          <w:rStyle w:val="Hyperlink"/>
          <w:noProof/>
        </w:rPr>
        <w:tab/>
      </w:r>
      <w:hyperlink w:anchor="_Toc528146969" w:history="1">
        <w:r w:rsidRPr="00A01FFC">
          <w:rPr>
            <w:rStyle w:val="Hyperlink"/>
            <w:noProof/>
          </w:rPr>
          <w:t>1.</w:t>
        </w:r>
        <w:r>
          <w:rPr>
            <w:rFonts w:asciiTheme="minorHAnsi" w:eastAsiaTheme="minorEastAsia" w:hAnsiTheme="minorHAnsi" w:cstheme="minorBidi"/>
            <w:noProof/>
            <w:sz w:val="22"/>
            <w:szCs w:val="22"/>
            <w:lang w:val="en-US" w:eastAsia="zh-CN"/>
          </w:rPr>
          <w:tab/>
        </w:r>
        <w:r w:rsidRPr="00D27180">
          <w:rPr>
            <w:noProof/>
          </w:rPr>
          <w:t>CEN</w:t>
        </w:r>
        <w:r w:rsidRPr="00A01FFC">
          <w:rPr>
            <w:rStyle w:val="Hyperlink"/>
            <w:noProof/>
          </w:rPr>
          <w:t>/TC 413 Working Group 2</w:t>
        </w:r>
        <w:r>
          <w:rPr>
            <w:noProof/>
            <w:webHidden/>
          </w:rPr>
          <w:tab/>
        </w:r>
        <w:r>
          <w:rPr>
            <w:noProof/>
            <w:webHidden/>
          </w:rPr>
          <w:tab/>
        </w:r>
      </w:hyperlink>
      <w:r w:rsidR="00800694">
        <w:rPr>
          <w:noProof/>
        </w:rPr>
        <w:t>16-20</w:t>
      </w:r>
      <w:r w:rsidR="00800694">
        <w:rPr>
          <w:noProof/>
        </w:rPr>
        <w:tab/>
      </w:r>
      <w:r w:rsidR="00873A64">
        <w:rPr>
          <w:noProof/>
        </w:rPr>
        <w:t>6</w:t>
      </w:r>
    </w:p>
    <w:p w14:paraId="2D5FE21F" w14:textId="41795744" w:rsidR="00695CF0" w:rsidRDefault="00695CF0" w:rsidP="00695CF0">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r>
        <w:rPr>
          <w:rStyle w:val="Hyperlink"/>
          <w:noProof/>
        </w:rPr>
        <w:tab/>
      </w:r>
      <w:hyperlink w:anchor="_Toc528146970" w:history="1">
        <w:r w:rsidRPr="00A01FFC">
          <w:rPr>
            <w:rStyle w:val="Hyperlink"/>
            <w:noProof/>
          </w:rPr>
          <w:t>2.</w:t>
        </w:r>
        <w:r>
          <w:rPr>
            <w:rFonts w:asciiTheme="minorHAnsi" w:eastAsiaTheme="minorEastAsia" w:hAnsiTheme="minorHAnsi" w:cstheme="minorBidi"/>
            <w:noProof/>
            <w:sz w:val="22"/>
            <w:szCs w:val="22"/>
            <w:lang w:val="en-US" w:eastAsia="zh-CN"/>
          </w:rPr>
          <w:tab/>
        </w:r>
        <w:r w:rsidRPr="00D27180">
          <w:rPr>
            <w:noProof/>
          </w:rPr>
          <w:t>CEN</w:t>
        </w:r>
        <w:r w:rsidRPr="00A01FFC">
          <w:rPr>
            <w:rStyle w:val="Hyperlink"/>
            <w:noProof/>
          </w:rPr>
          <w:t>/TC 413 Working Group 1</w:t>
        </w:r>
        <w:r>
          <w:rPr>
            <w:noProof/>
            <w:webHidden/>
          </w:rPr>
          <w:tab/>
        </w:r>
        <w:r>
          <w:rPr>
            <w:noProof/>
            <w:webHidden/>
          </w:rPr>
          <w:tab/>
        </w:r>
      </w:hyperlink>
      <w:r w:rsidR="00800694">
        <w:rPr>
          <w:noProof/>
        </w:rPr>
        <w:t>21-24</w:t>
      </w:r>
      <w:r w:rsidR="00800694">
        <w:rPr>
          <w:noProof/>
        </w:rPr>
        <w:tab/>
      </w:r>
      <w:r w:rsidR="00873A64">
        <w:rPr>
          <w:noProof/>
        </w:rPr>
        <w:t>7</w:t>
      </w:r>
    </w:p>
    <w:p w14:paraId="52728A57" w14:textId="466B00EC" w:rsidR="00695CF0" w:rsidRDefault="00695CF0" w:rsidP="00695CF0">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r>
        <w:rPr>
          <w:rStyle w:val="Hyperlink"/>
          <w:noProof/>
        </w:rPr>
        <w:tab/>
      </w:r>
      <w:hyperlink w:anchor="_Toc528146971" w:history="1">
        <w:r w:rsidRPr="00A01FFC">
          <w:rPr>
            <w:rStyle w:val="Hyperlink"/>
            <w:noProof/>
          </w:rPr>
          <w:t>3.</w:t>
        </w:r>
        <w:r>
          <w:rPr>
            <w:rFonts w:asciiTheme="minorHAnsi" w:eastAsiaTheme="minorEastAsia" w:hAnsiTheme="minorHAnsi" w:cstheme="minorBidi"/>
            <w:noProof/>
            <w:sz w:val="22"/>
            <w:szCs w:val="22"/>
            <w:lang w:val="en-US" w:eastAsia="zh-CN"/>
          </w:rPr>
          <w:tab/>
        </w:r>
        <w:r w:rsidRPr="00D27180">
          <w:rPr>
            <w:noProof/>
          </w:rPr>
          <w:t>Revision</w:t>
        </w:r>
        <w:r w:rsidRPr="00A01FFC">
          <w:rPr>
            <w:rStyle w:val="Hyperlink"/>
            <w:noProof/>
          </w:rPr>
          <w:t xml:space="preserve"> of EN 12830</w:t>
        </w:r>
        <w:r>
          <w:rPr>
            <w:noProof/>
            <w:webHidden/>
          </w:rPr>
          <w:tab/>
        </w:r>
        <w:r>
          <w:rPr>
            <w:noProof/>
            <w:webHidden/>
          </w:rPr>
          <w:tab/>
        </w:r>
      </w:hyperlink>
      <w:r w:rsidR="00800694">
        <w:rPr>
          <w:noProof/>
        </w:rPr>
        <w:t>25-26</w:t>
      </w:r>
      <w:r w:rsidR="00800694">
        <w:rPr>
          <w:noProof/>
        </w:rPr>
        <w:tab/>
      </w:r>
      <w:r w:rsidR="00873A64">
        <w:rPr>
          <w:noProof/>
        </w:rPr>
        <w:t>7</w:t>
      </w:r>
    </w:p>
    <w:p w14:paraId="0F320599" w14:textId="6FC4F230" w:rsidR="00695CF0" w:rsidRDefault="00695CF0" w:rsidP="00695CF0">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r>
        <w:rPr>
          <w:rStyle w:val="Hyperlink"/>
          <w:noProof/>
        </w:rPr>
        <w:tab/>
      </w:r>
      <w:hyperlink w:anchor="_Toc528146972" w:history="1">
        <w:r w:rsidRPr="00A01FFC">
          <w:rPr>
            <w:rStyle w:val="Hyperlink"/>
            <w:noProof/>
          </w:rPr>
          <w:t>4.</w:t>
        </w:r>
        <w:r>
          <w:rPr>
            <w:rFonts w:asciiTheme="minorHAnsi" w:eastAsiaTheme="minorEastAsia" w:hAnsiTheme="minorHAnsi" w:cstheme="minorBidi"/>
            <w:noProof/>
            <w:sz w:val="22"/>
            <w:szCs w:val="22"/>
            <w:lang w:val="en-US" w:eastAsia="zh-CN"/>
          </w:rPr>
          <w:tab/>
        </w:r>
        <w:r w:rsidRPr="00D27180">
          <w:rPr>
            <w:noProof/>
          </w:rPr>
          <w:t>Revision</w:t>
        </w:r>
        <w:r w:rsidRPr="00A01FFC">
          <w:rPr>
            <w:rStyle w:val="Hyperlink"/>
            <w:noProof/>
          </w:rPr>
          <w:t xml:space="preserve"> of EN 13485 and EN 13486</w:t>
        </w:r>
        <w:r>
          <w:rPr>
            <w:noProof/>
            <w:webHidden/>
          </w:rPr>
          <w:tab/>
        </w:r>
        <w:r>
          <w:rPr>
            <w:noProof/>
            <w:webHidden/>
          </w:rPr>
          <w:tab/>
        </w:r>
      </w:hyperlink>
      <w:r w:rsidR="00800694">
        <w:rPr>
          <w:noProof/>
        </w:rPr>
        <w:t>27-28</w:t>
      </w:r>
      <w:r w:rsidR="00800694">
        <w:rPr>
          <w:noProof/>
        </w:rPr>
        <w:tab/>
      </w:r>
      <w:r w:rsidR="00873A64">
        <w:rPr>
          <w:noProof/>
        </w:rPr>
        <w:t>8</w:t>
      </w:r>
    </w:p>
    <w:p w14:paraId="58BAD129" w14:textId="26273EAC" w:rsidR="00695CF0" w:rsidRDefault="00695CF0" w:rsidP="00695CF0">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r>
        <w:rPr>
          <w:rStyle w:val="Hyperlink"/>
          <w:noProof/>
        </w:rPr>
        <w:tab/>
      </w:r>
      <w:hyperlink w:anchor="_Toc528146974" w:history="1">
        <w:r w:rsidRPr="00A01FFC">
          <w:rPr>
            <w:rStyle w:val="Hyperlink"/>
            <w:noProof/>
          </w:rPr>
          <w:t>5.</w:t>
        </w:r>
        <w:r>
          <w:rPr>
            <w:rFonts w:asciiTheme="minorHAnsi" w:eastAsiaTheme="minorEastAsia" w:hAnsiTheme="minorHAnsi" w:cstheme="minorBidi"/>
            <w:noProof/>
            <w:sz w:val="22"/>
            <w:szCs w:val="22"/>
            <w:lang w:val="en-US" w:eastAsia="zh-CN"/>
          </w:rPr>
          <w:tab/>
        </w:r>
        <w:r w:rsidRPr="00D27180">
          <w:rPr>
            <w:noProof/>
          </w:rPr>
          <w:t>ISO</w:t>
        </w:r>
        <w:r w:rsidRPr="00A01FFC">
          <w:rPr>
            <w:rStyle w:val="Hyperlink"/>
            <w:noProof/>
          </w:rPr>
          <w:t xml:space="preserve"> standards </w:t>
        </w:r>
        <w:r>
          <w:rPr>
            <w:noProof/>
            <w:webHidden/>
          </w:rPr>
          <w:tab/>
        </w:r>
        <w:r>
          <w:rPr>
            <w:noProof/>
            <w:webHidden/>
          </w:rPr>
          <w:tab/>
        </w:r>
      </w:hyperlink>
      <w:r w:rsidR="00503CEE">
        <w:rPr>
          <w:noProof/>
        </w:rPr>
        <w:t>29</w:t>
      </w:r>
      <w:r w:rsidR="00503CEE">
        <w:rPr>
          <w:noProof/>
        </w:rPr>
        <w:tab/>
      </w:r>
      <w:r w:rsidR="00873A64">
        <w:rPr>
          <w:noProof/>
        </w:rPr>
        <w:t>8</w:t>
      </w:r>
    </w:p>
    <w:p w14:paraId="11F7073C" w14:textId="621E1F57" w:rsidR="00695CF0" w:rsidRDefault="00695CF0" w:rsidP="00695CF0">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r>
        <w:rPr>
          <w:rStyle w:val="Hyperlink"/>
          <w:noProof/>
        </w:rPr>
        <w:tab/>
      </w:r>
      <w:hyperlink w:anchor="_Toc528146975" w:history="1">
        <w:r w:rsidRPr="00A01FFC">
          <w:rPr>
            <w:rStyle w:val="Hyperlink"/>
            <w:noProof/>
          </w:rPr>
          <w:t>6.</w:t>
        </w:r>
        <w:r>
          <w:rPr>
            <w:rFonts w:asciiTheme="minorHAnsi" w:eastAsiaTheme="minorEastAsia" w:hAnsiTheme="minorHAnsi" w:cstheme="minorBidi"/>
            <w:noProof/>
            <w:sz w:val="22"/>
            <w:szCs w:val="22"/>
            <w:lang w:val="en-US" w:eastAsia="zh-CN"/>
          </w:rPr>
          <w:tab/>
        </w:r>
        <w:r w:rsidRPr="00D27180">
          <w:rPr>
            <w:noProof/>
          </w:rPr>
          <w:t>Other</w:t>
        </w:r>
        <w:r w:rsidRPr="00A01FFC">
          <w:rPr>
            <w:rStyle w:val="Hyperlink"/>
            <w:noProof/>
          </w:rPr>
          <w:t xml:space="preserve"> standardization activities of interest to WP.11</w:t>
        </w:r>
        <w:r>
          <w:rPr>
            <w:noProof/>
            <w:webHidden/>
          </w:rPr>
          <w:tab/>
        </w:r>
        <w:r>
          <w:rPr>
            <w:noProof/>
            <w:webHidden/>
          </w:rPr>
          <w:tab/>
        </w:r>
      </w:hyperlink>
      <w:r w:rsidR="00503CEE">
        <w:rPr>
          <w:noProof/>
        </w:rPr>
        <w:t>3</w:t>
      </w:r>
      <w:r w:rsidR="00F60C1D">
        <w:rPr>
          <w:noProof/>
        </w:rPr>
        <w:t>0</w:t>
      </w:r>
      <w:r w:rsidR="00503CEE">
        <w:rPr>
          <w:noProof/>
        </w:rPr>
        <w:t>-3</w:t>
      </w:r>
      <w:r w:rsidR="00F60C1D">
        <w:rPr>
          <w:noProof/>
        </w:rPr>
        <w:t>1</w:t>
      </w:r>
      <w:r w:rsidR="00503CEE">
        <w:rPr>
          <w:noProof/>
        </w:rPr>
        <w:tab/>
      </w:r>
      <w:r w:rsidR="00873A64">
        <w:rPr>
          <w:noProof/>
        </w:rPr>
        <w:t>8</w:t>
      </w:r>
    </w:p>
    <w:p w14:paraId="4CDD4D81" w14:textId="7DB6092D" w:rsidR="00695CF0" w:rsidRDefault="00695CF0" w:rsidP="00695CF0">
      <w:pPr>
        <w:tabs>
          <w:tab w:val="right" w:pos="850"/>
          <w:tab w:val="left" w:pos="1134"/>
          <w:tab w:val="left" w:pos="1559"/>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val="en-US" w:eastAsia="zh-CN"/>
        </w:rPr>
      </w:pPr>
      <w:r>
        <w:rPr>
          <w:rStyle w:val="Hyperlink"/>
          <w:noProof/>
        </w:rPr>
        <w:tab/>
      </w:r>
      <w:hyperlink w:anchor="_Toc528146976" w:history="1">
        <w:r w:rsidRPr="00A01FFC">
          <w:rPr>
            <w:rStyle w:val="Hyperlink"/>
            <w:noProof/>
          </w:rPr>
          <w:t>V.</w:t>
        </w:r>
        <w:r>
          <w:rPr>
            <w:rFonts w:asciiTheme="minorHAnsi" w:eastAsiaTheme="minorEastAsia" w:hAnsiTheme="minorHAnsi" w:cstheme="minorBidi"/>
            <w:noProof/>
            <w:sz w:val="22"/>
            <w:szCs w:val="22"/>
            <w:lang w:val="en-US" w:eastAsia="zh-CN"/>
          </w:rPr>
          <w:tab/>
        </w:r>
        <w:r w:rsidRPr="00A01FFC">
          <w:rPr>
            <w:rStyle w:val="Hyperlink"/>
            <w:noProof/>
          </w:rPr>
          <w:t xml:space="preserve">Status and implementation of the Agreement on the International Carriage of </w:t>
        </w:r>
        <w:r>
          <w:rPr>
            <w:rStyle w:val="Hyperlink"/>
            <w:noProof/>
          </w:rPr>
          <w:br/>
        </w:r>
        <w:r w:rsidRPr="00A01FFC">
          <w:rPr>
            <w:rStyle w:val="Hyperlink"/>
            <w:noProof/>
          </w:rPr>
          <w:t xml:space="preserve">Perishable Foodstuffs and on the </w:t>
        </w:r>
        <w:r w:rsidRPr="00A5265E">
          <w:rPr>
            <w:noProof/>
          </w:rPr>
          <w:t>Special</w:t>
        </w:r>
        <w:r w:rsidRPr="00A01FFC">
          <w:rPr>
            <w:rStyle w:val="Hyperlink"/>
            <w:noProof/>
          </w:rPr>
          <w:t xml:space="preserve"> Equipment to be Used for such </w:t>
        </w:r>
        <w:r>
          <w:rPr>
            <w:rStyle w:val="Hyperlink"/>
            <w:noProof/>
          </w:rPr>
          <w:br/>
        </w:r>
        <w:r w:rsidRPr="00A01FFC">
          <w:rPr>
            <w:rStyle w:val="Hyperlink"/>
            <w:noProof/>
          </w:rPr>
          <w:t>Carriage (ATP) (agenda item </w:t>
        </w:r>
        <w:r w:rsidR="00D31CC7">
          <w:rPr>
            <w:rStyle w:val="Hyperlink"/>
            <w:noProof/>
          </w:rPr>
          <w:t>4</w:t>
        </w:r>
        <w:r w:rsidRPr="00A01FFC">
          <w:rPr>
            <w:rStyle w:val="Hyperlink"/>
            <w:noProof/>
          </w:rPr>
          <w:t>)</w:t>
        </w:r>
        <w:r>
          <w:rPr>
            <w:noProof/>
            <w:webHidden/>
          </w:rPr>
          <w:tab/>
        </w:r>
        <w:r>
          <w:rPr>
            <w:noProof/>
            <w:webHidden/>
          </w:rPr>
          <w:tab/>
        </w:r>
      </w:hyperlink>
      <w:r w:rsidR="00503CEE">
        <w:rPr>
          <w:noProof/>
        </w:rPr>
        <w:t>3</w:t>
      </w:r>
      <w:r w:rsidR="00F60C1D">
        <w:rPr>
          <w:noProof/>
        </w:rPr>
        <w:t>2</w:t>
      </w:r>
      <w:r w:rsidR="00503CEE">
        <w:rPr>
          <w:noProof/>
        </w:rPr>
        <w:t>-4</w:t>
      </w:r>
      <w:r w:rsidR="00F60C1D">
        <w:rPr>
          <w:noProof/>
        </w:rPr>
        <w:t>1</w:t>
      </w:r>
      <w:r w:rsidR="00503CEE">
        <w:rPr>
          <w:noProof/>
        </w:rPr>
        <w:tab/>
      </w:r>
      <w:r w:rsidR="00873A64">
        <w:rPr>
          <w:noProof/>
        </w:rPr>
        <w:t>9</w:t>
      </w:r>
    </w:p>
    <w:p w14:paraId="60F33D5B" w14:textId="6DBFA02E" w:rsidR="00695CF0" w:rsidRDefault="00695CF0" w:rsidP="00695CF0">
      <w:pPr>
        <w:tabs>
          <w:tab w:val="right" w:pos="850"/>
          <w:tab w:val="left" w:pos="1134"/>
          <w:tab w:val="left" w:pos="1559"/>
          <w:tab w:val="left" w:pos="1984"/>
          <w:tab w:val="left" w:leader="dot" w:pos="7654"/>
          <w:tab w:val="right" w:pos="8929"/>
          <w:tab w:val="right" w:pos="9638"/>
        </w:tabs>
        <w:spacing w:after="110"/>
        <w:ind w:left="1559" w:hanging="1559"/>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hyperlink w:anchor="_Toc528146977" w:history="1">
        <w:r w:rsidRPr="00A01FFC">
          <w:rPr>
            <w:rStyle w:val="Hyperlink"/>
            <w:noProof/>
          </w:rPr>
          <w:t>A.</w:t>
        </w:r>
        <w:r>
          <w:rPr>
            <w:rFonts w:asciiTheme="minorHAnsi" w:eastAsiaTheme="minorEastAsia" w:hAnsiTheme="minorHAnsi" w:cstheme="minorBidi"/>
            <w:noProof/>
            <w:sz w:val="22"/>
            <w:szCs w:val="22"/>
            <w:lang w:val="en-US" w:eastAsia="zh-CN"/>
          </w:rPr>
          <w:tab/>
        </w:r>
        <w:r w:rsidRPr="00A01FFC">
          <w:rPr>
            <w:rStyle w:val="Hyperlink"/>
            <w:noProof/>
          </w:rPr>
          <w:t>Status of application of the Agreement</w:t>
        </w:r>
        <w:r>
          <w:rPr>
            <w:noProof/>
            <w:webHidden/>
          </w:rPr>
          <w:tab/>
        </w:r>
        <w:r>
          <w:rPr>
            <w:noProof/>
            <w:webHidden/>
          </w:rPr>
          <w:tab/>
        </w:r>
      </w:hyperlink>
      <w:r w:rsidR="00503CEE">
        <w:rPr>
          <w:noProof/>
        </w:rPr>
        <w:t>3</w:t>
      </w:r>
      <w:r w:rsidR="00F60C1D">
        <w:rPr>
          <w:noProof/>
        </w:rPr>
        <w:t>2</w:t>
      </w:r>
      <w:r w:rsidR="00503CEE">
        <w:rPr>
          <w:noProof/>
        </w:rPr>
        <w:tab/>
      </w:r>
      <w:r w:rsidR="00873A64">
        <w:rPr>
          <w:noProof/>
        </w:rPr>
        <w:t>9</w:t>
      </w:r>
    </w:p>
    <w:p w14:paraId="6E85B0AF" w14:textId="728AA1D3" w:rsidR="00695CF0" w:rsidRDefault="00695CF0" w:rsidP="00695CF0">
      <w:pPr>
        <w:tabs>
          <w:tab w:val="right" w:pos="850"/>
          <w:tab w:val="left" w:pos="1134"/>
          <w:tab w:val="left" w:pos="1559"/>
          <w:tab w:val="left" w:pos="1984"/>
          <w:tab w:val="left" w:leader="dot" w:pos="7654"/>
          <w:tab w:val="right" w:pos="8929"/>
          <w:tab w:val="right" w:pos="9638"/>
        </w:tabs>
        <w:spacing w:after="110"/>
        <w:ind w:left="1559" w:hanging="1559"/>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hyperlink w:anchor="_Toc528146978" w:history="1">
        <w:r w:rsidRPr="00A01FFC">
          <w:rPr>
            <w:rStyle w:val="Hyperlink"/>
            <w:noProof/>
          </w:rPr>
          <w:t>B.</w:t>
        </w:r>
        <w:r>
          <w:rPr>
            <w:rFonts w:asciiTheme="minorHAnsi" w:eastAsiaTheme="minorEastAsia" w:hAnsiTheme="minorHAnsi" w:cstheme="minorBidi"/>
            <w:noProof/>
            <w:sz w:val="22"/>
            <w:szCs w:val="22"/>
            <w:lang w:val="en-US" w:eastAsia="zh-CN"/>
          </w:rPr>
          <w:tab/>
        </w:r>
        <w:r w:rsidRPr="00A01FFC">
          <w:rPr>
            <w:rStyle w:val="Hyperlink"/>
            <w:noProof/>
          </w:rPr>
          <w:t>Status of amendments</w:t>
        </w:r>
        <w:r>
          <w:rPr>
            <w:noProof/>
            <w:webHidden/>
          </w:rPr>
          <w:tab/>
        </w:r>
        <w:r>
          <w:rPr>
            <w:noProof/>
            <w:webHidden/>
          </w:rPr>
          <w:tab/>
        </w:r>
      </w:hyperlink>
      <w:r w:rsidR="00503CEE">
        <w:rPr>
          <w:noProof/>
        </w:rPr>
        <w:t>3</w:t>
      </w:r>
      <w:r w:rsidR="00F60C1D">
        <w:rPr>
          <w:noProof/>
        </w:rPr>
        <w:t>3</w:t>
      </w:r>
      <w:r w:rsidR="00503CEE">
        <w:rPr>
          <w:noProof/>
        </w:rPr>
        <w:t>-3</w:t>
      </w:r>
      <w:r w:rsidR="00F60C1D">
        <w:rPr>
          <w:noProof/>
        </w:rPr>
        <w:t>5</w:t>
      </w:r>
      <w:r w:rsidR="00503CEE">
        <w:rPr>
          <w:noProof/>
        </w:rPr>
        <w:tab/>
      </w:r>
      <w:r w:rsidR="00873A64">
        <w:rPr>
          <w:noProof/>
        </w:rPr>
        <w:t>9</w:t>
      </w:r>
    </w:p>
    <w:p w14:paraId="19D8279B" w14:textId="2396AA05" w:rsidR="00695CF0" w:rsidRDefault="00695CF0" w:rsidP="00695CF0">
      <w:pPr>
        <w:tabs>
          <w:tab w:val="right" w:pos="850"/>
          <w:tab w:val="left" w:pos="1134"/>
          <w:tab w:val="left" w:pos="1559"/>
          <w:tab w:val="left" w:pos="1984"/>
          <w:tab w:val="left" w:leader="dot" w:pos="7654"/>
          <w:tab w:val="right" w:pos="8929"/>
          <w:tab w:val="right" w:pos="9638"/>
        </w:tabs>
        <w:spacing w:after="110"/>
        <w:ind w:left="1559" w:hanging="1559"/>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hyperlink w:anchor="_Toc528146979" w:history="1">
        <w:r w:rsidRPr="00A01FFC">
          <w:rPr>
            <w:rStyle w:val="Hyperlink"/>
            <w:noProof/>
          </w:rPr>
          <w:t>C.</w:t>
        </w:r>
        <w:r>
          <w:rPr>
            <w:rFonts w:asciiTheme="minorHAnsi" w:eastAsiaTheme="minorEastAsia" w:hAnsiTheme="minorHAnsi" w:cstheme="minorBidi"/>
            <w:noProof/>
            <w:sz w:val="22"/>
            <w:szCs w:val="22"/>
            <w:lang w:val="en-US" w:eastAsia="zh-CN"/>
          </w:rPr>
          <w:tab/>
        </w:r>
        <w:r w:rsidRPr="00A01FFC">
          <w:rPr>
            <w:rStyle w:val="Hyperlink"/>
            <w:noProof/>
          </w:rPr>
          <w:t xml:space="preserve">Test stations officially designated by the competent authorities of </w:t>
        </w:r>
        <w:r>
          <w:rPr>
            <w:rStyle w:val="Hyperlink"/>
            <w:noProof/>
          </w:rPr>
          <w:br/>
        </w:r>
        <w:r w:rsidRPr="00A01FFC">
          <w:rPr>
            <w:rStyle w:val="Hyperlink"/>
            <w:noProof/>
          </w:rPr>
          <w:t>countries Parties to ATP</w:t>
        </w:r>
        <w:r>
          <w:rPr>
            <w:noProof/>
            <w:webHidden/>
          </w:rPr>
          <w:tab/>
        </w:r>
        <w:r>
          <w:rPr>
            <w:noProof/>
            <w:webHidden/>
          </w:rPr>
          <w:tab/>
        </w:r>
      </w:hyperlink>
      <w:r w:rsidR="00503CEE">
        <w:rPr>
          <w:noProof/>
        </w:rPr>
        <w:t>3</w:t>
      </w:r>
      <w:r w:rsidR="00F60C1D">
        <w:rPr>
          <w:noProof/>
        </w:rPr>
        <w:t>6</w:t>
      </w:r>
      <w:r w:rsidR="00503CEE">
        <w:rPr>
          <w:noProof/>
        </w:rPr>
        <w:t>-3</w:t>
      </w:r>
      <w:r w:rsidR="00F60C1D">
        <w:rPr>
          <w:noProof/>
        </w:rPr>
        <w:t>7</w:t>
      </w:r>
      <w:r w:rsidR="00503CEE">
        <w:rPr>
          <w:noProof/>
        </w:rPr>
        <w:tab/>
      </w:r>
      <w:r w:rsidR="00873A64">
        <w:rPr>
          <w:noProof/>
        </w:rPr>
        <w:t>9</w:t>
      </w:r>
    </w:p>
    <w:p w14:paraId="14742CDE" w14:textId="2F6C9E84" w:rsidR="00695CF0" w:rsidRDefault="00695CF0" w:rsidP="00695CF0">
      <w:pPr>
        <w:tabs>
          <w:tab w:val="right" w:pos="850"/>
          <w:tab w:val="left" w:pos="1134"/>
          <w:tab w:val="left" w:pos="1559"/>
          <w:tab w:val="left" w:pos="1984"/>
          <w:tab w:val="left" w:leader="dot" w:pos="7654"/>
          <w:tab w:val="right" w:pos="8929"/>
          <w:tab w:val="right" w:pos="9638"/>
        </w:tabs>
        <w:spacing w:after="110"/>
        <w:ind w:left="1559" w:hanging="1559"/>
        <w:rPr>
          <w:noProof/>
        </w:rPr>
      </w:pPr>
      <w:r>
        <w:rPr>
          <w:rStyle w:val="Hyperlink"/>
          <w:noProof/>
        </w:rPr>
        <w:tab/>
      </w:r>
      <w:r>
        <w:rPr>
          <w:rStyle w:val="Hyperlink"/>
          <w:noProof/>
        </w:rPr>
        <w:tab/>
      </w:r>
      <w:hyperlink w:anchor="_Toc528146980" w:history="1">
        <w:r w:rsidRPr="00A01FFC">
          <w:rPr>
            <w:rStyle w:val="Hyperlink"/>
            <w:noProof/>
          </w:rPr>
          <w:t>D.</w:t>
        </w:r>
        <w:r>
          <w:rPr>
            <w:rFonts w:asciiTheme="minorHAnsi" w:eastAsiaTheme="minorEastAsia" w:hAnsiTheme="minorHAnsi" w:cstheme="minorBidi"/>
            <w:noProof/>
            <w:sz w:val="22"/>
            <w:szCs w:val="22"/>
            <w:lang w:val="en-US" w:eastAsia="zh-CN"/>
          </w:rPr>
          <w:tab/>
        </w:r>
        <w:r w:rsidRPr="00A01FFC">
          <w:rPr>
            <w:rStyle w:val="Hyperlink"/>
            <w:noProof/>
          </w:rPr>
          <w:t>Exchange of information among Parties under Article 6 of ATP</w:t>
        </w:r>
        <w:r>
          <w:rPr>
            <w:noProof/>
            <w:webHidden/>
          </w:rPr>
          <w:tab/>
        </w:r>
        <w:r>
          <w:rPr>
            <w:noProof/>
            <w:webHidden/>
          </w:rPr>
          <w:tab/>
        </w:r>
      </w:hyperlink>
      <w:r w:rsidR="00503CEE">
        <w:rPr>
          <w:noProof/>
        </w:rPr>
        <w:t>3</w:t>
      </w:r>
      <w:r w:rsidR="00F60C1D">
        <w:rPr>
          <w:noProof/>
        </w:rPr>
        <w:t>8-39</w:t>
      </w:r>
      <w:r w:rsidR="00503CEE">
        <w:rPr>
          <w:noProof/>
        </w:rPr>
        <w:tab/>
      </w:r>
      <w:r w:rsidR="00873A64">
        <w:rPr>
          <w:noProof/>
        </w:rPr>
        <w:t>9</w:t>
      </w:r>
    </w:p>
    <w:p w14:paraId="2E7CE390" w14:textId="18113F83" w:rsidR="00D31CC7" w:rsidRDefault="00D31CC7" w:rsidP="00695CF0">
      <w:pPr>
        <w:tabs>
          <w:tab w:val="right" w:pos="850"/>
          <w:tab w:val="left" w:pos="1134"/>
          <w:tab w:val="left" w:pos="1559"/>
          <w:tab w:val="left" w:pos="1984"/>
          <w:tab w:val="left" w:leader="dot" w:pos="7654"/>
          <w:tab w:val="right" w:pos="8929"/>
          <w:tab w:val="right" w:pos="9638"/>
        </w:tabs>
        <w:spacing w:after="110"/>
        <w:ind w:left="1559" w:hanging="1559"/>
        <w:rPr>
          <w:noProof/>
        </w:rPr>
      </w:pPr>
      <w:r>
        <w:rPr>
          <w:noProof/>
        </w:rPr>
        <w:tab/>
      </w:r>
      <w:r>
        <w:rPr>
          <w:noProof/>
        </w:rPr>
        <w:tab/>
        <w:t>E.</w:t>
      </w:r>
      <w:r>
        <w:rPr>
          <w:noProof/>
        </w:rPr>
        <w:tab/>
        <w:t>Exchange of good practices for better implementation of ATP</w:t>
      </w:r>
      <w:r>
        <w:rPr>
          <w:noProof/>
        </w:rPr>
        <w:tab/>
      </w:r>
      <w:r w:rsidR="008A3C07">
        <w:rPr>
          <w:noProof/>
        </w:rPr>
        <w:tab/>
      </w:r>
      <w:r w:rsidR="00503CEE">
        <w:rPr>
          <w:noProof/>
        </w:rPr>
        <w:t>4</w:t>
      </w:r>
      <w:r w:rsidR="00F60C1D">
        <w:rPr>
          <w:noProof/>
        </w:rPr>
        <w:t>0</w:t>
      </w:r>
      <w:r w:rsidR="00503CEE">
        <w:rPr>
          <w:noProof/>
        </w:rPr>
        <w:tab/>
        <w:t>1</w:t>
      </w:r>
      <w:r w:rsidR="00873A64">
        <w:rPr>
          <w:noProof/>
        </w:rPr>
        <w:t>0</w:t>
      </w:r>
    </w:p>
    <w:p w14:paraId="47EA0608" w14:textId="68C9842F" w:rsidR="00695CF0" w:rsidRDefault="00695CF0" w:rsidP="00695CF0">
      <w:pPr>
        <w:tabs>
          <w:tab w:val="right" w:pos="850"/>
          <w:tab w:val="left" w:pos="1134"/>
          <w:tab w:val="left" w:pos="1559"/>
          <w:tab w:val="left" w:pos="1984"/>
          <w:tab w:val="left" w:leader="dot" w:pos="7654"/>
          <w:tab w:val="right" w:pos="8929"/>
          <w:tab w:val="right" w:pos="9638"/>
        </w:tabs>
        <w:spacing w:after="110"/>
        <w:ind w:left="1559" w:hanging="1559"/>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hyperlink w:anchor="_Toc528146981" w:history="1">
        <w:r w:rsidR="00D31CC7">
          <w:rPr>
            <w:rStyle w:val="Hyperlink"/>
            <w:noProof/>
          </w:rPr>
          <w:t>F</w:t>
        </w:r>
        <w:r w:rsidRPr="00A01FFC">
          <w:rPr>
            <w:rStyle w:val="Hyperlink"/>
            <w:noProof/>
          </w:rPr>
          <w:t>.</w:t>
        </w:r>
        <w:r>
          <w:rPr>
            <w:rFonts w:asciiTheme="minorHAnsi" w:eastAsiaTheme="minorEastAsia" w:hAnsiTheme="minorHAnsi" w:cstheme="minorBidi"/>
            <w:noProof/>
            <w:sz w:val="22"/>
            <w:szCs w:val="22"/>
            <w:lang w:val="en-US" w:eastAsia="zh-CN"/>
          </w:rPr>
          <w:tab/>
        </w:r>
        <w:r w:rsidRPr="00A01FFC">
          <w:rPr>
            <w:rStyle w:val="Hyperlink"/>
            <w:noProof/>
          </w:rPr>
          <w:t>Interpretation of ATP</w:t>
        </w:r>
        <w:r>
          <w:rPr>
            <w:noProof/>
            <w:webHidden/>
          </w:rPr>
          <w:tab/>
        </w:r>
        <w:r>
          <w:rPr>
            <w:noProof/>
            <w:webHidden/>
          </w:rPr>
          <w:tab/>
        </w:r>
      </w:hyperlink>
      <w:r w:rsidR="00503CEE">
        <w:rPr>
          <w:noProof/>
        </w:rPr>
        <w:t>4</w:t>
      </w:r>
      <w:r w:rsidR="00F60C1D">
        <w:rPr>
          <w:noProof/>
        </w:rPr>
        <w:t>1</w:t>
      </w:r>
      <w:r w:rsidR="00503CEE">
        <w:rPr>
          <w:noProof/>
        </w:rPr>
        <w:tab/>
        <w:t>1</w:t>
      </w:r>
      <w:r w:rsidR="00873A64">
        <w:rPr>
          <w:noProof/>
        </w:rPr>
        <w:t>0</w:t>
      </w:r>
    </w:p>
    <w:p w14:paraId="4F16E0B0" w14:textId="722CE9CB" w:rsidR="00695CF0" w:rsidRDefault="00695CF0" w:rsidP="00503CEE">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rStyle w:val="Hyperlink"/>
          <w:noProof/>
        </w:rPr>
        <w:tab/>
      </w:r>
      <w:hyperlink w:anchor="_Toc528146984" w:history="1">
        <w:r w:rsidRPr="00A01FFC">
          <w:rPr>
            <w:rStyle w:val="Hyperlink"/>
            <w:noProof/>
          </w:rPr>
          <w:t>VI.</w:t>
        </w:r>
        <w:r>
          <w:rPr>
            <w:rFonts w:asciiTheme="minorHAnsi" w:eastAsiaTheme="minorEastAsia" w:hAnsiTheme="minorHAnsi" w:cstheme="minorBidi"/>
            <w:noProof/>
            <w:sz w:val="22"/>
            <w:szCs w:val="22"/>
            <w:lang w:val="en-US" w:eastAsia="zh-CN"/>
          </w:rPr>
          <w:tab/>
        </w:r>
        <w:r w:rsidRPr="00A01FFC">
          <w:rPr>
            <w:rStyle w:val="Hyperlink"/>
            <w:noProof/>
          </w:rPr>
          <w:t>Proposals of amendments to ATP (agenda item </w:t>
        </w:r>
        <w:r w:rsidR="00AB3843">
          <w:rPr>
            <w:rStyle w:val="Hyperlink"/>
            <w:noProof/>
          </w:rPr>
          <w:t>5</w:t>
        </w:r>
        <w:r w:rsidRPr="00A01FFC">
          <w:rPr>
            <w:rStyle w:val="Hyperlink"/>
            <w:noProof/>
          </w:rPr>
          <w:t>)</w:t>
        </w:r>
        <w:r>
          <w:rPr>
            <w:noProof/>
            <w:webHidden/>
          </w:rPr>
          <w:tab/>
        </w:r>
        <w:r>
          <w:rPr>
            <w:noProof/>
            <w:webHidden/>
          </w:rPr>
          <w:tab/>
        </w:r>
      </w:hyperlink>
      <w:r w:rsidR="00503CEE">
        <w:rPr>
          <w:noProof/>
        </w:rPr>
        <w:t>4</w:t>
      </w:r>
      <w:r w:rsidR="00F60C1D">
        <w:rPr>
          <w:noProof/>
        </w:rPr>
        <w:t>2</w:t>
      </w:r>
      <w:r w:rsidR="00503CEE">
        <w:rPr>
          <w:noProof/>
        </w:rPr>
        <w:t>-9</w:t>
      </w:r>
      <w:r w:rsidR="00F60C1D">
        <w:rPr>
          <w:noProof/>
        </w:rPr>
        <w:t>5</w:t>
      </w:r>
      <w:r w:rsidR="00503CEE">
        <w:rPr>
          <w:noProof/>
        </w:rPr>
        <w:tab/>
        <w:t>1</w:t>
      </w:r>
      <w:r w:rsidR="00873A64">
        <w:rPr>
          <w:noProof/>
        </w:rPr>
        <w:t>0</w:t>
      </w:r>
    </w:p>
    <w:p w14:paraId="3BB68E03" w14:textId="0C94B4E5" w:rsidR="00695CF0" w:rsidRDefault="00695CF0" w:rsidP="00695CF0">
      <w:pPr>
        <w:keepNext/>
        <w:keepLines/>
        <w:tabs>
          <w:tab w:val="right" w:pos="850"/>
          <w:tab w:val="left" w:pos="1134"/>
          <w:tab w:val="left" w:pos="1559"/>
          <w:tab w:val="left" w:pos="1984"/>
          <w:tab w:val="left" w:leader="dot" w:pos="7654"/>
          <w:tab w:val="right" w:pos="8929"/>
          <w:tab w:val="right" w:pos="9638"/>
        </w:tabs>
        <w:spacing w:after="110"/>
        <w:ind w:left="1559" w:hanging="1559"/>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hyperlink w:anchor="_Toc528146985" w:history="1">
        <w:r w:rsidRPr="00A01FFC">
          <w:rPr>
            <w:rStyle w:val="Hyperlink"/>
            <w:noProof/>
          </w:rPr>
          <w:t>A.</w:t>
        </w:r>
        <w:r>
          <w:rPr>
            <w:rFonts w:asciiTheme="minorHAnsi" w:eastAsiaTheme="minorEastAsia" w:hAnsiTheme="minorHAnsi" w:cstheme="minorBidi"/>
            <w:noProof/>
            <w:sz w:val="22"/>
            <w:szCs w:val="22"/>
            <w:lang w:val="en-US" w:eastAsia="zh-CN"/>
          </w:rPr>
          <w:tab/>
        </w:r>
        <w:r w:rsidRPr="00A01FFC">
          <w:rPr>
            <w:rStyle w:val="Hyperlink"/>
            <w:noProof/>
          </w:rPr>
          <w:t>Pending proposals</w:t>
        </w:r>
        <w:r>
          <w:rPr>
            <w:noProof/>
            <w:webHidden/>
          </w:rPr>
          <w:tab/>
        </w:r>
        <w:r>
          <w:rPr>
            <w:noProof/>
            <w:webHidden/>
          </w:rPr>
          <w:tab/>
        </w:r>
      </w:hyperlink>
      <w:r w:rsidR="00503CEE">
        <w:rPr>
          <w:noProof/>
        </w:rPr>
        <w:t>4</w:t>
      </w:r>
      <w:r w:rsidR="00F60C1D">
        <w:rPr>
          <w:noProof/>
        </w:rPr>
        <w:t>2</w:t>
      </w:r>
      <w:r w:rsidR="00503CEE">
        <w:rPr>
          <w:noProof/>
        </w:rPr>
        <w:tab/>
        <w:t>1</w:t>
      </w:r>
      <w:r w:rsidR="00873A64">
        <w:rPr>
          <w:noProof/>
        </w:rPr>
        <w:t>0</w:t>
      </w:r>
    </w:p>
    <w:p w14:paraId="6782A716" w14:textId="6C21D229" w:rsidR="00695CF0" w:rsidRDefault="008A3C07" w:rsidP="008A3C07">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noProof/>
        </w:rPr>
        <w:tab/>
      </w:r>
      <w:r w:rsidR="00695CF0">
        <w:rPr>
          <w:rStyle w:val="Hyperlink"/>
          <w:noProof/>
        </w:rPr>
        <w:tab/>
      </w:r>
      <w:hyperlink w:anchor="_Toc528146998" w:history="1">
        <w:r w:rsidR="00695CF0" w:rsidRPr="00A01FFC">
          <w:rPr>
            <w:rStyle w:val="Hyperlink"/>
            <w:noProof/>
          </w:rPr>
          <w:t>B.</w:t>
        </w:r>
        <w:r w:rsidR="00695CF0">
          <w:rPr>
            <w:rFonts w:asciiTheme="minorHAnsi" w:eastAsiaTheme="minorEastAsia" w:hAnsiTheme="minorHAnsi" w:cstheme="minorBidi"/>
            <w:noProof/>
            <w:sz w:val="22"/>
            <w:szCs w:val="22"/>
            <w:lang w:val="en-US" w:eastAsia="zh-CN"/>
          </w:rPr>
          <w:tab/>
        </w:r>
        <w:r w:rsidR="00695CF0" w:rsidRPr="00A01FFC">
          <w:rPr>
            <w:rStyle w:val="Hyperlink"/>
            <w:noProof/>
          </w:rPr>
          <w:t>New proposals</w:t>
        </w:r>
        <w:r w:rsidR="00695CF0">
          <w:rPr>
            <w:noProof/>
            <w:webHidden/>
          </w:rPr>
          <w:tab/>
        </w:r>
        <w:r w:rsidR="00695CF0">
          <w:rPr>
            <w:noProof/>
            <w:webHidden/>
          </w:rPr>
          <w:tab/>
        </w:r>
      </w:hyperlink>
      <w:r>
        <w:rPr>
          <w:noProof/>
        </w:rPr>
        <w:tab/>
      </w:r>
      <w:r w:rsidR="00503CEE">
        <w:rPr>
          <w:noProof/>
        </w:rPr>
        <w:t>1</w:t>
      </w:r>
      <w:r w:rsidR="00873A64">
        <w:rPr>
          <w:noProof/>
        </w:rPr>
        <w:t>0</w:t>
      </w:r>
    </w:p>
    <w:p w14:paraId="1A50D94D" w14:textId="53185AE7" w:rsidR="00695CF0" w:rsidRDefault="00695CF0" w:rsidP="00695CF0">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r>
        <w:rPr>
          <w:rStyle w:val="Hyperlink"/>
          <w:noProof/>
        </w:rPr>
        <w:tab/>
      </w:r>
      <w:hyperlink w:anchor="_Toc528146999" w:history="1">
        <w:r w:rsidRPr="00A01FFC">
          <w:rPr>
            <w:rStyle w:val="Hyperlink"/>
            <w:noProof/>
          </w:rPr>
          <w:t>1.</w:t>
        </w:r>
        <w:r>
          <w:rPr>
            <w:rFonts w:asciiTheme="minorHAnsi" w:eastAsiaTheme="minorEastAsia" w:hAnsiTheme="minorHAnsi" w:cstheme="minorBidi"/>
            <w:noProof/>
            <w:sz w:val="22"/>
            <w:szCs w:val="22"/>
            <w:lang w:val="en-US" w:eastAsia="zh-CN"/>
          </w:rPr>
          <w:tab/>
        </w:r>
        <w:r w:rsidR="00AB3843">
          <w:t>Proposal to amend Annex 1, Section 2: Definition of thermal appliances</w:t>
        </w:r>
        <w:r>
          <w:rPr>
            <w:noProof/>
            <w:webHidden/>
          </w:rPr>
          <w:tab/>
        </w:r>
      </w:hyperlink>
      <w:r w:rsidR="00503CEE">
        <w:rPr>
          <w:noProof/>
        </w:rPr>
        <w:t>4</w:t>
      </w:r>
      <w:r w:rsidR="00F60C1D">
        <w:rPr>
          <w:noProof/>
        </w:rPr>
        <w:t>3</w:t>
      </w:r>
      <w:r w:rsidR="00503CEE">
        <w:rPr>
          <w:noProof/>
        </w:rPr>
        <w:t>-4</w:t>
      </w:r>
      <w:r w:rsidR="00F60C1D">
        <w:rPr>
          <w:noProof/>
        </w:rPr>
        <w:t>4</w:t>
      </w:r>
      <w:r w:rsidR="00503CEE">
        <w:rPr>
          <w:noProof/>
        </w:rPr>
        <w:tab/>
        <w:t>1</w:t>
      </w:r>
      <w:r w:rsidR="00873A64">
        <w:rPr>
          <w:noProof/>
        </w:rPr>
        <w:t>0</w:t>
      </w:r>
    </w:p>
    <w:p w14:paraId="2AAD1E70" w14:textId="66E1DACB" w:rsidR="00695CF0" w:rsidRDefault="00695CF0" w:rsidP="00695CF0">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r>
        <w:rPr>
          <w:rStyle w:val="Hyperlink"/>
          <w:noProof/>
        </w:rPr>
        <w:tab/>
      </w:r>
      <w:hyperlink w:anchor="_Toc528147000" w:history="1">
        <w:r w:rsidRPr="00A01FFC">
          <w:rPr>
            <w:rStyle w:val="Hyperlink"/>
            <w:noProof/>
          </w:rPr>
          <w:t>2.</w:t>
        </w:r>
        <w:r>
          <w:rPr>
            <w:rFonts w:asciiTheme="minorHAnsi" w:eastAsiaTheme="minorEastAsia" w:hAnsiTheme="minorHAnsi" w:cstheme="minorBidi"/>
            <w:noProof/>
            <w:sz w:val="22"/>
            <w:szCs w:val="22"/>
            <w:lang w:val="en-US" w:eastAsia="zh-CN"/>
          </w:rPr>
          <w:tab/>
        </w:r>
        <w:r w:rsidR="00AB3843">
          <w:t xml:space="preserve">Proposal to amend Annex 1, Appendix 1, Section 6: Harmonization </w:t>
        </w:r>
        <w:r w:rsidR="00AB3843">
          <w:br/>
          <w:t>of wording</w:t>
        </w:r>
        <w:r>
          <w:rPr>
            <w:noProof/>
            <w:webHidden/>
          </w:rPr>
          <w:tab/>
        </w:r>
        <w:r>
          <w:rPr>
            <w:noProof/>
            <w:webHidden/>
          </w:rPr>
          <w:tab/>
        </w:r>
      </w:hyperlink>
      <w:r w:rsidR="00503CEE">
        <w:rPr>
          <w:noProof/>
        </w:rPr>
        <w:t>4</w:t>
      </w:r>
      <w:r w:rsidR="00F60C1D">
        <w:rPr>
          <w:noProof/>
        </w:rPr>
        <w:t>5</w:t>
      </w:r>
      <w:r w:rsidR="00503CEE">
        <w:rPr>
          <w:noProof/>
        </w:rPr>
        <w:t>-4</w:t>
      </w:r>
      <w:r w:rsidR="00F60C1D">
        <w:rPr>
          <w:noProof/>
        </w:rPr>
        <w:t>6</w:t>
      </w:r>
      <w:r w:rsidR="00503CEE">
        <w:rPr>
          <w:noProof/>
        </w:rPr>
        <w:tab/>
        <w:t>1</w:t>
      </w:r>
      <w:r w:rsidR="00873A64">
        <w:rPr>
          <w:noProof/>
        </w:rPr>
        <w:t>0</w:t>
      </w:r>
    </w:p>
    <w:p w14:paraId="4E7582C2" w14:textId="11BE62E6" w:rsidR="00695CF0" w:rsidRDefault="00695CF0" w:rsidP="00695CF0">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r>
        <w:rPr>
          <w:rStyle w:val="Hyperlink"/>
          <w:noProof/>
        </w:rPr>
        <w:tab/>
      </w:r>
      <w:hyperlink w:anchor="_Toc528147001" w:history="1">
        <w:r w:rsidRPr="00A01FFC">
          <w:rPr>
            <w:rStyle w:val="Hyperlink"/>
            <w:noProof/>
          </w:rPr>
          <w:t>3.</w:t>
        </w:r>
        <w:r>
          <w:rPr>
            <w:rFonts w:asciiTheme="minorHAnsi" w:eastAsiaTheme="minorEastAsia" w:hAnsiTheme="minorHAnsi" w:cstheme="minorBidi"/>
            <w:noProof/>
            <w:sz w:val="22"/>
            <w:szCs w:val="22"/>
            <w:lang w:val="en-US" w:eastAsia="zh-CN"/>
          </w:rPr>
          <w:tab/>
        </w:r>
      </w:hyperlink>
      <w:r w:rsidR="00AB3843">
        <w:t xml:space="preserve">Proposal to amend Annex 1, Appendix 1, Section 6 (a) and (b): </w:t>
      </w:r>
      <w:r w:rsidR="00AB3843">
        <w:br/>
        <w:t>Validity of test reports for mechanical refrigeration units</w:t>
      </w:r>
      <w:r w:rsidR="00AB3843">
        <w:tab/>
      </w:r>
      <w:r w:rsidR="00AB3843">
        <w:tab/>
      </w:r>
      <w:r w:rsidR="00503CEE">
        <w:t>4</w:t>
      </w:r>
      <w:r w:rsidR="00F60C1D">
        <w:t>7</w:t>
      </w:r>
      <w:r w:rsidR="00503CEE">
        <w:t>-49</w:t>
      </w:r>
      <w:r w:rsidR="00503CEE">
        <w:tab/>
        <w:t>1</w:t>
      </w:r>
      <w:r w:rsidR="00873A64">
        <w:t>0</w:t>
      </w:r>
    </w:p>
    <w:p w14:paraId="0A73904B" w14:textId="18F423BA" w:rsidR="00695CF0" w:rsidRDefault="00695CF0" w:rsidP="00695CF0">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r>
        <w:rPr>
          <w:rStyle w:val="Hyperlink"/>
          <w:noProof/>
        </w:rPr>
        <w:tab/>
      </w:r>
      <w:r w:rsidR="00503CEE">
        <w:rPr>
          <w:rStyle w:val="Hyperlink"/>
          <w:noProof/>
        </w:rPr>
        <w:t>4</w:t>
      </w:r>
      <w:r w:rsidR="00AB3843">
        <w:rPr>
          <w:rStyle w:val="Hyperlink"/>
          <w:noProof/>
        </w:rPr>
        <w:t>.</w:t>
      </w:r>
      <w:r w:rsidR="00AB3843">
        <w:rPr>
          <w:rStyle w:val="Hyperlink"/>
          <w:noProof/>
        </w:rPr>
        <w:tab/>
      </w:r>
      <w:r w:rsidR="00AB3843">
        <w:t>Degrees Celsius and Kelvin</w:t>
      </w:r>
      <w:r w:rsidR="00AB3843">
        <w:tab/>
      </w:r>
      <w:r w:rsidR="00AB3843">
        <w:tab/>
      </w:r>
      <w:r w:rsidR="00503CEE">
        <w:t>5</w:t>
      </w:r>
      <w:r w:rsidR="00F60C1D">
        <w:t>0</w:t>
      </w:r>
      <w:r w:rsidR="00503CEE">
        <w:tab/>
        <w:t>1</w:t>
      </w:r>
      <w:r w:rsidR="00873A64">
        <w:t>1</w:t>
      </w:r>
    </w:p>
    <w:p w14:paraId="0E733EA1" w14:textId="711060EF" w:rsidR="00695CF0" w:rsidRDefault="00695CF0" w:rsidP="00503CEE">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r>
        <w:rPr>
          <w:rStyle w:val="Hyperlink"/>
          <w:noProof/>
        </w:rPr>
        <w:tab/>
      </w:r>
      <w:hyperlink w:anchor="_Toc528147004" w:history="1">
        <w:r w:rsidR="00503CEE">
          <w:rPr>
            <w:rStyle w:val="Hyperlink"/>
            <w:noProof/>
          </w:rPr>
          <w:t>5</w:t>
        </w:r>
        <w:r w:rsidRPr="00A01FFC">
          <w:rPr>
            <w:rStyle w:val="Hyperlink"/>
            <w:noProof/>
          </w:rPr>
          <w:t>.</w:t>
        </w:r>
        <w:r>
          <w:rPr>
            <w:rFonts w:asciiTheme="minorHAnsi" w:eastAsiaTheme="minorEastAsia" w:hAnsiTheme="minorHAnsi" w:cstheme="minorBidi"/>
            <w:noProof/>
            <w:sz w:val="22"/>
            <w:szCs w:val="22"/>
            <w:lang w:val="en-US" w:eastAsia="zh-CN"/>
          </w:rPr>
          <w:tab/>
        </w:r>
      </w:hyperlink>
      <w:r w:rsidR="00503CEE">
        <w:t>Amendment to Annex 1, Appendix 3</w:t>
      </w:r>
      <w:r w:rsidR="00503CEE">
        <w:tab/>
      </w:r>
      <w:r w:rsidR="00503CEE">
        <w:tab/>
        <w:t>5</w:t>
      </w:r>
      <w:r w:rsidR="00F60C1D">
        <w:t>1</w:t>
      </w:r>
      <w:r w:rsidR="00503CEE">
        <w:tab/>
        <w:t>1</w:t>
      </w:r>
      <w:r w:rsidR="00873A64">
        <w:t>1</w:t>
      </w:r>
    </w:p>
    <w:p w14:paraId="48B0B157" w14:textId="360CDC91" w:rsidR="00695CF0" w:rsidRDefault="00695CF0" w:rsidP="00503CEE">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r>
        <w:rPr>
          <w:rStyle w:val="Hyperlink"/>
          <w:noProof/>
        </w:rPr>
        <w:tab/>
      </w:r>
      <w:r w:rsidR="00503CEE">
        <w:rPr>
          <w:rStyle w:val="Hyperlink"/>
          <w:noProof/>
        </w:rPr>
        <w:t>6.</w:t>
      </w:r>
      <w:r w:rsidR="00503CEE">
        <w:rPr>
          <w:rStyle w:val="Hyperlink"/>
          <w:noProof/>
        </w:rPr>
        <w:tab/>
      </w:r>
      <w:r w:rsidR="00503CEE">
        <w:t>Amendment to Annex 1, Appendix 2</w:t>
      </w:r>
      <w:r w:rsidR="00503CEE">
        <w:tab/>
      </w:r>
      <w:r w:rsidR="00503CEE">
        <w:tab/>
        <w:t>5</w:t>
      </w:r>
      <w:r w:rsidR="00F60C1D">
        <w:t>2</w:t>
      </w:r>
      <w:r w:rsidR="00503CEE">
        <w:tab/>
        <w:t>1</w:t>
      </w:r>
      <w:r w:rsidR="00873A64">
        <w:t>1</w:t>
      </w:r>
    </w:p>
    <w:p w14:paraId="0B8F8A2E" w14:textId="2919518D" w:rsidR="00524C4D" w:rsidRDefault="00695CF0" w:rsidP="00503CEE">
      <w:pPr>
        <w:tabs>
          <w:tab w:val="right" w:pos="850"/>
          <w:tab w:val="left" w:pos="1134"/>
          <w:tab w:val="left" w:pos="1559"/>
          <w:tab w:val="left" w:pos="1984"/>
          <w:tab w:val="left" w:leader="dot" w:pos="7654"/>
          <w:tab w:val="right" w:pos="8929"/>
          <w:tab w:val="right" w:pos="9638"/>
        </w:tabs>
        <w:spacing w:after="110"/>
        <w:ind w:left="1980" w:hanging="1980"/>
        <w:rPr>
          <w:rStyle w:val="Hyperlink"/>
          <w:noProof/>
        </w:rPr>
      </w:pPr>
      <w:r>
        <w:rPr>
          <w:rStyle w:val="Hyperlink"/>
          <w:noProof/>
        </w:rPr>
        <w:tab/>
      </w:r>
      <w:r w:rsidR="00503CEE">
        <w:rPr>
          <w:rStyle w:val="Hyperlink"/>
          <w:noProof/>
        </w:rPr>
        <w:tab/>
      </w:r>
      <w:r w:rsidR="00503CEE">
        <w:rPr>
          <w:rStyle w:val="Hyperlink"/>
          <w:noProof/>
        </w:rPr>
        <w:tab/>
        <w:t>7.</w:t>
      </w:r>
      <w:r w:rsidR="00503CEE">
        <w:rPr>
          <w:rStyle w:val="Hyperlink"/>
          <w:noProof/>
        </w:rPr>
        <w:tab/>
        <w:t>Proposals improving test reports and ATP certificate of conformity</w:t>
      </w:r>
      <w:r w:rsidR="00503CEE">
        <w:rPr>
          <w:rStyle w:val="Hyperlink"/>
          <w:noProof/>
        </w:rPr>
        <w:tab/>
      </w:r>
      <w:r w:rsidR="00503CEE">
        <w:rPr>
          <w:rStyle w:val="Hyperlink"/>
          <w:noProof/>
        </w:rPr>
        <w:tab/>
        <w:t>5</w:t>
      </w:r>
      <w:r w:rsidR="00F60C1D">
        <w:rPr>
          <w:rStyle w:val="Hyperlink"/>
          <w:noProof/>
        </w:rPr>
        <w:t>3</w:t>
      </w:r>
      <w:r w:rsidR="00503CEE">
        <w:rPr>
          <w:rStyle w:val="Hyperlink"/>
          <w:noProof/>
        </w:rPr>
        <w:t>-57</w:t>
      </w:r>
      <w:r w:rsidR="00503CEE">
        <w:rPr>
          <w:rStyle w:val="Hyperlink"/>
          <w:noProof/>
        </w:rPr>
        <w:tab/>
        <w:t>1</w:t>
      </w:r>
      <w:r w:rsidR="00873A64">
        <w:rPr>
          <w:rStyle w:val="Hyperlink"/>
          <w:noProof/>
        </w:rPr>
        <w:t>1</w:t>
      </w:r>
    </w:p>
    <w:p w14:paraId="10435874" w14:textId="658AE8AA" w:rsidR="00503CEE" w:rsidRDefault="00503CEE" w:rsidP="00503CEE">
      <w:pPr>
        <w:tabs>
          <w:tab w:val="right" w:pos="850"/>
          <w:tab w:val="left" w:pos="1134"/>
          <w:tab w:val="left" w:pos="1559"/>
          <w:tab w:val="left" w:pos="1984"/>
          <w:tab w:val="left" w:leader="dot" w:pos="7654"/>
          <w:tab w:val="right" w:pos="8929"/>
          <w:tab w:val="right" w:pos="9638"/>
        </w:tabs>
        <w:spacing w:after="110"/>
        <w:ind w:left="1980" w:hanging="1980"/>
        <w:rPr>
          <w:rStyle w:val="Hyperlink"/>
          <w:noProof/>
        </w:rPr>
      </w:pPr>
      <w:r>
        <w:rPr>
          <w:rStyle w:val="Hyperlink"/>
          <w:noProof/>
        </w:rPr>
        <w:tab/>
      </w:r>
      <w:r>
        <w:rPr>
          <w:rStyle w:val="Hyperlink"/>
          <w:noProof/>
        </w:rPr>
        <w:tab/>
      </w:r>
      <w:r>
        <w:rPr>
          <w:rStyle w:val="Hyperlink"/>
          <w:noProof/>
        </w:rPr>
        <w:tab/>
        <w:t>8.</w:t>
      </w:r>
      <w:r>
        <w:rPr>
          <w:rStyle w:val="Hyperlink"/>
          <w:noProof/>
        </w:rPr>
        <w:tab/>
        <w:t xml:space="preserve">procedure for measuring the power of single-emitter dual-temperature </w:t>
      </w:r>
      <w:r w:rsidR="007C4C5F">
        <w:rPr>
          <w:rStyle w:val="Hyperlink"/>
          <w:noProof/>
        </w:rPr>
        <w:br/>
      </w:r>
      <w:r>
        <w:rPr>
          <w:rStyle w:val="Hyperlink"/>
          <w:noProof/>
        </w:rPr>
        <w:t>refrigerated and mechanically refrigerated units</w:t>
      </w:r>
      <w:r w:rsidR="007C4C5F">
        <w:rPr>
          <w:rStyle w:val="Hyperlink"/>
          <w:noProof/>
        </w:rPr>
        <w:tab/>
      </w:r>
      <w:r w:rsidR="007C4C5F">
        <w:rPr>
          <w:rStyle w:val="Hyperlink"/>
          <w:noProof/>
        </w:rPr>
        <w:tab/>
        <w:t>58-60</w:t>
      </w:r>
      <w:r w:rsidR="007C4C5F">
        <w:rPr>
          <w:rStyle w:val="Hyperlink"/>
          <w:noProof/>
        </w:rPr>
        <w:tab/>
        <w:t>1</w:t>
      </w:r>
      <w:r w:rsidR="00873A64">
        <w:rPr>
          <w:rStyle w:val="Hyperlink"/>
          <w:noProof/>
        </w:rPr>
        <w:t>2</w:t>
      </w:r>
    </w:p>
    <w:p w14:paraId="14D8C98A" w14:textId="0B438585" w:rsidR="007C4C5F" w:rsidRDefault="007C4C5F" w:rsidP="00503CEE">
      <w:pPr>
        <w:tabs>
          <w:tab w:val="right" w:pos="850"/>
          <w:tab w:val="left" w:pos="1134"/>
          <w:tab w:val="left" w:pos="1559"/>
          <w:tab w:val="left" w:pos="1984"/>
          <w:tab w:val="left" w:leader="dot" w:pos="7654"/>
          <w:tab w:val="right" w:pos="8929"/>
          <w:tab w:val="right" w:pos="9638"/>
        </w:tabs>
        <w:spacing w:after="110"/>
        <w:ind w:left="1980" w:hanging="1980"/>
        <w:rPr>
          <w:rStyle w:val="Hyperlink"/>
          <w:noProof/>
        </w:rPr>
      </w:pPr>
      <w:r>
        <w:rPr>
          <w:rStyle w:val="Hyperlink"/>
          <w:noProof/>
        </w:rPr>
        <w:lastRenderedPageBreak/>
        <w:tab/>
      </w:r>
      <w:r>
        <w:rPr>
          <w:rStyle w:val="Hyperlink"/>
          <w:noProof/>
        </w:rPr>
        <w:tab/>
      </w:r>
      <w:r>
        <w:rPr>
          <w:rStyle w:val="Hyperlink"/>
          <w:noProof/>
        </w:rPr>
        <w:tab/>
        <w:t>9.</w:t>
      </w:r>
      <w:r>
        <w:rPr>
          <w:rStyle w:val="Hyperlink"/>
          <w:noProof/>
        </w:rPr>
        <w:tab/>
        <w:t xml:space="preserve">Proposed amendment to Annex 1, Appendix 2, paragraph 6.5 Cool </w:t>
      </w:r>
      <w:r>
        <w:rPr>
          <w:rStyle w:val="Hyperlink"/>
          <w:noProof/>
        </w:rPr>
        <w:br/>
        <w:t>down test, measuring the outside temperature</w:t>
      </w:r>
      <w:r>
        <w:rPr>
          <w:rStyle w:val="Hyperlink"/>
          <w:noProof/>
        </w:rPr>
        <w:tab/>
      </w:r>
      <w:r>
        <w:rPr>
          <w:rStyle w:val="Hyperlink"/>
          <w:noProof/>
        </w:rPr>
        <w:tab/>
        <w:t>61</w:t>
      </w:r>
      <w:r>
        <w:rPr>
          <w:rStyle w:val="Hyperlink"/>
          <w:noProof/>
        </w:rPr>
        <w:tab/>
        <w:t>1</w:t>
      </w:r>
      <w:r w:rsidR="00873A64">
        <w:rPr>
          <w:rStyle w:val="Hyperlink"/>
          <w:noProof/>
        </w:rPr>
        <w:t>2</w:t>
      </w:r>
    </w:p>
    <w:p w14:paraId="3A5C8BC0" w14:textId="3AFD7D76" w:rsidR="007C4C5F" w:rsidRDefault="007C4C5F" w:rsidP="00503CEE">
      <w:pPr>
        <w:tabs>
          <w:tab w:val="right" w:pos="850"/>
          <w:tab w:val="left" w:pos="1134"/>
          <w:tab w:val="left" w:pos="1559"/>
          <w:tab w:val="left" w:pos="1984"/>
          <w:tab w:val="left" w:leader="dot" w:pos="7654"/>
          <w:tab w:val="right" w:pos="8929"/>
          <w:tab w:val="right" w:pos="9638"/>
        </w:tabs>
        <w:spacing w:after="110"/>
        <w:ind w:left="1980" w:hanging="1980"/>
        <w:rPr>
          <w:rStyle w:val="Hyperlink"/>
          <w:noProof/>
        </w:rPr>
      </w:pPr>
      <w:r>
        <w:rPr>
          <w:rStyle w:val="Hyperlink"/>
          <w:noProof/>
        </w:rPr>
        <w:tab/>
      </w:r>
      <w:r>
        <w:rPr>
          <w:rStyle w:val="Hyperlink"/>
          <w:noProof/>
        </w:rPr>
        <w:tab/>
      </w:r>
      <w:r>
        <w:rPr>
          <w:rStyle w:val="Hyperlink"/>
          <w:noProof/>
        </w:rPr>
        <w:tab/>
        <w:t>10.</w:t>
      </w:r>
      <w:r>
        <w:rPr>
          <w:rStyle w:val="Hyperlink"/>
          <w:noProof/>
        </w:rPr>
        <w:tab/>
        <w:t xml:space="preserve">Amendment to Annex 1, Appendix 2, paragraph 3.2.6 and 4.3.4 (ii), </w:t>
      </w:r>
      <w:r>
        <w:rPr>
          <w:rStyle w:val="Hyperlink"/>
          <w:noProof/>
        </w:rPr>
        <w:br/>
        <w:t>Annex 1, Appendix 3 and the ATP Handbook</w:t>
      </w:r>
      <w:r>
        <w:rPr>
          <w:rStyle w:val="Hyperlink"/>
          <w:noProof/>
        </w:rPr>
        <w:tab/>
      </w:r>
      <w:r>
        <w:rPr>
          <w:rStyle w:val="Hyperlink"/>
          <w:noProof/>
        </w:rPr>
        <w:tab/>
        <w:t>62-65</w:t>
      </w:r>
      <w:r>
        <w:rPr>
          <w:rStyle w:val="Hyperlink"/>
          <w:noProof/>
        </w:rPr>
        <w:tab/>
        <w:t>1</w:t>
      </w:r>
      <w:r w:rsidR="00873A64">
        <w:rPr>
          <w:rStyle w:val="Hyperlink"/>
          <w:noProof/>
        </w:rPr>
        <w:t>2</w:t>
      </w:r>
    </w:p>
    <w:p w14:paraId="5C48A3E6" w14:textId="351EB12E" w:rsidR="007C4C5F" w:rsidRDefault="007C4C5F" w:rsidP="00503CEE">
      <w:pPr>
        <w:tabs>
          <w:tab w:val="right" w:pos="850"/>
          <w:tab w:val="left" w:pos="1134"/>
          <w:tab w:val="left" w:pos="1559"/>
          <w:tab w:val="left" w:pos="1984"/>
          <w:tab w:val="left" w:leader="dot" w:pos="7654"/>
          <w:tab w:val="right" w:pos="8929"/>
          <w:tab w:val="right" w:pos="9638"/>
        </w:tabs>
        <w:spacing w:after="110"/>
        <w:ind w:left="1980" w:hanging="1980"/>
      </w:pPr>
      <w:r>
        <w:tab/>
      </w:r>
      <w:r>
        <w:tab/>
      </w:r>
      <w:r>
        <w:tab/>
        <w:t>11.</w:t>
      </w:r>
      <w:r>
        <w:tab/>
      </w:r>
      <w:r w:rsidRPr="003C50CE">
        <w:t xml:space="preserve">Amendment to the models of reports that define the specifications of </w:t>
      </w:r>
      <w:r>
        <w:br/>
      </w:r>
      <w:r w:rsidRPr="003C50CE">
        <w:t xml:space="preserve">equipment and tanks for the carriage of liquid foodstuffs resulting </w:t>
      </w:r>
      <w:r>
        <w:br/>
      </w:r>
      <w:r w:rsidRPr="003C50CE">
        <w:t xml:space="preserve">from the need to </w:t>
      </w:r>
      <w:proofErr w:type="gramStart"/>
      <w:r w:rsidRPr="003C50CE">
        <w:t>take into account</w:t>
      </w:r>
      <w:proofErr w:type="gramEnd"/>
      <w:r w:rsidRPr="003C50CE">
        <w:t xml:space="preserve"> the technological developments </w:t>
      </w:r>
      <w:r>
        <w:br/>
      </w:r>
      <w:r w:rsidRPr="003C50CE">
        <w:t>brought about by the use of new insulating foams</w:t>
      </w:r>
      <w:r>
        <w:tab/>
      </w:r>
      <w:r>
        <w:tab/>
        <w:t>66-68</w:t>
      </w:r>
      <w:r>
        <w:tab/>
        <w:t>1</w:t>
      </w:r>
      <w:r w:rsidR="00873A64">
        <w:t>2</w:t>
      </w:r>
    </w:p>
    <w:p w14:paraId="617AC98E" w14:textId="49C6EEBC" w:rsidR="007C4C5F" w:rsidRDefault="007C4C5F" w:rsidP="00503CEE">
      <w:pPr>
        <w:tabs>
          <w:tab w:val="right" w:pos="850"/>
          <w:tab w:val="left" w:pos="1134"/>
          <w:tab w:val="left" w:pos="1559"/>
          <w:tab w:val="left" w:pos="1984"/>
          <w:tab w:val="left" w:leader="dot" w:pos="7654"/>
          <w:tab w:val="right" w:pos="8929"/>
          <w:tab w:val="right" w:pos="9638"/>
        </w:tabs>
        <w:spacing w:after="110"/>
        <w:ind w:left="1980" w:hanging="1980"/>
      </w:pPr>
      <w:r>
        <w:tab/>
      </w:r>
      <w:r>
        <w:tab/>
      </w:r>
      <w:r>
        <w:tab/>
        <w:t>12.</w:t>
      </w:r>
      <w:r>
        <w:tab/>
      </w:r>
      <w:r w:rsidRPr="003C50CE">
        <w:t>Amendment to Annex 2, Appendix 1</w:t>
      </w:r>
      <w:r>
        <w:tab/>
      </w:r>
      <w:r>
        <w:tab/>
        <w:t>69-70</w:t>
      </w:r>
      <w:r>
        <w:tab/>
        <w:t>1</w:t>
      </w:r>
      <w:r w:rsidR="00873A64">
        <w:t>3</w:t>
      </w:r>
    </w:p>
    <w:p w14:paraId="2A12EC9E" w14:textId="6C73A001" w:rsidR="007C4C5F" w:rsidRDefault="007C4C5F" w:rsidP="00503CEE">
      <w:pPr>
        <w:tabs>
          <w:tab w:val="right" w:pos="850"/>
          <w:tab w:val="left" w:pos="1134"/>
          <w:tab w:val="left" w:pos="1559"/>
          <w:tab w:val="left" w:pos="1984"/>
          <w:tab w:val="left" w:leader="dot" w:pos="7654"/>
          <w:tab w:val="right" w:pos="8929"/>
          <w:tab w:val="right" w:pos="9638"/>
        </w:tabs>
        <w:spacing w:after="110"/>
        <w:ind w:left="1980" w:hanging="1980"/>
      </w:pPr>
      <w:r>
        <w:tab/>
      </w:r>
      <w:r>
        <w:tab/>
      </w:r>
      <w:r>
        <w:tab/>
        <w:t>13.</w:t>
      </w:r>
      <w:r>
        <w:tab/>
      </w:r>
      <w:r w:rsidRPr="003C50CE">
        <w:t>Amendment to Annex 1, Appendix 2</w:t>
      </w:r>
      <w:r>
        <w:tab/>
      </w:r>
      <w:r>
        <w:tab/>
        <w:t>71</w:t>
      </w:r>
      <w:r>
        <w:tab/>
        <w:t>1</w:t>
      </w:r>
      <w:r w:rsidR="00873A64">
        <w:t>3</w:t>
      </w:r>
    </w:p>
    <w:p w14:paraId="048B48C4" w14:textId="4675FA6C" w:rsidR="007C4C5F" w:rsidRDefault="007C4C5F" w:rsidP="00503CEE">
      <w:pPr>
        <w:tabs>
          <w:tab w:val="right" w:pos="850"/>
          <w:tab w:val="left" w:pos="1134"/>
          <w:tab w:val="left" w:pos="1559"/>
          <w:tab w:val="left" w:pos="1984"/>
          <w:tab w:val="left" w:leader="dot" w:pos="7654"/>
          <w:tab w:val="right" w:pos="8929"/>
          <w:tab w:val="right" w:pos="9638"/>
        </w:tabs>
        <w:spacing w:after="110"/>
        <w:ind w:left="1980" w:hanging="1980"/>
      </w:pPr>
      <w:r>
        <w:tab/>
      </w:r>
      <w:r>
        <w:tab/>
      </w:r>
      <w:r>
        <w:tab/>
        <w:t>14.</w:t>
      </w:r>
      <w:r>
        <w:tab/>
      </w:r>
      <w:r w:rsidRPr="003C50CE">
        <w:t xml:space="preserve">Proposal to amend Annex 1, Appendix 1, Section 3: Certificates of </w:t>
      </w:r>
      <w:r>
        <w:br/>
      </w:r>
      <w:r w:rsidRPr="003C50CE">
        <w:t xml:space="preserve">compliance for equipment that is not fitted with a thermal appliance </w:t>
      </w:r>
      <w:r>
        <w:br/>
      </w:r>
      <w:r w:rsidRPr="003C50CE">
        <w:t>until it has been transferred to another country</w:t>
      </w:r>
      <w:r>
        <w:tab/>
      </w:r>
      <w:r>
        <w:tab/>
        <w:t>72-74</w:t>
      </w:r>
      <w:r>
        <w:tab/>
        <w:t>1</w:t>
      </w:r>
      <w:r w:rsidR="00873A64">
        <w:t>3</w:t>
      </w:r>
    </w:p>
    <w:p w14:paraId="7C04346A" w14:textId="371F4E53" w:rsidR="007C4C5F" w:rsidRDefault="007C4C5F" w:rsidP="00503CEE">
      <w:pPr>
        <w:tabs>
          <w:tab w:val="right" w:pos="850"/>
          <w:tab w:val="left" w:pos="1134"/>
          <w:tab w:val="left" w:pos="1559"/>
          <w:tab w:val="left" w:pos="1984"/>
          <w:tab w:val="left" w:leader="dot" w:pos="7654"/>
          <w:tab w:val="right" w:pos="8929"/>
          <w:tab w:val="right" w:pos="9638"/>
        </w:tabs>
        <w:spacing w:after="110"/>
        <w:ind w:left="1980" w:hanging="1980"/>
      </w:pPr>
      <w:r>
        <w:tab/>
      </w:r>
      <w:r>
        <w:tab/>
      </w:r>
      <w:r>
        <w:tab/>
        <w:t>15.</w:t>
      </w:r>
      <w:r>
        <w:tab/>
      </w:r>
      <w:r w:rsidRPr="003C50CE">
        <w:t xml:space="preserve">Proposal to amend ATP by introducing special provisions applicable </w:t>
      </w:r>
      <w:r>
        <w:br/>
      </w:r>
      <w:r w:rsidRPr="003C50CE">
        <w:t xml:space="preserve">to packages and vehicles and containers containing substances presenting </w:t>
      </w:r>
      <w:r>
        <w:br/>
      </w:r>
      <w:r w:rsidRPr="003C50CE">
        <w:t xml:space="preserve">a risk of asphyxiation when used for cooling or conditioning purposes </w:t>
      </w:r>
      <w:r>
        <w:br/>
      </w:r>
      <w:r w:rsidRPr="003C50CE">
        <w:t xml:space="preserve">(such as dry ice (UN No. 1845) or refrigerated liquid nitrogen </w:t>
      </w:r>
      <w:r>
        <w:br/>
      </w:r>
      <w:r w:rsidRPr="003C50CE">
        <w:t>(UN No. 1977) or refrigerated liquid argon (UN No. 1951))</w:t>
      </w:r>
      <w:r>
        <w:tab/>
      </w:r>
      <w:r>
        <w:tab/>
        <w:t>75</w:t>
      </w:r>
      <w:r>
        <w:tab/>
        <w:t>1</w:t>
      </w:r>
      <w:r w:rsidR="00873A64">
        <w:t>3</w:t>
      </w:r>
    </w:p>
    <w:p w14:paraId="69FD4566" w14:textId="48549C9D" w:rsidR="007C4C5F" w:rsidRDefault="007C4C5F" w:rsidP="00503CEE">
      <w:pPr>
        <w:tabs>
          <w:tab w:val="right" w:pos="850"/>
          <w:tab w:val="left" w:pos="1134"/>
          <w:tab w:val="left" w:pos="1559"/>
          <w:tab w:val="left" w:pos="1984"/>
          <w:tab w:val="left" w:leader="dot" w:pos="7654"/>
          <w:tab w:val="right" w:pos="8929"/>
          <w:tab w:val="right" w:pos="9638"/>
        </w:tabs>
        <w:spacing w:after="110"/>
        <w:ind w:left="1980" w:hanging="1980"/>
      </w:pPr>
      <w:r>
        <w:tab/>
      </w:r>
      <w:r>
        <w:tab/>
      </w:r>
      <w:r>
        <w:tab/>
        <w:t>16.</w:t>
      </w:r>
      <w:r>
        <w:tab/>
        <w:t>Temporary ATP certificates for prototype equipment</w:t>
      </w:r>
      <w:r>
        <w:tab/>
      </w:r>
      <w:r>
        <w:tab/>
        <w:t>76-78</w:t>
      </w:r>
      <w:r>
        <w:tab/>
        <w:t>1</w:t>
      </w:r>
      <w:r w:rsidR="00873A64">
        <w:t>3</w:t>
      </w:r>
    </w:p>
    <w:p w14:paraId="28EEBD10" w14:textId="01377676" w:rsidR="007C4C5F" w:rsidRDefault="007C4C5F" w:rsidP="00503CEE">
      <w:pPr>
        <w:tabs>
          <w:tab w:val="right" w:pos="850"/>
          <w:tab w:val="left" w:pos="1134"/>
          <w:tab w:val="left" w:pos="1559"/>
          <w:tab w:val="left" w:pos="1984"/>
          <w:tab w:val="left" w:leader="dot" w:pos="7654"/>
          <w:tab w:val="right" w:pos="8929"/>
          <w:tab w:val="right" w:pos="9638"/>
        </w:tabs>
        <w:spacing w:after="110"/>
        <w:ind w:left="1980" w:hanging="1980"/>
      </w:pPr>
      <w:r>
        <w:tab/>
      </w:r>
      <w:r>
        <w:tab/>
      </w:r>
      <w:r>
        <w:tab/>
        <w:t>17.</w:t>
      </w:r>
      <w:r>
        <w:tab/>
      </w:r>
      <w:r w:rsidRPr="00907C53">
        <w:t xml:space="preserve">Amendment to the model test report that defines the test conditions </w:t>
      </w:r>
      <w:r>
        <w:br/>
      </w:r>
      <w:r w:rsidRPr="00907C53">
        <w:t xml:space="preserve">to be registered for the determination of the air flow volume leaving </w:t>
      </w:r>
      <w:r>
        <w:br/>
      </w:r>
      <w:r w:rsidRPr="00907C53">
        <w:t>the evaporator</w:t>
      </w:r>
      <w:r>
        <w:tab/>
      </w:r>
      <w:r>
        <w:tab/>
        <w:t>79</w:t>
      </w:r>
      <w:r>
        <w:tab/>
        <w:t>1</w:t>
      </w:r>
      <w:r w:rsidR="00873A64">
        <w:t>4</w:t>
      </w:r>
    </w:p>
    <w:p w14:paraId="1880B104" w14:textId="6517A725" w:rsidR="007C4C5F" w:rsidRDefault="007C4C5F" w:rsidP="00503CEE">
      <w:pPr>
        <w:tabs>
          <w:tab w:val="right" w:pos="850"/>
          <w:tab w:val="left" w:pos="1134"/>
          <w:tab w:val="left" w:pos="1559"/>
          <w:tab w:val="left" w:pos="1984"/>
          <w:tab w:val="left" w:leader="dot" w:pos="7654"/>
          <w:tab w:val="right" w:pos="8929"/>
          <w:tab w:val="right" w:pos="9638"/>
        </w:tabs>
        <w:spacing w:after="110"/>
        <w:ind w:left="1980" w:hanging="1980"/>
      </w:pPr>
      <w:r>
        <w:tab/>
      </w:r>
      <w:r>
        <w:tab/>
      </w:r>
      <w:r>
        <w:tab/>
        <w:t>18.</w:t>
      </w:r>
      <w:r>
        <w:tab/>
      </w:r>
      <w:r w:rsidRPr="00025D2F">
        <w:t xml:space="preserve">The role of measurement uncertainty in conformity assessment decisions </w:t>
      </w:r>
      <w:r>
        <w:br/>
      </w:r>
      <w:r w:rsidRPr="00025D2F">
        <w:t>in ATP</w:t>
      </w:r>
      <w:r>
        <w:tab/>
      </w:r>
      <w:r>
        <w:tab/>
        <w:t>80-81</w:t>
      </w:r>
      <w:r>
        <w:tab/>
        <w:t>1</w:t>
      </w:r>
      <w:r w:rsidR="00873A64">
        <w:t>4</w:t>
      </w:r>
    </w:p>
    <w:p w14:paraId="79A1CDE6" w14:textId="1D282EBB" w:rsidR="007C4C5F" w:rsidRDefault="007C4C5F" w:rsidP="00503CEE">
      <w:pPr>
        <w:tabs>
          <w:tab w:val="right" w:pos="850"/>
          <w:tab w:val="left" w:pos="1134"/>
          <w:tab w:val="left" w:pos="1559"/>
          <w:tab w:val="left" w:pos="1984"/>
          <w:tab w:val="left" w:leader="dot" w:pos="7654"/>
          <w:tab w:val="right" w:pos="8929"/>
          <w:tab w:val="right" w:pos="9638"/>
        </w:tabs>
        <w:spacing w:after="110"/>
        <w:ind w:left="1980" w:hanging="1980"/>
      </w:pPr>
      <w:r>
        <w:tab/>
      </w:r>
      <w:r>
        <w:tab/>
      </w:r>
      <w:r>
        <w:tab/>
        <w:t>19.</w:t>
      </w:r>
      <w:r>
        <w:tab/>
      </w:r>
      <w:r w:rsidRPr="003C50CE">
        <w:tab/>
        <w:t xml:space="preserve">Definition of the range of equipment </w:t>
      </w:r>
      <w:proofErr w:type="gramStart"/>
      <w:r w:rsidRPr="003C50CE">
        <w:t>taking into account</w:t>
      </w:r>
      <w:proofErr w:type="gramEnd"/>
      <w:r w:rsidRPr="003C50CE">
        <w:t xml:space="preserve"> mixed energy </w:t>
      </w:r>
      <w:r>
        <w:br/>
      </w:r>
      <w:r w:rsidRPr="003C50CE">
        <w:t>source technologies</w:t>
      </w:r>
      <w:r>
        <w:tab/>
      </w:r>
      <w:r>
        <w:tab/>
      </w:r>
      <w:r w:rsidR="004808E3">
        <w:t>82-83</w:t>
      </w:r>
      <w:r w:rsidR="004808E3">
        <w:tab/>
        <w:t>1</w:t>
      </w:r>
      <w:r w:rsidR="00873A64">
        <w:t>4</w:t>
      </w:r>
    </w:p>
    <w:p w14:paraId="738D5053" w14:textId="69944AA0" w:rsidR="004808E3" w:rsidRDefault="004808E3" w:rsidP="00503CEE">
      <w:pPr>
        <w:tabs>
          <w:tab w:val="right" w:pos="850"/>
          <w:tab w:val="left" w:pos="1134"/>
          <w:tab w:val="left" w:pos="1559"/>
          <w:tab w:val="left" w:pos="1984"/>
          <w:tab w:val="left" w:leader="dot" w:pos="7654"/>
          <w:tab w:val="right" w:pos="8929"/>
          <w:tab w:val="right" w:pos="9638"/>
        </w:tabs>
        <w:spacing w:after="110"/>
        <w:ind w:left="1980" w:hanging="1980"/>
      </w:pPr>
      <w:r>
        <w:tab/>
      </w:r>
      <w:r>
        <w:tab/>
      </w:r>
      <w:r>
        <w:tab/>
        <w:t>20.</w:t>
      </w:r>
      <w:r>
        <w:tab/>
      </w:r>
      <w:r w:rsidRPr="003C50CE">
        <w:t xml:space="preserve">Amendment to the model test report that defines the specifications of </w:t>
      </w:r>
      <w:r>
        <w:br/>
      </w:r>
      <w:r w:rsidRPr="003C50CE">
        <w:t xml:space="preserve">refrigeration units and their effective refrigerating capacities arising </w:t>
      </w:r>
      <w:r>
        <w:br/>
      </w:r>
      <w:r w:rsidRPr="003C50CE">
        <w:t xml:space="preserve">from the need to </w:t>
      </w:r>
      <w:proofErr w:type="gramStart"/>
      <w:r w:rsidRPr="003C50CE">
        <w:t>take into account</w:t>
      </w:r>
      <w:proofErr w:type="gramEnd"/>
      <w:r w:rsidRPr="003C50CE">
        <w:t xml:space="preserve"> technological developments brought </w:t>
      </w:r>
      <w:r>
        <w:br/>
      </w:r>
      <w:r w:rsidRPr="003C50CE">
        <w:t>about by the use of new means of control</w:t>
      </w:r>
      <w:r>
        <w:tab/>
      </w:r>
      <w:r>
        <w:tab/>
        <w:t>8</w:t>
      </w:r>
      <w:r w:rsidR="00720B33">
        <w:t>4</w:t>
      </w:r>
      <w:r>
        <w:t>-8</w:t>
      </w:r>
      <w:r w:rsidR="00720B33">
        <w:t>7</w:t>
      </w:r>
      <w:r>
        <w:tab/>
        <w:t>1</w:t>
      </w:r>
      <w:r w:rsidR="00873A64">
        <w:t>4</w:t>
      </w:r>
    </w:p>
    <w:p w14:paraId="79E768E4" w14:textId="0A94B59D" w:rsidR="004808E3" w:rsidRDefault="004808E3" w:rsidP="00503CEE">
      <w:pPr>
        <w:tabs>
          <w:tab w:val="right" w:pos="850"/>
          <w:tab w:val="left" w:pos="1134"/>
          <w:tab w:val="left" w:pos="1559"/>
          <w:tab w:val="left" w:pos="1984"/>
          <w:tab w:val="left" w:leader="dot" w:pos="7654"/>
          <w:tab w:val="right" w:pos="8929"/>
          <w:tab w:val="right" w:pos="9638"/>
        </w:tabs>
        <w:spacing w:after="110"/>
        <w:ind w:left="1980" w:hanging="1980"/>
      </w:pPr>
      <w:r>
        <w:tab/>
      </w:r>
      <w:r>
        <w:tab/>
      </w:r>
      <w:r>
        <w:tab/>
        <w:t>21.</w:t>
      </w:r>
      <w:r>
        <w:tab/>
      </w:r>
      <w:r w:rsidRPr="003C50CE">
        <w:t xml:space="preserve">Amendment to ATP with provisions on the establishment of a database </w:t>
      </w:r>
      <w:r>
        <w:br/>
      </w:r>
      <w:r w:rsidRPr="003C50CE">
        <w:t xml:space="preserve">of ATP certificates issued by the competent authorities of all contracting </w:t>
      </w:r>
      <w:r>
        <w:br/>
      </w:r>
      <w:r w:rsidRPr="003C50CE">
        <w:t xml:space="preserve">parties on the Working Party secretariat’s website and provisions that </w:t>
      </w:r>
      <w:r>
        <w:br/>
      </w:r>
      <w:r w:rsidRPr="003C50CE">
        <w:t xml:space="preserve">the competent authorities of the contracting parties publish a list of all </w:t>
      </w:r>
      <w:r>
        <w:br/>
      </w:r>
      <w:r w:rsidRPr="003C50CE">
        <w:t>ATP certificates issued on their websites</w:t>
      </w:r>
      <w:r>
        <w:tab/>
      </w:r>
      <w:r>
        <w:tab/>
      </w:r>
      <w:r w:rsidR="00720B33">
        <w:t>88</w:t>
      </w:r>
      <w:r>
        <w:t>-</w:t>
      </w:r>
      <w:r w:rsidR="00720B33">
        <w:t>89</w:t>
      </w:r>
      <w:r>
        <w:tab/>
        <w:t>1</w:t>
      </w:r>
      <w:r w:rsidR="00873A64">
        <w:t>5</w:t>
      </w:r>
    </w:p>
    <w:p w14:paraId="4D55D1DA" w14:textId="56EB6AF0" w:rsidR="000D08D5" w:rsidRDefault="00531D55" w:rsidP="00503CEE">
      <w:pPr>
        <w:tabs>
          <w:tab w:val="right" w:pos="850"/>
          <w:tab w:val="left" w:pos="1134"/>
          <w:tab w:val="left" w:pos="1559"/>
          <w:tab w:val="left" w:pos="1984"/>
          <w:tab w:val="left" w:leader="dot" w:pos="7654"/>
          <w:tab w:val="right" w:pos="8929"/>
          <w:tab w:val="right" w:pos="9638"/>
        </w:tabs>
        <w:spacing w:after="110"/>
        <w:ind w:left="1980" w:hanging="1980"/>
      </w:pPr>
      <w:r>
        <w:tab/>
      </w:r>
      <w:r>
        <w:tab/>
      </w:r>
      <w:r>
        <w:tab/>
      </w:r>
      <w:bookmarkStart w:id="2" w:name="_GoBack"/>
      <w:r w:rsidR="000D08D5" w:rsidRPr="003C50CE">
        <w:t>2</w:t>
      </w:r>
      <w:r w:rsidR="000D08D5">
        <w:t>2</w:t>
      </w:r>
      <w:r w:rsidR="000D08D5" w:rsidRPr="003C50CE">
        <w:t>.</w:t>
      </w:r>
      <w:bookmarkEnd w:id="2"/>
      <w:r w:rsidR="000D08D5" w:rsidRPr="003C50CE">
        <w:tab/>
        <w:t xml:space="preserve">Amendment to ATP with provisions on the establishment of a database </w:t>
      </w:r>
      <w:r>
        <w:br/>
      </w:r>
      <w:r w:rsidR="000D08D5" w:rsidRPr="003C50CE">
        <w:t xml:space="preserve">of ATP certificates issued by the competent authorities of all contracting </w:t>
      </w:r>
      <w:r>
        <w:br/>
      </w:r>
      <w:r w:rsidR="000D08D5" w:rsidRPr="003C50CE">
        <w:t xml:space="preserve">parties on the Working Party secretariat’s website and provisions that the </w:t>
      </w:r>
      <w:r>
        <w:br/>
      </w:r>
      <w:r w:rsidR="000D08D5" w:rsidRPr="003C50CE">
        <w:t xml:space="preserve">competent authorities of the contracting parties publish a list of all ATP </w:t>
      </w:r>
      <w:r>
        <w:br/>
      </w:r>
      <w:r w:rsidR="000D08D5" w:rsidRPr="003C50CE">
        <w:t>certificates issued on their websites</w:t>
      </w:r>
      <w:r>
        <w:tab/>
      </w:r>
      <w:r>
        <w:tab/>
      </w:r>
      <w:r w:rsidR="00F60C1D">
        <w:t>90-9</w:t>
      </w:r>
      <w:r w:rsidR="00720B33">
        <w:t>3</w:t>
      </w:r>
      <w:r w:rsidR="00F60C1D">
        <w:tab/>
        <w:t>1</w:t>
      </w:r>
      <w:r w:rsidR="00B94407">
        <w:t>5</w:t>
      </w:r>
    </w:p>
    <w:p w14:paraId="57EA03EF" w14:textId="5FB984C1" w:rsidR="00531D55" w:rsidRDefault="00531D55" w:rsidP="00503CEE">
      <w:pPr>
        <w:tabs>
          <w:tab w:val="right" w:pos="850"/>
          <w:tab w:val="left" w:pos="1134"/>
          <w:tab w:val="left" w:pos="1559"/>
          <w:tab w:val="left" w:pos="1984"/>
          <w:tab w:val="left" w:leader="dot" w:pos="7654"/>
          <w:tab w:val="right" w:pos="8929"/>
          <w:tab w:val="right" w:pos="9638"/>
        </w:tabs>
        <w:spacing w:after="110"/>
        <w:ind w:left="1980" w:hanging="1980"/>
      </w:pPr>
      <w:r>
        <w:tab/>
      </w:r>
      <w:r>
        <w:tab/>
      </w:r>
      <w:r>
        <w:tab/>
        <w:t>23.</w:t>
      </w:r>
      <w:r w:rsidRPr="003C50CE">
        <w:tab/>
        <w:t xml:space="preserve">Progress report of the informal working group on improvements to the </w:t>
      </w:r>
      <w:r>
        <w:br/>
      </w:r>
      <w:r w:rsidRPr="003C50CE">
        <w:t>approval system of ATP equipment and thermal units.</w:t>
      </w:r>
      <w:r>
        <w:tab/>
      </w:r>
      <w:r>
        <w:tab/>
      </w:r>
      <w:r w:rsidR="00F60C1D">
        <w:t>94-95</w:t>
      </w:r>
      <w:r w:rsidR="00F60C1D">
        <w:tab/>
        <w:t>1</w:t>
      </w:r>
      <w:r w:rsidR="00B94407">
        <w:t>5</w:t>
      </w:r>
    </w:p>
    <w:p w14:paraId="5EA26277" w14:textId="47DDF5A2" w:rsidR="00695CF0" w:rsidRDefault="00524C4D" w:rsidP="004808E3">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tab/>
      </w:r>
      <w:hyperlink w:anchor="_Toc528147014" w:history="1">
        <w:r w:rsidR="00695CF0" w:rsidRPr="00A5265E">
          <w:rPr>
            <w:noProof/>
          </w:rPr>
          <w:t>VII</w:t>
        </w:r>
        <w:r w:rsidR="00695CF0" w:rsidRPr="00A01FFC">
          <w:rPr>
            <w:rStyle w:val="Hyperlink"/>
            <w:noProof/>
          </w:rPr>
          <w:t>.</w:t>
        </w:r>
        <w:r w:rsidR="00695CF0">
          <w:rPr>
            <w:rFonts w:asciiTheme="minorHAnsi" w:eastAsiaTheme="minorEastAsia" w:hAnsiTheme="minorHAnsi" w:cstheme="minorBidi"/>
            <w:noProof/>
            <w:sz w:val="22"/>
            <w:szCs w:val="22"/>
            <w:lang w:val="en-US" w:eastAsia="zh-CN"/>
          </w:rPr>
          <w:tab/>
        </w:r>
        <w:r w:rsidR="00695CF0" w:rsidRPr="00A01FFC">
          <w:rPr>
            <w:rStyle w:val="Hyperlink"/>
            <w:noProof/>
          </w:rPr>
          <w:t>ATP Handbook (agenda item </w:t>
        </w:r>
        <w:r>
          <w:rPr>
            <w:rStyle w:val="Hyperlink"/>
            <w:noProof/>
          </w:rPr>
          <w:t>6</w:t>
        </w:r>
        <w:r w:rsidR="00695CF0" w:rsidRPr="00A01FFC">
          <w:rPr>
            <w:rStyle w:val="Hyperlink"/>
            <w:noProof/>
          </w:rPr>
          <w:t>)</w:t>
        </w:r>
        <w:r w:rsidR="00695CF0">
          <w:rPr>
            <w:noProof/>
            <w:webHidden/>
          </w:rPr>
          <w:tab/>
        </w:r>
        <w:r w:rsidR="00695CF0">
          <w:rPr>
            <w:noProof/>
            <w:webHidden/>
          </w:rPr>
          <w:tab/>
        </w:r>
      </w:hyperlink>
      <w:r w:rsidR="004808E3">
        <w:rPr>
          <w:noProof/>
        </w:rPr>
        <w:tab/>
        <w:t>1</w:t>
      </w:r>
      <w:r w:rsidR="00B94407">
        <w:rPr>
          <w:noProof/>
        </w:rPr>
        <w:t>6</w:t>
      </w:r>
    </w:p>
    <w:p w14:paraId="73ECBA99" w14:textId="0E346FE0" w:rsidR="008A3C07" w:rsidRDefault="00695CF0" w:rsidP="004808E3">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r w:rsidR="008A3C07">
        <w:rPr>
          <w:noProof/>
        </w:rPr>
        <w:tab/>
        <w:t>1.</w:t>
      </w:r>
      <w:r w:rsidR="008A3C07">
        <w:rPr>
          <w:noProof/>
        </w:rPr>
        <w:tab/>
      </w:r>
      <w:r w:rsidR="008A3C07" w:rsidRPr="006243AA">
        <w:t xml:space="preserve">Amendment to Annex 1, Appendix 2, paragraph 3.2.6 and 4.3.4 (ii), </w:t>
      </w:r>
      <w:r w:rsidR="008A3C07">
        <w:br/>
      </w:r>
      <w:r w:rsidR="008A3C07" w:rsidRPr="006243AA">
        <w:t>Annex 1, Appendix 3 and the ATP Handbook</w:t>
      </w:r>
      <w:r w:rsidR="004808E3">
        <w:tab/>
      </w:r>
      <w:r w:rsidR="004808E3">
        <w:tab/>
        <w:t>9</w:t>
      </w:r>
      <w:r w:rsidR="00F60C1D">
        <w:t>6</w:t>
      </w:r>
      <w:r w:rsidR="004808E3">
        <w:tab/>
        <w:t>1</w:t>
      </w:r>
      <w:r w:rsidR="00B94407">
        <w:t>6</w:t>
      </w:r>
    </w:p>
    <w:p w14:paraId="2EBC9D73" w14:textId="091B01E3" w:rsidR="00524C4D" w:rsidRDefault="00524C4D" w:rsidP="00695CF0">
      <w:pPr>
        <w:tabs>
          <w:tab w:val="right" w:pos="850"/>
          <w:tab w:val="left" w:pos="1134"/>
          <w:tab w:val="left" w:pos="1559"/>
          <w:tab w:val="left" w:pos="1984"/>
          <w:tab w:val="left" w:leader="dot" w:pos="7654"/>
          <w:tab w:val="right" w:pos="8929"/>
          <w:tab w:val="right" w:pos="9638"/>
        </w:tabs>
        <w:spacing w:after="110"/>
        <w:ind w:left="1559" w:hanging="1559"/>
        <w:rPr>
          <w:noProof/>
        </w:rPr>
      </w:pPr>
      <w:r>
        <w:rPr>
          <w:noProof/>
        </w:rPr>
        <w:tab/>
        <w:t>VIII.</w:t>
      </w:r>
      <w:r>
        <w:rPr>
          <w:noProof/>
        </w:rPr>
        <w:tab/>
        <w:t>Scope of ATP</w:t>
      </w:r>
      <w:r w:rsidR="008A3C07">
        <w:rPr>
          <w:noProof/>
        </w:rPr>
        <w:t xml:space="preserve"> (agenda item 7)</w:t>
      </w:r>
      <w:r>
        <w:rPr>
          <w:noProof/>
        </w:rPr>
        <w:tab/>
      </w:r>
      <w:r>
        <w:rPr>
          <w:noProof/>
        </w:rPr>
        <w:tab/>
      </w:r>
      <w:r w:rsidR="004808E3">
        <w:rPr>
          <w:noProof/>
        </w:rPr>
        <w:t>9</w:t>
      </w:r>
      <w:r w:rsidR="00F60C1D">
        <w:rPr>
          <w:noProof/>
        </w:rPr>
        <w:t>7</w:t>
      </w:r>
      <w:r w:rsidR="004808E3">
        <w:rPr>
          <w:noProof/>
        </w:rPr>
        <w:tab/>
        <w:t>1</w:t>
      </w:r>
      <w:r w:rsidR="00B94407">
        <w:rPr>
          <w:noProof/>
        </w:rPr>
        <w:t>6</w:t>
      </w:r>
    </w:p>
    <w:p w14:paraId="64F2176A" w14:textId="3DB1C554" w:rsidR="00524C4D" w:rsidRDefault="00524C4D" w:rsidP="00695CF0">
      <w:pPr>
        <w:tabs>
          <w:tab w:val="right" w:pos="850"/>
          <w:tab w:val="left" w:pos="1134"/>
          <w:tab w:val="left" w:pos="1559"/>
          <w:tab w:val="left" w:pos="1984"/>
          <w:tab w:val="left" w:leader="dot" w:pos="7654"/>
          <w:tab w:val="right" w:pos="8929"/>
          <w:tab w:val="right" w:pos="9638"/>
        </w:tabs>
        <w:spacing w:after="110"/>
        <w:ind w:left="1559" w:hanging="1559"/>
      </w:pPr>
      <w:r>
        <w:rPr>
          <w:noProof/>
        </w:rPr>
        <w:tab/>
        <w:t>IX.</w:t>
      </w:r>
      <w:r>
        <w:rPr>
          <w:noProof/>
        </w:rPr>
        <w:tab/>
      </w:r>
      <w:r w:rsidRPr="006D451A">
        <w:t>Energy labelling, refrigerants and blowing agents</w:t>
      </w:r>
      <w:r w:rsidR="008A3C07">
        <w:t xml:space="preserve"> (agenda item 8)</w:t>
      </w:r>
      <w:r>
        <w:tab/>
      </w:r>
      <w:r>
        <w:tab/>
      </w:r>
      <w:r w:rsidR="004808E3">
        <w:t>9</w:t>
      </w:r>
      <w:r w:rsidR="00F60C1D">
        <w:t>8</w:t>
      </w:r>
      <w:r w:rsidR="004808E3">
        <w:tab/>
        <w:t>1</w:t>
      </w:r>
      <w:r w:rsidR="00B94407">
        <w:t>6</w:t>
      </w:r>
    </w:p>
    <w:p w14:paraId="3058216A" w14:textId="642ACFA9" w:rsidR="00524C4D" w:rsidRDefault="00524C4D" w:rsidP="00695CF0">
      <w:pPr>
        <w:tabs>
          <w:tab w:val="right" w:pos="850"/>
          <w:tab w:val="left" w:pos="1134"/>
          <w:tab w:val="left" w:pos="1559"/>
          <w:tab w:val="left" w:pos="1984"/>
          <w:tab w:val="left" w:leader="dot" w:pos="7654"/>
          <w:tab w:val="right" w:pos="8929"/>
          <w:tab w:val="right" w:pos="9638"/>
        </w:tabs>
        <w:spacing w:after="110"/>
        <w:ind w:left="1559" w:hanging="1559"/>
        <w:rPr>
          <w:rFonts w:asciiTheme="minorHAnsi" w:eastAsiaTheme="minorEastAsia" w:hAnsiTheme="minorHAnsi" w:cstheme="minorBidi"/>
          <w:noProof/>
          <w:sz w:val="22"/>
          <w:szCs w:val="22"/>
          <w:lang w:val="en-US" w:eastAsia="zh-CN"/>
        </w:rPr>
      </w:pPr>
      <w:r>
        <w:tab/>
        <w:t>X.</w:t>
      </w:r>
      <w:r>
        <w:tab/>
      </w:r>
      <w:r w:rsidRPr="004574DE">
        <w:t>Programme of work and biennial evaluation</w:t>
      </w:r>
      <w:r w:rsidR="008A3C07">
        <w:t xml:space="preserve"> (agenda item 9)</w:t>
      </w:r>
      <w:r>
        <w:tab/>
      </w:r>
      <w:r>
        <w:tab/>
      </w:r>
      <w:r w:rsidR="004808E3">
        <w:t>9</w:t>
      </w:r>
      <w:r w:rsidR="00F60C1D">
        <w:t>9</w:t>
      </w:r>
      <w:r w:rsidR="004808E3">
        <w:tab/>
        <w:t>1</w:t>
      </w:r>
      <w:r w:rsidR="00B94407">
        <w:t>6</w:t>
      </w:r>
    </w:p>
    <w:p w14:paraId="167FB14D" w14:textId="559E5D9F" w:rsidR="00695CF0" w:rsidRDefault="00695CF0" w:rsidP="00695CF0">
      <w:pPr>
        <w:tabs>
          <w:tab w:val="right" w:pos="850"/>
          <w:tab w:val="left" w:pos="1134"/>
          <w:tab w:val="left" w:pos="1559"/>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val="en-US" w:eastAsia="zh-CN"/>
        </w:rPr>
      </w:pPr>
      <w:r w:rsidRPr="00A5265E">
        <w:rPr>
          <w:noProof/>
        </w:rPr>
        <w:tab/>
      </w:r>
      <w:hyperlink w:anchor="_Toc528147017" w:history="1">
        <w:r w:rsidRPr="00A5265E">
          <w:rPr>
            <w:noProof/>
          </w:rPr>
          <w:t>XI</w:t>
        </w:r>
        <w:r w:rsidRPr="00A01FFC">
          <w:rPr>
            <w:rStyle w:val="Hyperlink"/>
            <w:noProof/>
          </w:rPr>
          <w:t>.</w:t>
        </w:r>
        <w:r>
          <w:rPr>
            <w:rFonts w:asciiTheme="minorHAnsi" w:eastAsiaTheme="minorEastAsia" w:hAnsiTheme="minorHAnsi" w:cstheme="minorBidi"/>
            <w:noProof/>
            <w:sz w:val="22"/>
            <w:szCs w:val="22"/>
            <w:lang w:val="en-US" w:eastAsia="zh-CN"/>
          </w:rPr>
          <w:tab/>
        </w:r>
        <w:r w:rsidRPr="00A01FFC">
          <w:rPr>
            <w:rStyle w:val="Hyperlink"/>
            <w:noProof/>
          </w:rPr>
          <w:t>Election of officers (agenda item 1</w:t>
        </w:r>
        <w:r w:rsidR="00524C4D">
          <w:rPr>
            <w:rStyle w:val="Hyperlink"/>
            <w:noProof/>
          </w:rPr>
          <w:t>0</w:t>
        </w:r>
        <w:r w:rsidRPr="00A01FFC">
          <w:rPr>
            <w:rStyle w:val="Hyperlink"/>
            <w:noProof/>
          </w:rPr>
          <w:t>)</w:t>
        </w:r>
        <w:r>
          <w:rPr>
            <w:noProof/>
            <w:webHidden/>
          </w:rPr>
          <w:tab/>
        </w:r>
        <w:r>
          <w:rPr>
            <w:noProof/>
            <w:webHidden/>
          </w:rPr>
          <w:tab/>
        </w:r>
      </w:hyperlink>
      <w:r w:rsidR="00F60C1D">
        <w:rPr>
          <w:noProof/>
        </w:rPr>
        <w:t>100</w:t>
      </w:r>
      <w:r w:rsidR="004808E3">
        <w:rPr>
          <w:noProof/>
        </w:rPr>
        <w:tab/>
        <w:t>1</w:t>
      </w:r>
      <w:r w:rsidR="00B94407">
        <w:rPr>
          <w:noProof/>
        </w:rPr>
        <w:t>6</w:t>
      </w:r>
    </w:p>
    <w:p w14:paraId="3BC186C7" w14:textId="711638C0" w:rsidR="00695CF0" w:rsidRDefault="00695CF0" w:rsidP="00695CF0">
      <w:pPr>
        <w:tabs>
          <w:tab w:val="right" w:pos="850"/>
          <w:tab w:val="left" w:pos="1134"/>
          <w:tab w:val="left" w:pos="1559"/>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val="en-US" w:eastAsia="zh-CN"/>
        </w:rPr>
      </w:pPr>
      <w:r w:rsidRPr="00A5265E">
        <w:rPr>
          <w:noProof/>
        </w:rPr>
        <w:tab/>
      </w:r>
      <w:hyperlink w:anchor="_Toc528147018" w:history="1">
        <w:r w:rsidRPr="00A5265E">
          <w:rPr>
            <w:noProof/>
          </w:rPr>
          <w:t>XII</w:t>
        </w:r>
        <w:r w:rsidRPr="00A01FFC">
          <w:rPr>
            <w:rStyle w:val="Hyperlink"/>
            <w:noProof/>
          </w:rPr>
          <w:t>.</w:t>
        </w:r>
        <w:r>
          <w:rPr>
            <w:rFonts w:asciiTheme="minorHAnsi" w:eastAsiaTheme="minorEastAsia" w:hAnsiTheme="minorHAnsi" w:cstheme="minorBidi"/>
            <w:noProof/>
            <w:sz w:val="22"/>
            <w:szCs w:val="22"/>
            <w:lang w:val="en-US" w:eastAsia="zh-CN"/>
          </w:rPr>
          <w:tab/>
        </w:r>
        <w:r w:rsidRPr="00A01FFC">
          <w:rPr>
            <w:rStyle w:val="Hyperlink"/>
            <w:noProof/>
          </w:rPr>
          <w:t>Other business (agenda item 1</w:t>
        </w:r>
        <w:r w:rsidR="00524C4D">
          <w:rPr>
            <w:rStyle w:val="Hyperlink"/>
            <w:noProof/>
          </w:rPr>
          <w:t>1</w:t>
        </w:r>
        <w:r w:rsidRPr="00A01FFC">
          <w:rPr>
            <w:rStyle w:val="Hyperlink"/>
            <w:noProof/>
          </w:rPr>
          <w:t>)</w:t>
        </w:r>
        <w:r>
          <w:rPr>
            <w:noProof/>
            <w:webHidden/>
          </w:rPr>
          <w:tab/>
        </w:r>
        <w:r>
          <w:rPr>
            <w:noProof/>
            <w:webHidden/>
          </w:rPr>
          <w:tab/>
        </w:r>
      </w:hyperlink>
      <w:r w:rsidR="004808E3">
        <w:rPr>
          <w:noProof/>
        </w:rPr>
        <w:t>10</w:t>
      </w:r>
      <w:r w:rsidR="00F60C1D">
        <w:rPr>
          <w:noProof/>
        </w:rPr>
        <w:t>1</w:t>
      </w:r>
      <w:r w:rsidR="004808E3">
        <w:rPr>
          <w:noProof/>
        </w:rPr>
        <w:t>-10</w:t>
      </w:r>
      <w:r w:rsidR="004C5E7E">
        <w:rPr>
          <w:noProof/>
        </w:rPr>
        <w:t>4</w:t>
      </w:r>
      <w:r w:rsidR="004808E3">
        <w:rPr>
          <w:noProof/>
        </w:rPr>
        <w:tab/>
        <w:t>1</w:t>
      </w:r>
      <w:r w:rsidR="00B94407">
        <w:rPr>
          <w:noProof/>
        </w:rPr>
        <w:t>6</w:t>
      </w:r>
    </w:p>
    <w:p w14:paraId="0A5C55CA" w14:textId="26322DB8" w:rsidR="00695CF0" w:rsidRDefault="00695CF0" w:rsidP="00695CF0">
      <w:pPr>
        <w:tabs>
          <w:tab w:val="right" w:pos="850"/>
          <w:tab w:val="left" w:pos="1134"/>
          <w:tab w:val="left" w:pos="1559"/>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val="en-US" w:eastAsia="zh-CN"/>
        </w:rPr>
      </w:pPr>
      <w:r w:rsidRPr="00A5265E">
        <w:rPr>
          <w:noProof/>
        </w:rPr>
        <w:tab/>
      </w:r>
      <w:hyperlink w:anchor="_Toc528147019" w:history="1">
        <w:r w:rsidRPr="00A5265E">
          <w:rPr>
            <w:noProof/>
          </w:rPr>
          <w:t>X</w:t>
        </w:r>
        <w:r w:rsidR="00524C4D">
          <w:rPr>
            <w:noProof/>
          </w:rPr>
          <w:t>III</w:t>
        </w:r>
        <w:r w:rsidRPr="00A01FFC">
          <w:rPr>
            <w:rStyle w:val="Hyperlink"/>
            <w:noProof/>
          </w:rPr>
          <w:t>.</w:t>
        </w:r>
        <w:r>
          <w:rPr>
            <w:rFonts w:asciiTheme="minorHAnsi" w:eastAsiaTheme="minorEastAsia" w:hAnsiTheme="minorHAnsi" w:cstheme="minorBidi"/>
            <w:noProof/>
            <w:sz w:val="22"/>
            <w:szCs w:val="22"/>
            <w:lang w:val="en-US" w:eastAsia="zh-CN"/>
          </w:rPr>
          <w:tab/>
        </w:r>
        <w:r w:rsidRPr="00A01FFC">
          <w:rPr>
            <w:rStyle w:val="Hyperlink"/>
            <w:noProof/>
          </w:rPr>
          <w:t>Adoption of the report (agenda item 1</w:t>
        </w:r>
        <w:r w:rsidR="00524C4D">
          <w:rPr>
            <w:rStyle w:val="Hyperlink"/>
            <w:noProof/>
          </w:rPr>
          <w:t>2</w:t>
        </w:r>
        <w:r w:rsidRPr="00A01FFC">
          <w:rPr>
            <w:rStyle w:val="Hyperlink"/>
            <w:noProof/>
          </w:rPr>
          <w:t>)</w:t>
        </w:r>
        <w:r>
          <w:rPr>
            <w:noProof/>
            <w:webHidden/>
          </w:rPr>
          <w:tab/>
        </w:r>
        <w:r>
          <w:rPr>
            <w:noProof/>
            <w:webHidden/>
          </w:rPr>
          <w:tab/>
        </w:r>
      </w:hyperlink>
      <w:r w:rsidR="004808E3">
        <w:rPr>
          <w:noProof/>
        </w:rPr>
        <w:t>10</w:t>
      </w:r>
      <w:r w:rsidR="004C5E7E">
        <w:rPr>
          <w:noProof/>
        </w:rPr>
        <w:t>5</w:t>
      </w:r>
      <w:r w:rsidR="004808E3">
        <w:rPr>
          <w:noProof/>
        </w:rPr>
        <w:tab/>
        <w:t>1</w:t>
      </w:r>
      <w:r w:rsidR="00B94407">
        <w:rPr>
          <w:noProof/>
        </w:rPr>
        <w:t>7</w:t>
      </w:r>
    </w:p>
    <w:p w14:paraId="1353E387" w14:textId="72211A92" w:rsidR="00695CF0" w:rsidRDefault="00695CF0" w:rsidP="006E795E">
      <w:pPr>
        <w:suppressAutoHyphens w:val="0"/>
        <w:spacing w:line="240" w:lineRule="auto"/>
        <w:rPr>
          <w:rStyle w:val="Hyperlink"/>
          <w:noProof/>
        </w:rPr>
      </w:pPr>
      <w:r>
        <w:rPr>
          <w:rStyle w:val="Hyperlink"/>
          <w:noProof/>
        </w:rPr>
        <w:t>Annexes</w:t>
      </w:r>
    </w:p>
    <w:p w14:paraId="144C6DEA" w14:textId="0F58177B" w:rsidR="00695CF0" w:rsidRDefault="00695CF0" w:rsidP="00531D55">
      <w:pPr>
        <w:tabs>
          <w:tab w:val="right" w:pos="850"/>
          <w:tab w:val="left" w:pos="1134"/>
          <w:tab w:val="left" w:pos="1559"/>
          <w:tab w:val="left" w:pos="1984"/>
          <w:tab w:val="right" w:leader="dot" w:pos="8929"/>
          <w:tab w:val="right" w:pos="9638"/>
        </w:tabs>
        <w:spacing w:after="110"/>
        <w:ind w:left="1134" w:hanging="1134"/>
        <w:rPr>
          <w:rFonts w:asciiTheme="minorHAnsi" w:eastAsiaTheme="minorEastAsia" w:hAnsiTheme="minorHAnsi" w:cstheme="minorBidi"/>
          <w:noProof/>
          <w:sz w:val="22"/>
          <w:szCs w:val="22"/>
          <w:lang w:val="en-US" w:eastAsia="zh-CN"/>
        </w:rPr>
      </w:pPr>
      <w:r>
        <w:rPr>
          <w:noProof/>
          <w:lang w:val="en-US"/>
        </w:rPr>
        <w:tab/>
      </w:r>
      <w:hyperlink w:anchor="_Toc528147020" w:history="1">
        <w:r w:rsidR="00531D55">
          <w:rPr>
            <w:rStyle w:val="Hyperlink"/>
            <w:noProof/>
            <w:lang w:val="en-US"/>
          </w:rPr>
          <w:t>I.</w:t>
        </w:r>
      </w:hyperlink>
      <w:r>
        <w:rPr>
          <w:rStyle w:val="Hyperlink"/>
          <w:noProof/>
        </w:rPr>
        <w:tab/>
      </w:r>
      <w:hyperlink w:anchor="_Toc528147021" w:history="1">
        <w:r w:rsidR="00531D55" w:rsidRPr="00D73DBB">
          <w:rPr>
            <w:lang w:val="en-US"/>
          </w:rPr>
          <w:t xml:space="preserve">Corrections to </w:t>
        </w:r>
        <w:r w:rsidR="00531D55">
          <w:t>ECE/TRANS/WP.11/237</w:t>
        </w:r>
        <w:r>
          <w:rPr>
            <w:noProof/>
            <w:webHidden/>
          </w:rPr>
          <w:tab/>
        </w:r>
        <w:r>
          <w:rPr>
            <w:noProof/>
            <w:webHidden/>
          </w:rPr>
          <w:tab/>
        </w:r>
      </w:hyperlink>
      <w:r w:rsidR="00531D55">
        <w:rPr>
          <w:noProof/>
        </w:rPr>
        <w:t>1</w:t>
      </w:r>
      <w:r w:rsidR="00B94407">
        <w:rPr>
          <w:noProof/>
        </w:rPr>
        <w:t>8</w:t>
      </w:r>
    </w:p>
    <w:p w14:paraId="53216281" w14:textId="590DC8DE" w:rsidR="00695CF0" w:rsidRDefault="00695CF0" w:rsidP="00531D55">
      <w:pPr>
        <w:tabs>
          <w:tab w:val="right" w:pos="850"/>
          <w:tab w:val="left" w:pos="1134"/>
          <w:tab w:val="left" w:pos="1559"/>
          <w:tab w:val="left" w:pos="1984"/>
          <w:tab w:val="right" w:leader="dot" w:pos="8929"/>
          <w:tab w:val="right" w:pos="9638"/>
        </w:tabs>
        <w:spacing w:after="120"/>
        <w:ind w:left="1134" w:hanging="1134"/>
        <w:rPr>
          <w:rFonts w:asciiTheme="minorHAnsi" w:eastAsiaTheme="minorEastAsia" w:hAnsiTheme="minorHAnsi" w:cstheme="minorBidi"/>
          <w:noProof/>
          <w:sz w:val="22"/>
          <w:szCs w:val="22"/>
          <w:lang w:val="en-US" w:eastAsia="zh-CN"/>
        </w:rPr>
      </w:pPr>
      <w:r>
        <w:rPr>
          <w:noProof/>
          <w:lang w:val="en-US"/>
        </w:rPr>
        <w:tab/>
      </w:r>
      <w:hyperlink w:anchor="_Toc528147042" w:history="1">
        <w:r w:rsidRPr="00A01FFC">
          <w:rPr>
            <w:rStyle w:val="Hyperlink"/>
            <w:noProof/>
            <w:lang w:val="en-US"/>
          </w:rPr>
          <w:t>II</w:t>
        </w:r>
        <w:r>
          <w:rPr>
            <w:rStyle w:val="Hyperlink"/>
            <w:noProof/>
            <w:lang w:val="en-US"/>
          </w:rPr>
          <w:t>.</w:t>
        </w:r>
        <w:r>
          <w:rPr>
            <w:noProof/>
            <w:webHidden/>
          </w:rPr>
          <w:tab/>
        </w:r>
      </w:hyperlink>
      <w:hyperlink w:anchor="_Toc528147043" w:history="1">
        <w:r w:rsidR="00531D55" w:rsidRPr="00D73DBB">
          <w:t>Proposed</w:t>
        </w:r>
        <w:r w:rsidR="00531D55" w:rsidRPr="00D73DBB">
          <w:rPr>
            <w:lang w:val="en-US"/>
          </w:rPr>
          <w:t xml:space="preserve"> amendments to ATP</w:t>
        </w:r>
        <w:r w:rsidR="00531D55">
          <w:rPr>
            <w:lang w:val="en-US"/>
          </w:rPr>
          <w:t xml:space="preserve"> </w:t>
        </w:r>
        <w:r>
          <w:rPr>
            <w:noProof/>
            <w:webHidden/>
          </w:rPr>
          <w:tab/>
        </w:r>
        <w:r>
          <w:rPr>
            <w:noProof/>
            <w:webHidden/>
          </w:rPr>
          <w:tab/>
        </w:r>
      </w:hyperlink>
      <w:r w:rsidR="00B94407">
        <w:rPr>
          <w:noProof/>
        </w:rPr>
        <w:t>19</w:t>
      </w:r>
    </w:p>
    <w:p w14:paraId="716D6DFE" w14:textId="22C606FB" w:rsidR="00695CF0" w:rsidRDefault="00695CF0" w:rsidP="00531D55">
      <w:pPr>
        <w:tabs>
          <w:tab w:val="right" w:pos="850"/>
          <w:tab w:val="left" w:pos="1134"/>
          <w:tab w:val="left" w:pos="1559"/>
          <w:tab w:val="left" w:pos="1984"/>
          <w:tab w:val="right" w:leader="dot" w:pos="8929"/>
          <w:tab w:val="right" w:pos="9638"/>
        </w:tabs>
        <w:spacing w:after="120"/>
        <w:ind w:left="1134" w:hanging="1134"/>
        <w:rPr>
          <w:noProof/>
        </w:rPr>
      </w:pPr>
      <w:r>
        <w:rPr>
          <w:noProof/>
          <w:lang w:val="en-US"/>
        </w:rPr>
        <w:tab/>
      </w:r>
      <w:hyperlink w:anchor="_Toc528147046" w:history="1">
        <w:r w:rsidRPr="00A01FFC">
          <w:rPr>
            <w:rStyle w:val="Hyperlink"/>
            <w:noProof/>
            <w:lang w:val="en-US"/>
          </w:rPr>
          <w:t>III</w:t>
        </w:r>
      </w:hyperlink>
      <w:r>
        <w:rPr>
          <w:rStyle w:val="Hyperlink"/>
          <w:noProof/>
        </w:rPr>
        <w:t>.</w:t>
      </w:r>
      <w:r>
        <w:rPr>
          <w:rStyle w:val="Hyperlink"/>
          <w:noProof/>
        </w:rPr>
        <w:tab/>
      </w:r>
      <w:hyperlink w:anchor="_Toc528147047" w:history="1">
        <w:r w:rsidR="00531D55" w:rsidRPr="00D73DBB">
          <w:rPr>
            <w:lang w:val="en-US"/>
          </w:rPr>
          <w:t>Corrections to ATP</w:t>
        </w:r>
        <w:r>
          <w:rPr>
            <w:noProof/>
            <w:webHidden/>
          </w:rPr>
          <w:tab/>
        </w:r>
        <w:r>
          <w:rPr>
            <w:noProof/>
            <w:webHidden/>
          </w:rPr>
          <w:tab/>
        </w:r>
      </w:hyperlink>
      <w:r w:rsidR="00531D55">
        <w:rPr>
          <w:noProof/>
        </w:rPr>
        <w:t>2</w:t>
      </w:r>
      <w:r w:rsidR="00B94407">
        <w:rPr>
          <w:noProof/>
        </w:rPr>
        <w:t>1</w:t>
      </w:r>
    </w:p>
    <w:p w14:paraId="45CD5BE6" w14:textId="7337FCE3" w:rsidR="00531D55" w:rsidRDefault="00531D55" w:rsidP="00531D55">
      <w:pPr>
        <w:tabs>
          <w:tab w:val="right" w:pos="850"/>
          <w:tab w:val="left" w:pos="1134"/>
          <w:tab w:val="left" w:pos="1559"/>
          <w:tab w:val="left" w:pos="1984"/>
          <w:tab w:val="right" w:leader="dot" w:pos="8929"/>
          <w:tab w:val="right" w:pos="9638"/>
        </w:tabs>
        <w:spacing w:after="120"/>
        <w:ind w:left="1134" w:hanging="1134"/>
        <w:rPr>
          <w:rStyle w:val="Hyperlink"/>
          <w:noProof/>
        </w:rPr>
      </w:pPr>
      <w:r>
        <w:rPr>
          <w:noProof/>
        </w:rPr>
        <w:tab/>
        <w:t>IV.</w:t>
      </w:r>
      <w:r>
        <w:rPr>
          <w:noProof/>
        </w:rPr>
        <w:tab/>
      </w:r>
      <w:r w:rsidRPr="00C05089">
        <w:t>Additions</w:t>
      </w:r>
      <w:r w:rsidRPr="00C05089">
        <w:rPr>
          <w:lang w:val="en-US"/>
        </w:rPr>
        <w:t xml:space="preserve"> to the ATP Handbook</w:t>
      </w:r>
      <w:r>
        <w:rPr>
          <w:lang w:val="en-US"/>
        </w:rPr>
        <w:tab/>
      </w:r>
      <w:r>
        <w:rPr>
          <w:lang w:val="en-US"/>
        </w:rPr>
        <w:tab/>
      </w:r>
      <w:r w:rsidR="000F1585">
        <w:rPr>
          <w:lang w:val="en-US"/>
        </w:rPr>
        <w:t>2</w:t>
      </w:r>
      <w:r w:rsidR="00B94407">
        <w:rPr>
          <w:lang w:val="en-US"/>
        </w:rPr>
        <w:t>2</w:t>
      </w:r>
    </w:p>
    <w:p w14:paraId="42ED02FF" w14:textId="54D72E65" w:rsidR="00802923" w:rsidRPr="00D73DBB" w:rsidRDefault="00802923" w:rsidP="00DC25B1">
      <w:pPr>
        <w:tabs>
          <w:tab w:val="right" w:pos="850"/>
          <w:tab w:val="left" w:pos="1134"/>
          <w:tab w:val="left" w:pos="1559"/>
          <w:tab w:val="left" w:pos="1984"/>
          <w:tab w:val="right" w:leader="dot" w:pos="8929"/>
          <w:tab w:val="right" w:pos="9638"/>
        </w:tabs>
        <w:spacing w:after="120"/>
        <w:ind w:left="1134" w:hanging="1134"/>
      </w:pPr>
      <w:r w:rsidRPr="00D73DBB">
        <w:br w:type="page"/>
      </w:r>
    </w:p>
    <w:p w14:paraId="5408CABE" w14:textId="645FC96A" w:rsidR="00F74C6A" w:rsidRDefault="00F74C6A" w:rsidP="00F74C6A">
      <w:pPr>
        <w:pStyle w:val="HChG"/>
      </w:pPr>
      <w:r w:rsidRPr="00F74C6A">
        <w:rPr>
          <w:szCs w:val="24"/>
        </w:rPr>
        <w:tab/>
      </w:r>
      <w:bookmarkStart w:id="3" w:name="_Toc528146958"/>
      <w:r w:rsidRPr="008D3599">
        <w:rPr>
          <w:szCs w:val="24"/>
        </w:rPr>
        <w:t>I.</w:t>
      </w:r>
      <w:r w:rsidRPr="008D3599">
        <w:rPr>
          <w:szCs w:val="24"/>
        </w:rPr>
        <w:tab/>
      </w:r>
      <w:r w:rsidRPr="008D3599">
        <w:t>Attendance</w:t>
      </w:r>
      <w:bookmarkEnd w:id="3"/>
    </w:p>
    <w:p w14:paraId="240D1AD7" w14:textId="77777777" w:rsidR="00F316E0" w:rsidRPr="0009377F" w:rsidRDefault="00F316E0" w:rsidP="00F316E0">
      <w:pPr>
        <w:pStyle w:val="SingleTxtG"/>
        <w:rPr>
          <w:szCs w:val="24"/>
          <w:lang w:val="en-US"/>
        </w:rPr>
      </w:pPr>
      <w:r>
        <w:t>1</w:t>
      </w:r>
      <w:r w:rsidRPr="0009377F">
        <w:t>.</w:t>
      </w:r>
      <w:r w:rsidRPr="0009377F">
        <w:tab/>
        <w:t xml:space="preserve">The Working Party on the Transport of </w:t>
      </w:r>
      <w:r w:rsidRPr="006F734F">
        <w:t>Perishable</w:t>
      </w:r>
      <w:r w:rsidRPr="0009377F">
        <w:t xml:space="preserve"> Foodstuffs (WP.11) held its sevent</w:t>
      </w:r>
      <w:r>
        <w:t>y-fifth</w:t>
      </w:r>
      <w:r w:rsidRPr="0009377F">
        <w:t xml:space="preserve"> session from </w:t>
      </w:r>
      <w:r>
        <w:t>8</w:t>
      </w:r>
      <w:r w:rsidRPr="0009377F">
        <w:t>-</w:t>
      </w:r>
      <w:r>
        <w:t>11</w:t>
      </w:r>
      <w:r w:rsidRPr="0009377F">
        <w:t xml:space="preserve"> October 201</w:t>
      </w:r>
      <w:r>
        <w:t>9</w:t>
      </w:r>
      <w:r w:rsidRPr="0009377F">
        <w:t xml:space="preserve"> with Mr. K. de Putter (Netherlands) as Chair and Mr. </w:t>
      </w:r>
      <w:r>
        <w:t>J</w:t>
      </w:r>
      <w:r w:rsidRPr="0009377F">
        <w:t>.</w:t>
      </w:r>
      <w:r>
        <w:t>M.</w:t>
      </w:r>
      <w:r w:rsidRPr="0009377F">
        <w:t xml:space="preserve"> </w:t>
      </w:r>
      <w:proofErr w:type="spellStart"/>
      <w:r>
        <w:t>Bonnal</w:t>
      </w:r>
      <w:proofErr w:type="spellEnd"/>
      <w:r w:rsidRPr="0009377F">
        <w:t xml:space="preserve"> (</w:t>
      </w:r>
      <w:r>
        <w:t>France</w:t>
      </w:r>
      <w:r w:rsidRPr="0009377F">
        <w:t>) as Vice-Chair.</w:t>
      </w:r>
    </w:p>
    <w:p w14:paraId="25CB617B" w14:textId="500B07E2" w:rsidR="00F316E0" w:rsidRDefault="00F316E0" w:rsidP="00F316E0">
      <w:pPr>
        <w:pStyle w:val="SingleTxtG"/>
      </w:pPr>
      <w:r>
        <w:t>2</w:t>
      </w:r>
      <w:r w:rsidRPr="0009377F">
        <w:t>.</w:t>
      </w:r>
      <w:r w:rsidRPr="0009377F">
        <w:tab/>
        <w:t xml:space="preserve">Representatives of the following countries took part in the session: </w:t>
      </w:r>
      <w:r>
        <w:t>Croatia,</w:t>
      </w:r>
      <w:r w:rsidR="00B062F1">
        <w:t xml:space="preserve"> Czech Republic,</w:t>
      </w:r>
      <w:r>
        <w:t xml:space="preserve"> </w:t>
      </w:r>
      <w:r w:rsidRPr="0009377F">
        <w:t xml:space="preserve">Denmark, Finland, France, Germany, Italy, Latvia, Luxembourg, Morocco, Netherlands, Poland, Russian Federation, </w:t>
      </w:r>
      <w:r>
        <w:t>Slovenia, Spain,</w:t>
      </w:r>
      <w:r w:rsidRPr="0009377F">
        <w:t xml:space="preserve"> </w:t>
      </w:r>
      <w:r>
        <w:t xml:space="preserve">Switzerland, </w:t>
      </w:r>
      <w:r w:rsidR="00B062F1">
        <w:t xml:space="preserve">Turkey, </w:t>
      </w:r>
      <w:r w:rsidRPr="0009377F">
        <w:t xml:space="preserve">United Kingdom of Great Britain and Northern Ireland and United States of America. </w:t>
      </w:r>
    </w:p>
    <w:p w14:paraId="06676814" w14:textId="1314364E" w:rsidR="00F316E0" w:rsidRDefault="00F316E0" w:rsidP="00F316E0">
      <w:pPr>
        <w:shd w:val="clear" w:color="auto" w:fill="FFFFFF" w:themeFill="background1"/>
        <w:spacing w:after="120"/>
        <w:ind w:left="1134" w:right="1134"/>
        <w:jc w:val="both"/>
      </w:pPr>
      <w:r w:rsidRPr="00D73DBB">
        <w:t>3.</w:t>
      </w:r>
      <w:r w:rsidRPr="00D73DBB">
        <w:tab/>
      </w:r>
      <w:r w:rsidR="00670867">
        <w:t>A r</w:t>
      </w:r>
      <w:r w:rsidR="00670867" w:rsidRPr="00D73DBB">
        <w:t xml:space="preserve">epresentative of </w:t>
      </w:r>
      <w:r w:rsidR="00670867">
        <w:t>Algeria</w:t>
      </w:r>
      <w:r>
        <w:t xml:space="preserve"> </w:t>
      </w:r>
      <w:r w:rsidRPr="00D73DBB">
        <w:t>also took part in the session in accordance with paragraph</w:t>
      </w:r>
      <w:r w:rsidR="00670867">
        <w:t> </w:t>
      </w:r>
      <w:r w:rsidRPr="00D73DBB">
        <w:t>11 of the terms of reference of the Economic Commission for Europe.</w:t>
      </w:r>
    </w:p>
    <w:p w14:paraId="735843D3" w14:textId="0CC80728" w:rsidR="00F316E0" w:rsidRPr="00D73DBB" w:rsidRDefault="00F316E0" w:rsidP="00F316E0">
      <w:pPr>
        <w:shd w:val="clear" w:color="auto" w:fill="FFFFFF" w:themeFill="background1"/>
        <w:spacing w:after="120"/>
        <w:ind w:left="1134" w:right="1134"/>
        <w:jc w:val="both"/>
      </w:pPr>
      <w:r>
        <w:t>4.</w:t>
      </w:r>
      <w:r>
        <w:tab/>
      </w:r>
      <w:r w:rsidRPr="0009377F">
        <w:t>The intergovernmental organization International Institute of Refrigeration (IIR) and the non</w:t>
      </w:r>
      <w:r w:rsidRPr="0009377F">
        <w:noBreakHyphen/>
        <w:t xml:space="preserve">governmental organizations </w:t>
      </w:r>
      <w:r w:rsidRPr="0009377F">
        <w:rPr>
          <w:lang w:val="en-US"/>
        </w:rPr>
        <w:t xml:space="preserve">International Association of the Body and Trailer Building Industry </w:t>
      </w:r>
      <w:r w:rsidRPr="0009377F">
        <w:t xml:space="preserve">(CLCCR) and </w:t>
      </w:r>
      <w:proofErr w:type="spellStart"/>
      <w:r w:rsidRPr="0009377F">
        <w:t>Transfrigoroute</w:t>
      </w:r>
      <w:proofErr w:type="spellEnd"/>
      <w:r w:rsidRPr="0009377F">
        <w:t xml:space="preserve"> International (TI) also took part in the session.</w:t>
      </w:r>
      <w:r>
        <w:t xml:space="preserve"> </w:t>
      </w:r>
      <w:proofErr w:type="spellStart"/>
      <w:r w:rsidRPr="00D73DBB">
        <w:t>EuroMed</w:t>
      </w:r>
      <w:proofErr w:type="spellEnd"/>
      <w:r w:rsidRPr="00D73DBB">
        <w:t xml:space="preserve"> was also represented.</w:t>
      </w:r>
    </w:p>
    <w:p w14:paraId="6DE77EDD" w14:textId="77777777" w:rsidR="00F74C6A" w:rsidRPr="008D3599" w:rsidRDefault="00F74C6A" w:rsidP="00F74C6A">
      <w:pPr>
        <w:pStyle w:val="HChG"/>
        <w:rPr>
          <w:caps/>
        </w:rPr>
      </w:pPr>
      <w:r w:rsidRPr="008D3599">
        <w:tab/>
      </w:r>
      <w:bookmarkStart w:id="4" w:name="_Toc401568230"/>
      <w:bookmarkStart w:id="5" w:name="_Toc401568635"/>
      <w:bookmarkStart w:id="6" w:name="_Toc528146959"/>
      <w:r w:rsidRPr="008D3599">
        <w:t>II.</w:t>
      </w:r>
      <w:r w:rsidRPr="008D3599">
        <w:tab/>
        <w:t xml:space="preserve">Adoption of the agenda </w:t>
      </w:r>
      <w:bookmarkEnd w:id="4"/>
      <w:bookmarkEnd w:id="5"/>
      <w:r w:rsidRPr="008D3599">
        <w:t>(agenda item 1)</w:t>
      </w:r>
      <w:bookmarkEnd w:id="6"/>
    </w:p>
    <w:p w14:paraId="64FAD6D9" w14:textId="7C1079C2" w:rsidR="00F74C6A" w:rsidRPr="00F74C6A" w:rsidRDefault="00F74C6A" w:rsidP="00F74C6A">
      <w:pPr>
        <w:tabs>
          <w:tab w:val="left" w:pos="2300"/>
        </w:tabs>
        <w:ind w:left="1134" w:right="1134"/>
        <w:jc w:val="both"/>
        <w:rPr>
          <w:lang w:val="en-US"/>
        </w:rPr>
      </w:pPr>
      <w:r w:rsidRPr="00F74C6A">
        <w:rPr>
          <w:i/>
          <w:lang w:val="en-US"/>
        </w:rPr>
        <w:t>Documents</w:t>
      </w:r>
      <w:r w:rsidRPr="00F74C6A">
        <w:rPr>
          <w:lang w:val="en-US"/>
        </w:rPr>
        <w:t>:</w:t>
      </w:r>
      <w:r w:rsidRPr="00F74C6A">
        <w:rPr>
          <w:lang w:val="en-US"/>
        </w:rPr>
        <w:tab/>
      </w:r>
      <w:r w:rsidRPr="00F74C6A">
        <w:rPr>
          <w:lang w:val="en-US"/>
        </w:rPr>
        <w:tab/>
      </w:r>
      <w:r w:rsidRPr="00F74C6A">
        <w:rPr>
          <w:lang w:val="en-US"/>
        </w:rPr>
        <w:tab/>
        <w:t>ECE/TRANS/WP.11/2</w:t>
      </w:r>
      <w:r w:rsidR="00F316E0">
        <w:rPr>
          <w:lang w:val="en-US"/>
        </w:rPr>
        <w:t>40</w:t>
      </w:r>
    </w:p>
    <w:p w14:paraId="061138B3" w14:textId="7C86EFB8" w:rsidR="00F74C6A" w:rsidRPr="00F74C6A" w:rsidRDefault="00F74C6A" w:rsidP="00CB573A">
      <w:pPr>
        <w:tabs>
          <w:tab w:val="left" w:pos="2300"/>
        </w:tabs>
        <w:spacing w:after="120"/>
        <w:ind w:left="1134" w:right="1134"/>
        <w:jc w:val="both"/>
        <w:rPr>
          <w:lang w:val="en-US"/>
        </w:rPr>
      </w:pPr>
      <w:r w:rsidRPr="00F74C6A">
        <w:rPr>
          <w:lang w:val="en-US"/>
        </w:rPr>
        <w:tab/>
      </w:r>
      <w:r w:rsidRPr="00F74C6A">
        <w:rPr>
          <w:lang w:val="en-US"/>
        </w:rPr>
        <w:tab/>
      </w:r>
      <w:r w:rsidRPr="00F74C6A">
        <w:rPr>
          <w:lang w:val="en-US"/>
        </w:rPr>
        <w:tab/>
        <w:t>ECE/TRANS/WP.11/2</w:t>
      </w:r>
      <w:r w:rsidR="00F316E0">
        <w:rPr>
          <w:lang w:val="en-US"/>
        </w:rPr>
        <w:t>40</w:t>
      </w:r>
      <w:r w:rsidRPr="00F74C6A">
        <w:rPr>
          <w:lang w:val="en-US"/>
        </w:rPr>
        <w:t>/Add.1</w:t>
      </w:r>
    </w:p>
    <w:p w14:paraId="5DB8D3C9" w14:textId="128771A6" w:rsidR="00F74C6A" w:rsidRPr="00F74C6A" w:rsidRDefault="00F74C6A" w:rsidP="00F74C6A">
      <w:pPr>
        <w:tabs>
          <w:tab w:val="left" w:pos="2300"/>
        </w:tabs>
        <w:spacing w:after="120"/>
        <w:ind w:left="1134" w:right="1134"/>
        <w:jc w:val="both"/>
      </w:pPr>
      <w:r w:rsidRPr="00F74C6A">
        <w:rPr>
          <w:i/>
        </w:rPr>
        <w:t>Informal document</w:t>
      </w:r>
      <w:r w:rsidRPr="00F74C6A">
        <w:t xml:space="preserve">: </w:t>
      </w:r>
      <w:r w:rsidRPr="00F74C6A">
        <w:tab/>
      </w:r>
      <w:r w:rsidR="00FC58C2">
        <w:tab/>
      </w:r>
      <w:r w:rsidR="00F316E0" w:rsidRPr="0009377F">
        <w:t xml:space="preserve">INF.1 </w:t>
      </w:r>
      <w:r w:rsidR="00F316E0">
        <w:t xml:space="preserve">and INF.3 </w:t>
      </w:r>
      <w:r w:rsidR="00F316E0" w:rsidRPr="0009377F">
        <w:t>(Secretariat)</w:t>
      </w:r>
    </w:p>
    <w:p w14:paraId="16A1BF08" w14:textId="67DC5E1F" w:rsidR="00F74C6A" w:rsidRDefault="00F316E0" w:rsidP="00F74C6A">
      <w:pPr>
        <w:pStyle w:val="SingleTxtG"/>
      </w:pPr>
      <w:r>
        <w:t>5</w:t>
      </w:r>
      <w:r w:rsidRPr="0009377F">
        <w:t>.</w:t>
      </w:r>
      <w:r w:rsidRPr="0009377F">
        <w:tab/>
        <w:t>The provisional agenda (</w:t>
      </w:r>
      <w:r w:rsidRPr="006F734F">
        <w:t>ECE</w:t>
      </w:r>
      <w:r w:rsidRPr="0009377F">
        <w:t>/TRANS/WP.11/</w:t>
      </w:r>
      <w:r>
        <w:t>240</w:t>
      </w:r>
      <w:r w:rsidRPr="0009377F">
        <w:t xml:space="preserve"> and -/Add.</w:t>
      </w:r>
      <w:r>
        <w:t>1</w:t>
      </w:r>
      <w:r w:rsidRPr="0009377F">
        <w:t xml:space="preserve">) </w:t>
      </w:r>
      <w:r>
        <w:t>were</w:t>
      </w:r>
      <w:r w:rsidRPr="0009377F">
        <w:t xml:space="preserve"> adopted as amended by informal document INF.1 to take account of i</w:t>
      </w:r>
      <w:r>
        <w:t>nformal documents INF.1 to INF.</w:t>
      </w:r>
      <w:r w:rsidR="00426749">
        <w:t>5</w:t>
      </w:r>
      <w:r w:rsidRPr="000A6FB4">
        <w:t>.</w:t>
      </w:r>
    </w:p>
    <w:p w14:paraId="3F0AFF13" w14:textId="2D697A55" w:rsidR="00FF413B" w:rsidRDefault="00FF413B" w:rsidP="00FF413B">
      <w:pPr>
        <w:pStyle w:val="HChG"/>
      </w:pPr>
      <w:r w:rsidRPr="00FF413B">
        <w:rPr>
          <w:szCs w:val="24"/>
        </w:rPr>
        <w:tab/>
      </w:r>
      <w:r w:rsidR="00F316E0" w:rsidRPr="008D3599">
        <w:t>III.</w:t>
      </w:r>
      <w:r w:rsidR="00F316E0" w:rsidRPr="008D3599">
        <w:tab/>
        <w:t>Activities of ECE bodies of interest to the Working Party (agenda item 2)</w:t>
      </w:r>
    </w:p>
    <w:p w14:paraId="75DB3456" w14:textId="207BEFE1" w:rsidR="00972B27" w:rsidRPr="003C50CE" w:rsidRDefault="00972B27" w:rsidP="00972B27">
      <w:pPr>
        <w:pStyle w:val="H1G"/>
        <w:jc w:val="both"/>
      </w:pPr>
      <w:r w:rsidRPr="003C50CE">
        <w:tab/>
      </w:r>
      <w:r w:rsidRPr="008D3599">
        <w:t>A.</w:t>
      </w:r>
      <w:r w:rsidRPr="008D3599">
        <w:tab/>
        <w:t>Inland Transport Committee</w:t>
      </w:r>
    </w:p>
    <w:p w14:paraId="3D84CAD1" w14:textId="0B944654" w:rsidR="00972B27" w:rsidRPr="003C50CE" w:rsidRDefault="006C51EB" w:rsidP="00972B27">
      <w:pPr>
        <w:pStyle w:val="SingleTxtG"/>
        <w:rPr>
          <w:lang w:val="en-US"/>
        </w:rPr>
      </w:pPr>
      <w:r>
        <w:rPr>
          <w:lang w:val="en-US"/>
        </w:rPr>
        <w:t>6</w:t>
      </w:r>
      <w:r w:rsidR="00972B27" w:rsidRPr="003C50CE">
        <w:rPr>
          <w:lang w:val="en-US"/>
        </w:rPr>
        <w:t>.</w:t>
      </w:r>
      <w:r w:rsidR="00972B27" w:rsidRPr="003C50CE">
        <w:rPr>
          <w:lang w:val="en-US"/>
        </w:rPr>
        <w:tab/>
        <w:t xml:space="preserve">The Working Party was informed about the results of the </w:t>
      </w:r>
      <w:r w:rsidR="00972B27" w:rsidRPr="003C50CE">
        <w:t>eighty-first session of the Inland Transport Committee (ITC),</w:t>
      </w:r>
      <w:r w:rsidR="00972B27" w:rsidRPr="003C50CE">
        <w:rPr>
          <w:lang w:val="en-US"/>
        </w:rPr>
        <w:t xml:space="preserve"> </w:t>
      </w:r>
      <w:r w:rsidR="00972B27" w:rsidRPr="003C50CE">
        <w:t xml:space="preserve">(19-22 February 2019) </w:t>
      </w:r>
      <w:r w:rsidR="00972B27" w:rsidRPr="003C50CE">
        <w:rPr>
          <w:lang w:val="en-US"/>
        </w:rPr>
        <w:t>as reflected in its report (ECE/TRANS/288, paragraphs 99-104).</w:t>
      </w:r>
    </w:p>
    <w:p w14:paraId="2A658513" w14:textId="1D5DB578" w:rsidR="00972B27" w:rsidRPr="003C50CE" w:rsidRDefault="006C51EB" w:rsidP="00972B27">
      <w:pPr>
        <w:autoSpaceDE w:val="0"/>
        <w:autoSpaceDN w:val="0"/>
        <w:adjustRightInd w:val="0"/>
        <w:spacing w:after="120" w:line="240" w:lineRule="auto"/>
        <w:ind w:left="1134" w:right="1134"/>
        <w:jc w:val="both"/>
        <w:rPr>
          <w:lang w:val="en-US"/>
        </w:rPr>
      </w:pPr>
      <w:r>
        <w:rPr>
          <w:lang w:val="en-US"/>
        </w:rPr>
        <w:t>7</w:t>
      </w:r>
      <w:r w:rsidR="00972B27" w:rsidRPr="003C50CE">
        <w:t>.</w:t>
      </w:r>
      <w:r w:rsidR="00972B27" w:rsidRPr="003C50CE">
        <w:tab/>
        <w:t>The ITC adopted the reports of its subsidiary bodies (ECE/TRANS/288, para. 117)</w:t>
      </w:r>
      <w:r w:rsidR="00972B27" w:rsidRPr="003C50CE">
        <w:rPr>
          <w:lang w:val="en-US"/>
        </w:rPr>
        <w:t>.</w:t>
      </w:r>
    </w:p>
    <w:p w14:paraId="13AEF8E1" w14:textId="2F078FD7" w:rsidR="00972B27" w:rsidRPr="003C50CE" w:rsidRDefault="00972B27" w:rsidP="00972B27">
      <w:pPr>
        <w:autoSpaceDE w:val="0"/>
        <w:autoSpaceDN w:val="0"/>
        <w:adjustRightInd w:val="0"/>
        <w:spacing w:after="120" w:line="240" w:lineRule="auto"/>
        <w:ind w:left="1134" w:right="1134"/>
        <w:jc w:val="both"/>
        <w:rPr>
          <w:lang w:val="en-US"/>
        </w:rPr>
      </w:pPr>
      <w:r w:rsidRPr="003C50CE">
        <w:rPr>
          <w:lang w:val="en-US"/>
        </w:rPr>
        <w:t>8.</w:t>
      </w:r>
      <w:r w:rsidRPr="003C50CE">
        <w:rPr>
          <w:lang w:val="en-US"/>
        </w:rPr>
        <w:tab/>
        <w:t>Regarding proposals for a concrete plan aligning the work of the Working Party with the ITC strategy, WP.11 decided to send contributions to the secretariat that will then be consolidated and presented in a document for discussion at the next session.</w:t>
      </w:r>
    </w:p>
    <w:p w14:paraId="4286E5F2" w14:textId="7E5E7607" w:rsidR="00972B27" w:rsidRPr="003C50CE" w:rsidRDefault="00972B27" w:rsidP="00972B27">
      <w:pPr>
        <w:autoSpaceDE w:val="0"/>
        <w:autoSpaceDN w:val="0"/>
        <w:adjustRightInd w:val="0"/>
        <w:spacing w:after="120" w:line="240" w:lineRule="auto"/>
        <w:ind w:left="1134" w:right="1134"/>
        <w:jc w:val="both"/>
      </w:pPr>
      <w:r w:rsidRPr="003C50CE">
        <w:rPr>
          <w:lang w:val="en-US"/>
        </w:rPr>
        <w:t>9.</w:t>
      </w:r>
      <w:r w:rsidRPr="003C50CE">
        <w:rPr>
          <w:lang w:val="en-US"/>
        </w:rPr>
        <w:tab/>
        <w:t xml:space="preserve">With respect to pending issues reflected in the report of the </w:t>
      </w:r>
      <w:bookmarkStart w:id="7" w:name="_Hlk511311763"/>
      <w:r w:rsidRPr="003C50CE">
        <w:t>Round table discussion on ways of improving the functioning of the Working Party</w:t>
      </w:r>
      <w:bookmarkEnd w:id="7"/>
      <w:r w:rsidRPr="003C50CE">
        <w:t xml:space="preserve"> (see ECE/TRANS/WP.11/239, paras. 5-29) the Working Party decided to find a suitable way </w:t>
      </w:r>
      <w:r w:rsidR="00647184">
        <w:t>of</w:t>
      </w:r>
      <w:r w:rsidRPr="003C50CE">
        <w:t xml:space="preserve"> hold</w:t>
      </w:r>
      <w:r w:rsidR="00647184">
        <w:t>ing</w:t>
      </w:r>
      <w:r w:rsidRPr="003C50CE">
        <w:t xml:space="preserve"> further discussions at the next session.</w:t>
      </w:r>
    </w:p>
    <w:p w14:paraId="4F533494" w14:textId="77777777" w:rsidR="00F316E0" w:rsidRPr="00803899" w:rsidRDefault="00F316E0" w:rsidP="00F316E0">
      <w:pPr>
        <w:pStyle w:val="H1G"/>
      </w:pPr>
      <w:r>
        <w:tab/>
      </w:r>
      <w:r w:rsidRPr="008D3599">
        <w:t>B.</w:t>
      </w:r>
      <w:r w:rsidRPr="008D3599">
        <w:tab/>
        <w:t>Working Party on Agricultural Quality Standards</w:t>
      </w:r>
    </w:p>
    <w:p w14:paraId="11CA7F8E" w14:textId="3922BFD9" w:rsidR="00F316E0" w:rsidRPr="00BC6A91" w:rsidRDefault="006C51EB" w:rsidP="00F316E0">
      <w:pPr>
        <w:pStyle w:val="SingleTxtG"/>
      </w:pPr>
      <w:r>
        <w:t>10</w:t>
      </w:r>
      <w:r w:rsidR="00F316E0">
        <w:t>.</w:t>
      </w:r>
      <w:r w:rsidR="00F316E0">
        <w:tab/>
      </w:r>
      <w:r w:rsidR="00F316E0" w:rsidRPr="00BC6A91">
        <w:t xml:space="preserve">The activities of the Working Party on Agricultural Quality Standards (WP.7) of interest to WP.11 </w:t>
      </w:r>
      <w:r w:rsidR="00F316E0">
        <w:t>were</w:t>
      </w:r>
      <w:r w:rsidR="00F316E0" w:rsidRPr="00BC6A91">
        <w:t>:</w:t>
      </w:r>
    </w:p>
    <w:p w14:paraId="208C318C" w14:textId="40EF6BD3" w:rsidR="00F316E0" w:rsidRDefault="00723BAC" w:rsidP="00F61B89">
      <w:pPr>
        <w:pStyle w:val="Bullet1G"/>
        <w:numPr>
          <w:ilvl w:val="3"/>
          <w:numId w:val="20"/>
        </w:numPr>
        <w:ind w:left="1985" w:hanging="284"/>
      </w:pPr>
      <w:hyperlink r:id="rId9" w:history="1">
        <w:r w:rsidR="00F316E0" w:rsidRPr="008246AE">
          <w:t>UNECE Meeting/Workshop on Meat Quality for a Sustainable future: International meeting on eating quality, standards and innovative solutions for trade</w:t>
        </w:r>
      </w:hyperlink>
      <w:r w:rsidR="00F316E0">
        <w:t xml:space="preserve">, </w:t>
      </w:r>
      <w:r w:rsidR="00F316E0" w:rsidRPr="008246AE">
        <w:t>1</w:t>
      </w:r>
      <w:r w:rsidR="00F316E0">
        <w:t>-</w:t>
      </w:r>
      <w:r w:rsidR="00F316E0" w:rsidRPr="008246AE">
        <w:t>2 August 2019</w:t>
      </w:r>
      <w:r w:rsidR="00F316E0">
        <w:t>, P</w:t>
      </w:r>
      <w:r w:rsidR="00F316E0" w:rsidRPr="008246AE">
        <w:t>otsdam-</w:t>
      </w:r>
      <w:r w:rsidR="00F316E0">
        <w:t>B</w:t>
      </w:r>
      <w:r w:rsidR="00F316E0" w:rsidRPr="008246AE">
        <w:t xml:space="preserve">erlin, </w:t>
      </w:r>
      <w:r w:rsidR="00F316E0">
        <w:t>G</w:t>
      </w:r>
      <w:r w:rsidR="00F316E0" w:rsidRPr="008246AE">
        <w:t>ermany</w:t>
      </w:r>
      <w:r w:rsidR="00670867">
        <w:t>;</w:t>
      </w:r>
    </w:p>
    <w:p w14:paraId="3D557BDC" w14:textId="24C12917" w:rsidR="00F316E0" w:rsidRPr="002A2358" w:rsidRDefault="00723BAC" w:rsidP="00F61B89">
      <w:pPr>
        <w:pStyle w:val="Bullet1G"/>
        <w:numPr>
          <w:ilvl w:val="3"/>
          <w:numId w:val="20"/>
        </w:numPr>
        <w:ind w:left="1985" w:hanging="284"/>
      </w:pPr>
      <w:hyperlink r:id="rId10" w:history="1">
        <w:r w:rsidR="00F316E0" w:rsidRPr="002A2358">
          <w:t>Twenty-eighth session of the Specialized Section on Standardization of Meat (GE.11)</w:t>
        </w:r>
      </w:hyperlink>
      <w:r w:rsidR="00F316E0">
        <w:t xml:space="preserve">, </w:t>
      </w:r>
      <w:r w:rsidR="00F316E0" w:rsidRPr="002A2358">
        <w:t>19 November 2019</w:t>
      </w:r>
      <w:r w:rsidR="00F316E0">
        <w:t>, G</w:t>
      </w:r>
      <w:r w:rsidR="00F316E0" w:rsidRPr="002A2358">
        <w:t xml:space="preserve">eneva, </w:t>
      </w:r>
      <w:r w:rsidR="00F316E0">
        <w:t>S</w:t>
      </w:r>
      <w:r w:rsidR="00F316E0" w:rsidRPr="002A2358">
        <w:t>witzerland</w:t>
      </w:r>
      <w:r w:rsidR="00670867">
        <w:t>;</w:t>
      </w:r>
    </w:p>
    <w:p w14:paraId="137D8303" w14:textId="6CC32D32" w:rsidR="00F316E0" w:rsidRDefault="00F316E0" w:rsidP="00F61B89">
      <w:pPr>
        <w:pStyle w:val="Bullet1G"/>
        <w:numPr>
          <w:ilvl w:val="3"/>
          <w:numId w:val="20"/>
        </w:numPr>
        <w:ind w:left="1985" w:hanging="284"/>
        <w:rPr>
          <w:spacing w:val="-3"/>
        </w:rPr>
      </w:pPr>
      <w:r w:rsidRPr="008472C2">
        <w:t>Seventy-</w:t>
      </w:r>
      <w:r>
        <w:t>fifth</w:t>
      </w:r>
      <w:r w:rsidRPr="008472C2">
        <w:t xml:space="preserve"> session of the Working Party on Agricultural Quality Standards (WP.7), </w:t>
      </w:r>
      <w:r>
        <w:rPr>
          <w:spacing w:val="-3"/>
        </w:rPr>
        <w:t>20-21</w:t>
      </w:r>
      <w:r w:rsidRPr="008472C2">
        <w:rPr>
          <w:spacing w:val="-3"/>
        </w:rPr>
        <w:t xml:space="preserve"> November 201</w:t>
      </w:r>
      <w:r>
        <w:rPr>
          <w:spacing w:val="-3"/>
        </w:rPr>
        <w:t>9</w:t>
      </w:r>
      <w:r w:rsidRPr="008472C2">
        <w:rPr>
          <w:spacing w:val="-3"/>
        </w:rPr>
        <w:t>, Palais des Nations, Geneva, Switzerland</w:t>
      </w:r>
      <w:r>
        <w:rPr>
          <w:spacing w:val="-3"/>
        </w:rPr>
        <w:t>.</w:t>
      </w:r>
    </w:p>
    <w:p w14:paraId="16A9CE27" w14:textId="3E185447" w:rsidR="00F316E0" w:rsidRDefault="006C51EB" w:rsidP="00F316E0">
      <w:pPr>
        <w:pStyle w:val="SingleTxtG"/>
      </w:pPr>
      <w:r>
        <w:rPr>
          <w:spacing w:val="-3"/>
        </w:rPr>
        <w:t>11</w:t>
      </w:r>
      <w:r w:rsidR="00F316E0">
        <w:rPr>
          <w:spacing w:val="-3"/>
        </w:rPr>
        <w:t>.</w:t>
      </w:r>
      <w:r w:rsidR="00F316E0">
        <w:rPr>
          <w:spacing w:val="-3"/>
        </w:rPr>
        <w:tab/>
        <w:t xml:space="preserve">For more information on these and other activities, please visit WP.7 website at </w:t>
      </w:r>
      <w:hyperlink r:id="rId11" w:history="1">
        <w:r w:rsidR="00F316E0" w:rsidRPr="007A3259">
          <w:rPr>
            <w:rStyle w:val="Hyperlink"/>
          </w:rPr>
          <w:t>http://www.unece.org/trade/agr/welcome.html</w:t>
        </w:r>
      </w:hyperlink>
      <w:r w:rsidR="00F316E0">
        <w:t>.</w:t>
      </w:r>
    </w:p>
    <w:p w14:paraId="562A56CB" w14:textId="6F7F053E" w:rsidR="00F74C6A" w:rsidRPr="00F74C6A" w:rsidRDefault="00F74C6A" w:rsidP="00FF413B">
      <w:pPr>
        <w:pStyle w:val="HChG"/>
      </w:pPr>
      <w:r w:rsidRPr="00F74C6A">
        <w:tab/>
      </w:r>
      <w:bookmarkStart w:id="8" w:name="_Toc528146961"/>
      <w:r w:rsidRPr="008D3599">
        <w:t>IV.</w:t>
      </w:r>
      <w:r w:rsidRPr="008D3599">
        <w:tab/>
      </w:r>
      <w:bookmarkEnd w:id="8"/>
      <w:r w:rsidR="00F316E0" w:rsidRPr="008D3599">
        <w:t>Activities of other international organizations dealing with issues of interest to the Working Party (agenda item 3)</w:t>
      </w:r>
    </w:p>
    <w:p w14:paraId="31508F20" w14:textId="36BAA695" w:rsidR="00F74C6A" w:rsidRDefault="00F74C6A" w:rsidP="00FF413B">
      <w:pPr>
        <w:pStyle w:val="H1G"/>
      </w:pPr>
      <w:r w:rsidRPr="00F74C6A">
        <w:tab/>
      </w:r>
      <w:bookmarkStart w:id="9" w:name="_Toc528146962"/>
      <w:r w:rsidRPr="00F74C6A">
        <w:t>A.</w:t>
      </w:r>
      <w:r w:rsidRPr="00F74C6A">
        <w:tab/>
      </w:r>
      <w:bookmarkEnd w:id="9"/>
      <w:r w:rsidR="00F316E0" w:rsidRPr="00AD242A">
        <w:t>International Institute of Refrigeration (IIR)</w:t>
      </w:r>
    </w:p>
    <w:p w14:paraId="7EB37345" w14:textId="2D174E07" w:rsidR="00F316E0" w:rsidRPr="00AD242A" w:rsidRDefault="006C51EB" w:rsidP="00F316E0">
      <w:pPr>
        <w:pStyle w:val="SingleTxtG"/>
      </w:pPr>
      <w:r>
        <w:t>12</w:t>
      </w:r>
      <w:r w:rsidR="00F316E0" w:rsidRPr="00AD242A">
        <w:t>.</w:t>
      </w:r>
      <w:r w:rsidR="00F316E0" w:rsidRPr="00AD242A">
        <w:tab/>
        <w:t xml:space="preserve">The Working Party was informed about the results of the meeting of the IIR </w:t>
      </w:r>
      <w:r w:rsidR="00F316E0" w:rsidRPr="00AD242A">
        <w:br/>
        <w:t xml:space="preserve">sub-commission on refrigerated transport </w:t>
      </w:r>
      <w:r w:rsidR="00647184">
        <w:t xml:space="preserve">(CERTE Meeting) </w:t>
      </w:r>
      <w:r w:rsidR="00F316E0" w:rsidRPr="00AD242A">
        <w:t>held in Wageningen, Netherlands 24-25 April 2019 (see informal document INF.2). The Sub-Commission had given its support for proposals to WP.11 including those on:</w:t>
      </w:r>
    </w:p>
    <w:p w14:paraId="455A20BE" w14:textId="77777777" w:rsidR="00F316E0" w:rsidRPr="00AD242A" w:rsidRDefault="00F316E0" w:rsidP="00F61B89">
      <w:pPr>
        <w:pStyle w:val="Bullet1G"/>
        <w:numPr>
          <w:ilvl w:val="3"/>
          <w:numId w:val="20"/>
        </w:numPr>
        <w:ind w:left="1985" w:hanging="284"/>
      </w:pPr>
      <w:r w:rsidRPr="00AD242A">
        <w:t>Airflow reference (translation issue between French and English versions);</w:t>
      </w:r>
    </w:p>
    <w:p w14:paraId="5E0B7589" w14:textId="1FB03A88" w:rsidR="00F316E0" w:rsidRPr="003C50CE" w:rsidRDefault="00F316E0" w:rsidP="00F61B89">
      <w:pPr>
        <w:pStyle w:val="Bullet1G"/>
        <w:numPr>
          <w:ilvl w:val="3"/>
          <w:numId w:val="20"/>
        </w:numPr>
        <w:ind w:left="1985" w:hanging="284"/>
      </w:pPr>
      <w:r w:rsidRPr="003C50CE">
        <w:t>Second supplier of evaporators.</w:t>
      </w:r>
    </w:p>
    <w:p w14:paraId="46C24621" w14:textId="0E0946D8" w:rsidR="00972B27" w:rsidRPr="003C50CE" w:rsidRDefault="006C51EB" w:rsidP="00972B27">
      <w:pPr>
        <w:pStyle w:val="SingleTxtG"/>
      </w:pPr>
      <w:r>
        <w:rPr>
          <w:rFonts w:asciiTheme="majorBidi" w:hAnsiTheme="majorBidi" w:cstheme="majorBidi"/>
        </w:rPr>
        <w:t>13</w:t>
      </w:r>
      <w:r w:rsidR="00972B27" w:rsidRPr="003C50CE">
        <w:rPr>
          <w:rFonts w:asciiTheme="majorBidi" w:hAnsiTheme="majorBidi" w:cstheme="majorBidi"/>
        </w:rPr>
        <w:t>.</w:t>
      </w:r>
      <w:r w:rsidR="00972B27" w:rsidRPr="003C50CE">
        <w:rPr>
          <w:rFonts w:asciiTheme="majorBidi" w:hAnsiTheme="majorBidi" w:cstheme="majorBidi"/>
        </w:rPr>
        <w:tab/>
        <w:t xml:space="preserve">Some concerns were raised regarding an error </w:t>
      </w:r>
      <w:r w:rsidR="00972B27" w:rsidRPr="003C50CE">
        <w:t xml:space="preserve">on the </w:t>
      </w:r>
      <w:r w:rsidR="00972B27" w:rsidRPr="003C50CE">
        <w:rPr>
          <w:rFonts w:asciiTheme="majorBidi" w:hAnsiTheme="majorBidi" w:cstheme="majorBidi"/>
        </w:rPr>
        <w:t xml:space="preserve">Multi-Temp calculation tool reported in the minutes of the </w:t>
      </w:r>
      <w:r w:rsidR="00972B27" w:rsidRPr="003C50CE">
        <w:t>CERTE Meeting</w:t>
      </w:r>
      <w:r w:rsidR="00972B27" w:rsidRPr="003C50CE">
        <w:rPr>
          <w:rFonts w:asciiTheme="majorBidi" w:hAnsiTheme="majorBidi" w:cstheme="majorBidi"/>
        </w:rPr>
        <w:t xml:space="preserve">. The representatives </w:t>
      </w:r>
      <w:r w:rsidR="00972B27" w:rsidRPr="003C50CE">
        <w:t xml:space="preserve">of </w:t>
      </w:r>
      <w:proofErr w:type="spellStart"/>
      <w:r w:rsidR="00972B27" w:rsidRPr="003C50CE">
        <w:t>Transfrigoroute</w:t>
      </w:r>
      <w:proofErr w:type="spellEnd"/>
      <w:r w:rsidR="00972B27" w:rsidRPr="003C50CE">
        <w:t xml:space="preserve"> International clarified that the error was fixed in the latest update of the software and expressed their willingness to fix any errors that are identified in the future.</w:t>
      </w:r>
    </w:p>
    <w:p w14:paraId="054A89AB" w14:textId="2C309C67" w:rsidR="00F316E0" w:rsidRPr="003C50CE" w:rsidRDefault="00F316E0" w:rsidP="00F316E0">
      <w:pPr>
        <w:pStyle w:val="H1G"/>
      </w:pPr>
      <w:bookmarkStart w:id="10" w:name="_Toc528146964"/>
      <w:r w:rsidRPr="003C50CE">
        <w:tab/>
      </w:r>
      <w:r w:rsidRPr="008D3599">
        <w:t>B.</w:t>
      </w:r>
      <w:r w:rsidRPr="008D3599">
        <w:tab/>
      </w:r>
      <w:proofErr w:type="spellStart"/>
      <w:r w:rsidRPr="008D3599">
        <w:t>Transfrigoroute</w:t>
      </w:r>
      <w:proofErr w:type="spellEnd"/>
      <w:r w:rsidRPr="008D3599">
        <w:t xml:space="preserve"> International</w:t>
      </w:r>
    </w:p>
    <w:p w14:paraId="5FECD603" w14:textId="2C84C606" w:rsidR="00F316E0" w:rsidRDefault="006C51EB" w:rsidP="00F316E0">
      <w:pPr>
        <w:pStyle w:val="SingleTxtG"/>
      </w:pPr>
      <w:r>
        <w:t>14</w:t>
      </w:r>
      <w:r w:rsidR="00F316E0" w:rsidRPr="00AD242A">
        <w:t>.</w:t>
      </w:r>
      <w:r w:rsidR="00F316E0" w:rsidRPr="00AD242A">
        <w:tab/>
        <w:t xml:space="preserve">The representative of </w:t>
      </w:r>
      <w:proofErr w:type="spellStart"/>
      <w:r w:rsidR="00F316E0" w:rsidRPr="00AD242A">
        <w:t>Transfrigoroute</w:t>
      </w:r>
      <w:proofErr w:type="spellEnd"/>
      <w:r w:rsidR="00F316E0" w:rsidRPr="00AD242A">
        <w:t xml:space="preserve"> International presented the recent activities of his organization as reflected in informal document INF.5.</w:t>
      </w:r>
    </w:p>
    <w:p w14:paraId="285541D2" w14:textId="77777777" w:rsidR="00972B27" w:rsidRPr="003C50CE" w:rsidRDefault="00972B27" w:rsidP="00972B27">
      <w:pPr>
        <w:pStyle w:val="H1G"/>
      </w:pPr>
      <w:r w:rsidRPr="003C50CE">
        <w:tab/>
      </w:r>
      <w:r w:rsidRPr="008D3599">
        <w:t>C.</w:t>
      </w:r>
      <w:r w:rsidRPr="008D3599">
        <w:tab/>
        <w:t>Standardization organizations</w:t>
      </w:r>
    </w:p>
    <w:p w14:paraId="4B1F975A" w14:textId="717826DB" w:rsidR="00972B27" w:rsidRPr="003C50CE" w:rsidRDefault="006C51EB" w:rsidP="00972B27">
      <w:pPr>
        <w:pStyle w:val="SingleTxtG"/>
        <w:rPr>
          <w:b/>
        </w:rPr>
      </w:pPr>
      <w:r>
        <w:t>15</w:t>
      </w:r>
      <w:r w:rsidR="00972B27" w:rsidRPr="003C50CE">
        <w:t>.</w:t>
      </w:r>
      <w:r w:rsidR="00972B27" w:rsidRPr="003C50CE">
        <w:tab/>
        <w:t>WP.11 was informed about the status of work on the development and revision of standards.</w:t>
      </w:r>
    </w:p>
    <w:p w14:paraId="15FE2A0B" w14:textId="77777777" w:rsidR="00972B27" w:rsidRPr="008D3599" w:rsidRDefault="00972B27" w:rsidP="00972B27">
      <w:pPr>
        <w:pStyle w:val="H23G"/>
      </w:pPr>
      <w:r w:rsidRPr="003C50CE">
        <w:tab/>
      </w:r>
      <w:r w:rsidRPr="003C50CE">
        <w:tab/>
      </w:r>
      <w:bookmarkStart w:id="11" w:name="_Toc528146968"/>
      <w:r w:rsidRPr="008D3599">
        <w:t>EN Standards</w:t>
      </w:r>
      <w:bookmarkEnd w:id="11"/>
    </w:p>
    <w:p w14:paraId="529FB360" w14:textId="77777777" w:rsidR="00972B27" w:rsidRPr="003C50CE" w:rsidRDefault="00972B27" w:rsidP="00972B27">
      <w:pPr>
        <w:pStyle w:val="H23G"/>
      </w:pPr>
      <w:r w:rsidRPr="008D3599">
        <w:tab/>
      </w:r>
      <w:bookmarkStart w:id="12" w:name="_Toc528146969"/>
      <w:r w:rsidRPr="008D3599">
        <w:t>1.</w:t>
      </w:r>
      <w:r w:rsidRPr="008D3599">
        <w:tab/>
        <w:t>CEN/TC 413 Working Group 2</w:t>
      </w:r>
      <w:bookmarkEnd w:id="12"/>
    </w:p>
    <w:p w14:paraId="53B1395F" w14:textId="4FCDF3C8" w:rsidR="00972B27" w:rsidRPr="003C50CE" w:rsidRDefault="006C51EB" w:rsidP="00972B27">
      <w:pPr>
        <w:pStyle w:val="SingleTxtG"/>
      </w:pPr>
      <w:r>
        <w:t>16</w:t>
      </w:r>
      <w:r w:rsidR="00972B27" w:rsidRPr="003C50CE">
        <w:t>.</w:t>
      </w:r>
      <w:r w:rsidR="00972B27" w:rsidRPr="003C50CE">
        <w:tab/>
        <w:t>Experts from</w:t>
      </w:r>
      <w:r w:rsidR="00972B27" w:rsidRPr="003C50CE" w:rsidDel="002B63A4">
        <w:t xml:space="preserve"> </w:t>
      </w:r>
      <w:r w:rsidR="00972B27" w:rsidRPr="003C50CE">
        <w:t>France, Italy, Ireland, United Kingdom and Germany with informal participation of experts from other European Nations have had several meetings and working group meetings during the last 12 months.</w:t>
      </w:r>
    </w:p>
    <w:p w14:paraId="50F2E700" w14:textId="135055CA" w:rsidR="00972B27" w:rsidRPr="003C50CE" w:rsidRDefault="006C51EB" w:rsidP="00972B27">
      <w:pPr>
        <w:pStyle w:val="SingleTxtG"/>
      </w:pPr>
      <w:r>
        <w:t>17</w:t>
      </w:r>
      <w:r w:rsidR="00972B27" w:rsidRPr="003C50CE">
        <w:t>.</w:t>
      </w:r>
      <w:r w:rsidR="00972B27" w:rsidRPr="003C50CE">
        <w:tab/>
        <w:t xml:space="preserve">EN 16440 – 1:2015-01 Testing methodologies of cooling equipment for insulated means of transport </w:t>
      </w:r>
      <w:r w:rsidR="00F573BA">
        <w:t>–</w:t>
      </w:r>
      <w:r w:rsidR="00972B27" w:rsidRPr="003C50CE">
        <w:t xml:space="preserve"> Part 1: Mechanical refrigeration devices with forced air circulation evaporator with or without heating devices. The final version was published in January 2015. </w:t>
      </w:r>
    </w:p>
    <w:p w14:paraId="1194BDA6" w14:textId="73A088FE" w:rsidR="00972B27" w:rsidRPr="003C50CE" w:rsidRDefault="006C51EB" w:rsidP="00972B27">
      <w:pPr>
        <w:pStyle w:val="SingleTxtG"/>
      </w:pPr>
      <w:r>
        <w:t>18</w:t>
      </w:r>
      <w:r w:rsidR="00972B27" w:rsidRPr="003C50CE">
        <w:t>.</w:t>
      </w:r>
      <w:r w:rsidR="00972B27" w:rsidRPr="003C50CE">
        <w:tab/>
        <w:t>Following additional part was still under consideration:</w:t>
      </w:r>
    </w:p>
    <w:p w14:paraId="123C4A32" w14:textId="6422D74A" w:rsidR="00972B27" w:rsidRPr="003C50CE" w:rsidRDefault="00972B27" w:rsidP="00F61B89">
      <w:pPr>
        <w:pStyle w:val="Bullet1G"/>
        <w:numPr>
          <w:ilvl w:val="3"/>
          <w:numId w:val="20"/>
        </w:numPr>
        <w:ind w:left="1985" w:hanging="284"/>
      </w:pPr>
      <w:r w:rsidRPr="003C50CE">
        <w:t xml:space="preserve">Part 2: Eutectic Systems: The actual working draft is still under consideration for the final version, especially the test provisions for cooling capacities and consumption for new equipment’s with eutectic systems as well equipment’s in daily operation sequences. Draft project was sent for a new ballot and activation to finalize the draft version of </w:t>
      </w:r>
      <w:proofErr w:type="spellStart"/>
      <w:r w:rsidRPr="003C50CE">
        <w:t>prEN</w:t>
      </w:r>
      <w:proofErr w:type="spellEnd"/>
      <w:r w:rsidRPr="003C50CE">
        <w:t xml:space="preserve"> 16440-2 and CEN Enquiry</w:t>
      </w:r>
      <w:r w:rsidR="00670867">
        <w:t>;</w:t>
      </w:r>
    </w:p>
    <w:p w14:paraId="2DF71F2E" w14:textId="44AFA5ED" w:rsidR="00972B27" w:rsidRPr="003C50CE" w:rsidRDefault="00972B27" w:rsidP="00F61B89">
      <w:pPr>
        <w:pStyle w:val="Bullet1G"/>
        <w:numPr>
          <w:ilvl w:val="3"/>
          <w:numId w:val="20"/>
        </w:numPr>
        <w:ind w:left="1985" w:hanging="284"/>
      </w:pPr>
      <w:r w:rsidRPr="003C50CE">
        <w:t>Part 3: Transport refrigeration systems with dry ice This project is stopped</w:t>
      </w:r>
      <w:r w:rsidR="00670867">
        <w:t>;</w:t>
      </w:r>
    </w:p>
    <w:p w14:paraId="7C73F855" w14:textId="60021695" w:rsidR="00972B27" w:rsidRPr="003C50CE" w:rsidRDefault="00972B27" w:rsidP="00F61B89">
      <w:pPr>
        <w:pStyle w:val="Bullet1G"/>
        <w:numPr>
          <w:ilvl w:val="3"/>
          <w:numId w:val="20"/>
        </w:numPr>
        <w:ind w:left="1985" w:hanging="284"/>
      </w:pPr>
      <w:r w:rsidRPr="003C50CE">
        <w:t>Part 4: Controlled gas refrigeration systems with direct evaporation. This project is stopped</w:t>
      </w:r>
      <w:r w:rsidR="00670867">
        <w:t>;</w:t>
      </w:r>
    </w:p>
    <w:p w14:paraId="080ABFCE" w14:textId="77777777" w:rsidR="00972B27" w:rsidRPr="003C50CE" w:rsidRDefault="00972B27" w:rsidP="00F61B89">
      <w:pPr>
        <w:pStyle w:val="Bullet1G"/>
        <w:numPr>
          <w:ilvl w:val="3"/>
          <w:numId w:val="20"/>
        </w:numPr>
        <w:ind w:left="1985" w:hanging="284"/>
      </w:pPr>
      <w:r w:rsidRPr="003C50CE">
        <w:t>Part 5: Controlled gas refrigeration systems with indirect evaporation This project is stopped.</w:t>
      </w:r>
    </w:p>
    <w:p w14:paraId="1F6CFD1B" w14:textId="13080F2A" w:rsidR="00972B27" w:rsidRPr="003C50CE" w:rsidRDefault="006C51EB" w:rsidP="00972B27">
      <w:pPr>
        <w:pStyle w:val="SingleTxtG"/>
      </w:pPr>
      <w:r>
        <w:t>19</w:t>
      </w:r>
      <w:r w:rsidR="00972B27" w:rsidRPr="003C50CE">
        <w:t>.</w:t>
      </w:r>
      <w:r w:rsidR="00972B27" w:rsidRPr="003C50CE">
        <w:tab/>
        <w:t xml:space="preserve">An additional part 6: Special requirements on </w:t>
      </w:r>
      <w:proofErr w:type="spellStart"/>
      <w:r w:rsidR="00972B27" w:rsidRPr="003C50CE">
        <w:t>multitemp</w:t>
      </w:r>
      <w:proofErr w:type="spellEnd"/>
      <w:r w:rsidR="00972B27" w:rsidRPr="003C50CE">
        <w:t xml:space="preserve"> systems </w:t>
      </w:r>
      <w:r w:rsidR="002F3FDD">
        <w:t>–</w:t>
      </w:r>
      <w:r w:rsidR="00972B27" w:rsidRPr="003C50CE">
        <w:t xml:space="preserve"> is scheduled as a further project</w:t>
      </w:r>
    </w:p>
    <w:p w14:paraId="3336C249" w14:textId="1F1F508F" w:rsidR="00972B27" w:rsidRPr="003C50CE" w:rsidRDefault="00972B27" w:rsidP="00972B27">
      <w:pPr>
        <w:pStyle w:val="SingleTxtG"/>
        <w:rPr>
          <w:u w:val="single"/>
        </w:rPr>
      </w:pPr>
      <w:r w:rsidRPr="003C50CE">
        <w:t>2</w:t>
      </w:r>
      <w:r w:rsidR="006C51EB">
        <w:t>0</w:t>
      </w:r>
      <w:r w:rsidRPr="003C50CE">
        <w:t>.</w:t>
      </w:r>
      <w:r w:rsidRPr="003C50CE">
        <w:tab/>
        <w:t>An additional part X: Special requirements for equipment’s using flammable refrigerants for mechanical refrigerated or heated devices</w:t>
      </w:r>
      <w:r w:rsidR="002F3FDD">
        <w:t xml:space="preserve"> </w:t>
      </w:r>
      <w:r w:rsidRPr="003C50CE">
        <w:t xml:space="preserve">– is under consideration as a further project “Test requirements and risk analysis process for transport refrigeration systems with </w:t>
      </w:r>
      <w:r w:rsidRPr="003C50CE">
        <w:rPr>
          <w:i/>
        </w:rPr>
        <w:t>new</w:t>
      </w:r>
      <w:r w:rsidRPr="003C50CE">
        <w:t xml:space="preserve"> low GWP refrigerants” at Working Group 1 and Working Group 2 due to the impact on the work of both groups.</w:t>
      </w:r>
    </w:p>
    <w:p w14:paraId="56C83D50" w14:textId="77777777" w:rsidR="00972B27" w:rsidRPr="003C50CE" w:rsidRDefault="00972B27" w:rsidP="00972B27">
      <w:pPr>
        <w:pStyle w:val="H23G"/>
      </w:pPr>
      <w:r w:rsidRPr="003C50CE">
        <w:tab/>
      </w:r>
      <w:r w:rsidRPr="008D3599">
        <w:t>2.</w:t>
      </w:r>
      <w:r w:rsidRPr="008D3599">
        <w:tab/>
        <w:t>CEN/TC 413 Working Group 1</w:t>
      </w:r>
    </w:p>
    <w:p w14:paraId="5AE51B40" w14:textId="3DEAB208" w:rsidR="00972B27" w:rsidRPr="003C50CE" w:rsidRDefault="00972B27" w:rsidP="00972B27">
      <w:pPr>
        <w:pStyle w:val="SingleTxtG"/>
      </w:pPr>
      <w:r w:rsidRPr="003C50CE">
        <w:t>2</w:t>
      </w:r>
      <w:r w:rsidR="006C51EB">
        <w:t>1</w:t>
      </w:r>
      <w:r w:rsidRPr="003C50CE">
        <w:t>.</w:t>
      </w:r>
      <w:r w:rsidRPr="003C50CE">
        <w:tab/>
        <w:t>Experts from France, Finland, Italy, Ireland, United Kingdom and Germany supported by experts from Slovakia and Czech Republic with informal participation of experts from other European Nations have had several meetings and working group meetings during the year.</w:t>
      </w:r>
    </w:p>
    <w:p w14:paraId="22534363" w14:textId="4A4603F9" w:rsidR="00972B27" w:rsidRPr="003C50CE" w:rsidRDefault="00972B27" w:rsidP="00972B27">
      <w:pPr>
        <w:pStyle w:val="SingleTxtG"/>
        <w:rPr>
          <w:u w:val="single"/>
        </w:rPr>
      </w:pPr>
      <w:r w:rsidRPr="003C50CE">
        <w:t>2</w:t>
      </w:r>
      <w:r w:rsidR="006C51EB">
        <w:t>2</w:t>
      </w:r>
      <w:r w:rsidRPr="003C50CE">
        <w:t>.</w:t>
      </w:r>
      <w:r w:rsidRPr="003C50CE">
        <w:tab/>
        <w:t xml:space="preserve">The scope of the project committee will be a standard with the title: Insulated means of transport for temperature sensitive goods – requirements and testing. The standard applies to thermally insulated means of transport used for temperature sensitive goods in order to limit the heat exchange to the external conditions. If certain temperatures </w:t>
      </w:r>
      <w:proofErr w:type="gramStart"/>
      <w:r w:rsidRPr="003C50CE">
        <w:t>have to</w:t>
      </w:r>
      <w:proofErr w:type="gramEnd"/>
      <w:r w:rsidRPr="003C50CE">
        <w:t xml:space="preserve"> be maintained, they could be additionally provided with a cooling and/or heating source. </w:t>
      </w:r>
      <w:r w:rsidR="00647184">
        <w:t xml:space="preserve">Requirements would </w:t>
      </w:r>
      <w:proofErr w:type="gramStart"/>
      <w:r w:rsidR="00647184">
        <w:t>take</w:t>
      </w:r>
      <w:r w:rsidRPr="003C50CE">
        <w:t xml:space="preserve"> into account</w:t>
      </w:r>
      <w:proofErr w:type="gramEnd"/>
      <w:r w:rsidRPr="003C50CE">
        <w:t xml:space="preserve"> inside temperatures between – 30°C and + 25°C and ambient conditions between -30°C and +43°C.</w:t>
      </w:r>
    </w:p>
    <w:p w14:paraId="6F4CFE56" w14:textId="4ED55917" w:rsidR="00972B27" w:rsidRPr="003C50CE" w:rsidRDefault="00972B27" w:rsidP="00972B27">
      <w:pPr>
        <w:pStyle w:val="SingleTxtG"/>
      </w:pPr>
      <w:r w:rsidRPr="003C50CE">
        <w:t>2</w:t>
      </w:r>
      <w:r w:rsidR="006C51EB">
        <w:t>3</w:t>
      </w:r>
      <w:r w:rsidRPr="003C50CE">
        <w:t>.</w:t>
      </w:r>
      <w:r w:rsidRPr="003C50CE">
        <w:tab/>
        <w:t xml:space="preserve">The standard is projected with different parts as: </w:t>
      </w:r>
    </w:p>
    <w:p w14:paraId="77C60D1E" w14:textId="0BE296CA" w:rsidR="00972B27" w:rsidRPr="003C50CE" w:rsidRDefault="00972B27" w:rsidP="00F61B89">
      <w:pPr>
        <w:pStyle w:val="Bullet1G"/>
        <w:numPr>
          <w:ilvl w:val="3"/>
          <w:numId w:val="20"/>
        </w:numPr>
        <w:ind w:left="1985" w:hanging="284"/>
      </w:pPr>
      <w:r w:rsidRPr="003C50CE">
        <w:t>EN 17066 Part 1: Container - Insulated means of transport for temperature sensitive goods – Requirements and testing to define the terminology, the specific requirements, test provisions, dimensioning of insulated bodies including evaluation of k value. Final version was published in October 2019</w:t>
      </w:r>
      <w:r w:rsidR="002F3FDD">
        <w:t>;</w:t>
      </w:r>
    </w:p>
    <w:p w14:paraId="03F23D0D" w14:textId="62062A2E" w:rsidR="00972B27" w:rsidRPr="003C50CE" w:rsidRDefault="00972B27" w:rsidP="00F61B89">
      <w:pPr>
        <w:pStyle w:val="Bullet1G"/>
        <w:numPr>
          <w:ilvl w:val="3"/>
          <w:numId w:val="20"/>
        </w:numPr>
        <w:ind w:left="1985" w:hanging="284"/>
      </w:pPr>
      <w:r w:rsidRPr="003C50CE">
        <w:t>Part 2: Equipment - Combination of insulated bodies and their cooling and/or heating devices including verification of cooling and heating capacities for long distance transport as well distribution</w:t>
      </w:r>
      <w:r w:rsidR="002F3FDD">
        <w:t>;</w:t>
      </w:r>
    </w:p>
    <w:p w14:paraId="7F1CC6A7" w14:textId="218D05CC" w:rsidR="00972B27" w:rsidRPr="003C50CE" w:rsidRDefault="00972B27" w:rsidP="00F61B89">
      <w:pPr>
        <w:pStyle w:val="Bullet1G"/>
        <w:numPr>
          <w:ilvl w:val="3"/>
          <w:numId w:val="20"/>
        </w:numPr>
        <w:ind w:left="1985" w:hanging="284"/>
      </w:pPr>
      <w:r w:rsidRPr="003C50CE">
        <w:t>Part 3: Small containers for multiple use with an internal volume not more than 2 m³</w:t>
      </w:r>
      <w:r w:rsidR="002F3FDD">
        <w:t>;</w:t>
      </w:r>
    </w:p>
    <w:p w14:paraId="0DFDF7F2" w14:textId="186608EE" w:rsidR="00972B27" w:rsidRPr="003C50CE" w:rsidRDefault="00972B27" w:rsidP="00F61B89">
      <w:pPr>
        <w:pStyle w:val="Bullet1G"/>
        <w:numPr>
          <w:ilvl w:val="3"/>
          <w:numId w:val="20"/>
        </w:numPr>
        <w:ind w:left="1985" w:hanging="284"/>
      </w:pPr>
      <w:r w:rsidRPr="003C50CE">
        <w:t xml:space="preserve">Additional part: Special requirements on </w:t>
      </w:r>
      <w:proofErr w:type="spellStart"/>
      <w:r w:rsidRPr="003C50CE">
        <w:t>multitemp</w:t>
      </w:r>
      <w:proofErr w:type="spellEnd"/>
      <w:r w:rsidRPr="003C50CE">
        <w:t xml:space="preserve"> systems – was scheduled as a further project</w:t>
      </w:r>
      <w:r w:rsidR="002F3FDD">
        <w:t>;</w:t>
      </w:r>
    </w:p>
    <w:p w14:paraId="631DBB61" w14:textId="77777777" w:rsidR="00972B27" w:rsidRPr="003C50CE" w:rsidRDefault="00972B27" w:rsidP="00F61B89">
      <w:pPr>
        <w:pStyle w:val="Bullet1G"/>
        <w:numPr>
          <w:ilvl w:val="3"/>
          <w:numId w:val="20"/>
        </w:numPr>
        <w:ind w:left="1985" w:hanging="284"/>
      </w:pPr>
      <w:r w:rsidRPr="003C50CE">
        <w:t xml:space="preserve">An additional part X: Special requirements for equipment’s using flammable refrigerants for mechanical refrigerated or heated devices– is under consideration as a future project “Test requirements and risk analysis process for transport refrigeration systems with </w:t>
      </w:r>
      <w:r w:rsidRPr="003C50CE">
        <w:rPr>
          <w:i/>
        </w:rPr>
        <w:t>new</w:t>
      </w:r>
      <w:r w:rsidRPr="003C50CE">
        <w:t xml:space="preserve"> low GWP refrigerants” at Working Group 1 and Working Group 2 due to the impact on the work of both groups.</w:t>
      </w:r>
    </w:p>
    <w:p w14:paraId="06AA687C" w14:textId="4B293050" w:rsidR="00972B27" w:rsidRPr="003C50CE" w:rsidRDefault="006C51EB" w:rsidP="00972B27">
      <w:pPr>
        <w:pStyle w:val="SingleTxtG"/>
      </w:pPr>
      <w:r>
        <w:t>24</w:t>
      </w:r>
      <w:r w:rsidR="00972B27" w:rsidRPr="003C50CE">
        <w:t>.</w:t>
      </w:r>
      <w:r w:rsidR="00972B27" w:rsidRPr="003C50CE">
        <w:tab/>
        <w:t xml:space="preserve">The actual proposal would be taken into consideration during the next meeting on </w:t>
      </w:r>
      <w:r w:rsidR="00670867">
        <w:br/>
      </w:r>
      <w:r w:rsidR="00972B27" w:rsidRPr="003C50CE">
        <w:t>26-27 of November 2019, in Padova, Italy.</w:t>
      </w:r>
    </w:p>
    <w:p w14:paraId="52771445" w14:textId="77777777" w:rsidR="00972B27" w:rsidRPr="003C50CE" w:rsidRDefault="00972B27" w:rsidP="00972B27">
      <w:pPr>
        <w:pStyle w:val="H23G"/>
      </w:pPr>
      <w:r w:rsidRPr="003C50CE">
        <w:tab/>
      </w:r>
      <w:bookmarkStart w:id="13" w:name="_Toc528146971"/>
      <w:r w:rsidRPr="008D3599">
        <w:t>3.</w:t>
      </w:r>
      <w:r w:rsidRPr="008D3599">
        <w:tab/>
        <w:t>Revision of EN 12830</w:t>
      </w:r>
      <w:bookmarkEnd w:id="13"/>
    </w:p>
    <w:p w14:paraId="3D516FE3" w14:textId="5FC0BF96" w:rsidR="00972B27" w:rsidRPr="003C50CE" w:rsidRDefault="006C51EB" w:rsidP="00972B27">
      <w:pPr>
        <w:pStyle w:val="SingleTxtG"/>
      </w:pPr>
      <w:r>
        <w:t>25</w:t>
      </w:r>
      <w:r w:rsidR="00972B27" w:rsidRPr="003C50CE">
        <w:t>.</w:t>
      </w:r>
      <w:r w:rsidR="00972B27" w:rsidRPr="003C50CE">
        <w:tab/>
        <w:t xml:space="preserve">Revision of the EN 12830:1999 – Temperature recorders for the transport, storage and distribution of chilled, frozen, deep-frozen/quick-frozen food and ice cream – Tests, performance, suitability. </w:t>
      </w:r>
    </w:p>
    <w:p w14:paraId="783E229D" w14:textId="0C332CA3" w:rsidR="00972B27" w:rsidRPr="003C50CE" w:rsidRDefault="006C51EB" w:rsidP="00972B27">
      <w:pPr>
        <w:pStyle w:val="SingleTxtG"/>
      </w:pPr>
      <w:r>
        <w:t>26</w:t>
      </w:r>
      <w:r w:rsidR="00972B27" w:rsidRPr="003C50CE">
        <w:t>.</w:t>
      </w:r>
      <w:r w:rsidR="00972B27" w:rsidRPr="003C50CE">
        <w:tab/>
        <w:t xml:space="preserve">A new version of EN 12830:2018-10 </w:t>
      </w:r>
      <w:r w:rsidR="00647184">
        <w:t>–</w:t>
      </w:r>
      <w:r w:rsidR="00972B27" w:rsidRPr="003C50CE">
        <w:t xml:space="preserve"> Temperature recorders for the transport, storage and distribution of temperature sensitive goods – Tests, performance, suitability is published. It </w:t>
      </w:r>
      <w:proofErr w:type="gramStart"/>
      <w:r w:rsidR="00972B27" w:rsidRPr="003C50CE">
        <w:t>takes into account</w:t>
      </w:r>
      <w:proofErr w:type="gramEnd"/>
      <w:r w:rsidR="00972B27" w:rsidRPr="003C50CE">
        <w:t xml:space="preserve"> actual technical developments and requirements. The scope of the revised standard has an increased </w:t>
      </w:r>
      <w:r w:rsidR="00647184">
        <w:t>of</w:t>
      </w:r>
      <w:r w:rsidR="00972B27" w:rsidRPr="003C50CE">
        <w:t xml:space="preserve"> the temperature range from – 80 to + 85°C for temperature sensitive goods in the cold chain. </w:t>
      </w:r>
    </w:p>
    <w:p w14:paraId="02C2E85C" w14:textId="77777777" w:rsidR="00972B27" w:rsidRPr="003C50CE" w:rsidRDefault="00972B27" w:rsidP="00972B27">
      <w:pPr>
        <w:pStyle w:val="H23G"/>
      </w:pPr>
      <w:r w:rsidRPr="003C50CE">
        <w:tab/>
      </w:r>
      <w:bookmarkStart w:id="14" w:name="_Toc528146972"/>
      <w:r w:rsidRPr="008D3599">
        <w:t>4.</w:t>
      </w:r>
      <w:r w:rsidRPr="008D3599">
        <w:tab/>
        <w:t>Revision of EN 13485 and EN 13486</w:t>
      </w:r>
      <w:bookmarkEnd w:id="14"/>
    </w:p>
    <w:p w14:paraId="0A58C6B3" w14:textId="098CFDE7" w:rsidR="00972B27" w:rsidRPr="003C50CE" w:rsidRDefault="006C51EB" w:rsidP="00972B27">
      <w:pPr>
        <w:pStyle w:val="SingleTxtG"/>
      </w:pPr>
      <w:r>
        <w:t>27</w:t>
      </w:r>
      <w:r w:rsidR="00972B27" w:rsidRPr="003C50CE">
        <w:t>.</w:t>
      </w:r>
      <w:r w:rsidR="00972B27" w:rsidRPr="003C50CE">
        <w:tab/>
        <w:t xml:space="preserve">The following standards were revised to adopt modifications and to </w:t>
      </w:r>
      <w:proofErr w:type="gramStart"/>
      <w:r w:rsidR="00972B27" w:rsidRPr="003C50CE">
        <w:t>take into account</w:t>
      </w:r>
      <w:proofErr w:type="gramEnd"/>
      <w:r w:rsidR="00972B27" w:rsidRPr="003C50CE">
        <w:t xml:space="preserve"> </w:t>
      </w:r>
      <w:r w:rsidR="00647184">
        <w:t>current</w:t>
      </w:r>
      <w:r w:rsidR="00972B27" w:rsidRPr="003C50CE">
        <w:t xml:space="preserve"> technical development of the published EN 12830:2018-10 </w:t>
      </w:r>
      <w:r w:rsidR="00BB67E5">
        <w:t>–</w:t>
      </w:r>
      <w:r w:rsidR="00972B27" w:rsidRPr="003C50CE">
        <w:t xml:space="preserve"> Temperature recorders for the transport, storage and distribution of temperature sensitive goods </w:t>
      </w:r>
      <w:r w:rsidR="00647184">
        <w:t>–</w:t>
      </w:r>
      <w:r w:rsidR="00972B27" w:rsidRPr="003C50CE">
        <w:t xml:space="preserve"> Tests, performance, suitability:</w:t>
      </w:r>
    </w:p>
    <w:p w14:paraId="0ACB7A21" w14:textId="64E83BE3" w:rsidR="00972B27" w:rsidRPr="003C50CE" w:rsidRDefault="00972B27" w:rsidP="00F61B89">
      <w:pPr>
        <w:pStyle w:val="Bullet1G"/>
        <w:numPr>
          <w:ilvl w:val="3"/>
          <w:numId w:val="20"/>
        </w:numPr>
        <w:ind w:left="1985" w:hanging="284"/>
      </w:pPr>
      <w:r w:rsidRPr="003C50CE">
        <w:t xml:space="preserve">EN 13485:2002 </w:t>
      </w:r>
      <w:r w:rsidR="00BB67E5">
        <w:t>–</w:t>
      </w:r>
      <w:r w:rsidRPr="003C50CE">
        <w:t xml:space="preserve"> Thermometers for measuring the air and product temperature for the transport, storage and distribution of chilled, frozen, deep-frozen/quick-frozen food and ice cream </w:t>
      </w:r>
      <w:r w:rsidR="00BB67E5">
        <w:t>–</w:t>
      </w:r>
      <w:r w:rsidRPr="003C50CE">
        <w:t xml:space="preserve"> Tests, performance, suitability; and </w:t>
      </w:r>
    </w:p>
    <w:p w14:paraId="3B18F7D4" w14:textId="4C70BA63" w:rsidR="00972B27" w:rsidRPr="003C50CE" w:rsidRDefault="00972B27" w:rsidP="00F61B89">
      <w:pPr>
        <w:pStyle w:val="Bullet1G"/>
        <w:numPr>
          <w:ilvl w:val="3"/>
          <w:numId w:val="20"/>
        </w:numPr>
        <w:ind w:left="1985" w:hanging="284"/>
      </w:pPr>
      <w:r w:rsidRPr="003C50CE">
        <w:t xml:space="preserve">EN 13486:2002 </w:t>
      </w:r>
      <w:r w:rsidR="00F573BA">
        <w:t>–</w:t>
      </w:r>
      <w:r w:rsidRPr="003C50CE">
        <w:t xml:space="preserve"> Temperature recorders and thermometers for the transport, storage and distribution of chilled, frozen, deep-frozen/quick-frozen food and ice cream </w:t>
      </w:r>
      <w:r w:rsidR="00BB67E5">
        <w:t>–</w:t>
      </w:r>
      <w:r w:rsidRPr="003C50CE">
        <w:t xml:space="preserve"> Periodic verification.</w:t>
      </w:r>
    </w:p>
    <w:p w14:paraId="47E86546" w14:textId="0867A8D6" w:rsidR="00972B27" w:rsidRPr="003C50CE" w:rsidRDefault="006C51EB" w:rsidP="00972B27">
      <w:pPr>
        <w:pStyle w:val="SingleTxtG"/>
      </w:pPr>
      <w:r>
        <w:t>28</w:t>
      </w:r>
      <w:r w:rsidR="00972B27" w:rsidRPr="003C50CE">
        <w:t>.</w:t>
      </w:r>
      <w:r w:rsidR="00972B27" w:rsidRPr="003C50CE">
        <w:tab/>
        <w:t xml:space="preserve">Consideration started on 4 October 2018. Several meetings of the CEN TC 423 PC were held in Berlin, Paris, Madrid, Munich with experts from Germany, France, Spain and Portugal. Next meeting </w:t>
      </w:r>
      <w:r w:rsidR="009500F0">
        <w:t>was taking</w:t>
      </w:r>
      <w:r w:rsidR="009500F0" w:rsidRPr="003C50CE">
        <w:t xml:space="preserve"> </w:t>
      </w:r>
      <w:r w:rsidR="00972B27" w:rsidRPr="003C50CE">
        <w:t>place on 23 October 2019 in Paris.</w:t>
      </w:r>
    </w:p>
    <w:p w14:paraId="3981F889" w14:textId="77777777" w:rsidR="00972B27" w:rsidRPr="003C50CE" w:rsidRDefault="00972B27" w:rsidP="00972B27">
      <w:pPr>
        <w:pStyle w:val="H23G"/>
      </w:pPr>
      <w:r w:rsidRPr="003C50CE">
        <w:tab/>
      </w:r>
      <w:r w:rsidRPr="008D3599">
        <w:t>5.</w:t>
      </w:r>
      <w:r w:rsidRPr="008D3599">
        <w:tab/>
      </w:r>
      <w:r w:rsidRPr="008D3599">
        <w:rPr>
          <w:rFonts w:eastAsiaTheme="minorEastAsia"/>
          <w:lang w:eastAsia="zh-CN"/>
        </w:rPr>
        <w:t>ISO Standards</w:t>
      </w:r>
    </w:p>
    <w:p w14:paraId="06A7722C" w14:textId="35284045" w:rsidR="00D7240A" w:rsidRPr="008D3599" w:rsidRDefault="006C51EB" w:rsidP="00386D8A">
      <w:pPr>
        <w:pStyle w:val="SingleTxtG"/>
      </w:pPr>
      <w:r w:rsidRPr="008D3599">
        <w:rPr>
          <w:rFonts w:eastAsiaTheme="minorEastAsia"/>
          <w:lang w:eastAsia="zh-CN"/>
        </w:rPr>
        <w:t>29</w:t>
      </w:r>
      <w:r w:rsidR="00972B27" w:rsidRPr="008D3599">
        <w:rPr>
          <w:rFonts w:eastAsiaTheme="minorEastAsia"/>
          <w:lang w:eastAsia="zh-CN"/>
        </w:rPr>
        <w:t>.</w:t>
      </w:r>
      <w:r w:rsidR="00972B27" w:rsidRPr="008D3599">
        <w:rPr>
          <w:rFonts w:eastAsiaTheme="minorEastAsia"/>
          <w:lang w:eastAsia="zh-CN"/>
        </w:rPr>
        <w:tab/>
        <w:t xml:space="preserve">The representative from the United Kingdom gave a brief outline </w:t>
      </w:r>
      <w:r w:rsidR="00386D8A" w:rsidRPr="008D3599">
        <w:t>of the</w:t>
      </w:r>
      <w:r w:rsidR="00D7240A" w:rsidRPr="008D3599">
        <w:t xml:space="preserve"> five ISO standards developed or in the process of being developed relevant to WP.11:</w:t>
      </w:r>
    </w:p>
    <w:p w14:paraId="60D3B8D5" w14:textId="0C234A1E" w:rsidR="00D7240A" w:rsidRPr="008D3599" w:rsidRDefault="00D7240A" w:rsidP="00F61B89">
      <w:pPr>
        <w:pStyle w:val="Bullet1G"/>
        <w:numPr>
          <w:ilvl w:val="3"/>
          <w:numId w:val="20"/>
        </w:numPr>
        <w:ind w:left="1985" w:hanging="284"/>
      </w:pPr>
      <w:r w:rsidRPr="008D3599">
        <w:t xml:space="preserve">ISO 1496 PART II  ISO/TC104/ SC2/ WG1 -Specification and testing </w:t>
      </w:r>
      <w:r w:rsidR="008D3599">
        <w:t>–</w:t>
      </w:r>
      <w:r w:rsidRPr="008D3599">
        <w:t xml:space="preserve"> Thermal containers, was published in October 2018 and </w:t>
      </w:r>
      <w:r w:rsidR="003A5AC4" w:rsidRPr="008D3599">
        <w:t>requirements included a K value of 0.3W/m</w:t>
      </w:r>
      <w:r w:rsidR="003A5AC4" w:rsidRPr="008D3599">
        <w:rPr>
          <w:vertAlign w:val="superscript"/>
        </w:rPr>
        <w:t>2</w:t>
      </w:r>
      <w:r w:rsidR="003A5AC4" w:rsidRPr="008D3599">
        <w:t xml:space="preserve">/°C for </w:t>
      </w:r>
      <w:r w:rsidRPr="008D3599">
        <w:t>new container</w:t>
      </w:r>
      <w:r w:rsidR="003A5AC4" w:rsidRPr="008D3599">
        <w:t>s</w:t>
      </w:r>
      <w:r w:rsidRPr="008D3599">
        <w:t xml:space="preserve">, </w:t>
      </w:r>
      <w:r w:rsidR="003A5AC4" w:rsidRPr="008D3599">
        <w:t xml:space="preserve">that </w:t>
      </w:r>
      <w:r w:rsidRPr="008D3599">
        <w:t>should not exceed 0.4W/</w:t>
      </w:r>
      <w:r w:rsidR="003A5AC4" w:rsidRPr="008D3599">
        <w:t>m</w:t>
      </w:r>
      <w:r w:rsidR="003A5AC4" w:rsidRPr="008D3599">
        <w:rPr>
          <w:vertAlign w:val="superscript"/>
        </w:rPr>
        <w:t>2</w:t>
      </w:r>
      <w:r w:rsidRPr="008D3599">
        <w:t>/°</w:t>
      </w:r>
      <w:proofErr w:type="spellStart"/>
      <w:r w:rsidRPr="008D3599">
        <w:t>C over</w:t>
      </w:r>
      <w:proofErr w:type="spellEnd"/>
      <w:r w:rsidRPr="008D3599">
        <w:t xml:space="preserve"> </w:t>
      </w:r>
      <w:r w:rsidR="003A5AC4" w:rsidRPr="008D3599">
        <w:t xml:space="preserve">their </w:t>
      </w:r>
      <w:r w:rsidRPr="008D3599">
        <w:t>life</w:t>
      </w:r>
      <w:r w:rsidR="003A5AC4" w:rsidRPr="008D3599">
        <w:t>time,</w:t>
      </w:r>
      <w:r w:rsidRPr="008D3599">
        <w:t xml:space="preserve"> as described in a new informative annex on ageing showing the deterioration of thermal container insulation over time. K value testing now identical to that of ATP Airflow circulation requirement along with</w:t>
      </w:r>
      <w:r w:rsidR="00647184">
        <w:t xml:space="preserve"> the inclusion of</w:t>
      </w:r>
      <w:r w:rsidRPr="008D3599">
        <w:t xml:space="preserve"> load line and floor heights</w:t>
      </w:r>
      <w:r w:rsidR="00B46343">
        <w:t>;</w:t>
      </w:r>
    </w:p>
    <w:p w14:paraId="35669BB8" w14:textId="4FF830D4" w:rsidR="00D7240A" w:rsidRPr="008D3599" w:rsidRDefault="00D7240A" w:rsidP="00F61B89">
      <w:pPr>
        <w:pStyle w:val="Bullet1G"/>
        <w:numPr>
          <w:ilvl w:val="3"/>
          <w:numId w:val="20"/>
        </w:numPr>
        <w:ind w:left="1985" w:hanging="284"/>
      </w:pPr>
      <w:r w:rsidRPr="008D3599">
        <w:t>ISO 20854 ISO/TC104/ SC2/ WG1</w:t>
      </w:r>
      <w:r w:rsidR="00BB67E5">
        <w:t xml:space="preserve"> –</w:t>
      </w:r>
      <w:r w:rsidRPr="008D3599">
        <w:t xml:space="preserve"> Thermal containers </w:t>
      </w:r>
      <w:r w:rsidR="008D3599">
        <w:t>–</w:t>
      </w:r>
      <w:r w:rsidRPr="008D3599">
        <w:t xml:space="preserve"> Safety standard for refrigerating systems using flammable refrigerants </w:t>
      </w:r>
      <w:r w:rsidR="008D3599">
        <w:t>–</w:t>
      </w:r>
      <w:r w:rsidRPr="008D3599">
        <w:t xml:space="preserve"> Requirements for design and operation. 100</w:t>
      </w:r>
      <w:r w:rsidR="00BB67E5">
        <w:t> </w:t>
      </w:r>
      <w:r w:rsidRPr="008D3599">
        <w:t>% positive vote for FDIS and publication at the end of 2019. This standard does not apply to road vehicles, but it will have relevance for a future development of a standard for them</w:t>
      </w:r>
      <w:r w:rsidR="002F3FDD">
        <w:t>;</w:t>
      </w:r>
    </w:p>
    <w:p w14:paraId="3C70C19A" w14:textId="6D9DCAD1" w:rsidR="00D7240A" w:rsidRPr="008D3599" w:rsidRDefault="00D7240A" w:rsidP="00F61B89">
      <w:pPr>
        <w:pStyle w:val="Bullet1G"/>
        <w:numPr>
          <w:ilvl w:val="3"/>
          <w:numId w:val="20"/>
        </w:numPr>
        <w:ind w:left="1985" w:hanging="284"/>
      </w:pPr>
      <w:r w:rsidRPr="008D3599">
        <w:t xml:space="preserve">ISO </w:t>
      </w:r>
      <w:proofErr w:type="gramStart"/>
      <w:r w:rsidRPr="008D3599">
        <w:t>23412  ISO</w:t>
      </w:r>
      <w:proofErr w:type="gramEnd"/>
      <w:r w:rsidRPr="008D3599">
        <w:t xml:space="preserve">/PC 315 Indirect, temperature-controlled refrigerated delivery services </w:t>
      </w:r>
      <w:r w:rsidR="008D3599">
        <w:t>–</w:t>
      </w:r>
      <w:r w:rsidRPr="008D3599">
        <w:t xml:space="preserve"> Land transport of parcels with intermediate transfer out for FDIS should be published in 2019</w:t>
      </w:r>
      <w:r w:rsidR="002F3FDD">
        <w:t>;</w:t>
      </w:r>
    </w:p>
    <w:p w14:paraId="4CC01007" w14:textId="597AA4D7" w:rsidR="00D7240A" w:rsidRPr="008D3599" w:rsidRDefault="00D7240A" w:rsidP="00F61B89">
      <w:pPr>
        <w:pStyle w:val="Bullet1G"/>
        <w:numPr>
          <w:ilvl w:val="3"/>
          <w:numId w:val="20"/>
        </w:numPr>
        <w:ind w:left="1985" w:hanging="284"/>
      </w:pPr>
      <w:r w:rsidRPr="008D3599">
        <w:t xml:space="preserve">ISO/DIS 22982-1. Transport packaging </w:t>
      </w:r>
      <w:r w:rsidR="00670867">
        <w:t>–</w:t>
      </w:r>
      <w:r w:rsidRPr="008D3599">
        <w:t xml:space="preserve"> Temperature controlled transport packages for parcel shipping </w:t>
      </w:r>
      <w:r w:rsidR="00670867">
        <w:t>–</w:t>
      </w:r>
      <w:r w:rsidRPr="008D3599">
        <w:t xml:space="preserve"> Part 1: General requirements</w:t>
      </w:r>
      <w:r w:rsidR="002F3FDD">
        <w:t>;</w:t>
      </w:r>
      <w:r w:rsidRPr="008D3599">
        <w:t xml:space="preserve"> </w:t>
      </w:r>
    </w:p>
    <w:p w14:paraId="363AA955" w14:textId="511D5C6C" w:rsidR="002E16A6" w:rsidRPr="008D3599" w:rsidRDefault="002E16A6" w:rsidP="00F61B89">
      <w:pPr>
        <w:pStyle w:val="Bullet1G"/>
        <w:numPr>
          <w:ilvl w:val="3"/>
          <w:numId w:val="20"/>
        </w:numPr>
        <w:ind w:left="1985" w:hanging="284"/>
        <w:rPr>
          <w:rFonts w:eastAsiaTheme="minorEastAsia"/>
          <w:lang w:eastAsia="zh-CN"/>
        </w:rPr>
      </w:pPr>
      <w:r w:rsidRPr="008D3599">
        <w:t xml:space="preserve">ISO/CD 22982-2 Temperature controlled transport packaging </w:t>
      </w:r>
      <w:r w:rsidR="00670867">
        <w:t>–</w:t>
      </w:r>
      <w:r w:rsidRPr="008D3599">
        <w:t xml:space="preserve"> Part 2: General specifications of testing of temperature-controlled transport packages for parcel shipping.</w:t>
      </w:r>
    </w:p>
    <w:p w14:paraId="6472825D" w14:textId="77777777" w:rsidR="00972B27" w:rsidRPr="008D3599" w:rsidRDefault="00972B27" w:rsidP="00972B27">
      <w:pPr>
        <w:pStyle w:val="H23G"/>
      </w:pPr>
      <w:r w:rsidRPr="008D3599">
        <w:tab/>
        <w:t>6.</w:t>
      </w:r>
      <w:r w:rsidRPr="008D3599">
        <w:tab/>
        <w:t>Other standardization activities of interest to WP.11</w:t>
      </w:r>
    </w:p>
    <w:p w14:paraId="1800268B" w14:textId="4CCB3681" w:rsidR="00972B27" w:rsidRPr="003C50CE" w:rsidRDefault="002B70B2" w:rsidP="00972B27">
      <w:pPr>
        <w:pStyle w:val="SingleTxtG"/>
      </w:pPr>
      <w:r w:rsidRPr="008D3599">
        <w:t>30</w:t>
      </w:r>
      <w:r w:rsidR="00972B27" w:rsidRPr="008D3599">
        <w:t>.</w:t>
      </w:r>
      <w:r w:rsidR="00972B27" w:rsidRPr="008D3599">
        <w:tab/>
        <w:t>Information on Korean projects in ISO/TC 122 "Packaging". Two Korean projects</w:t>
      </w:r>
      <w:r w:rsidR="00972B27" w:rsidRPr="003C50CE">
        <w:t xml:space="preserve"> within ISO/TC 122/WG 16 "Temperature controlled product packaging", Convenorship: Korea are being developed:</w:t>
      </w:r>
    </w:p>
    <w:p w14:paraId="58D36688" w14:textId="464F9B8A" w:rsidR="00972B27" w:rsidRPr="003C50CE" w:rsidRDefault="00972B27" w:rsidP="00F61B89">
      <w:pPr>
        <w:pStyle w:val="Bullet1G"/>
        <w:numPr>
          <w:ilvl w:val="3"/>
          <w:numId w:val="20"/>
        </w:numPr>
        <w:ind w:left="1985" w:hanging="284"/>
      </w:pPr>
      <w:r w:rsidRPr="003C50CE">
        <w:t xml:space="preserve">ISO/NP 22982-1, Temperature controlled transport packaging </w:t>
      </w:r>
      <w:r w:rsidR="00670867">
        <w:t>–</w:t>
      </w:r>
      <w:r w:rsidRPr="003C50CE">
        <w:t xml:space="preserve"> Part 1: General requirements of temperature-controlled transport packages for parcel shipping; and </w:t>
      </w:r>
    </w:p>
    <w:p w14:paraId="4111468C" w14:textId="0D76F5DC" w:rsidR="00972B27" w:rsidRPr="003C50CE" w:rsidRDefault="00972B27" w:rsidP="00F61B89">
      <w:pPr>
        <w:pStyle w:val="Bullet1G"/>
        <w:numPr>
          <w:ilvl w:val="3"/>
          <w:numId w:val="20"/>
        </w:numPr>
        <w:ind w:left="1985" w:hanging="284"/>
      </w:pPr>
      <w:r w:rsidRPr="003C50CE">
        <w:t xml:space="preserve">ISO/NP 22982-2, Temperature controlled transport packaging </w:t>
      </w:r>
      <w:r w:rsidR="00670867">
        <w:t>–</w:t>
      </w:r>
      <w:r w:rsidRPr="003C50CE">
        <w:t xml:space="preserve"> Part 2: General specifications of testing of temperature-controlled transport packages for parcel shipping.</w:t>
      </w:r>
    </w:p>
    <w:p w14:paraId="70E8FD83" w14:textId="78E4232D" w:rsidR="00972B27" w:rsidRPr="003C50CE" w:rsidRDefault="002B70B2" w:rsidP="003242D6">
      <w:pPr>
        <w:pStyle w:val="SingleTxtG"/>
        <w:rPr>
          <w:b/>
          <w:bCs/>
        </w:rPr>
      </w:pPr>
      <w:r w:rsidRPr="008D3599">
        <w:t>31</w:t>
      </w:r>
      <w:r w:rsidR="00972B27" w:rsidRPr="00267F1C">
        <w:t>.</w:t>
      </w:r>
      <w:r w:rsidR="00972B27" w:rsidRPr="008D3599">
        <w:rPr>
          <w:b/>
          <w:bCs/>
        </w:rPr>
        <w:tab/>
      </w:r>
      <w:r w:rsidR="00972B27" w:rsidRPr="008D3599">
        <w:t>First comments were received until August 2019. Consideration was still pending and</w:t>
      </w:r>
      <w:r w:rsidR="00972B27" w:rsidRPr="003C50CE">
        <w:t xml:space="preserve"> on the way to an ISO/FD.</w:t>
      </w:r>
    </w:p>
    <w:p w14:paraId="0393F47A" w14:textId="6E3D2D3F" w:rsidR="00FD1996" w:rsidRDefault="00F316E0" w:rsidP="00F316E0">
      <w:pPr>
        <w:pStyle w:val="H1G"/>
      </w:pPr>
      <w:r>
        <w:tab/>
      </w:r>
      <w:r w:rsidR="00FD1996" w:rsidRPr="008D3599">
        <w:t>V.</w:t>
      </w:r>
      <w:r w:rsidR="00FD1996" w:rsidRPr="008D3599">
        <w:tab/>
      </w:r>
      <w:bookmarkEnd w:id="10"/>
      <w:r w:rsidRPr="008D3599">
        <w:t>Status and implementation of the Agreement on the International Carriage of Perishable Foodstuffs and on the Special Equipment to be Used for such Carriage (ATP) (agenda item 4)</w:t>
      </w:r>
    </w:p>
    <w:p w14:paraId="05AF0E0E" w14:textId="77777777" w:rsidR="00F316E0" w:rsidRDefault="00F316E0" w:rsidP="00F316E0">
      <w:pPr>
        <w:pStyle w:val="H1G"/>
      </w:pPr>
      <w:r>
        <w:tab/>
      </w:r>
      <w:r w:rsidRPr="008D3599">
        <w:t>A.</w:t>
      </w:r>
      <w:r w:rsidRPr="008D3599">
        <w:tab/>
        <w:t>Status of application of the Agreement</w:t>
      </w:r>
    </w:p>
    <w:p w14:paraId="3BFDBFD3" w14:textId="57FC0E4B" w:rsidR="00F316E0" w:rsidRPr="00F316E0" w:rsidRDefault="002B70B2" w:rsidP="00F316E0">
      <w:pPr>
        <w:pStyle w:val="SingleTxtG"/>
      </w:pPr>
      <w:r>
        <w:t>32</w:t>
      </w:r>
      <w:r w:rsidR="00F316E0">
        <w:t>.</w:t>
      </w:r>
      <w:r w:rsidR="00F316E0">
        <w:tab/>
      </w:r>
      <w:r w:rsidR="00F316E0" w:rsidRPr="00D076DD">
        <w:t>There have been no new accessions to ATP since the last session and the number of Contracting Parties remain</w:t>
      </w:r>
      <w:r w:rsidR="00647184">
        <w:t>ed</w:t>
      </w:r>
      <w:r w:rsidR="00F316E0" w:rsidRPr="00D076DD">
        <w:t xml:space="preserve"> at 50</w:t>
      </w:r>
      <w:r w:rsidR="00F316E0">
        <w:t>.</w:t>
      </w:r>
    </w:p>
    <w:p w14:paraId="7DD2FA70" w14:textId="058CE5AD" w:rsidR="00FD1996" w:rsidRDefault="00FD1996" w:rsidP="00FD1996">
      <w:pPr>
        <w:pStyle w:val="H1G"/>
      </w:pPr>
      <w:r w:rsidRPr="00FD1996">
        <w:tab/>
      </w:r>
      <w:bookmarkStart w:id="15" w:name="_Toc528146966"/>
      <w:r w:rsidRPr="008D3599">
        <w:t>B.</w:t>
      </w:r>
      <w:r w:rsidRPr="008D3599">
        <w:tab/>
      </w:r>
      <w:bookmarkEnd w:id="15"/>
      <w:r w:rsidR="00972B27" w:rsidRPr="008D3599">
        <w:t>Status of amendments</w:t>
      </w:r>
    </w:p>
    <w:p w14:paraId="4E3E1848" w14:textId="15686C3F" w:rsidR="00972B27" w:rsidRDefault="00972B27" w:rsidP="00972B27">
      <w:pPr>
        <w:pStyle w:val="SingleTxtG"/>
      </w:pPr>
      <w:r>
        <w:tab/>
      </w:r>
      <w:r w:rsidR="002B70B2">
        <w:rPr>
          <w:lang w:val="en-US"/>
        </w:rPr>
        <w:t>33</w:t>
      </w:r>
      <w:r>
        <w:rPr>
          <w:lang w:val="en-US"/>
        </w:rPr>
        <w:t>.</w:t>
      </w:r>
      <w:r>
        <w:rPr>
          <w:lang w:val="en-US"/>
        </w:rPr>
        <w:tab/>
      </w:r>
      <w:r w:rsidRPr="008B3F7F">
        <w:rPr>
          <w:lang w:val="en-US"/>
        </w:rPr>
        <w:t xml:space="preserve">Proposed amendments to the ATP </w:t>
      </w:r>
      <w:r w:rsidRPr="008B3F7F">
        <w:t>adopted by WP.11 at its seventy-</w:t>
      </w:r>
      <w:r>
        <w:t>third</w:t>
      </w:r>
      <w:r w:rsidRPr="008B3F7F">
        <w:t xml:space="preserve"> </w:t>
      </w:r>
      <w:r>
        <w:t xml:space="preserve">and </w:t>
      </w:r>
      <w:r w:rsidRPr="008B3F7F">
        <w:t>seventy-</w:t>
      </w:r>
      <w:r>
        <w:t>fourth</w:t>
      </w:r>
      <w:r w:rsidRPr="008B3F7F">
        <w:t xml:space="preserve"> session</w:t>
      </w:r>
      <w:r>
        <w:t>s</w:t>
      </w:r>
      <w:r w:rsidRPr="008B3F7F">
        <w:t xml:space="preserve"> in 201</w:t>
      </w:r>
      <w:r>
        <w:t>7 and 2018</w:t>
      </w:r>
      <w:r w:rsidRPr="008B3F7F">
        <w:t xml:space="preserve">, and contained in </w:t>
      </w:r>
      <w:r>
        <w:t>Annex I to the report ECE/TRANS/WP.11/237 and Annex I to the report ECE/TRANS/WP.11/239, respectively</w:t>
      </w:r>
      <w:r w:rsidRPr="008B3F7F">
        <w:t>,</w:t>
      </w:r>
      <w:r w:rsidRPr="00972B27">
        <w:rPr>
          <w:lang w:val="en-US"/>
        </w:rPr>
        <w:t xml:space="preserve"> </w:t>
      </w:r>
      <w:r w:rsidRPr="008B3F7F">
        <w:rPr>
          <w:lang w:val="en-US"/>
        </w:rPr>
        <w:t>(depositary notification C.N.</w:t>
      </w:r>
      <w:r>
        <w:rPr>
          <w:lang w:val="en-US"/>
        </w:rPr>
        <w:t>19</w:t>
      </w:r>
      <w:r w:rsidRPr="008B3F7F">
        <w:rPr>
          <w:lang w:val="en-US"/>
        </w:rPr>
        <w:t>.201</w:t>
      </w:r>
      <w:r>
        <w:rPr>
          <w:lang w:val="en-US"/>
        </w:rPr>
        <w:t>9</w:t>
      </w:r>
      <w:r w:rsidRPr="008B3F7F">
        <w:rPr>
          <w:lang w:val="en-US"/>
        </w:rPr>
        <w:t xml:space="preserve">.TREATIES-XI.B.22), </w:t>
      </w:r>
      <w:r w:rsidRPr="00C864AB">
        <w:t xml:space="preserve">were notified to ATP Contracting Parties by the United Nations Treaty Section on </w:t>
      </w:r>
      <w:r>
        <w:t>31 January 2019.</w:t>
      </w:r>
    </w:p>
    <w:p w14:paraId="3F36546E" w14:textId="620D7BEF" w:rsidR="00972B27" w:rsidRPr="008B3F7F" w:rsidRDefault="002B70B2" w:rsidP="00972B27">
      <w:pPr>
        <w:pStyle w:val="SingleTxtG"/>
        <w:rPr>
          <w:lang w:val="en-US"/>
        </w:rPr>
      </w:pPr>
      <w:r>
        <w:t>34</w:t>
      </w:r>
      <w:r w:rsidR="00972B27">
        <w:t>.</w:t>
      </w:r>
      <w:r w:rsidR="00972B27">
        <w:tab/>
      </w:r>
      <w:r w:rsidR="00972B27" w:rsidRPr="0075660B">
        <w:t xml:space="preserve">On </w:t>
      </w:r>
      <w:r w:rsidR="00972B27">
        <w:t>28 February 2019</w:t>
      </w:r>
      <w:r w:rsidR="00972B27" w:rsidRPr="0075660B">
        <w:t>, the Government of Germany, in accordance with Article 18 (2) (b) of the ATP, informed the Secretary-General that although it intended to accept the proposals, the conditions for such acceptance were not yet fulfilled</w:t>
      </w:r>
      <w:r w:rsidR="00972B27" w:rsidRPr="0075660B">
        <w:rPr>
          <w:bCs/>
        </w:rPr>
        <w:t xml:space="preserve"> </w:t>
      </w:r>
      <w:r w:rsidR="00972B27" w:rsidRPr="0075660B">
        <w:t>(</w:t>
      </w:r>
      <w:hyperlink r:id="rId12" w:tooltip="Opens internal link in current window" w:history="1">
        <w:r w:rsidR="00972B27" w:rsidRPr="0075660B">
          <w:t>C.N.</w:t>
        </w:r>
        <w:r w:rsidR="00972B27">
          <w:t>75.2019</w:t>
        </w:r>
        <w:r w:rsidR="00972B27" w:rsidRPr="0075660B">
          <w:t>.TREATIES-XI.B.22</w:t>
        </w:r>
      </w:hyperlink>
      <w:r w:rsidR="00972B27" w:rsidRPr="0075660B">
        <w:t xml:space="preserve">). Therefore, </w:t>
      </w:r>
      <w:r w:rsidR="00972B27">
        <w:t>proposals of</w:t>
      </w:r>
      <w:r w:rsidR="00972B27" w:rsidRPr="0075660B">
        <w:t xml:space="preserve"> amendments adopted at the 201</w:t>
      </w:r>
      <w:r w:rsidR="00972B27">
        <w:t>7 and 2018</w:t>
      </w:r>
      <w:r w:rsidR="00972B27" w:rsidRPr="0075660B">
        <w:t xml:space="preserve"> session</w:t>
      </w:r>
      <w:r w:rsidR="00972B27">
        <w:t>s</w:t>
      </w:r>
      <w:r w:rsidR="00972B27" w:rsidRPr="0075660B">
        <w:t xml:space="preserve"> of WP.11 will be deemed accepted only if, before the expiry of a period of nine months following the initial notification period of six months, the Government of Germany does not notify an objection to the proposed amendments.</w:t>
      </w:r>
    </w:p>
    <w:p w14:paraId="2251C45F" w14:textId="3A5871DE" w:rsidR="00972B27" w:rsidRPr="008B3F7F" w:rsidRDefault="002B70B2" w:rsidP="00972B27">
      <w:pPr>
        <w:pStyle w:val="SingleTxtG"/>
        <w:rPr>
          <w:color w:val="000000"/>
          <w:lang w:eastAsia="en-GB"/>
        </w:rPr>
      </w:pPr>
      <w:r>
        <w:t>35</w:t>
      </w:r>
      <w:r w:rsidR="00972B27">
        <w:t>.</w:t>
      </w:r>
      <w:r w:rsidR="00972B27">
        <w:tab/>
      </w:r>
      <w:r w:rsidR="00972B27" w:rsidRPr="008B3F7F">
        <w:t>Proposed corrections to the ATP adopted at the seventy-</w:t>
      </w:r>
      <w:r w:rsidR="00972B27">
        <w:t>fourth</w:t>
      </w:r>
      <w:r w:rsidR="00972B27" w:rsidRPr="008B3F7F">
        <w:t xml:space="preserve"> session of WP.11 in 201</w:t>
      </w:r>
      <w:r w:rsidR="00972B27">
        <w:t>8</w:t>
      </w:r>
      <w:r w:rsidR="00972B27" w:rsidRPr="008B3F7F">
        <w:t xml:space="preserve"> (ECE/TRANS/WP.11/23</w:t>
      </w:r>
      <w:r w:rsidR="00972B27">
        <w:t>9</w:t>
      </w:r>
      <w:r w:rsidR="00972B27" w:rsidRPr="008B3F7F">
        <w:t xml:space="preserve">, Annex II) were notified to ATP Contracting Parties by the United Nations Treaty Section on </w:t>
      </w:r>
      <w:r w:rsidR="00972B27">
        <w:t>30</w:t>
      </w:r>
      <w:r w:rsidR="00972B27" w:rsidRPr="008B3F7F">
        <w:t xml:space="preserve"> </w:t>
      </w:r>
      <w:r w:rsidR="00972B27">
        <w:t>January</w:t>
      </w:r>
      <w:r w:rsidR="00972B27" w:rsidRPr="008B3F7F">
        <w:t xml:space="preserve"> 201</w:t>
      </w:r>
      <w:r w:rsidR="00972B27">
        <w:t>9</w:t>
      </w:r>
      <w:r w:rsidR="00972B27" w:rsidRPr="008B3F7F">
        <w:t xml:space="preserve"> </w:t>
      </w:r>
      <w:r w:rsidR="00972B27" w:rsidRPr="008B3F7F">
        <w:rPr>
          <w:color w:val="000000"/>
          <w:lang w:eastAsia="en-GB"/>
        </w:rPr>
        <w:t>(C.N.</w:t>
      </w:r>
      <w:proofErr w:type="gramStart"/>
      <w:r w:rsidR="00972B27">
        <w:rPr>
          <w:color w:val="000000"/>
          <w:lang w:eastAsia="en-GB"/>
        </w:rPr>
        <w:t>18</w:t>
      </w:r>
      <w:r w:rsidR="00972B27" w:rsidRPr="008B3F7F">
        <w:rPr>
          <w:color w:val="000000"/>
          <w:lang w:eastAsia="en-GB"/>
        </w:rPr>
        <w:t>.201</w:t>
      </w:r>
      <w:r w:rsidR="00972B27">
        <w:rPr>
          <w:color w:val="000000"/>
          <w:lang w:eastAsia="en-GB"/>
        </w:rPr>
        <w:t>9</w:t>
      </w:r>
      <w:r w:rsidR="00972B27" w:rsidRPr="008B3F7F">
        <w:rPr>
          <w:color w:val="000000"/>
          <w:lang w:eastAsia="en-GB"/>
        </w:rPr>
        <w:t>.TREATIES</w:t>
      </w:r>
      <w:proofErr w:type="gramEnd"/>
      <w:r w:rsidR="00972B27" w:rsidRPr="008B3F7F">
        <w:rPr>
          <w:color w:val="000000"/>
          <w:lang w:eastAsia="en-GB"/>
        </w:rPr>
        <w:t xml:space="preserve">-XI.B.22). Corrections were deemed accepted on </w:t>
      </w:r>
      <w:r w:rsidR="00972B27">
        <w:rPr>
          <w:color w:val="000000"/>
          <w:lang w:eastAsia="en-GB"/>
        </w:rPr>
        <w:t>10</w:t>
      </w:r>
      <w:r w:rsidR="00972B27" w:rsidRPr="008B3F7F">
        <w:rPr>
          <w:color w:val="000000"/>
          <w:lang w:eastAsia="en-GB"/>
        </w:rPr>
        <w:t xml:space="preserve"> May 201</w:t>
      </w:r>
      <w:r w:rsidR="00972B27">
        <w:rPr>
          <w:color w:val="000000"/>
          <w:lang w:eastAsia="en-GB"/>
        </w:rPr>
        <w:t>9</w:t>
      </w:r>
      <w:r w:rsidR="00972B27" w:rsidRPr="008B3F7F">
        <w:rPr>
          <w:color w:val="000000"/>
          <w:lang w:eastAsia="en-GB"/>
        </w:rPr>
        <w:t xml:space="preserve"> (C.N.</w:t>
      </w:r>
      <w:proofErr w:type="gramStart"/>
      <w:r w:rsidR="00972B27">
        <w:rPr>
          <w:color w:val="000000"/>
          <w:lang w:eastAsia="en-GB"/>
        </w:rPr>
        <w:t>159</w:t>
      </w:r>
      <w:r w:rsidR="00972B27" w:rsidRPr="008B3F7F">
        <w:rPr>
          <w:color w:val="000000"/>
          <w:lang w:eastAsia="en-GB"/>
        </w:rPr>
        <w:t>.201</w:t>
      </w:r>
      <w:r w:rsidR="00972B27">
        <w:rPr>
          <w:color w:val="000000"/>
          <w:lang w:eastAsia="en-GB"/>
        </w:rPr>
        <w:t>9</w:t>
      </w:r>
      <w:r w:rsidR="00972B27" w:rsidRPr="008B3F7F">
        <w:rPr>
          <w:color w:val="000000"/>
          <w:lang w:eastAsia="en-GB"/>
        </w:rPr>
        <w:t>.TREATIES</w:t>
      </w:r>
      <w:proofErr w:type="gramEnd"/>
      <w:r w:rsidR="00972B27" w:rsidRPr="008B3F7F">
        <w:rPr>
          <w:color w:val="000000"/>
          <w:lang w:eastAsia="en-GB"/>
        </w:rPr>
        <w:t>-XI.B.22).</w:t>
      </w:r>
    </w:p>
    <w:p w14:paraId="6E2A4FE9" w14:textId="02B40519" w:rsidR="00FD1996" w:rsidRDefault="00FD1996" w:rsidP="00972B27">
      <w:pPr>
        <w:pStyle w:val="H1G"/>
      </w:pPr>
      <w:r w:rsidRPr="00FD1996">
        <w:tab/>
      </w:r>
      <w:bookmarkStart w:id="16" w:name="_Toc528146967"/>
      <w:r w:rsidRPr="008D3599">
        <w:t>C.</w:t>
      </w:r>
      <w:r w:rsidRPr="008D3599">
        <w:tab/>
      </w:r>
      <w:bookmarkEnd w:id="16"/>
      <w:r w:rsidR="00972B27" w:rsidRPr="008D3599">
        <w:t>Test stations officially designated by the competent authorities of countries Parties to ATP</w:t>
      </w:r>
    </w:p>
    <w:p w14:paraId="5D54DB79" w14:textId="6E1516A8" w:rsidR="00972B27" w:rsidRDefault="002B70B2" w:rsidP="00972B27">
      <w:pPr>
        <w:pStyle w:val="SingleTxtG"/>
      </w:pPr>
      <w:r>
        <w:t>36</w:t>
      </w:r>
      <w:r w:rsidR="00972B27">
        <w:t>.</w:t>
      </w:r>
      <w:r w:rsidR="00972B27">
        <w:tab/>
        <w:t>At its seventy-third session the Working Party</w:t>
      </w:r>
      <w:r w:rsidR="00972B27" w:rsidRPr="00FC4AD1">
        <w:t xml:space="preserve"> </w:t>
      </w:r>
      <w:r w:rsidR="00972B27">
        <w:t>requested the secretariat to send a letter to all contracting parties stating, among other things, the obligation of Contracting Parties</w:t>
      </w:r>
      <w:r w:rsidR="00972B27" w:rsidRPr="00D73DBB">
        <w:t xml:space="preserve"> </w:t>
      </w:r>
      <w:r w:rsidR="00972B27">
        <w:t xml:space="preserve">to keep the contact information of Competent Authorities up to date. </w:t>
      </w:r>
    </w:p>
    <w:p w14:paraId="4F344581" w14:textId="5C3F505E" w:rsidR="00972B27" w:rsidRDefault="002B70B2" w:rsidP="00972B27">
      <w:pPr>
        <w:pStyle w:val="SingleTxtG"/>
        <w:rPr>
          <w:rStyle w:val="Hyperlink"/>
        </w:rPr>
      </w:pPr>
      <w:r>
        <w:t>37</w:t>
      </w:r>
      <w:r w:rsidR="00972B27">
        <w:t>.</w:t>
      </w:r>
      <w:r w:rsidR="00972B27">
        <w:tab/>
        <w:t xml:space="preserve">As a result, several countries have updated their Competent Authorities' contact details. All the information received </w:t>
      </w:r>
      <w:r w:rsidR="00647184">
        <w:t>was</w:t>
      </w:r>
      <w:r w:rsidR="00972B27">
        <w:t xml:space="preserve"> included in the list of competent authorities and officially designated test</w:t>
      </w:r>
      <w:r w:rsidR="00647184">
        <w:t xml:space="preserve"> </w:t>
      </w:r>
      <w:r w:rsidR="00972B27">
        <w:t xml:space="preserve">stations at the following link: </w:t>
      </w:r>
      <w:hyperlink r:id="rId13" w:history="1">
        <w:r w:rsidR="00972B27" w:rsidRPr="00326991">
          <w:rPr>
            <w:rStyle w:val="Hyperlink"/>
          </w:rPr>
          <w:t>http://www.unece.org/trans/main/wp11/teststationsnew.html</w:t>
        </w:r>
      </w:hyperlink>
      <w:r w:rsidR="00647184">
        <w:rPr>
          <w:rStyle w:val="Hyperlink"/>
        </w:rPr>
        <w:t>.</w:t>
      </w:r>
    </w:p>
    <w:p w14:paraId="3A6BB832" w14:textId="77777777" w:rsidR="003242D6" w:rsidRPr="003C50CE" w:rsidRDefault="003242D6" w:rsidP="003242D6">
      <w:pPr>
        <w:pStyle w:val="H1G"/>
      </w:pPr>
      <w:r w:rsidRPr="003C50CE">
        <w:tab/>
      </w:r>
      <w:r w:rsidRPr="008D3599">
        <w:t>D.</w:t>
      </w:r>
      <w:r w:rsidRPr="008D3599">
        <w:tab/>
        <w:t>Exchange of information among Parties under Article 6 of ATP</w:t>
      </w:r>
    </w:p>
    <w:p w14:paraId="518631F3" w14:textId="74C9CC55" w:rsidR="003242D6" w:rsidRPr="003C50CE" w:rsidRDefault="003242D6" w:rsidP="003242D6">
      <w:pPr>
        <w:pStyle w:val="SingleTxtG"/>
        <w:rPr>
          <w:lang w:val="fr-CH"/>
        </w:rPr>
      </w:pPr>
      <w:proofErr w:type="gramStart"/>
      <w:r w:rsidRPr="003C50CE">
        <w:rPr>
          <w:i/>
          <w:iCs/>
          <w:lang w:val="fr-CH"/>
        </w:rPr>
        <w:t>Document</w:t>
      </w:r>
      <w:r w:rsidR="00FC58C2">
        <w:rPr>
          <w:lang w:val="fr-CH"/>
        </w:rPr>
        <w:t>:</w:t>
      </w:r>
      <w:proofErr w:type="gramEnd"/>
      <w:r w:rsidRPr="003C50CE">
        <w:rPr>
          <w:i/>
          <w:iCs/>
          <w:lang w:val="fr-CH"/>
        </w:rPr>
        <w:tab/>
      </w:r>
      <w:r w:rsidRPr="003C50CE">
        <w:rPr>
          <w:i/>
          <w:iCs/>
          <w:lang w:val="fr-CH"/>
        </w:rPr>
        <w:tab/>
      </w:r>
      <w:r w:rsidRPr="003C50CE">
        <w:rPr>
          <w:lang w:val="fr-CH"/>
        </w:rPr>
        <w:t>ECE/TRANS/WP.11/2019/1 (</w:t>
      </w:r>
      <w:proofErr w:type="spellStart"/>
      <w:r w:rsidRPr="003C50CE">
        <w:rPr>
          <w:lang w:val="fr-CH"/>
        </w:rPr>
        <w:t>Secretariat</w:t>
      </w:r>
      <w:proofErr w:type="spellEnd"/>
      <w:r w:rsidRPr="003C50CE">
        <w:rPr>
          <w:lang w:val="fr-CH"/>
        </w:rPr>
        <w:t>)</w:t>
      </w:r>
    </w:p>
    <w:p w14:paraId="243724AD" w14:textId="085AFD6B" w:rsidR="003242D6" w:rsidRPr="003C50CE" w:rsidRDefault="002B70B2" w:rsidP="003242D6">
      <w:pPr>
        <w:pStyle w:val="SingleTxtG"/>
      </w:pPr>
      <w:r>
        <w:t>38</w:t>
      </w:r>
      <w:r w:rsidR="003242D6" w:rsidRPr="003C50CE">
        <w:t>.</w:t>
      </w:r>
      <w:r w:rsidR="003242D6" w:rsidRPr="003C50CE">
        <w:tab/>
        <w:t>At the last session, the WP.11 thanked the 22 countries that had provided data in response to the questionnaire on the implementation of ATP in 2017 and stressed that it was mandatory to have information from all ATP contracting parties and that it was a means of harmonizing implementation of the agreement. The information received for the year 2018 was presented in ECE/TRANS/WP.11/2019/1. Countries were also asked to respond to an additional question regarding implementation of the ATP, answers received by the secretariat are included in the annex to document ECE/TRANS/WP.11/2019/1.</w:t>
      </w:r>
    </w:p>
    <w:p w14:paraId="7286BBD0" w14:textId="25B8A4AD" w:rsidR="003242D6" w:rsidRPr="003C50CE" w:rsidRDefault="002B70B2" w:rsidP="003242D6">
      <w:pPr>
        <w:pStyle w:val="SingleTxtG"/>
      </w:pPr>
      <w:r>
        <w:t>39</w:t>
      </w:r>
      <w:r w:rsidR="003242D6" w:rsidRPr="003C50CE">
        <w:t>.</w:t>
      </w:r>
      <w:r w:rsidR="003242D6" w:rsidRPr="003C50CE">
        <w:tab/>
        <w:t>WP.11 was informed of new developments on parcels and small containers used for the transport of perishable foodstuffs. In order to be informed of current practices and to decide if this was a topic that should be discussed in more detail in future WP.11 sessions, it was decided to include the following question in the 2019 questionnaire: “How parcels and small containers used for the transport of perishable foodstuffs are regulated in your county?”.</w:t>
      </w:r>
    </w:p>
    <w:p w14:paraId="35E018E4" w14:textId="77777777" w:rsidR="003242D6" w:rsidRPr="003C50CE" w:rsidRDefault="003242D6" w:rsidP="003242D6">
      <w:pPr>
        <w:pStyle w:val="H1G"/>
      </w:pPr>
      <w:r w:rsidRPr="003C50CE">
        <w:tab/>
      </w:r>
      <w:r w:rsidRPr="008D3599">
        <w:t>E.</w:t>
      </w:r>
      <w:r w:rsidRPr="008D3599">
        <w:tab/>
        <w:t>Exchange of good practices for better implementation of ATP</w:t>
      </w:r>
    </w:p>
    <w:p w14:paraId="7127C641" w14:textId="59289620" w:rsidR="003242D6" w:rsidRPr="003C50CE" w:rsidRDefault="002B70B2" w:rsidP="003242D6">
      <w:pPr>
        <w:pStyle w:val="SingleTxtG"/>
      </w:pPr>
      <w:r>
        <w:t>40</w:t>
      </w:r>
      <w:r w:rsidR="003242D6" w:rsidRPr="003C50CE">
        <w:t>.</w:t>
      </w:r>
      <w:r w:rsidR="003242D6" w:rsidRPr="003C50CE">
        <w:tab/>
        <w:t xml:space="preserve">WP.11 decided to consider the documents under this agenda item under agenda </w:t>
      </w:r>
      <w:r w:rsidR="00647184">
        <w:t>sub-item</w:t>
      </w:r>
      <w:r w:rsidR="00670867">
        <w:t> </w:t>
      </w:r>
      <w:r w:rsidR="003242D6" w:rsidRPr="003C50CE">
        <w:t>5(b).</w:t>
      </w:r>
    </w:p>
    <w:p w14:paraId="1DEDAD3E" w14:textId="77777777" w:rsidR="003242D6" w:rsidRPr="003C50CE" w:rsidRDefault="003242D6" w:rsidP="003242D6">
      <w:pPr>
        <w:pStyle w:val="H1G"/>
      </w:pPr>
      <w:r w:rsidRPr="003C50CE">
        <w:tab/>
      </w:r>
      <w:r w:rsidRPr="008D3599">
        <w:t>F.</w:t>
      </w:r>
      <w:r w:rsidRPr="008D3599">
        <w:tab/>
        <w:t>Interpretation of ATP</w:t>
      </w:r>
    </w:p>
    <w:p w14:paraId="79BE80F5" w14:textId="7FCE5BBC" w:rsidR="003242D6" w:rsidRPr="003C50CE" w:rsidRDefault="003242D6" w:rsidP="003242D6">
      <w:pPr>
        <w:pStyle w:val="H1G"/>
        <w:rPr>
          <w:b w:val="0"/>
          <w:bCs/>
          <w:sz w:val="20"/>
        </w:rPr>
      </w:pPr>
      <w:r w:rsidRPr="003C50CE">
        <w:rPr>
          <w:b w:val="0"/>
          <w:bCs/>
          <w:sz w:val="20"/>
        </w:rPr>
        <w:tab/>
      </w:r>
      <w:r w:rsidRPr="003C50CE">
        <w:rPr>
          <w:b w:val="0"/>
          <w:bCs/>
          <w:sz w:val="20"/>
        </w:rPr>
        <w:tab/>
      </w:r>
      <w:r w:rsidR="002B70B2">
        <w:rPr>
          <w:b w:val="0"/>
          <w:bCs/>
          <w:sz w:val="20"/>
        </w:rPr>
        <w:t>41</w:t>
      </w:r>
      <w:r w:rsidRPr="003C50CE">
        <w:rPr>
          <w:b w:val="0"/>
          <w:bCs/>
          <w:sz w:val="20"/>
        </w:rPr>
        <w:t>.</w:t>
      </w:r>
      <w:r w:rsidRPr="003C50CE">
        <w:rPr>
          <w:b w:val="0"/>
          <w:bCs/>
          <w:sz w:val="20"/>
        </w:rPr>
        <w:tab/>
        <w:t>As no document had been submitted under this agenda sub-item, no discussion took place on this subject.</w:t>
      </w:r>
    </w:p>
    <w:p w14:paraId="08812028" w14:textId="7B8FD562" w:rsidR="00F74C6A" w:rsidRPr="008D3599" w:rsidRDefault="00F74C6A" w:rsidP="00FF413B">
      <w:pPr>
        <w:pStyle w:val="HChG"/>
      </w:pPr>
      <w:r w:rsidRPr="003C50CE">
        <w:tab/>
      </w:r>
      <w:bookmarkStart w:id="17" w:name="_Toc528146976"/>
      <w:r w:rsidRPr="008D3599">
        <w:t>VI.</w:t>
      </w:r>
      <w:r w:rsidRPr="008D3599">
        <w:tab/>
      </w:r>
      <w:bookmarkEnd w:id="17"/>
      <w:r w:rsidR="003242D6" w:rsidRPr="008D3599">
        <w:t>Proposals of amendments to ATP (agenda item 5)</w:t>
      </w:r>
    </w:p>
    <w:p w14:paraId="5CBB5FF1" w14:textId="4F585319" w:rsidR="00F74C6A" w:rsidRPr="003C50CE" w:rsidRDefault="00F74C6A" w:rsidP="00FF413B">
      <w:pPr>
        <w:pStyle w:val="H1G"/>
      </w:pPr>
      <w:r w:rsidRPr="008D3599">
        <w:tab/>
      </w:r>
      <w:bookmarkStart w:id="18" w:name="_Toc528146977"/>
      <w:r w:rsidRPr="008D3599">
        <w:t>A.</w:t>
      </w:r>
      <w:r w:rsidRPr="008D3599">
        <w:tab/>
      </w:r>
      <w:bookmarkEnd w:id="18"/>
      <w:r w:rsidR="003242D6" w:rsidRPr="008D3599">
        <w:t>Pending proposals</w:t>
      </w:r>
    </w:p>
    <w:p w14:paraId="0AC7D184" w14:textId="38EFE5AE" w:rsidR="003242D6" w:rsidRPr="003C50CE" w:rsidRDefault="002B70B2" w:rsidP="003242D6">
      <w:pPr>
        <w:pStyle w:val="SingleTxtG"/>
        <w:rPr>
          <w:lang w:val="en-US"/>
        </w:rPr>
      </w:pPr>
      <w:r>
        <w:t>42</w:t>
      </w:r>
      <w:r w:rsidR="003242D6" w:rsidRPr="003C50CE">
        <w:t>.</w:t>
      </w:r>
      <w:r w:rsidR="003242D6" w:rsidRPr="003C50CE">
        <w:tab/>
        <w:t xml:space="preserve">As no document had been submitted under this agenda sub-item, no discussion took place on this subject. The Woking party agreed to issue a corrigendum to ECE/TRANS/WP.11/237 addressing some inconsistencies found in the proposal for Test report model 13 (see </w:t>
      </w:r>
      <w:r w:rsidR="00670867">
        <w:t>A</w:t>
      </w:r>
      <w:r w:rsidR="003242D6" w:rsidRPr="003C50CE">
        <w:t>nnex</w:t>
      </w:r>
      <w:r w:rsidR="001A2752">
        <w:t xml:space="preserve"> I</w:t>
      </w:r>
      <w:r w:rsidR="001A2752" w:rsidRPr="003C50CE">
        <w:t>)</w:t>
      </w:r>
      <w:r w:rsidR="00F573BA">
        <w:t>.</w:t>
      </w:r>
    </w:p>
    <w:p w14:paraId="5AA699EC" w14:textId="77777777" w:rsidR="003242D6" w:rsidRPr="003C50CE" w:rsidRDefault="003242D6" w:rsidP="003242D6">
      <w:pPr>
        <w:pStyle w:val="H1G"/>
      </w:pPr>
      <w:r w:rsidRPr="003C50CE">
        <w:tab/>
      </w:r>
      <w:r w:rsidRPr="008D3599">
        <w:t>B.</w:t>
      </w:r>
      <w:r w:rsidRPr="008D3599">
        <w:tab/>
        <w:t>New proposals</w:t>
      </w:r>
    </w:p>
    <w:p w14:paraId="446BCCF3" w14:textId="77777777" w:rsidR="003242D6" w:rsidRPr="003C50CE" w:rsidRDefault="003242D6" w:rsidP="003242D6">
      <w:pPr>
        <w:pStyle w:val="H23G"/>
      </w:pPr>
      <w:r w:rsidRPr="003C50CE">
        <w:tab/>
      </w:r>
      <w:r w:rsidRPr="008D3599">
        <w:t>1.</w:t>
      </w:r>
      <w:r w:rsidRPr="003C50CE">
        <w:tab/>
        <w:t>Proposal to amend Annex 1, Section 2: Definition of thermal appliances</w:t>
      </w:r>
    </w:p>
    <w:p w14:paraId="76A2546D" w14:textId="7CB0D555" w:rsidR="003242D6" w:rsidRPr="003C50CE" w:rsidRDefault="003242D6" w:rsidP="003242D6">
      <w:pPr>
        <w:pStyle w:val="SingleTxtG"/>
      </w:pPr>
      <w:r w:rsidRPr="003C50CE">
        <w:rPr>
          <w:i/>
          <w:iCs/>
        </w:rPr>
        <w:t>Document</w:t>
      </w:r>
      <w:r w:rsidR="00FC58C2">
        <w:t>:</w:t>
      </w:r>
      <w:r w:rsidRPr="003C50CE">
        <w:rPr>
          <w:i/>
          <w:iCs/>
        </w:rPr>
        <w:t xml:space="preserve"> </w:t>
      </w:r>
      <w:r w:rsidRPr="003C50CE">
        <w:rPr>
          <w:i/>
          <w:iCs/>
        </w:rPr>
        <w:tab/>
      </w:r>
      <w:r w:rsidRPr="003C50CE">
        <w:rPr>
          <w:i/>
          <w:iCs/>
        </w:rPr>
        <w:tab/>
      </w:r>
      <w:r w:rsidRPr="003C50CE">
        <w:t>ECE/TRANS/WP.11/2019/2 (Germany)</w:t>
      </w:r>
    </w:p>
    <w:p w14:paraId="4C8DC4BF" w14:textId="52A2EA1C" w:rsidR="003242D6" w:rsidRPr="003C50CE" w:rsidRDefault="002B70B2" w:rsidP="003242D6">
      <w:pPr>
        <w:pStyle w:val="SingleTxtG"/>
      </w:pPr>
      <w:r>
        <w:t>43</w:t>
      </w:r>
      <w:r w:rsidR="003242D6" w:rsidRPr="003C50CE">
        <w:t>.</w:t>
      </w:r>
      <w:r w:rsidR="003242D6" w:rsidRPr="003C50CE">
        <w:tab/>
        <w:t>The Working Party agreed in principle with the addition of a definition for the term “thermal appliances” but the proposal should be redrafted to provide a concrete definition and not</w:t>
      </w:r>
      <w:r>
        <w:t xml:space="preserve"> just</w:t>
      </w:r>
      <w:r w:rsidR="003242D6" w:rsidRPr="003C50CE">
        <w:t xml:space="preserve"> a list of items that could be considered as such.</w:t>
      </w:r>
    </w:p>
    <w:p w14:paraId="75C1A3A2" w14:textId="4EFC2670" w:rsidR="003242D6" w:rsidRPr="003C50CE" w:rsidRDefault="002B70B2" w:rsidP="003242D6">
      <w:pPr>
        <w:pStyle w:val="SingleTxtG"/>
      </w:pPr>
      <w:r>
        <w:t>44</w:t>
      </w:r>
      <w:r w:rsidR="003242D6" w:rsidRPr="003C50CE">
        <w:t>.</w:t>
      </w:r>
      <w:r w:rsidR="003242D6" w:rsidRPr="003C50CE">
        <w:tab/>
        <w:t xml:space="preserve">The German delegation was invited to present a revised proposal at the next session </w:t>
      </w:r>
      <w:proofErr w:type="gramStart"/>
      <w:r w:rsidR="003242D6" w:rsidRPr="003C50CE">
        <w:t>taking into account</w:t>
      </w:r>
      <w:proofErr w:type="gramEnd"/>
      <w:r w:rsidR="003242D6" w:rsidRPr="003C50CE">
        <w:t xml:space="preserve"> the comments made.</w:t>
      </w:r>
    </w:p>
    <w:p w14:paraId="20AF6C4C" w14:textId="77777777" w:rsidR="003242D6" w:rsidRPr="003C50CE" w:rsidRDefault="003242D6" w:rsidP="003242D6">
      <w:pPr>
        <w:pStyle w:val="H23G"/>
      </w:pPr>
      <w:r w:rsidRPr="003C50CE">
        <w:tab/>
      </w:r>
      <w:r w:rsidRPr="008D3599">
        <w:t>2.</w:t>
      </w:r>
      <w:r w:rsidRPr="003C50CE">
        <w:tab/>
        <w:t>Proposal to amend Annex 1, Appendix 1, Section 6: Harmonization of wording</w:t>
      </w:r>
    </w:p>
    <w:p w14:paraId="04DA6F90" w14:textId="22E0B0C7" w:rsidR="003242D6" w:rsidRPr="003C50CE" w:rsidRDefault="003242D6" w:rsidP="003242D6">
      <w:pPr>
        <w:pStyle w:val="SingleTxtG"/>
      </w:pPr>
      <w:r w:rsidRPr="003C50CE">
        <w:rPr>
          <w:i/>
          <w:iCs/>
        </w:rPr>
        <w:t>Document</w:t>
      </w:r>
      <w:r w:rsidR="00FC58C2">
        <w:t>:</w:t>
      </w:r>
      <w:r w:rsidRPr="003C50CE">
        <w:rPr>
          <w:i/>
          <w:iCs/>
        </w:rPr>
        <w:tab/>
      </w:r>
      <w:r w:rsidRPr="003C50CE">
        <w:rPr>
          <w:i/>
          <w:iCs/>
        </w:rPr>
        <w:tab/>
      </w:r>
      <w:r w:rsidRPr="003C50CE">
        <w:t>ECE/TRANS/WP.11/2019/3 (Germany)</w:t>
      </w:r>
    </w:p>
    <w:p w14:paraId="4AF69385" w14:textId="3A5B709A" w:rsidR="003242D6" w:rsidRPr="003C50CE" w:rsidRDefault="002B70B2" w:rsidP="003242D6">
      <w:pPr>
        <w:pStyle w:val="SingleTxtG"/>
      </w:pPr>
      <w:r>
        <w:t>45</w:t>
      </w:r>
      <w:r w:rsidR="003242D6" w:rsidRPr="003C50CE">
        <w:t>.</w:t>
      </w:r>
      <w:r w:rsidR="003242D6" w:rsidRPr="003C50CE">
        <w:tab/>
        <w:t xml:space="preserve">Several concerns were raised regarding the replacement of the term “unit” in some parts of the text as it was not clear to all delegations if it was referring to a unit of area or to a piece of equipment. Representatives of France and the Russian Federation also mentioned problems with the interpretation of the text in French and Russian once the proposed changes were </w:t>
      </w:r>
      <w:proofErr w:type="gramStart"/>
      <w:r w:rsidR="003242D6" w:rsidRPr="003C50CE">
        <w:t>taken into account</w:t>
      </w:r>
      <w:proofErr w:type="gramEnd"/>
      <w:r w:rsidR="003242D6" w:rsidRPr="003C50CE">
        <w:t>.</w:t>
      </w:r>
    </w:p>
    <w:p w14:paraId="70863599" w14:textId="60FB9C95" w:rsidR="003242D6" w:rsidRPr="003C50CE" w:rsidRDefault="002B70B2" w:rsidP="003242D6">
      <w:pPr>
        <w:pStyle w:val="SingleTxtG"/>
      </w:pPr>
      <w:r>
        <w:t>46</w:t>
      </w:r>
      <w:r w:rsidR="003242D6" w:rsidRPr="003C50CE">
        <w:t>.</w:t>
      </w:r>
      <w:r w:rsidR="003242D6" w:rsidRPr="003C50CE">
        <w:tab/>
        <w:t>The German delegation requested the input of the Working Party to further develop the proposal with the aim of presenting a revised version at the next session.</w:t>
      </w:r>
    </w:p>
    <w:p w14:paraId="67C31814" w14:textId="77777777" w:rsidR="003242D6" w:rsidRPr="003C50CE" w:rsidRDefault="003242D6" w:rsidP="003242D6">
      <w:pPr>
        <w:pStyle w:val="H23G"/>
      </w:pPr>
      <w:r w:rsidRPr="003C50CE">
        <w:tab/>
      </w:r>
      <w:r w:rsidRPr="008D3599">
        <w:t>3.</w:t>
      </w:r>
      <w:r w:rsidRPr="003C50CE">
        <w:tab/>
        <w:t>Proposal to amend Annex 1, Appendix 1, Section 6 (a) and (b): Validity of test reports for mechanical refrigeration units</w:t>
      </w:r>
    </w:p>
    <w:p w14:paraId="427FADE1" w14:textId="5F55A57C" w:rsidR="003242D6" w:rsidRPr="003C50CE" w:rsidRDefault="003242D6" w:rsidP="003242D6">
      <w:pPr>
        <w:pStyle w:val="SingleTxtG"/>
      </w:pPr>
      <w:r w:rsidRPr="003C50CE">
        <w:rPr>
          <w:i/>
          <w:iCs/>
        </w:rPr>
        <w:t>Document</w:t>
      </w:r>
      <w:r w:rsidR="00FC58C2" w:rsidRPr="00FC58C2">
        <w:t>:</w:t>
      </w:r>
      <w:r w:rsidRPr="003C50CE">
        <w:rPr>
          <w:i/>
          <w:iCs/>
        </w:rPr>
        <w:tab/>
      </w:r>
      <w:r w:rsidRPr="003C50CE">
        <w:rPr>
          <w:i/>
          <w:iCs/>
        </w:rPr>
        <w:tab/>
      </w:r>
      <w:r w:rsidRPr="003C50CE">
        <w:t>ECE/TRANS/WP.11/2019/4 (Germany)</w:t>
      </w:r>
    </w:p>
    <w:p w14:paraId="373E58D2" w14:textId="00713672" w:rsidR="003242D6" w:rsidRPr="003C50CE" w:rsidRDefault="002B70B2" w:rsidP="003242D6">
      <w:pPr>
        <w:pStyle w:val="SingleTxtG"/>
      </w:pPr>
      <w:r>
        <w:t>47</w:t>
      </w:r>
      <w:r w:rsidR="003242D6" w:rsidRPr="003C50CE">
        <w:t>.</w:t>
      </w:r>
      <w:r w:rsidR="003242D6" w:rsidRPr="003C50CE">
        <w:tab/>
      </w:r>
      <w:r>
        <w:t>S</w:t>
      </w:r>
      <w:r w:rsidR="003242D6" w:rsidRPr="003C50CE">
        <w:t>everal concerns were raised concerning the following:</w:t>
      </w:r>
    </w:p>
    <w:p w14:paraId="6DE24016" w14:textId="77777777" w:rsidR="003242D6" w:rsidRPr="003C50CE" w:rsidRDefault="003242D6" w:rsidP="00F61B89">
      <w:pPr>
        <w:pStyle w:val="Bullet1G"/>
        <w:numPr>
          <w:ilvl w:val="3"/>
          <w:numId w:val="20"/>
        </w:numPr>
        <w:ind w:left="1985" w:hanging="284"/>
      </w:pPr>
      <w:r w:rsidRPr="003C50CE">
        <w:t>It was not specified to which competent authority the proposal was referring, the national competent authority or the competent authority of the country of manufacture;</w:t>
      </w:r>
    </w:p>
    <w:p w14:paraId="1BC176FE" w14:textId="77777777" w:rsidR="003242D6" w:rsidRPr="003C50CE" w:rsidRDefault="003242D6" w:rsidP="00F61B89">
      <w:pPr>
        <w:pStyle w:val="Bullet1G"/>
        <w:numPr>
          <w:ilvl w:val="3"/>
          <w:numId w:val="20"/>
        </w:numPr>
        <w:ind w:left="1985" w:hanging="284"/>
      </w:pPr>
      <w:r w:rsidRPr="003C50CE">
        <w:t>A clear definition of the expression “no modification to major components” was missing, making it difficult for competent authorities to decide on whether the extension of the validity of the type approval certificate was warranted;</w:t>
      </w:r>
    </w:p>
    <w:p w14:paraId="67FEB06F" w14:textId="77777777" w:rsidR="003242D6" w:rsidRPr="003C50CE" w:rsidRDefault="003242D6" w:rsidP="00F61B89">
      <w:pPr>
        <w:pStyle w:val="Bullet1G"/>
        <w:numPr>
          <w:ilvl w:val="3"/>
          <w:numId w:val="20"/>
        </w:numPr>
        <w:ind w:left="1985" w:hanging="284"/>
      </w:pPr>
      <w:r w:rsidRPr="003C50CE">
        <w:t xml:space="preserve">There was no reference to the version of the software used and in the opinion of some delegations, this information should be available. </w:t>
      </w:r>
    </w:p>
    <w:p w14:paraId="30C37B13" w14:textId="12425549" w:rsidR="003242D6" w:rsidRPr="003C50CE" w:rsidRDefault="002B70B2" w:rsidP="003242D6">
      <w:pPr>
        <w:pStyle w:val="SingleTxtG"/>
      </w:pPr>
      <w:r w:rsidRPr="003C50CE">
        <w:t>4</w:t>
      </w:r>
      <w:r>
        <w:t>8</w:t>
      </w:r>
      <w:r w:rsidR="003242D6" w:rsidRPr="003C50CE">
        <w:t>.</w:t>
      </w:r>
      <w:r w:rsidR="003242D6" w:rsidRPr="003C50CE">
        <w:tab/>
        <w:t xml:space="preserve">It was agreed that drafting a list of components that might affect the cooling capacity of the unit was necessary to clarify the meaning of the expression “no modification to major components” and the representatives of </w:t>
      </w:r>
      <w:proofErr w:type="spellStart"/>
      <w:r w:rsidR="003242D6" w:rsidRPr="003C50CE">
        <w:t>Transfrigoroute</w:t>
      </w:r>
      <w:proofErr w:type="spellEnd"/>
      <w:r w:rsidR="003242D6" w:rsidRPr="003C50CE">
        <w:t xml:space="preserve"> International will submit a proposal for consideration at the next session.</w:t>
      </w:r>
    </w:p>
    <w:p w14:paraId="56555F31" w14:textId="15CE88E5" w:rsidR="003242D6" w:rsidRPr="003C50CE" w:rsidRDefault="002B70B2" w:rsidP="003242D6">
      <w:pPr>
        <w:pStyle w:val="SingleTxtG"/>
      </w:pPr>
      <w:r>
        <w:t>49</w:t>
      </w:r>
      <w:r w:rsidR="003242D6" w:rsidRPr="003C50CE">
        <w:t>.</w:t>
      </w:r>
      <w:r w:rsidR="003242D6" w:rsidRPr="003C50CE">
        <w:tab/>
        <w:t>WP.11 invited the German delegation to submit a revised proposal at the next session.</w:t>
      </w:r>
    </w:p>
    <w:p w14:paraId="2431CC18" w14:textId="77777777" w:rsidR="003242D6" w:rsidRPr="003C50CE" w:rsidRDefault="003242D6" w:rsidP="003242D6">
      <w:pPr>
        <w:pStyle w:val="H23G"/>
      </w:pPr>
      <w:r w:rsidRPr="003C50CE">
        <w:tab/>
      </w:r>
      <w:r w:rsidRPr="008D3599">
        <w:t>4.</w:t>
      </w:r>
      <w:r w:rsidRPr="008D3599">
        <w:tab/>
        <w:t>Degrees Celsius and Kelvin</w:t>
      </w:r>
    </w:p>
    <w:p w14:paraId="256F80C6" w14:textId="525BDDD9" w:rsidR="003242D6" w:rsidRPr="003C50CE" w:rsidRDefault="003242D6" w:rsidP="003242D6">
      <w:pPr>
        <w:pStyle w:val="SingleTxtG"/>
      </w:pPr>
      <w:r w:rsidRPr="003C50CE">
        <w:rPr>
          <w:i/>
          <w:iCs/>
        </w:rPr>
        <w:t>Document</w:t>
      </w:r>
      <w:r w:rsidR="00FC58C2" w:rsidRPr="00FC58C2">
        <w:t>:</w:t>
      </w:r>
      <w:r w:rsidRPr="003C50CE">
        <w:rPr>
          <w:i/>
          <w:iCs/>
        </w:rPr>
        <w:tab/>
      </w:r>
      <w:r w:rsidRPr="003C50CE">
        <w:rPr>
          <w:i/>
          <w:iCs/>
        </w:rPr>
        <w:tab/>
      </w:r>
      <w:r w:rsidRPr="003C50CE">
        <w:t>ECE/TRANS/WP.11/2019/6 (Spain)</w:t>
      </w:r>
    </w:p>
    <w:p w14:paraId="41ABED6B" w14:textId="2F668116" w:rsidR="003242D6" w:rsidRPr="003C50CE" w:rsidRDefault="002B70B2" w:rsidP="003242D6">
      <w:pPr>
        <w:pStyle w:val="SingleTxtG"/>
      </w:pPr>
      <w:r>
        <w:t>50</w:t>
      </w:r>
      <w:r w:rsidR="003242D6" w:rsidRPr="003C50CE">
        <w:t>.</w:t>
      </w:r>
      <w:r w:rsidR="003242D6" w:rsidRPr="003C50CE">
        <w:tab/>
        <w:t>There were no objections in principle to the proposals in the document but in order to find a scientifically sound way of consistently expressing</w:t>
      </w:r>
      <w:r>
        <w:t xml:space="preserve"> temperature,</w:t>
      </w:r>
      <w:r w:rsidR="003242D6" w:rsidRPr="003C50CE">
        <w:t xml:space="preserve"> temperature ranges and units of the K coefficient, the Working Party decided to transfer consideration of this document to the next meeting of the IIR sub-commission on refrigerated transport (CERTE Meeting). The representative of IIR requested input from the Working Party</w:t>
      </w:r>
      <w:r>
        <w:t>, especially the Spanish and Slovenian delegations,</w:t>
      </w:r>
      <w:r w:rsidR="003242D6" w:rsidRPr="003C50CE">
        <w:t xml:space="preserve"> in order to identify possible ways forward.</w:t>
      </w:r>
    </w:p>
    <w:p w14:paraId="7BBFF244" w14:textId="42DC5EAB" w:rsidR="003242D6" w:rsidRPr="003C50CE" w:rsidRDefault="003242D6" w:rsidP="003242D6">
      <w:pPr>
        <w:pStyle w:val="H23G"/>
        <w:keepNext w:val="0"/>
        <w:keepLines w:val="0"/>
      </w:pPr>
      <w:r w:rsidRPr="003C50CE">
        <w:tab/>
      </w:r>
      <w:r w:rsidRPr="008D3599">
        <w:t>5</w:t>
      </w:r>
      <w:r w:rsidR="00947583" w:rsidRPr="008D3599">
        <w:t>.</w:t>
      </w:r>
      <w:r w:rsidRPr="008D3599">
        <w:tab/>
        <w:t>Amendment to Annex 1, Appendix 3</w:t>
      </w:r>
    </w:p>
    <w:p w14:paraId="0DBE1716" w14:textId="17BC6DB1" w:rsidR="003242D6" w:rsidRPr="003C50CE" w:rsidRDefault="003242D6" w:rsidP="003242D6">
      <w:pPr>
        <w:pStyle w:val="SingleTxtG"/>
      </w:pPr>
      <w:r w:rsidRPr="003C50CE">
        <w:rPr>
          <w:i/>
          <w:iCs/>
        </w:rPr>
        <w:t>Document</w:t>
      </w:r>
      <w:r w:rsidR="00FC58C2">
        <w:t>:</w:t>
      </w:r>
      <w:r w:rsidRPr="003C50CE">
        <w:rPr>
          <w:i/>
          <w:iCs/>
        </w:rPr>
        <w:tab/>
      </w:r>
      <w:r w:rsidRPr="003C50CE">
        <w:rPr>
          <w:i/>
          <w:iCs/>
        </w:rPr>
        <w:tab/>
      </w:r>
      <w:r w:rsidRPr="003C50CE">
        <w:t xml:space="preserve">ECE/TRANS/WP.11/2019/19 (United Kingdom) </w:t>
      </w:r>
    </w:p>
    <w:p w14:paraId="0A78C82B" w14:textId="03E04021" w:rsidR="003242D6" w:rsidRPr="003C50CE" w:rsidRDefault="00631847" w:rsidP="003242D6">
      <w:pPr>
        <w:pStyle w:val="SingleTxtG"/>
      </w:pPr>
      <w:r>
        <w:t>51</w:t>
      </w:r>
      <w:r w:rsidR="003242D6" w:rsidRPr="003C50CE">
        <w:t>.</w:t>
      </w:r>
      <w:r w:rsidR="003242D6" w:rsidRPr="003C50CE">
        <w:tab/>
        <w:t xml:space="preserve">The Working Party adopted the proposal in the document with a consequential amendment to point 3 of the “Form of certificate for insulated, refrigerated, mechanically refrigerated, heated or mechanically refrigerated and heated equipment used for the international carriage of perishable foodstuffs by land”, contained in Annex 1 Appendix 3 of the ATP (see </w:t>
      </w:r>
      <w:r w:rsidR="00BB67E5">
        <w:t>A</w:t>
      </w:r>
      <w:r w:rsidR="003242D6" w:rsidRPr="003C50CE">
        <w:t>nnex</w:t>
      </w:r>
      <w:r w:rsidR="00A26337">
        <w:t xml:space="preserve"> II</w:t>
      </w:r>
      <w:r w:rsidR="00A26337" w:rsidRPr="003C50CE">
        <w:t>).</w:t>
      </w:r>
    </w:p>
    <w:p w14:paraId="72BE6EDE" w14:textId="77777777" w:rsidR="003242D6" w:rsidRPr="003C50CE" w:rsidRDefault="003242D6" w:rsidP="003242D6">
      <w:pPr>
        <w:pStyle w:val="H23G"/>
        <w:keepNext w:val="0"/>
        <w:keepLines w:val="0"/>
      </w:pPr>
      <w:r w:rsidRPr="003C50CE">
        <w:tab/>
      </w:r>
      <w:r w:rsidRPr="008D3599">
        <w:t>6.</w:t>
      </w:r>
      <w:r w:rsidRPr="008D3599">
        <w:tab/>
      </w:r>
      <w:r w:rsidRPr="008D3599">
        <w:tab/>
        <w:t>Amendment to Annex 1, Appendix 2</w:t>
      </w:r>
    </w:p>
    <w:p w14:paraId="0EB02400" w14:textId="5E30E39E" w:rsidR="003242D6" w:rsidRPr="003C50CE" w:rsidRDefault="003242D6" w:rsidP="003242D6">
      <w:pPr>
        <w:pStyle w:val="SingleTxtG"/>
      </w:pPr>
      <w:r w:rsidRPr="003C50CE">
        <w:rPr>
          <w:i/>
          <w:iCs/>
        </w:rPr>
        <w:t>Document</w:t>
      </w:r>
      <w:r w:rsidR="00FC58C2">
        <w:t>:</w:t>
      </w:r>
      <w:r w:rsidRPr="003C50CE">
        <w:rPr>
          <w:i/>
          <w:iCs/>
        </w:rPr>
        <w:tab/>
      </w:r>
      <w:r w:rsidRPr="003C50CE">
        <w:rPr>
          <w:i/>
          <w:iCs/>
        </w:rPr>
        <w:tab/>
      </w:r>
      <w:r w:rsidRPr="003C50CE">
        <w:t>ECE/TRANS/WP.11/2019/22 (United Kingdom)</w:t>
      </w:r>
    </w:p>
    <w:p w14:paraId="1661D677" w14:textId="1FBF5232" w:rsidR="003242D6" w:rsidRPr="003C50CE" w:rsidRDefault="00631847" w:rsidP="003242D6">
      <w:pPr>
        <w:pStyle w:val="SingleTxtG"/>
      </w:pPr>
      <w:r>
        <w:t>52</w:t>
      </w:r>
      <w:r w:rsidR="003242D6" w:rsidRPr="003C50CE">
        <w:t>.</w:t>
      </w:r>
      <w:r w:rsidR="003242D6" w:rsidRPr="003C50CE">
        <w:tab/>
        <w:t>Document was withdrawn as proposals were already covered in document ECE/TRANS/WP.11/2019/16.</w:t>
      </w:r>
    </w:p>
    <w:p w14:paraId="426D4B21" w14:textId="77777777" w:rsidR="003242D6" w:rsidRPr="003C50CE" w:rsidRDefault="003242D6" w:rsidP="003242D6">
      <w:pPr>
        <w:pStyle w:val="H23G"/>
        <w:keepNext w:val="0"/>
        <w:keepLines w:val="0"/>
      </w:pPr>
      <w:r w:rsidRPr="003C50CE">
        <w:tab/>
      </w:r>
      <w:r w:rsidRPr="008D3599">
        <w:t>7.</w:t>
      </w:r>
      <w:r w:rsidRPr="008D3599">
        <w:tab/>
      </w:r>
      <w:r w:rsidRPr="008D3599">
        <w:tab/>
        <w:t>Proposals improving test reports and ATP certificate of conformity</w:t>
      </w:r>
    </w:p>
    <w:p w14:paraId="75E7F7CB" w14:textId="4EA2E1B5" w:rsidR="003242D6" w:rsidRPr="003C50CE" w:rsidRDefault="003242D6" w:rsidP="003242D6">
      <w:pPr>
        <w:pStyle w:val="SingleTxtG"/>
        <w:ind w:left="2835" w:hanging="1701"/>
      </w:pPr>
      <w:r w:rsidRPr="003C50CE">
        <w:rPr>
          <w:i/>
          <w:iCs/>
        </w:rPr>
        <w:t>Document</w:t>
      </w:r>
      <w:r w:rsidR="00FC58C2">
        <w:t>:</w:t>
      </w:r>
      <w:r w:rsidRPr="003C50CE">
        <w:rPr>
          <w:i/>
          <w:iCs/>
        </w:rPr>
        <w:tab/>
      </w:r>
      <w:r w:rsidRPr="003C50CE">
        <w:rPr>
          <w:i/>
          <w:iCs/>
        </w:rPr>
        <w:tab/>
      </w:r>
      <w:r w:rsidRPr="003C50CE">
        <w:t>ECE/TRANS/WP.11/2019/16 (Netherlands on behalf of the informal working group on the improvements on the approval system of ATP equipment and thermal units)</w:t>
      </w:r>
    </w:p>
    <w:p w14:paraId="5F1A1989" w14:textId="09C11378" w:rsidR="003242D6" w:rsidRPr="003C50CE" w:rsidRDefault="00631847" w:rsidP="003242D6">
      <w:pPr>
        <w:pStyle w:val="SingleTxtG"/>
      </w:pPr>
      <w:r>
        <w:t>53</w:t>
      </w:r>
      <w:r w:rsidR="003242D6" w:rsidRPr="003C50CE">
        <w:t>.</w:t>
      </w:r>
      <w:r w:rsidR="003242D6" w:rsidRPr="003C50CE">
        <w:tab/>
        <w:t xml:space="preserve">The Working Party thanked the informal working group for the work done on the topic as it considered that improvements on the approval system of ATP equipment and thermal units could contribute to the harmonization of acceptance procedures for all contracting parties. </w:t>
      </w:r>
    </w:p>
    <w:p w14:paraId="0752811A" w14:textId="4F14AB20" w:rsidR="003242D6" w:rsidRPr="003C50CE" w:rsidRDefault="00631847" w:rsidP="003242D6">
      <w:pPr>
        <w:pStyle w:val="SingleTxtG"/>
      </w:pPr>
      <w:r>
        <w:t>54</w:t>
      </w:r>
      <w:r w:rsidR="003242D6" w:rsidRPr="003C50CE">
        <w:t>.</w:t>
      </w:r>
      <w:r w:rsidR="003242D6" w:rsidRPr="003C50CE">
        <w:tab/>
        <w:t>Regarding proposal 1, it was concluded that definitions for the new terms used were necessary before amending the ATP. Discussions on this topic were postponed until such definitions are provided.</w:t>
      </w:r>
    </w:p>
    <w:p w14:paraId="032F7E3E" w14:textId="6774EDA1" w:rsidR="003242D6" w:rsidRPr="003C50CE" w:rsidRDefault="00631847" w:rsidP="003242D6">
      <w:pPr>
        <w:pStyle w:val="SingleTxtG"/>
      </w:pPr>
      <w:r>
        <w:t>55</w:t>
      </w:r>
      <w:r w:rsidR="003242D6" w:rsidRPr="003C50CE">
        <w:t>.</w:t>
      </w:r>
      <w:r w:rsidR="003242D6" w:rsidRPr="003C50CE">
        <w:tab/>
        <w:t xml:space="preserve">Proposal 2 was adopted. Proposal 3 was adopted, with a change to the proposed amendment to the French version (see </w:t>
      </w:r>
      <w:r w:rsidR="00BB67E5">
        <w:t>A</w:t>
      </w:r>
      <w:r w:rsidR="003242D6" w:rsidRPr="003C50CE">
        <w:t>nnex</w:t>
      </w:r>
      <w:r w:rsidR="00F94BC3">
        <w:t xml:space="preserve"> II</w:t>
      </w:r>
      <w:r w:rsidR="00F94BC3" w:rsidRPr="003C50CE">
        <w:t>)</w:t>
      </w:r>
      <w:r w:rsidR="00F94BC3">
        <w:t>.</w:t>
      </w:r>
      <w:r w:rsidR="00F94BC3" w:rsidRPr="003C50CE">
        <w:t xml:space="preserve"> </w:t>
      </w:r>
    </w:p>
    <w:p w14:paraId="500AC20D" w14:textId="1E6C42EE" w:rsidR="003242D6" w:rsidRDefault="00631847" w:rsidP="003242D6">
      <w:pPr>
        <w:pStyle w:val="SingleTxtG"/>
      </w:pPr>
      <w:r>
        <w:t>56</w:t>
      </w:r>
      <w:r w:rsidR="003242D6" w:rsidRPr="003C50CE">
        <w:t>.</w:t>
      </w:r>
      <w:r w:rsidR="003242D6" w:rsidRPr="003C50CE">
        <w:tab/>
        <w:t xml:space="preserve">Concerning proposal 4, some delegations </w:t>
      </w:r>
      <w:proofErr w:type="gramStart"/>
      <w:r w:rsidR="003242D6" w:rsidRPr="003C50CE">
        <w:t>were of the opinion that</w:t>
      </w:r>
      <w:proofErr w:type="gramEnd"/>
      <w:r w:rsidR="003242D6" w:rsidRPr="003C50CE">
        <w:t xml:space="preserve"> if the month and year of manufacture were already required in the manufacturer’s plate then Model test reports should include this information as well. It was pointed out that there were some inconsistencies across models and that a proposal to include the month and year of manufacture wherever relevant should be submitted for consideration at a future session.</w:t>
      </w:r>
    </w:p>
    <w:p w14:paraId="5E8921F9" w14:textId="559F0CDC" w:rsidR="00631847" w:rsidRPr="003C50CE" w:rsidRDefault="00631847" w:rsidP="003242D6">
      <w:pPr>
        <w:pStyle w:val="SingleTxtG"/>
      </w:pPr>
      <w:r>
        <w:t>57.</w:t>
      </w:r>
      <w:r>
        <w:tab/>
      </w:r>
      <w:r w:rsidRPr="003C50CE">
        <w:t>Proposal</w:t>
      </w:r>
      <w:r>
        <w:t>s</w:t>
      </w:r>
      <w:r w:rsidRPr="003C50CE">
        <w:t xml:space="preserve"> </w:t>
      </w:r>
      <w:r>
        <w:t>5 and 6</w:t>
      </w:r>
      <w:r w:rsidRPr="003C50CE">
        <w:t xml:space="preserve"> w</w:t>
      </w:r>
      <w:r>
        <w:t>ere</w:t>
      </w:r>
      <w:r w:rsidRPr="003C50CE">
        <w:t xml:space="preserve"> adopted (see </w:t>
      </w:r>
      <w:r w:rsidR="00BB67E5">
        <w:t>A</w:t>
      </w:r>
      <w:r w:rsidRPr="003C50CE">
        <w:t>nnex</w:t>
      </w:r>
      <w:r w:rsidR="00F94BC3">
        <w:t xml:space="preserve"> II</w:t>
      </w:r>
      <w:r w:rsidRPr="003C50CE">
        <w:t>)</w:t>
      </w:r>
      <w:r>
        <w:t>.</w:t>
      </w:r>
    </w:p>
    <w:p w14:paraId="47C34909" w14:textId="77777777" w:rsidR="003242D6" w:rsidRPr="003C50CE" w:rsidRDefault="003242D6" w:rsidP="003242D6">
      <w:pPr>
        <w:pStyle w:val="H23G"/>
        <w:keepNext w:val="0"/>
        <w:keepLines w:val="0"/>
      </w:pPr>
      <w:r w:rsidRPr="003C50CE">
        <w:tab/>
      </w:r>
      <w:r w:rsidRPr="008D3599">
        <w:t>8.</w:t>
      </w:r>
      <w:r w:rsidRPr="008D3599">
        <w:tab/>
        <w:t>Procedure for measuring the power of single-emitter dual-temperature refrigerated and mechanically refrigerated units</w:t>
      </w:r>
    </w:p>
    <w:p w14:paraId="29D5C6B9" w14:textId="34DAEA94" w:rsidR="003242D6" w:rsidRPr="003C50CE" w:rsidRDefault="003242D6" w:rsidP="003242D6">
      <w:pPr>
        <w:pStyle w:val="SingleTxtG"/>
        <w:rPr>
          <w:lang w:val="fr-CH"/>
        </w:rPr>
      </w:pPr>
      <w:proofErr w:type="gramStart"/>
      <w:r w:rsidRPr="003C50CE">
        <w:rPr>
          <w:i/>
          <w:iCs/>
          <w:lang w:val="fr-CH"/>
        </w:rPr>
        <w:t>Document</w:t>
      </w:r>
      <w:r w:rsidR="00FC58C2" w:rsidRPr="00FC58C2">
        <w:rPr>
          <w:lang w:val="fr-CH"/>
        </w:rPr>
        <w:t>:</w:t>
      </w:r>
      <w:proofErr w:type="gramEnd"/>
      <w:r w:rsidRPr="003C50CE">
        <w:rPr>
          <w:i/>
          <w:iCs/>
          <w:lang w:val="fr-CH"/>
        </w:rPr>
        <w:tab/>
      </w:r>
      <w:r w:rsidRPr="003C50CE">
        <w:rPr>
          <w:i/>
          <w:iCs/>
          <w:lang w:val="fr-CH"/>
        </w:rPr>
        <w:tab/>
      </w:r>
      <w:r w:rsidRPr="003C50CE">
        <w:rPr>
          <w:lang w:val="fr-CH"/>
        </w:rPr>
        <w:t>ECE/TRANS/WP.11/2019/11 (France)</w:t>
      </w:r>
    </w:p>
    <w:p w14:paraId="093562A1" w14:textId="3A507828" w:rsidR="003242D6" w:rsidRPr="003C50CE" w:rsidRDefault="003242D6" w:rsidP="003242D6">
      <w:pPr>
        <w:pStyle w:val="SingleTxtG"/>
      </w:pPr>
      <w:r w:rsidRPr="003C50CE">
        <w:t>58.</w:t>
      </w:r>
      <w:r w:rsidRPr="003C50CE">
        <w:tab/>
      </w:r>
      <w:r w:rsidR="00575DD3">
        <w:t>It was mentioned</w:t>
      </w:r>
      <w:r w:rsidRPr="003C50CE">
        <w:t xml:space="preserve"> that if the risk of freezing was present when transporting products that were supposed to be kept fresh, then the equipment should not be used for transporting this kind of products and that a clarification in the ATP provisions might be necessary to clearly reflect this principle.</w:t>
      </w:r>
      <w:r w:rsidR="00575DD3">
        <w:t xml:space="preserve"> There were also some concerns raised as to the placement of the amendment in ATP.</w:t>
      </w:r>
    </w:p>
    <w:p w14:paraId="60156F89" w14:textId="762BA54B" w:rsidR="003242D6" w:rsidRPr="003C50CE" w:rsidRDefault="003242D6" w:rsidP="003242D6">
      <w:pPr>
        <w:pStyle w:val="SingleTxtG"/>
      </w:pPr>
      <w:r w:rsidRPr="003C50CE">
        <w:t>59.</w:t>
      </w:r>
      <w:r w:rsidRPr="003C50CE">
        <w:tab/>
        <w:t xml:space="preserve">It was also clarified that the risk of freezing </w:t>
      </w:r>
      <w:r w:rsidR="00575DD3">
        <w:t xml:space="preserve">concerned </w:t>
      </w:r>
      <w:r w:rsidRPr="003C50CE">
        <w:t xml:space="preserve">all types of equipment that do not have heating capacity when transport </w:t>
      </w:r>
      <w:r w:rsidR="00575DD3">
        <w:t>was</w:t>
      </w:r>
      <w:r w:rsidR="00575DD3" w:rsidRPr="003C50CE">
        <w:t xml:space="preserve"> </w:t>
      </w:r>
      <w:r w:rsidRPr="003C50CE">
        <w:t>taking place at outside temperatures below zero.</w:t>
      </w:r>
    </w:p>
    <w:p w14:paraId="3164CBB0" w14:textId="77777777" w:rsidR="003242D6" w:rsidRPr="003C50CE" w:rsidRDefault="003242D6" w:rsidP="003242D6">
      <w:pPr>
        <w:pStyle w:val="SingleTxtG"/>
      </w:pPr>
      <w:r w:rsidRPr="003C50CE">
        <w:t>60.</w:t>
      </w:r>
      <w:r w:rsidRPr="003C50CE">
        <w:tab/>
        <w:t>The French delegation will present a revised proposal at the next session considering all the comments made.</w:t>
      </w:r>
    </w:p>
    <w:p w14:paraId="02E6EE84" w14:textId="77777777" w:rsidR="003242D6" w:rsidRPr="003C50CE" w:rsidRDefault="003242D6" w:rsidP="003242D6">
      <w:pPr>
        <w:pStyle w:val="H23G"/>
        <w:keepNext w:val="0"/>
        <w:keepLines w:val="0"/>
      </w:pPr>
      <w:r w:rsidRPr="003C50CE">
        <w:tab/>
      </w:r>
      <w:r w:rsidRPr="008D3599">
        <w:t>9.</w:t>
      </w:r>
      <w:r w:rsidRPr="008D3599">
        <w:tab/>
        <w:t>Proposed amendment to Annex 1, Appendix 2, paragraph 6.5 Cool down test, measuring the outside temperature</w:t>
      </w:r>
    </w:p>
    <w:p w14:paraId="7058EDAE" w14:textId="0E95087F" w:rsidR="003242D6" w:rsidRPr="003C50CE" w:rsidRDefault="003242D6" w:rsidP="003242D6">
      <w:pPr>
        <w:pStyle w:val="SingleTxtG"/>
        <w:rPr>
          <w:lang w:val="fr-CH"/>
        </w:rPr>
      </w:pPr>
      <w:proofErr w:type="gramStart"/>
      <w:r w:rsidRPr="003C50CE">
        <w:rPr>
          <w:i/>
          <w:iCs/>
          <w:lang w:val="fr-CH"/>
        </w:rPr>
        <w:t>Document</w:t>
      </w:r>
      <w:r w:rsidR="00FC58C2">
        <w:rPr>
          <w:lang w:val="fr-CH"/>
        </w:rPr>
        <w:t>:</w:t>
      </w:r>
      <w:proofErr w:type="gramEnd"/>
      <w:r w:rsidRPr="003C50CE">
        <w:rPr>
          <w:i/>
          <w:iCs/>
          <w:lang w:val="fr-CH"/>
        </w:rPr>
        <w:tab/>
      </w:r>
      <w:r w:rsidRPr="003C50CE">
        <w:rPr>
          <w:i/>
          <w:iCs/>
          <w:lang w:val="fr-CH"/>
        </w:rPr>
        <w:tab/>
      </w:r>
      <w:r w:rsidRPr="003C50CE">
        <w:rPr>
          <w:lang w:val="fr-CH"/>
        </w:rPr>
        <w:t>ECE/TRANS/WP.11/2019/12 (</w:t>
      </w:r>
      <w:proofErr w:type="spellStart"/>
      <w:r w:rsidRPr="003C50CE">
        <w:rPr>
          <w:lang w:val="fr-CH"/>
        </w:rPr>
        <w:t>Finland</w:t>
      </w:r>
      <w:proofErr w:type="spellEnd"/>
      <w:r w:rsidRPr="003C50CE">
        <w:rPr>
          <w:lang w:val="fr-CH"/>
        </w:rPr>
        <w:t>)</w:t>
      </w:r>
    </w:p>
    <w:p w14:paraId="1EA3211B" w14:textId="39954740" w:rsidR="003242D6" w:rsidRPr="003C50CE" w:rsidRDefault="003242D6" w:rsidP="003242D6">
      <w:pPr>
        <w:pStyle w:val="SingleTxtG"/>
      </w:pPr>
      <w:r w:rsidRPr="003C50CE">
        <w:t>61.</w:t>
      </w:r>
      <w:r w:rsidRPr="003C50CE">
        <w:tab/>
        <w:t xml:space="preserve">After amending the proposal to </w:t>
      </w:r>
      <w:proofErr w:type="gramStart"/>
      <w:r w:rsidRPr="003C50CE">
        <w:t>take into account</w:t>
      </w:r>
      <w:proofErr w:type="gramEnd"/>
      <w:r w:rsidRPr="003C50CE">
        <w:t xml:space="preserve"> some comments and concerns raised, the new proposed text was put to the vote and adopted with 5 votes in favour (Denmark, Finland, Italy, Turkey and United Kingdom) (see </w:t>
      </w:r>
      <w:r w:rsidR="00FC58C2">
        <w:t>A</w:t>
      </w:r>
      <w:r w:rsidRPr="003C50CE">
        <w:t>nnex</w:t>
      </w:r>
      <w:r w:rsidR="00F94BC3">
        <w:t xml:space="preserve"> II</w:t>
      </w:r>
      <w:r w:rsidR="00F94BC3" w:rsidRPr="003C50CE">
        <w:t>)</w:t>
      </w:r>
      <w:r w:rsidR="00FC58C2">
        <w:t>.</w:t>
      </w:r>
    </w:p>
    <w:p w14:paraId="7339BAC8" w14:textId="77777777" w:rsidR="003242D6" w:rsidRPr="003C50CE" w:rsidRDefault="003242D6" w:rsidP="003242D6">
      <w:pPr>
        <w:pStyle w:val="H23G"/>
        <w:keepNext w:val="0"/>
        <w:keepLines w:val="0"/>
      </w:pPr>
      <w:r w:rsidRPr="003C50CE">
        <w:tab/>
      </w:r>
      <w:r w:rsidRPr="008D3599">
        <w:t>10.</w:t>
      </w:r>
      <w:r w:rsidRPr="008D3599">
        <w:tab/>
        <w:t>Amendment to Annex 1, Appendix 2, paragraph 3.2.6 and 4.3.4 (ii), Annex 1, Appendix 3 and the ATP Handbook</w:t>
      </w:r>
    </w:p>
    <w:p w14:paraId="08BF90C8" w14:textId="05E2A75F" w:rsidR="003242D6" w:rsidRPr="003C50CE" w:rsidRDefault="003242D6" w:rsidP="003242D6">
      <w:pPr>
        <w:pStyle w:val="SingleTxtG"/>
        <w:spacing w:after="0"/>
        <w:rPr>
          <w:lang w:val="fr-CH"/>
        </w:rPr>
      </w:pPr>
      <w:proofErr w:type="gramStart"/>
      <w:r w:rsidRPr="003C50CE">
        <w:rPr>
          <w:i/>
          <w:iCs/>
          <w:lang w:val="fr-CH"/>
        </w:rPr>
        <w:t>Documents</w:t>
      </w:r>
      <w:r w:rsidR="00FC58C2" w:rsidRPr="00FC58C2">
        <w:rPr>
          <w:lang w:val="fr-CH"/>
        </w:rPr>
        <w:t>:</w:t>
      </w:r>
      <w:proofErr w:type="gramEnd"/>
      <w:r w:rsidRPr="003C50CE">
        <w:rPr>
          <w:i/>
          <w:iCs/>
          <w:lang w:val="fr-CH"/>
        </w:rPr>
        <w:tab/>
      </w:r>
      <w:r w:rsidRPr="003C50CE">
        <w:rPr>
          <w:i/>
          <w:iCs/>
          <w:lang w:val="fr-CH"/>
        </w:rPr>
        <w:tab/>
      </w:r>
      <w:r w:rsidRPr="003C50CE">
        <w:rPr>
          <w:lang w:val="fr-CH"/>
        </w:rPr>
        <w:t>ECE/TRANS/WP.11/2019/10 (France)</w:t>
      </w:r>
    </w:p>
    <w:p w14:paraId="38220187" w14:textId="77777777" w:rsidR="003242D6" w:rsidRPr="003C50CE" w:rsidRDefault="003242D6" w:rsidP="003242D6">
      <w:pPr>
        <w:pStyle w:val="SingleTxtG"/>
      </w:pPr>
      <w:r w:rsidRPr="003C50CE">
        <w:rPr>
          <w:lang w:val="fr-CH"/>
        </w:rPr>
        <w:tab/>
      </w:r>
      <w:r w:rsidRPr="003C50CE">
        <w:rPr>
          <w:lang w:val="fr-CH"/>
        </w:rPr>
        <w:tab/>
      </w:r>
      <w:r w:rsidRPr="003C50CE">
        <w:rPr>
          <w:lang w:val="fr-CH"/>
        </w:rPr>
        <w:tab/>
      </w:r>
      <w:r w:rsidRPr="003C50CE">
        <w:rPr>
          <w:lang w:val="fr-CH"/>
        </w:rPr>
        <w:tab/>
      </w:r>
      <w:r w:rsidRPr="003C50CE">
        <w:t>ECE/TRANS/WP.11/2019/17 (United Kingdom)</w:t>
      </w:r>
    </w:p>
    <w:p w14:paraId="0BA16CB7" w14:textId="00803E2C" w:rsidR="003242D6" w:rsidRPr="003C50CE" w:rsidRDefault="003242D6" w:rsidP="003242D6">
      <w:pPr>
        <w:pStyle w:val="SingleTxtG"/>
      </w:pPr>
      <w:r w:rsidRPr="003C50CE">
        <w:t>62.</w:t>
      </w:r>
      <w:r w:rsidRPr="003C50CE">
        <w:tab/>
        <w:t xml:space="preserve">It was pointed out that the proposal from the United Kingdom was aimed at completing the amendment included on the ATP that entered into force on </w:t>
      </w:r>
      <w:r w:rsidR="00452654">
        <w:t>19</w:t>
      </w:r>
      <w:r w:rsidR="00452654" w:rsidRPr="003C50CE">
        <w:t xml:space="preserve"> </w:t>
      </w:r>
      <w:r w:rsidR="00452654">
        <w:t xml:space="preserve">December </w:t>
      </w:r>
      <w:r w:rsidR="00452654" w:rsidRPr="003C50CE">
        <w:t>201</w:t>
      </w:r>
      <w:r w:rsidR="00452654">
        <w:t>6</w:t>
      </w:r>
      <w:r w:rsidR="00452654" w:rsidRPr="003C50CE">
        <w:t xml:space="preserve"> </w:t>
      </w:r>
      <w:r w:rsidRPr="003C50CE">
        <w:t xml:space="preserve">while the proposal from France was intended to revert to the status before </w:t>
      </w:r>
      <w:r w:rsidR="00452654">
        <w:t>19</w:t>
      </w:r>
      <w:r w:rsidR="00452654" w:rsidRPr="003C50CE">
        <w:t xml:space="preserve"> </w:t>
      </w:r>
      <w:r w:rsidR="00452654">
        <w:t xml:space="preserve">December </w:t>
      </w:r>
      <w:r w:rsidR="00452654" w:rsidRPr="003C50CE">
        <w:t>201</w:t>
      </w:r>
      <w:r w:rsidR="00452654">
        <w:t>6</w:t>
      </w:r>
      <w:r w:rsidRPr="003C50CE">
        <w:t>, where the information regarding airflow was specified by the manufacturer.</w:t>
      </w:r>
    </w:p>
    <w:p w14:paraId="4AD465B2" w14:textId="77777777" w:rsidR="003242D6" w:rsidRPr="003C50CE" w:rsidRDefault="003242D6" w:rsidP="003242D6">
      <w:pPr>
        <w:pStyle w:val="SingleTxtG"/>
      </w:pPr>
      <w:r w:rsidRPr="003C50CE">
        <w:t>63.</w:t>
      </w:r>
      <w:r w:rsidRPr="003C50CE">
        <w:tab/>
        <w:t>Some representatives were not in favour of including provisions in the ATP regarding airflow circulation in the body of the equipment as it was understood that the main objective was to keep the necessary temperature around the perishable goods and regulating the rate of air circulation was not the only way to achieve the desired temperature.</w:t>
      </w:r>
    </w:p>
    <w:p w14:paraId="514E46DD" w14:textId="6064E256" w:rsidR="003242D6" w:rsidRPr="003C50CE" w:rsidRDefault="003242D6" w:rsidP="003242D6">
      <w:pPr>
        <w:pStyle w:val="SingleTxtG"/>
      </w:pPr>
      <w:r w:rsidRPr="003C50CE">
        <w:t>64.</w:t>
      </w:r>
      <w:r w:rsidRPr="003C50CE">
        <w:tab/>
        <w:t xml:space="preserve">Some others raised concerns as to how the proposed amendment would handle cases such as when the body of the equipment </w:t>
      </w:r>
      <w:r w:rsidR="00647184">
        <w:t>was</w:t>
      </w:r>
      <w:r w:rsidRPr="003C50CE">
        <w:t xml:space="preserve"> either very large or too small; new equipment containing intelligent systems able to handle variable airflows to optimize energy consumption and units that contain</w:t>
      </w:r>
      <w:r w:rsidR="00647184">
        <w:t>ed</w:t>
      </w:r>
      <w:r w:rsidRPr="003C50CE">
        <w:t xml:space="preserve"> more than one evaporator.</w:t>
      </w:r>
    </w:p>
    <w:p w14:paraId="43016706" w14:textId="55AD0808" w:rsidR="003242D6" w:rsidRPr="003C50CE" w:rsidRDefault="003242D6" w:rsidP="003242D6">
      <w:pPr>
        <w:pStyle w:val="SingleTxtG"/>
      </w:pPr>
      <w:r w:rsidRPr="003C50CE">
        <w:t>65.</w:t>
      </w:r>
      <w:r w:rsidRPr="003C50CE">
        <w:tab/>
        <w:t>At the end, the Working Party decided to pursue the approach proposed by the United Kingdom of trying to include provisions in ATP to regulate airflow rates in the body of the equipment</w:t>
      </w:r>
      <w:r w:rsidR="00452654">
        <w:t xml:space="preserve"> before discussing further the proposal by France</w:t>
      </w:r>
      <w:r w:rsidRPr="003C50CE">
        <w:t>. To that end, it requested delegations that voted against the proposal (Czech Republic, Finland and Germany) to provide feedback to the United Kingdom’s delegation. A revised proposal will be submitted for consideration at the next session.</w:t>
      </w:r>
    </w:p>
    <w:p w14:paraId="27DA29BF" w14:textId="77777777" w:rsidR="003242D6" w:rsidRPr="003C50CE" w:rsidRDefault="003242D6" w:rsidP="003242D6">
      <w:pPr>
        <w:pStyle w:val="H23G"/>
      </w:pPr>
      <w:r w:rsidRPr="003C50CE">
        <w:tab/>
      </w:r>
      <w:r w:rsidRPr="008D3599">
        <w:t>11.</w:t>
      </w:r>
      <w:r w:rsidRPr="008D3599">
        <w:tab/>
        <w:t xml:space="preserve">Amendment to the models of reports that define the specifications of equipment and tanks for the carriage of liquid foodstuffs resulting from the need to </w:t>
      </w:r>
      <w:proofErr w:type="gramStart"/>
      <w:r w:rsidRPr="008D3599">
        <w:t>take into account</w:t>
      </w:r>
      <w:proofErr w:type="gramEnd"/>
      <w:r w:rsidRPr="008D3599">
        <w:t xml:space="preserve"> the technological developments brought about by the use of new insulating foams</w:t>
      </w:r>
    </w:p>
    <w:p w14:paraId="778052AF" w14:textId="2473B48F" w:rsidR="003242D6" w:rsidRPr="003C50CE" w:rsidRDefault="003242D6" w:rsidP="003242D6">
      <w:pPr>
        <w:pStyle w:val="SingleTxtG"/>
        <w:rPr>
          <w:lang w:val="fr-CH"/>
        </w:rPr>
      </w:pPr>
      <w:proofErr w:type="gramStart"/>
      <w:r w:rsidRPr="003C50CE">
        <w:rPr>
          <w:i/>
          <w:iCs/>
          <w:lang w:val="fr-CH"/>
        </w:rPr>
        <w:t>Document</w:t>
      </w:r>
      <w:r w:rsidR="00FC58C2" w:rsidRPr="00FC58C2">
        <w:rPr>
          <w:lang w:val="fr-CH"/>
        </w:rPr>
        <w:t>:</w:t>
      </w:r>
      <w:proofErr w:type="gramEnd"/>
      <w:r w:rsidRPr="003C50CE">
        <w:rPr>
          <w:i/>
          <w:iCs/>
          <w:lang w:val="fr-CH"/>
        </w:rPr>
        <w:tab/>
      </w:r>
      <w:r w:rsidRPr="003C50CE">
        <w:rPr>
          <w:i/>
          <w:iCs/>
          <w:lang w:val="fr-CH"/>
        </w:rPr>
        <w:tab/>
      </w:r>
      <w:r w:rsidRPr="003C50CE">
        <w:rPr>
          <w:lang w:val="fr-CH"/>
        </w:rPr>
        <w:t>ECE/TRANS/WP.11/2019/7 (France)</w:t>
      </w:r>
    </w:p>
    <w:p w14:paraId="10F0FCA9" w14:textId="77777777" w:rsidR="003242D6" w:rsidRPr="003C50CE" w:rsidRDefault="003242D6" w:rsidP="003242D6">
      <w:pPr>
        <w:pStyle w:val="SingleTxtG"/>
      </w:pPr>
      <w:r w:rsidRPr="003C50CE">
        <w:t>66.</w:t>
      </w:r>
      <w:r w:rsidRPr="003C50CE">
        <w:tab/>
        <w:t xml:space="preserve">Some delegations </w:t>
      </w:r>
      <w:proofErr w:type="gramStart"/>
      <w:r w:rsidRPr="003C50CE">
        <w:t>were of the opinion that</w:t>
      </w:r>
      <w:proofErr w:type="gramEnd"/>
      <w:r w:rsidRPr="003C50CE">
        <w:t xml:space="preserve"> the requested information in the proposed amendment could be considered confidential by some manufactures, mostly in cases where the equipment was transferred to another country. It was clarified that the requested information should be provided to testing stations to conduct tests and that testing stations are under confidentiality agreements.</w:t>
      </w:r>
    </w:p>
    <w:p w14:paraId="5B835A22" w14:textId="238F3EAB" w:rsidR="00D7240A" w:rsidRPr="003C50CE" w:rsidRDefault="00D7240A" w:rsidP="003242D6">
      <w:pPr>
        <w:pStyle w:val="SingleTxtG"/>
      </w:pPr>
      <w:r w:rsidRPr="008D3599">
        <w:t>67.</w:t>
      </w:r>
      <w:r w:rsidRPr="008D3599">
        <w:tab/>
        <w:t>After some concerns were raised regarding the difficulties of obtaining what was considered very detailed information, the proposal was modified and submitted to the vote. It was rejected with three votes in favour (Denmark, France and Morocco) and two votes against (Germany and Russian Federation).</w:t>
      </w:r>
    </w:p>
    <w:p w14:paraId="5B322381" w14:textId="77777777" w:rsidR="003242D6" w:rsidRPr="003C50CE" w:rsidRDefault="003242D6" w:rsidP="003242D6">
      <w:pPr>
        <w:pStyle w:val="SingleTxtG"/>
      </w:pPr>
      <w:r w:rsidRPr="003C50CE">
        <w:t>68.</w:t>
      </w:r>
      <w:r w:rsidRPr="003C50CE">
        <w:tab/>
        <w:t xml:space="preserve">The French delegation will present a revised proposal at the next session </w:t>
      </w:r>
      <w:proofErr w:type="gramStart"/>
      <w:r w:rsidRPr="003C50CE">
        <w:t>taking into account</w:t>
      </w:r>
      <w:proofErr w:type="gramEnd"/>
      <w:r w:rsidRPr="003C50CE">
        <w:t xml:space="preserve"> these comments and expanding the scope of the proposal to insulating materials rather than just foams.</w:t>
      </w:r>
    </w:p>
    <w:p w14:paraId="2D89033A" w14:textId="77777777" w:rsidR="003242D6" w:rsidRPr="003C50CE" w:rsidRDefault="003242D6" w:rsidP="003242D6">
      <w:pPr>
        <w:pStyle w:val="H23G"/>
        <w:keepNext w:val="0"/>
        <w:keepLines w:val="0"/>
      </w:pPr>
      <w:r w:rsidRPr="003C50CE">
        <w:tab/>
      </w:r>
      <w:r w:rsidRPr="008D3599">
        <w:t>12.</w:t>
      </w:r>
      <w:r w:rsidRPr="008D3599">
        <w:tab/>
        <w:t>Amendment to Annex 2, Appendix 1</w:t>
      </w:r>
    </w:p>
    <w:p w14:paraId="7C4D891B" w14:textId="011D28EE" w:rsidR="003242D6" w:rsidRPr="003C50CE" w:rsidRDefault="003242D6" w:rsidP="003242D6">
      <w:pPr>
        <w:pStyle w:val="SingleTxtG"/>
      </w:pPr>
      <w:r w:rsidRPr="003C50CE">
        <w:rPr>
          <w:i/>
          <w:iCs/>
        </w:rPr>
        <w:t>Document</w:t>
      </w:r>
      <w:r w:rsidR="00FC58C2" w:rsidRPr="00FC58C2">
        <w:t>:</w:t>
      </w:r>
      <w:r w:rsidRPr="003C50CE">
        <w:rPr>
          <w:i/>
          <w:iCs/>
        </w:rPr>
        <w:tab/>
      </w:r>
      <w:r w:rsidRPr="003C50CE">
        <w:rPr>
          <w:i/>
          <w:iCs/>
        </w:rPr>
        <w:tab/>
      </w:r>
      <w:r w:rsidRPr="003C50CE">
        <w:t>ECE/TRANS/WP.11/2019/20 (United Kingdom).</w:t>
      </w:r>
    </w:p>
    <w:p w14:paraId="4591C420" w14:textId="0468862C" w:rsidR="003242D6" w:rsidRPr="003C50CE" w:rsidRDefault="003242D6" w:rsidP="003242D6">
      <w:pPr>
        <w:pStyle w:val="SingleTxtG"/>
      </w:pPr>
      <w:r w:rsidRPr="003C50CE">
        <w:t>69.</w:t>
      </w:r>
      <w:r w:rsidRPr="003C50CE">
        <w:tab/>
        <w:t xml:space="preserve">The Working Party adopted Proposal 3 with the addition of a transitional measure to allow the use of temperature recorders currently in service that </w:t>
      </w:r>
      <w:proofErr w:type="gramStart"/>
      <w:r w:rsidRPr="003C50CE">
        <w:t>were in compliance with</w:t>
      </w:r>
      <w:proofErr w:type="gramEnd"/>
      <w:r w:rsidRPr="003C50CE">
        <w:t xml:space="preserve"> EN 12830:1999 (see </w:t>
      </w:r>
      <w:r w:rsidR="00BB67E5">
        <w:t>A</w:t>
      </w:r>
      <w:r w:rsidRPr="003C50CE">
        <w:t>nnex</w:t>
      </w:r>
      <w:r w:rsidR="00F94BC3">
        <w:t xml:space="preserve"> II</w:t>
      </w:r>
      <w:r w:rsidR="00F94BC3" w:rsidRPr="003C50CE">
        <w:t>)</w:t>
      </w:r>
      <w:r w:rsidR="00F573BA">
        <w:t>.</w:t>
      </w:r>
    </w:p>
    <w:p w14:paraId="041DC816" w14:textId="77777777" w:rsidR="003242D6" w:rsidRPr="003C50CE" w:rsidRDefault="003242D6" w:rsidP="003242D6">
      <w:pPr>
        <w:pStyle w:val="SingleTxtG"/>
      </w:pPr>
      <w:r w:rsidRPr="003C50CE">
        <w:t>70.</w:t>
      </w:r>
      <w:r w:rsidRPr="003C50CE">
        <w:tab/>
        <w:t>It was stressed that the Working Party should expedite the creation of the informal working group on standardization, as it was agreed at the seventy-fourth session, in order to deal with these topics in a more efficient way.</w:t>
      </w:r>
    </w:p>
    <w:p w14:paraId="059199E9" w14:textId="77777777" w:rsidR="003242D6" w:rsidRPr="003C50CE" w:rsidRDefault="003242D6" w:rsidP="003242D6">
      <w:pPr>
        <w:pStyle w:val="H23G"/>
        <w:keepNext w:val="0"/>
        <w:keepLines w:val="0"/>
      </w:pPr>
      <w:r w:rsidRPr="003C50CE">
        <w:tab/>
      </w:r>
      <w:r w:rsidRPr="008D3599">
        <w:t>13.</w:t>
      </w:r>
      <w:r w:rsidRPr="008D3599">
        <w:tab/>
        <w:t>Amendment to Annex 1, Appendix 2</w:t>
      </w:r>
    </w:p>
    <w:p w14:paraId="3DCA2FAD" w14:textId="68AF31D7" w:rsidR="003242D6" w:rsidRPr="003C50CE" w:rsidRDefault="003242D6" w:rsidP="003242D6">
      <w:pPr>
        <w:pStyle w:val="SingleTxtG"/>
      </w:pPr>
      <w:r w:rsidRPr="003C50CE">
        <w:rPr>
          <w:i/>
          <w:iCs/>
        </w:rPr>
        <w:t>Document</w:t>
      </w:r>
      <w:r w:rsidR="00FC58C2" w:rsidRPr="00FC58C2">
        <w:t>:</w:t>
      </w:r>
      <w:r w:rsidRPr="003C50CE">
        <w:rPr>
          <w:i/>
          <w:iCs/>
        </w:rPr>
        <w:tab/>
      </w:r>
      <w:r w:rsidRPr="003C50CE">
        <w:rPr>
          <w:i/>
          <w:iCs/>
        </w:rPr>
        <w:tab/>
      </w:r>
      <w:r w:rsidRPr="003C50CE">
        <w:t>ECE/TRANS/WP.11/2019/21 (United Kingdom)</w:t>
      </w:r>
    </w:p>
    <w:p w14:paraId="1093C3E3" w14:textId="72B13E15" w:rsidR="003242D6" w:rsidRPr="003C50CE" w:rsidRDefault="003242D6" w:rsidP="003242D6">
      <w:pPr>
        <w:pStyle w:val="SingleTxtG"/>
      </w:pPr>
      <w:r w:rsidRPr="003C50CE">
        <w:t>71.</w:t>
      </w:r>
      <w:r w:rsidRPr="003C50CE">
        <w:tab/>
        <w:t xml:space="preserve">The proposal was adopted as a correction (see </w:t>
      </w:r>
      <w:r w:rsidR="00BB67E5">
        <w:t>A</w:t>
      </w:r>
      <w:r w:rsidRPr="003C50CE">
        <w:t>nnex</w:t>
      </w:r>
      <w:r w:rsidR="00F94BC3">
        <w:t xml:space="preserve"> III</w:t>
      </w:r>
      <w:r w:rsidR="00F94BC3" w:rsidRPr="003C50CE">
        <w:t>)</w:t>
      </w:r>
    </w:p>
    <w:p w14:paraId="0FCE8C3F" w14:textId="77777777" w:rsidR="003242D6" w:rsidRPr="003C50CE" w:rsidRDefault="003242D6" w:rsidP="003242D6">
      <w:pPr>
        <w:pStyle w:val="H23G"/>
      </w:pPr>
      <w:r w:rsidRPr="003C50CE">
        <w:tab/>
      </w:r>
      <w:r w:rsidRPr="008D3599">
        <w:t>14.</w:t>
      </w:r>
      <w:r w:rsidRPr="008D3599">
        <w:tab/>
        <w:t>Proposal to amend Annex 1, Appendix 1, Section 3: Certificates of compliance for equipment that is not fitted with a thermal appliance until it has been transferred to another country</w:t>
      </w:r>
    </w:p>
    <w:p w14:paraId="01E709E2" w14:textId="466B7212" w:rsidR="003242D6" w:rsidRPr="003C50CE" w:rsidRDefault="003242D6" w:rsidP="003242D6">
      <w:pPr>
        <w:pStyle w:val="SingleTxtG"/>
      </w:pPr>
      <w:r w:rsidRPr="003C50CE">
        <w:rPr>
          <w:i/>
          <w:iCs/>
        </w:rPr>
        <w:t>Document</w:t>
      </w:r>
      <w:r w:rsidR="00FC58C2" w:rsidRPr="00FC58C2">
        <w:t>:</w:t>
      </w:r>
      <w:r w:rsidRPr="003C50CE">
        <w:rPr>
          <w:i/>
          <w:iCs/>
        </w:rPr>
        <w:tab/>
      </w:r>
      <w:r w:rsidRPr="003C50CE">
        <w:rPr>
          <w:i/>
          <w:iCs/>
        </w:rPr>
        <w:tab/>
      </w:r>
      <w:r w:rsidRPr="003C50CE">
        <w:t>ECE/TRANS/WP.11/2019/5 (Germany)</w:t>
      </w:r>
    </w:p>
    <w:p w14:paraId="1772D109" w14:textId="45E1B119" w:rsidR="003242D6" w:rsidRPr="003C50CE" w:rsidRDefault="003242D6" w:rsidP="003242D6">
      <w:pPr>
        <w:pStyle w:val="SingleTxtG"/>
      </w:pPr>
      <w:r w:rsidRPr="003C50CE">
        <w:t>72.</w:t>
      </w:r>
      <w:r w:rsidRPr="003C50CE">
        <w:tab/>
        <w:t xml:space="preserve">While some delegations supported the proposal in principle, as they considered that the application of ATP provisions were not harmonized in all contracting parties and the clarification proposed could avoid unnecessary testing when equipment was transferred to another country, others were of the opinion that </w:t>
      </w:r>
      <w:r w:rsidR="00D93FA0" w:rsidRPr="003C50CE">
        <w:t>existing</w:t>
      </w:r>
      <w:r w:rsidRPr="003C50CE">
        <w:t xml:space="preserve"> ATP provisions were clear and failed to see the need for amending them.</w:t>
      </w:r>
    </w:p>
    <w:p w14:paraId="2ACA0703" w14:textId="77777777" w:rsidR="003242D6" w:rsidRPr="003C50CE" w:rsidRDefault="003242D6" w:rsidP="003242D6">
      <w:pPr>
        <w:pStyle w:val="SingleTxtG"/>
      </w:pPr>
      <w:r w:rsidRPr="003C50CE">
        <w:t>73.</w:t>
      </w:r>
      <w:r w:rsidRPr="003C50CE">
        <w:tab/>
        <w:t>The proposal was submitted to a vote and it was rejected with 3 votes in favour (Finland, Germany and Luxembourg) and 5 votes against (Denmark, France, Italy, Morocco and Russian Federation).</w:t>
      </w:r>
    </w:p>
    <w:p w14:paraId="602B6BB6" w14:textId="237BC62C" w:rsidR="003242D6" w:rsidRPr="003C50CE" w:rsidRDefault="003242D6" w:rsidP="003242D6">
      <w:pPr>
        <w:pStyle w:val="SingleTxtG"/>
      </w:pPr>
      <w:r w:rsidRPr="003C50CE">
        <w:t>74.</w:t>
      </w:r>
      <w:r w:rsidRPr="003C50CE">
        <w:tab/>
        <w:t xml:space="preserve">The German delegation was invited to submit a revised proposal, </w:t>
      </w:r>
      <w:proofErr w:type="gramStart"/>
      <w:r w:rsidRPr="003C50CE">
        <w:t>taking into account</w:t>
      </w:r>
      <w:proofErr w:type="gramEnd"/>
      <w:r w:rsidRPr="003C50CE">
        <w:t xml:space="preserve"> the comments made, for consideration at the next session.</w:t>
      </w:r>
    </w:p>
    <w:p w14:paraId="53DCA563" w14:textId="77777777" w:rsidR="00D7240A" w:rsidRPr="003C50CE" w:rsidRDefault="00D7240A" w:rsidP="00D7240A">
      <w:pPr>
        <w:pStyle w:val="H23G"/>
        <w:keepNext w:val="0"/>
        <w:keepLines w:val="0"/>
      </w:pPr>
      <w:r w:rsidRPr="003C50CE">
        <w:tab/>
      </w:r>
      <w:r w:rsidRPr="008D3599">
        <w:t>15.</w:t>
      </w:r>
      <w:r w:rsidRPr="008D3599">
        <w:tab/>
        <w:t>Proposal to amend ATP by introducing special provisions applicable to packages and vehicles and containers containing substances presenting a risk of asphyxiation when used for cooling or conditioning purposes (such as dry ice (UN No. 1845) or refrigerated liquid nitrogen (UN No. 1977) or refrigerated liquid argon (UN No. 1951))</w:t>
      </w:r>
    </w:p>
    <w:p w14:paraId="52C1B4CF" w14:textId="11E4F804" w:rsidR="00D7240A" w:rsidRPr="003C50CE" w:rsidRDefault="00D7240A" w:rsidP="00D7240A">
      <w:pPr>
        <w:pStyle w:val="SingleTxtG"/>
        <w:rPr>
          <w:lang w:val="fr-CH"/>
        </w:rPr>
      </w:pPr>
      <w:proofErr w:type="gramStart"/>
      <w:r w:rsidRPr="003C50CE">
        <w:rPr>
          <w:i/>
          <w:iCs/>
          <w:lang w:val="fr-CH"/>
        </w:rPr>
        <w:t>Document</w:t>
      </w:r>
      <w:r w:rsidR="00FC58C2" w:rsidRPr="00FC58C2">
        <w:rPr>
          <w:lang w:val="fr-CH"/>
        </w:rPr>
        <w:t>:</w:t>
      </w:r>
      <w:proofErr w:type="gramEnd"/>
      <w:r w:rsidRPr="003C50CE">
        <w:rPr>
          <w:i/>
          <w:iCs/>
          <w:lang w:val="fr-CH"/>
        </w:rPr>
        <w:tab/>
      </w:r>
      <w:r w:rsidRPr="003C50CE">
        <w:rPr>
          <w:i/>
          <w:iCs/>
          <w:lang w:val="fr-CH"/>
        </w:rPr>
        <w:tab/>
      </w:r>
      <w:r w:rsidRPr="003C50CE">
        <w:rPr>
          <w:lang w:val="fr-CH"/>
        </w:rPr>
        <w:t>ECE/TRANS/WP.11/2019/13 (</w:t>
      </w:r>
      <w:proofErr w:type="spellStart"/>
      <w:r w:rsidRPr="003C50CE">
        <w:rPr>
          <w:lang w:val="fr-CH"/>
        </w:rPr>
        <w:t>Switzerland</w:t>
      </w:r>
      <w:proofErr w:type="spellEnd"/>
      <w:r w:rsidRPr="003C50CE">
        <w:rPr>
          <w:lang w:val="fr-CH"/>
        </w:rPr>
        <w:t>)</w:t>
      </w:r>
    </w:p>
    <w:p w14:paraId="6C424DFA" w14:textId="2A8BE199" w:rsidR="00D7240A" w:rsidRDefault="00D7240A" w:rsidP="00D7240A">
      <w:pPr>
        <w:pStyle w:val="SingleTxtG"/>
      </w:pPr>
      <w:r w:rsidRPr="003C50CE">
        <w:t>75.</w:t>
      </w:r>
      <w:r w:rsidRPr="003C50CE">
        <w:tab/>
      </w:r>
      <w:r w:rsidR="00452654">
        <w:t>It was agreed to include</w:t>
      </w:r>
      <w:r w:rsidRPr="003C50CE">
        <w:t xml:space="preserve"> a crossed reference to the relevant texts in other treaties as a comment to Article 4 of the ATP in the ATP Handbook. The modified proposal </w:t>
      </w:r>
      <w:r>
        <w:t xml:space="preserve">was adopted (see </w:t>
      </w:r>
      <w:r w:rsidR="00FC58C2">
        <w:t>A</w:t>
      </w:r>
      <w:r>
        <w:t>nnex</w:t>
      </w:r>
      <w:r w:rsidR="00FB76D5">
        <w:t xml:space="preserve"> IV)</w:t>
      </w:r>
      <w:r w:rsidR="00FC58C2">
        <w:t>.</w:t>
      </w:r>
    </w:p>
    <w:p w14:paraId="46B6556C" w14:textId="77777777" w:rsidR="00D7240A" w:rsidRDefault="00D7240A" w:rsidP="00D7240A">
      <w:pPr>
        <w:pStyle w:val="H23G"/>
        <w:keepNext w:val="0"/>
        <w:keepLines w:val="0"/>
      </w:pPr>
      <w:r>
        <w:tab/>
      </w:r>
      <w:r w:rsidRPr="008D3599">
        <w:t>16.</w:t>
      </w:r>
      <w:r w:rsidRPr="008D3599">
        <w:tab/>
        <w:t>Temporary ATP certificates for prototype equipment</w:t>
      </w:r>
    </w:p>
    <w:p w14:paraId="5BF7F5C3" w14:textId="048C978C" w:rsidR="00D7240A" w:rsidRPr="002F0652" w:rsidRDefault="00D7240A" w:rsidP="00D7240A">
      <w:pPr>
        <w:pStyle w:val="SingleTxtG"/>
        <w:rPr>
          <w:lang w:val="fr-CH"/>
        </w:rPr>
      </w:pPr>
      <w:proofErr w:type="gramStart"/>
      <w:r w:rsidRPr="002F0652">
        <w:rPr>
          <w:i/>
          <w:iCs/>
          <w:lang w:val="fr-CH"/>
        </w:rPr>
        <w:t>Document</w:t>
      </w:r>
      <w:r w:rsidR="00FC58C2">
        <w:rPr>
          <w:lang w:val="fr-CH"/>
        </w:rPr>
        <w:t>:</w:t>
      </w:r>
      <w:proofErr w:type="gramEnd"/>
      <w:r w:rsidRPr="002F0652">
        <w:rPr>
          <w:i/>
          <w:iCs/>
          <w:lang w:val="fr-CH"/>
        </w:rPr>
        <w:tab/>
      </w:r>
      <w:r w:rsidRPr="002F0652">
        <w:rPr>
          <w:i/>
          <w:iCs/>
          <w:lang w:val="fr-CH"/>
        </w:rPr>
        <w:tab/>
      </w:r>
      <w:r w:rsidRPr="002F0652">
        <w:rPr>
          <w:lang w:val="fr-CH"/>
        </w:rPr>
        <w:t>ECE/TRANS/WP.11/2019/</w:t>
      </w:r>
      <w:r>
        <w:rPr>
          <w:lang w:val="fr-CH"/>
        </w:rPr>
        <w:t>2</w:t>
      </w:r>
      <w:r w:rsidRPr="002F0652">
        <w:rPr>
          <w:lang w:val="fr-CH"/>
        </w:rPr>
        <w:t>3 (</w:t>
      </w:r>
      <w:proofErr w:type="spellStart"/>
      <w:r w:rsidRPr="00A345E5">
        <w:rPr>
          <w:lang w:val="fr-CH"/>
        </w:rPr>
        <w:t>Transfrigoroute</w:t>
      </w:r>
      <w:proofErr w:type="spellEnd"/>
      <w:r w:rsidRPr="00A345E5">
        <w:rPr>
          <w:lang w:val="fr-CH"/>
        </w:rPr>
        <w:t xml:space="preserve"> International</w:t>
      </w:r>
      <w:r w:rsidRPr="002F0652">
        <w:rPr>
          <w:lang w:val="fr-CH"/>
        </w:rPr>
        <w:t>)</w:t>
      </w:r>
    </w:p>
    <w:p w14:paraId="529C1866" w14:textId="77777777" w:rsidR="00D7240A" w:rsidRDefault="00D7240A" w:rsidP="00D7240A">
      <w:pPr>
        <w:spacing w:after="120"/>
        <w:ind w:left="1134" w:right="1134"/>
        <w:jc w:val="both"/>
      </w:pPr>
      <w:r>
        <w:t>76</w:t>
      </w:r>
      <w:r w:rsidRPr="00240AC0">
        <w:t>.</w:t>
      </w:r>
      <w:r w:rsidRPr="00240AC0">
        <w:tab/>
        <w:t xml:space="preserve">It was clarified that the scope of the document was to test new technologies on prototypes and that these tests should be performed on the road for different climatic conditions. </w:t>
      </w:r>
    </w:p>
    <w:p w14:paraId="4960E3BC" w14:textId="77777777" w:rsidR="00D7240A" w:rsidRDefault="00D7240A" w:rsidP="00D7240A">
      <w:pPr>
        <w:spacing w:after="120"/>
        <w:ind w:left="1134" w:right="1134"/>
        <w:jc w:val="both"/>
      </w:pPr>
      <w:r>
        <w:t>77.</w:t>
      </w:r>
      <w:r>
        <w:tab/>
        <w:t xml:space="preserve">Some concerns were raised regarding the responsibility of conducting the testing on the prototypes as well as food safety. The representative from </w:t>
      </w:r>
      <w:proofErr w:type="spellStart"/>
      <w:r w:rsidRPr="00A758AB">
        <w:t>Transfrigoroute</w:t>
      </w:r>
      <w:proofErr w:type="spellEnd"/>
      <w:r w:rsidRPr="00A758AB">
        <w:t xml:space="preserve"> International explained that the manufacturer o</w:t>
      </w:r>
      <w:r>
        <w:t>f the prototype would be responsible for conducting the tests as well as ensuring that perishable goods were transported in a safely manner in accordance with ATP provisions.</w:t>
      </w:r>
    </w:p>
    <w:p w14:paraId="250D859B" w14:textId="04AFB5A1" w:rsidR="00D7240A" w:rsidRPr="00A758AB" w:rsidRDefault="00D7240A" w:rsidP="00D7240A">
      <w:pPr>
        <w:spacing w:after="120"/>
        <w:ind w:left="1134" w:right="1134"/>
        <w:jc w:val="both"/>
      </w:pPr>
      <w:r>
        <w:t>78.</w:t>
      </w:r>
      <w:r>
        <w:tab/>
      </w:r>
      <w:r w:rsidR="00452654">
        <w:t xml:space="preserve">The representative of </w:t>
      </w:r>
      <w:proofErr w:type="spellStart"/>
      <w:r w:rsidR="00452654" w:rsidRPr="00A758AB">
        <w:t>Transfrigoroute</w:t>
      </w:r>
      <w:proofErr w:type="spellEnd"/>
      <w:r w:rsidR="00452654" w:rsidRPr="00A758AB">
        <w:t xml:space="preserve"> International</w:t>
      </w:r>
      <w:r w:rsidR="00452654">
        <w:t xml:space="preserve"> was invited to submit a</w:t>
      </w:r>
      <w:r>
        <w:t xml:space="preserve"> modified proposal</w:t>
      </w:r>
      <w:r w:rsidR="00452654" w:rsidRPr="00452654">
        <w:t xml:space="preserve"> </w:t>
      </w:r>
      <w:r w:rsidR="00452654">
        <w:t>at the next session</w:t>
      </w:r>
      <w:r>
        <w:t xml:space="preserve">, </w:t>
      </w:r>
      <w:proofErr w:type="gramStart"/>
      <w:r w:rsidR="00452654">
        <w:t>taking into account</w:t>
      </w:r>
      <w:proofErr w:type="gramEnd"/>
      <w:r w:rsidR="00452654">
        <w:t xml:space="preserve"> the comments made</w:t>
      </w:r>
      <w:r>
        <w:t>.</w:t>
      </w:r>
    </w:p>
    <w:p w14:paraId="12CB4AC7" w14:textId="77777777" w:rsidR="00D7240A" w:rsidRDefault="00D7240A" w:rsidP="00D7240A">
      <w:pPr>
        <w:pStyle w:val="H23G"/>
      </w:pPr>
      <w:r>
        <w:tab/>
      </w:r>
      <w:r w:rsidRPr="008D3599">
        <w:t>17.</w:t>
      </w:r>
      <w:r w:rsidRPr="008D3599">
        <w:tab/>
        <w:t>Amendment to the model test report that defines the test conditions to be registered for the determination of the air flow volume leaving the evaporator</w:t>
      </w:r>
    </w:p>
    <w:p w14:paraId="1C006200" w14:textId="219CC397" w:rsidR="00D7240A" w:rsidRPr="002F0652" w:rsidRDefault="00D7240A" w:rsidP="00D7240A">
      <w:pPr>
        <w:pStyle w:val="SingleTxtG"/>
        <w:rPr>
          <w:lang w:val="fr-CH"/>
        </w:rPr>
      </w:pPr>
      <w:proofErr w:type="gramStart"/>
      <w:r w:rsidRPr="002F0652">
        <w:rPr>
          <w:i/>
          <w:iCs/>
          <w:lang w:val="fr-CH"/>
        </w:rPr>
        <w:t>Document</w:t>
      </w:r>
      <w:r w:rsidR="00FC58C2">
        <w:rPr>
          <w:lang w:val="fr-CH"/>
        </w:rPr>
        <w:t>:</w:t>
      </w:r>
      <w:proofErr w:type="gramEnd"/>
      <w:r w:rsidRPr="002F0652">
        <w:rPr>
          <w:i/>
          <w:iCs/>
          <w:lang w:val="fr-CH"/>
        </w:rPr>
        <w:tab/>
      </w:r>
      <w:r w:rsidRPr="002F0652">
        <w:rPr>
          <w:i/>
          <w:iCs/>
          <w:lang w:val="fr-CH"/>
        </w:rPr>
        <w:tab/>
      </w:r>
      <w:r w:rsidRPr="002F0652">
        <w:rPr>
          <w:lang w:val="fr-CH"/>
        </w:rPr>
        <w:t>ECE/TRANS/WP.11/2019/</w:t>
      </w:r>
      <w:r>
        <w:rPr>
          <w:lang w:val="fr-CH"/>
        </w:rPr>
        <w:t>9</w:t>
      </w:r>
      <w:r w:rsidRPr="002F0652">
        <w:rPr>
          <w:lang w:val="fr-CH"/>
        </w:rPr>
        <w:t xml:space="preserve"> (</w:t>
      </w:r>
      <w:r>
        <w:rPr>
          <w:lang w:val="fr-CH"/>
        </w:rPr>
        <w:t>France</w:t>
      </w:r>
      <w:r w:rsidRPr="002F0652">
        <w:rPr>
          <w:lang w:val="fr-CH"/>
        </w:rPr>
        <w:t>)</w:t>
      </w:r>
    </w:p>
    <w:p w14:paraId="55BC6C32" w14:textId="7FD3D7FC" w:rsidR="00D7240A" w:rsidRPr="00646D08" w:rsidRDefault="00D7240A" w:rsidP="00D7240A">
      <w:pPr>
        <w:pStyle w:val="SingleTxtG"/>
      </w:pPr>
      <w:r w:rsidRPr="00646D08">
        <w:t>79.</w:t>
      </w:r>
      <w:r w:rsidRPr="00646D08">
        <w:tab/>
        <w:t>Some comments were made r</w:t>
      </w:r>
      <w:r>
        <w:t xml:space="preserve">egarding testing in accordance with ISO 5801 and the fact that the most relevant information was the flow volume at the outlet. The proposal was consequently modified and adopted (see </w:t>
      </w:r>
      <w:r w:rsidR="00BB67E5">
        <w:t>A</w:t>
      </w:r>
      <w:r>
        <w:t>nnex</w:t>
      </w:r>
      <w:r w:rsidR="006C1199">
        <w:t xml:space="preserve"> II).</w:t>
      </w:r>
    </w:p>
    <w:p w14:paraId="388F9DF8" w14:textId="77777777" w:rsidR="00D7240A" w:rsidRDefault="00D7240A" w:rsidP="00D7240A">
      <w:pPr>
        <w:pStyle w:val="H23G"/>
        <w:keepNext w:val="0"/>
        <w:keepLines w:val="0"/>
      </w:pPr>
      <w:r w:rsidRPr="00646D08">
        <w:tab/>
      </w:r>
      <w:r w:rsidRPr="008D3599">
        <w:t>18.</w:t>
      </w:r>
      <w:r w:rsidRPr="008D3599">
        <w:tab/>
        <w:t>The role of measurement uncertainty in conformity assessment decisions in ATP</w:t>
      </w:r>
    </w:p>
    <w:p w14:paraId="78AC0AD5" w14:textId="3A9A0134" w:rsidR="00D7240A" w:rsidRPr="002F0652" w:rsidRDefault="00D7240A" w:rsidP="00D7240A">
      <w:pPr>
        <w:pStyle w:val="SingleTxtG"/>
        <w:rPr>
          <w:lang w:val="fr-CH"/>
        </w:rPr>
      </w:pPr>
      <w:proofErr w:type="gramStart"/>
      <w:r w:rsidRPr="002F0652">
        <w:rPr>
          <w:i/>
          <w:iCs/>
          <w:lang w:val="fr-CH"/>
        </w:rPr>
        <w:t>Document</w:t>
      </w:r>
      <w:r w:rsidR="00FC58C2">
        <w:rPr>
          <w:lang w:val="fr-CH"/>
        </w:rPr>
        <w:t>:</w:t>
      </w:r>
      <w:proofErr w:type="gramEnd"/>
      <w:r w:rsidRPr="002F0652">
        <w:rPr>
          <w:i/>
          <w:iCs/>
          <w:lang w:val="fr-CH"/>
        </w:rPr>
        <w:tab/>
      </w:r>
      <w:r w:rsidRPr="002F0652">
        <w:rPr>
          <w:i/>
          <w:iCs/>
          <w:lang w:val="fr-CH"/>
        </w:rPr>
        <w:tab/>
      </w:r>
      <w:r w:rsidRPr="002F0652">
        <w:rPr>
          <w:lang w:val="fr-CH"/>
        </w:rPr>
        <w:t>ECE/TRANS/WP.11/2019/</w:t>
      </w:r>
      <w:r>
        <w:rPr>
          <w:lang w:val="fr-CH"/>
        </w:rPr>
        <w:t>14</w:t>
      </w:r>
      <w:r w:rsidRPr="002F0652">
        <w:rPr>
          <w:lang w:val="fr-CH"/>
        </w:rPr>
        <w:t xml:space="preserve"> (</w:t>
      </w:r>
      <w:proofErr w:type="spellStart"/>
      <w:r>
        <w:rPr>
          <w:lang w:val="fr-CH"/>
        </w:rPr>
        <w:t>Slovenia</w:t>
      </w:r>
      <w:proofErr w:type="spellEnd"/>
      <w:r w:rsidRPr="002F0652">
        <w:rPr>
          <w:lang w:val="fr-CH"/>
        </w:rPr>
        <w:t>)</w:t>
      </w:r>
    </w:p>
    <w:p w14:paraId="7B28821D" w14:textId="77777777" w:rsidR="00D7240A" w:rsidRDefault="00D7240A" w:rsidP="00D7240A">
      <w:pPr>
        <w:pStyle w:val="SingleTxtG"/>
      </w:pPr>
      <w:r w:rsidRPr="007E7D77">
        <w:t>80.</w:t>
      </w:r>
      <w:r w:rsidRPr="007E7D77">
        <w:tab/>
      </w:r>
      <w:r>
        <w:t>Several concerns were raised regarding the applicability of different methods to calculate uncertainties in testing laboratories with different designs and using different equipment to conduct tests. It was clarified that the aim of the proposal was to provide some guidelines on conformity assessment decisions for accredited laboratories.</w:t>
      </w:r>
    </w:p>
    <w:p w14:paraId="3074C564" w14:textId="35220898" w:rsidR="003242D6" w:rsidRPr="00D7240A" w:rsidRDefault="00D7240A" w:rsidP="00D7240A">
      <w:pPr>
        <w:pStyle w:val="SingleTxtG"/>
      </w:pPr>
      <w:r w:rsidRPr="00D7240A">
        <w:tab/>
        <w:t>81.</w:t>
      </w:r>
      <w:r w:rsidRPr="00D7240A">
        <w:tab/>
        <w:t>The Working Party agreed that in principle these guidelines are necessary and that an intersessional discussion among delegations that had objections to the proposal should take place. A revised proposal should be submitted for consideration at the next session.</w:t>
      </w:r>
    </w:p>
    <w:p w14:paraId="4C55C452" w14:textId="630FBBA8" w:rsidR="00376218" w:rsidRPr="003C50CE" w:rsidRDefault="00376218" w:rsidP="00376218">
      <w:pPr>
        <w:pStyle w:val="H23G"/>
      </w:pPr>
      <w:r w:rsidRPr="003C50CE">
        <w:tab/>
      </w:r>
      <w:r w:rsidR="00386891" w:rsidRPr="008D3599">
        <w:t>19</w:t>
      </w:r>
      <w:r w:rsidRPr="008D3599">
        <w:t>.</w:t>
      </w:r>
      <w:r w:rsidRPr="008D3599">
        <w:tab/>
      </w:r>
      <w:r w:rsidRPr="008D3599">
        <w:tab/>
        <w:t xml:space="preserve">Definition of the range of equipment </w:t>
      </w:r>
      <w:proofErr w:type="gramStart"/>
      <w:r w:rsidRPr="008D3599">
        <w:t>taking into account</w:t>
      </w:r>
      <w:proofErr w:type="gramEnd"/>
      <w:r w:rsidRPr="008D3599">
        <w:t xml:space="preserve"> mixed energy source technologies</w:t>
      </w:r>
    </w:p>
    <w:p w14:paraId="11596EDC" w14:textId="5706F20C" w:rsidR="00376218" w:rsidRPr="003C50CE" w:rsidRDefault="00376218" w:rsidP="00376218">
      <w:pPr>
        <w:pStyle w:val="SingleTxtG"/>
        <w:rPr>
          <w:lang w:val="fr-CH"/>
        </w:rPr>
      </w:pPr>
      <w:proofErr w:type="gramStart"/>
      <w:r w:rsidRPr="003C50CE">
        <w:rPr>
          <w:i/>
          <w:iCs/>
          <w:lang w:val="fr-CH"/>
        </w:rPr>
        <w:t>Document</w:t>
      </w:r>
      <w:r w:rsidR="00FB6DAA">
        <w:rPr>
          <w:lang w:val="fr-CH"/>
        </w:rPr>
        <w:t>:</w:t>
      </w:r>
      <w:proofErr w:type="gramEnd"/>
      <w:r w:rsidRPr="003C50CE">
        <w:rPr>
          <w:i/>
          <w:iCs/>
          <w:lang w:val="fr-CH"/>
        </w:rPr>
        <w:tab/>
      </w:r>
      <w:r w:rsidRPr="003C50CE">
        <w:rPr>
          <w:i/>
          <w:iCs/>
          <w:lang w:val="fr-CH"/>
        </w:rPr>
        <w:tab/>
      </w:r>
      <w:r w:rsidRPr="003C50CE">
        <w:rPr>
          <w:lang w:val="fr-CH"/>
        </w:rPr>
        <w:t>ECE/TRANS/WP.11/2019/</w:t>
      </w:r>
      <w:r w:rsidR="00B078ED">
        <w:rPr>
          <w:lang w:val="fr-CH"/>
        </w:rPr>
        <w:t>8</w:t>
      </w:r>
      <w:r w:rsidR="00B078ED" w:rsidRPr="003C50CE">
        <w:rPr>
          <w:lang w:val="fr-CH"/>
        </w:rPr>
        <w:t xml:space="preserve"> </w:t>
      </w:r>
      <w:r w:rsidRPr="003C50CE">
        <w:rPr>
          <w:lang w:val="fr-CH"/>
        </w:rPr>
        <w:t>(France)</w:t>
      </w:r>
    </w:p>
    <w:p w14:paraId="2EFEA512" w14:textId="194BD6A2" w:rsidR="00376218" w:rsidRPr="003C50CE" w:rsidRDefault="00376218" w:rsidP="00376218">
      <w:pPr>
        <w:pStyle w:val="SingleTxtG"/>
      </w:pPr>
      <w:r w:rsidRPr="003C50CE">
        <w:t>82.</w:t>
      </w:r>
      <w:r w:rsidRPr="003C50CE">
        <w:tab/>
        <w:t>It was recognized that the document addressed a general an</w:t>
      </w:r>
      <w:r w:rsidR="00647184">
        <w:t>d</w:t>
      </w:r>
      <w:r w:rsidRPr="003C50CE">
        <w:t xml:space="preserve"> important topic, how to deal with new technologies in the ATP Agreement. While there was general agreement on the inclusion of definitions for independent and dependent equipment in the ATP, several concerns were raised regarding:</w:t>
      </w:r>
    </w:p>
    <w:p w14:paraId="7A0F7163" w14:textId="77777777" w:rsidR="00376218" w:rsidRPr="003C50CE" w:rsidRDefault="00376218" w:rsidP="00F61B89">
      <w:pPr>
        <w:pStyle w:val="Bullet1G"/>
        <w:numPr>
          <w:ilvl w:val="3"/>
          <w:numId w:val="20"/>
        </w:numPr>
        <w:ind w:left="1985" w:hanging="284"/>
      </w:pPr>
      <w:r w:rsidRPr="003C50CE">
        <w:t>The level of independence to be requested of the equipment to be considered as such, some questions were raised in relation to the specified time and the conditions on which the machine should run;</w:t>
      </w:r>
    </w:p>
    <w:p w14:paraId="3D7DD89A" w14:textId="77777777" w:rsidR="00376218" w:rsidRPr="003C50CE" w:rsidRDefault="00376218" w:rsidP="00F61B89">
      <w:pPr>
        <w:pStyle w:val="Bullet1G"/>
        <w:numPr>
          <w:ilvl w:val="3"/>
          <w:numId w:val="20"/>
        </w:numPr>
        <w:ind w:left="1985" w:hanging="284"/>
      </w:pPr>
      <w:r w:rsidRPr="003C50CE">
        <w:t>The placement of the definitions in the ATP, as the concept of independent/dependent could be applied to several types of equipment.</w:t>
      </w:r>
    </w:p>
    <w:p w14:paraId="1FEB6CAE" w14:textId="77777777" w:rsidR="00376218" w:rsidRPr="003C50CE" w:rsidRDefault="00376218" w:rsidP="00376218">
      <w:pPr>
        <w:pStyle w:val="SingleTxtG"/>
      </w:pPr>
      <w:r w:rsidRPr="003C50CE">
        <w:t>83.</w:t>
      </w:r>
      <w:r w:rsidRPr="003C50CE">
        <w:tab/>
        <w:t>The French delegation was invited to present a revised proposal at the next session addressing the concerns raised and providing justifications for the decisions taken.</w:t>
      </w:r>
    </w:p>
    <w:p w14:paraId="25B515CC" w14:textId="07E92B10" w:rsidR="00376218" w:rsidRPr="003C50CE" w:rsidRDefault="00376218" w:rsidP="00376218">
      <w:pPr>
        <w:pStyle w:val="H23G"/>
        <w:keepNext w:val="0"/>
        <w:keepLines w:val="0"/>
      </w:pPr>
      <w:r w:rsidRPr="003C50CE">
        <w:tab/>
      </w:r>
      <w:r w:rsidR="00386891">
        <w:t>20</w:t>
      </w:r>
      <w:r w:rsidRPr="003C50CE">
        <w:t>.</w:t>
      </w:r>
      <w:r w:rsidRPr="003C50CE">
        <w:tab/>
        <w:t xml:space="preserve">Amendment to the model test report that defines the specifications of refrigeration units and their effective refrigerating capacities arising from the need to </w:t>
      </w:r>
      <w:proofErr w:type="gramStart"/>
      <w:r w:rsidRPr="003C50CE">
        <w:t>take into account</w:t>
      </w:r>
      <w:proofErr w:type="gramEnd"/>
      <w:r w:rsidRPr="003C50CE">
        <w:t xml:space="preserve"> technological developments brought about by the use of new means of control</w:t>
      </w:r>
    </w:p>
    <w:p w14:paraId="2F11EAA2" w14:textId="22450261" w:rsidR="00376218" w:rsidRPr="003C50CE" w:rsidRDefault="00376218" w:rsidP="00376218">
      <w:pPr>
        <w:pStyle w:val="SingleTxtG"/>
        <w:rPr>
          <w:lang w:val="fr-CH"/>
        </w:rPr>
      </w:pPr>
      <w:proofErr w:type="gramStart"/>
      <w:r w:rsidRPr="003C50CE">
        <w:rPr>
          <w:i/>
          <w:iCs/>
          <w:lang w:val="fr-CH"/>
        </w:rPr>
        <w:t>Document</w:t>
      </w:r>
      <w:r w:rsidR="00FB6DAA">
        <w:rPr>
          <w:lang w:val="fr-CH"/>
        </w:rPr>
        <w:t>:</w:t>
      </w:r>
      <w:proofErr w:type="gramEnd"/>
      <w:r w:rsidRPr="003C50CE">
        <w:rPr>
          <w:i/>
          <w:iCs/>
          <w:lang w:val="fr-CH"/>
        </w:rPr>
        <w:tab/>
      </w:r>
      <w:r w:rsidRPr="003C50CE">
        <w:rPr>
          <w:i/>
          <w:iCs/>
          <w:lang w:val="fr-CH"/>
        </w:rPr>
        <w:tab/>
      </w:r>
      <w:r w:rsidRPr="003C50CE">
        <w:rPr>
          <w:lang w:val="fr-CH"/>
        </w:rPr>
        <w:t>ECE/TRANS/WP.11/2019/15 (France)</w:t>
      </w:r>
    </w:p>
    <w:p w14:paraId="5D63132E" w14:textId="77777777" w:rsidR="00376218" w:rsidRPr="003C50CE" w:rsidRDefault="00376218" w:rsidP="00376218">
      <w:pPr>
        <w:pStyle w:val="SingleTxtG"/>
      </w:pPr>
      <w:r w:rsidRPr="003C50CE">
        <w:t>84.</w:t>
      </w:r>
      <w:r w:rsidRPr="003C50CE">
        <w:tab/>
        <w:t>Some delegations agreed with the principle of keeping record of the software version used to conduct tests as this information was necessary to evaluate the need of retesting equipment. It was also pointed out that as equipment might need to be retested there was a cost involved if the proposed amendment were to be adopted.</w:t>
      </w:r>
    </w:p>
    <w:p w14:paraId="3CE3ACBE" w14:textId="1725CC5F" w:rsidR="00376218" w:rsidRPr="003C50CE" w:rsidRDefault="00376218" w:rsidP="00376218">
      <w:pPr>
        <w:pStyle w:val="SingleTxtG"/>
      </w:pPr>
      <w:r w:rsidRPr="003C50CE">
        <w:t>85.</w:t>
      </w:r>
      <w:r w:rsidRPr="003C50CE">
        <w:tab/>
        <w:t xml:space="preserve">It was mentioned that more consideration should be given to the requested information in the proposal as it was different depending on the type of test or equipment tested and different software versions might be needed to test different configurations of </w:t>
      </w:r>
      <w:r w:rsidR="00B078ED">
        <w:t>a</w:t>
      </w:r>
      <w:r w:rsidR="00B078ED" w:rsidRPr="003C50CE">
        <w:t xml:space="preserve"> </w:t>
      </w:r>
      <w:r w:rsidRPr="003C50CE">
        <w:t>system.</w:t>
      </w:r>
    </w:p>
    <w:p w14:paraId="0566D77C" w14:textId="5B94505C" w:rsidR="00376218" w:rsidRPr="003C50CE" w:rsidRDefault="00376218" w:rsidP="00376218">
      <w:pPr>
        <w:pStyle w:val="SingleTxtG"/>
      </w:pPr>
      <w:r w:rsidRPr="003C50CE">
        <w:t>86.</w:t>
      </w:r>
      <w:r w:rsidRPr="003C50CE">
        <w:tab/>
        <w:t xml:space="preserve">Most delegations agreed that software was playing an increasing role in evaluating the performance of refrigeration machines and that it </w:t>
      </w:r>
      <w:r w:rsidR="00647184">
        <w:t>was</w:t>
      </w:r>
      <w:r w:rsidRPr="003C50CE">
        <w:t xml:space="preserve"> important that WP.11 consider this topic and find a way to account for differences among different software versions. </w:t>
      </w:r>
    </w:p>
    <w:p w14:paraId="55655715" w14:textId="4E27B34A" w:rsidR="00376218" w:rsidRPr="003C50CE" w:rsidRDefault="00376218" w:rsidP="00376218">
      <w:pPr>
        <w:pStyle w:val="SingleTxtG"/>
      </w:pPr>
      <w:r w:rsidRPr="003C50CE">
        <w:t>87.</w:t>
      </w:r>
      <w:r w:rsidRPr="003C50CE">
        <w:tab/>
        <w:t>Both options of</w:t>
      </w:r>
      <w:r w:rsidR="00B078ED">
        <w:t xml:space="preserve"> the</w:t>
      </w:r>
      <w:r w:rsidRPr="003C50CE">
        <w:t xml:space="preserve"> proposal were put the vote and were rejected with two votes in favour (Denmark and France) and 2 votes against (Germany and Italy). The French delegation was invited to consult with the delegations of Germany and Italy and come back with a revised proposal at the next session.</w:t>
      </w:r>
    </w:p>
    <w:p w14:paraId="2BCAB2D2" w14:textId="3E6DBBAC" w:rsidR="00376218" w:rsidRPr="003C50CE" w:rsidRDefault="00376218" w:rsidP="00376218">
      <w:pPr>
        <w:pStyle w:val="H23G"/>
        <w:keepNext w:val="0"/>
        <w:keepLines w:val="0"/>
      </w:pPr>
      <w:r w:rsidRPr="003C50CE">
        <w:tab/>
      </w:r>
      <w:r w:rsidR="00386891" w:rsidRPr="003C50CE">
        <w:t>2</w:t>
      </w:r>
      <w:r w:rsidR="00386891">
        <w:t>1</w:t>
      </w:r>
      <w:r w:rsidRPr="003C50CE">
        <w:t>.</w:t>
      </w:r>
      <w:r w:rsidRPr="003C50CE">
        <w:tab/>
        <w:t>Amendment to Annex 1</w:t>
      </w:r>
    </w:p>
    <w:p w14:paraId="1A3AF53D" w14:textId="58F3ACC3" w:rsidR="00376218" w:rsidRPr="003C50CE" w:rsidRDefault="00376218" w:rsidP="00376218">
      <w:pPr>
        <w:pStyle w:val="SingleTxtG"/>
      </w:pPr>
      <w:r w:rsidRPr="003C50CE">
        <w:rPr>
          <w:i/>
          <w:iCs/>
        </w:rPr>
        <w:t>Document</w:t>
      </w:r>
      <w:r w:rsidR="00FB6DAA">
        <w:rPr>
          <w:lang w:val="fr-CH"/>
        </w:rPr>
        <w:t>:</w:t>
      </w:r>
      <w:r w:rsidRPr="003C50CE">
        <w:rPr>
          <w:i/>
          <w:iCs/>
        </w:rPr>
        <w:tab/>
      </w:r>
      <w:r w:rsidRPr="003C50CE">
        <w:rPr>
          <w:i/>
          <w:iCs/>
        </w:rPr>
        <w:tab/>
      </w:r>
      <w:r w:rsidRPr="003C50CE">
        <w:t>ECE/TRANS/WP.11/2019/18 (United Kingdom)</w:t>
      </w:r>
    </w:p>
    <w:p w14:paraId="62DEDB8E" w14:textId="3E570E9C" w:rsidR="00376218" w:rsidRPr="003C50CE" w:rsidRDefault="00376218" w:rsidP="00376218">
      <w:pPr>
        <w:pStyle w:val="SingleTxtG"/>
      </w:pPr>
      <w:r w:rsidRPr="003C50CE">
        <w:t>88.</w:t>
      </w:r>
      <w:r w:rsidRPr="003C50CE">
        <w:tab/>
        <w:t>There was agreement on the overall goal of the proposal of reducing emissions, but the Working Party felt that it was not very well justified and possible problems with reclassifying heavily insulated equipment as normally insulated equipment should be studied carefully</w:t>
      </w:r>
      <w:r w:rsidR="007C57B4">
        <w:t>. Also,</w:t>
      </w:r>
      <w:r w:rsidR="00B078ED" w:rsidRPr="003C50CE">
        <w:t xml:space="preserve"> equipment used for urban distribution and for long distance transport</w:t>
      </w:r>
      <w:r w:rsidR="007C57B4">
        <w:t xml:space="preserve"> should be clearly </w:t>
      </w:r>
      <w:proofErr w:type="spellStart"/>
      <w:r w:rsidR="007C57B4">
        <w:t>diffentiated</w:t>
      </w:r>
      <w:proofErr w:type="spellEnd"/>
      <w:r w:rsidR="007C57B4">
        <w:t>.</w:t>
      </w:r>
    </w:p>
    <w:p w14:paraId="1A99D1D8" w14:textId="7ECF8334" w:rsidR="00376218" w:rsidRPr="003C50CE" w:rsidRDefault="00376218" w:rsidP="00376218">
      <w:pPr>
        <w:pStyle w:val="SingleTxtG"/>
      </w:pPr>
      <w:r w:rsidRPr="003C50CE">
        <w:t>89.</w:t>
      </w:r>
      <w:r w:rsidRPr="003C50CE">
        <w:tab/>
        <w:t>It was also mention</w:t>
      </w:r>
      <w:r w:rsidR="007C57B4">
        <w:t>ed</w:t>
      </w:r>
      <w:r w:rsidRPr="003C50CE">
        <w:t xml:space="preserve"> that a considerable transitional period would be needed if the proposed changes were to be adopted. The </w:t>
      </w:r>
      <w:r w:rsidR="00B078ED" w:rsidRPr="003C50CE">
        <w:t xml:space="preserve">delegation </w:t>
      </w:r>
      <w:r w:rsidR="00B078ED">
        <w:t xml:space="preserve">of the </w:t>
      </w:r>
      <w:r w:rsidRPr="003C50CE">
        <w:t xml:space="preserve">United Kingdom was invited to present a revised proposal at the next session </w:t>
      </w:r>
      <w:proofErr w:type="gramStart"/>
      <w:r w:rsidRPr="003C50CE">
        <w:t>taking into account</w:t>
      </w:r>
      <w:proofErr w:type="gramEnd"/>
      <w:r w:rsidRPr="003C50CE">
        <w:t xml:space="preserve"> the comments made</w:t>
      </w:r>
      <w:r w:rsidR="00B078ED">
        <w:t>.</w:t>
      </w:r>
    </w:p>
    <w:p w14:paraId="1A141D98" w14:textId="775028DD" w:rsidR="00376218" w:rsidRPr="003C50CE" w:rsidRDefault="00376218" w:rsidP="00376218">
      <w:pPr>
        <w:pStyle w:val="H23G"/>
        <w:keepNext w:val="0"/>
        <w:keepLines w:val="0"/>
      </w:pPr>
      <w:r w:rsidRPr="003C50CE">
        <w:tab/>
      </w:r>
      <w:r w:rsidR="00386891" w:rsidRPr="003C50CE">
        <w:t>2</w:t>
      </w:r>
      <w:r w:rsidR="00386891">
        <w:t>2</w:t>
      </w:r>
      <w:r w:rsidRPr="003C50CE">
        <w:t>.</w:t>
      </w:r>
      <w:r w:rsidRPr="003C50CE">
        <w:tab/>
        <w:t>Amendment to ATP with provisions on the establishment of a database of ATP certificates issued by the competent authorities of all contracting parties on the Working Party secretariat’s website and provisions that the competent authorities of the contracting parties publish a list of all ATP certificates issued on their websites</w:t>
      </w:r>
    </w:p>
    <w:p w14:paraId="10C006B2" w14:textId="4A974D4E" w:rsidR="00376218" w:rsidRPr="003C50CE" w:rsidRDefault="00376218" w:rsidP="00376218">
      <w:pPr>
        <w:pStyle w:val="SingleTxtG"/>
      </w:pPr>
      <w:r w:rsidRPr="003C50CE">
        <w:rPr>
          <w:i/>
          <w:iCs/>
        </w:rPr>
        <w:t>Document</w:t>
      </w:r>
      <w:r w:rsidR="00FB6DAA">
        <w:rPr>
          <w:lang w:val="fr-CH"/>
        </w:rPr>
        <w:t>:</w:t>
      </w:r>
      <w:r w:rsidRPr="003C50CE">
        <w:rPr>
          <w:i/>
          <w:iCs/>
        </w:rPr>
        <w:tab/>
      </w:r>
      <w:r w:rsidRPr="003C50CE">
        <w:rPr>
          <w:i/>
          <w:iCs/>
        </w:rPr>
        <w:tab/>
      </w:r>
      <w:r w:rsidRPr="003C50CE">
        <w:t>ECE/TRANS/WP.11/2019/24 (Russian Federation)</w:t>
      </w:r>
    </w:p>
    <w:p w14:paraId="63E87DE8" w14:textId="5E23ECC6" w:rsidR="00F81B3C" w:rsidRDefault="001F7B96" w:rsidP="001F7B96">
      <w:pPr>
        <w:spacing w:after="120"/>
        <w:ind w:left="1134" w:right="1134"/>
        <w:jc w:val="both"/>
      </w:pPr>
      <w:r>
        <w:t>90.</w:t>
      </w:r>
      <w:r>
        <w:tab/>
      </w:r>
      <w:proofErr w:type="gramStart"/>
      <w:r>
        <w:t>D</w:t>
      </w:r>
      <w:r w:rsidR="00F81B3C">
        <w:t>ue to the fact that</w:t>
      </w:r>
      <w:proofErr w:type="gramEnd"/>
      <w:r w:rsidR="00F81B3C">
        <w:t xml:space="preserve"> translations of the official document </w:t>
      </w:r>
      <w:r w:rsidR="007C57B4">
        <w:t>from</w:t>
      </w:r>
      <w:r w:rsidR="00F81B3C">
        <w:t xml:space="preserve"> the Russian Federation were submitted late and the representatives were not able to fully familiarize themselves with the essence of the proposal</w:t>
      </w:r>
      <w:r w:rsidR="00F81B3C" w:rsidRPr="001F7B96">
        <w:t>, the document was presented for a preliminary discussion.</w:t>
      </w:r>
    </w:p>
    <w:p w14:paraId="31CD902A" w14:textId="593CACC8" w:rsidR="00376218" w:rsidRPr="003C50CE" w:rsidRDefault="00376218" w:rsidP="00376218">
      <w:pPr>
        <w:spacing w:after="120"/>
        <w:ind w:left="1134" w:right="1134"/>
        <w:jc w:val="both"/>
      </w:pPr>
      <w:r w:rsidRPr="003C50CE">
        <w:t>9</w:t>
      </w:r>
      <w:r w:rsidR="001F7B96">
        <w:t>1</w:t>
      </w:r>
      <w:r w:rsidRPr="003C50CE">
        <w:t>.</w:t>
      </w:r>
      <w:r w:rsidRPr="003C50CE">
        <w:tab/>
        <w:t>Several delegations expressed their support to the proposal and were of the view that a database sharing certificate information would improve checking of compliance by the police and other enforcement bodies. Concerns were raised regarding security (possible increase in the number of fake certificates due to availability of the information) and the time and cost to implement national databases or a central database</w:t>
      </w:r>
      <w:r w:rsidR="001F7B96">
        <w:t xml:space="preserve">. It was also suggested to study the </w:t>
      </w:r>
      <w:r w:rsidR="001F7B96" w:rsidRPr="003C50CE">
        <w:t>possibility of sharing links to national databases on the UNECE website</w:t>
      </w:r>
      <w:r w:rsidRPr="003C50CE">
        <w:t>.</w:t>
      </w:r>
    </w:p>
    <w:p w14:paraId="36206942" w14:textId="07BD504C" w:rsidR="00376218" w:rsidRPr="003C50CE" w:rsidRDefault="001F7B96" w:rsidP="00376218">
      <w:pPr>
        <w:spacing w:after="120"/>
        <w:ind w:left="1134" w:right="1134"/>
        <w:jc w:val="both"/>
      </w:pPr>
      <w:r w:rsidRPr="003C50CE">
        <w:t>9</w:t>
      </w:r>
      <w:r>
        <w:t>2</w:t>
      </w:r>
      <w:r w:rsidR="00376218" w:rsidRPr="003C50CE">
        <w:t>.</w:t>
      </w:r>
      <w:r w:rsidR="00376218" w:rsidRPr="003C50CE">
        <w:tab/>
        <w:t xml:space="preserve">Some delegations </w:t>
      </w:r>
      <w:proofErr w:type="gramStart"/>
      <w:r w:rsidR="00376218" w:rsidRPr="003C50CE">
        <w:t>were of the opinion that</w:t>
      </w:r>
      <w:proofErr w:type="gramEnd"/>
      <w:r w:rsidR="00376218" w:rsidRPr="003C50CE">
        <w:t xml:space="preserve"> the validity of certificates can only be assessed by contacting the competent authority issuing the certificate and therefore the database was not necessary. The Working Party decided that it needed more time to assess the conditions of implementation and the usefulness of the database.</w:t>
      </w:r>
    </w:p>
    <w:p w14:paraId="1472E631" w14:textId="580780F2" w:rsidR="00376218" w:rsidRPr="003C50CE" w:rsidRDefault="001F7B96" w:rsidP="00376218">
      <w:pPr>
        <w:pStyle w:val="SingleTxtG"/>
      </w:pPr>
      <w:r w:rsidRPr="003C50CE">
        <w:t>9</w:t>
      </w:r>
      <w:r>
        <w:t>3</w:t>
      </w:r>
      <w:r w:rsidR="00376218" w:rsidRPr="003C50CE">
        <w:t>.</w:t>
      </w:r>
      <w:r w:rsidR="00376218" w:rsidRPr="003C50CE">
        <w:tab/>
        <w:t>The delegation of the Russian Federation was invited to present a revised proposal at the next session.</w:t>
      </w:r>
    </w:p>
    <w:p w14:paraId="16F597C8" w14:textId="74CE7A02" w:rsidR="00376218" w:rsidRPr="003C50CE" w:rsidRDefault="00376218" w:rsidP="00376218">
      <w:pPr>
        <w:pStyle w:val="H23G"/>
        <w:keepNext w:val="0"/>
        <w:keepLines w:val="0"/>
      </w:pPr>
      <w:r w:rsidRPr="003C50CE">
        <w:tab/>
      </w:r>
      <w:r w:rsidR="00386891">
        <w:t>23.</w:t>
      </w:r>
      <w:r w:rsidRPr="003C50CE">
        <w:tab/>
        <w:t>Progress report of the informal working group on improvements to the approval system of ATP equipment and thermal units</w:t>
      </w:r>
    </w:p>
    <w:p w14:paraId="66CC8D0D" w14:textId="4D71DA4A" w:rsidR="00376218" w:rsidRPr="003C50CE" w:rsidRDefault="00376218" w:rsidP="00376218">
      <w:pPr>
        <w:pStyle w:val="SingleTxtG"/>
        <w:ind w:left="2829" w:hanging="1695"/>
      </w:pPr>
      <w:r w:rsidRPr="003C50CE">
        <w:rPr>
          <w:i/>
          <w:iCs/>
        </w:rPr>
        <w:t>Document</w:t>
      </w:r>
      <w:r w:rsidR="00FB6DAA">
        <w:rPr>
          <w:lang w:val="fr-CH"/>
        </w:rPr>
        <w:t>:</w:t>
      </w:r>
      <w:r w:rsidRPr="003C50CE">
        <w:rPr>
          <w:i/>
          <w:iCs/>
        </w:rPr>
        <w:tab/>
      </w:r>
      <w:r w:rsidRPr="003C50CE">
        <w:t>Informal document INF.4 (Netherlands on behalf of the informal working group)</w:t>
      </w:r>
    </w:p>
    <w:p w14:paraId="504C0ACE" w14:textId="32EAAE3D" w:rsidR="00376218" w:rsidRPr="003C50CE" w:rsidRDefault="001F7B96" w:rsidP="00376218">
      <w:pPr>
        <w:pStyle w:val="SingleTxtG"/>
      </w:pPr>
      <w:r w:rsidRPr="003C50CE">
        <w:t>9</w:t>
      </w:r>
      <w:r>
        <w:t>4</w:t>
      </w:r>
      <w:r w:rsidR="00376218" w:rsidRPr="003C50CE">
        <w:t>.</w:t>
      </w:r>
      <w:r w:rsidR="00376218" w:rsidRPr="003C50CE">
        <w:tab/>
        <w:t xml:space="preserve">The Working Party was informed of the results of discussions in the informal working group as reflected in informal document INF.4. </w:t>
      </w:r>
    </w:p>
    <w:p w14:paraId="10476DEF" w14:textId="702B2A55" w:rsidR="00376218" w:rsidRPr="003C50CE" w:rsidRDefault="001F7B96" w:rsidP="00376218">
      <w:pPr>
        <w:pStyle w:val="SingleTxtG"/>
      </w:pPr>
      <w:r w:rsidRPr="003C50CE">
        <w:t>9</w:t>
      </w:r>
      <w:r>
        <w:t>5</w:t>
      </w:r>
      <w:r w:rsidR="00376218" w:rsidRPr="003C50CE">
        <w:t>.</w:t>
      </w:r>
      <w:r w:rsidR="00376218" w:rsidRPr="003C50CE">
        <w:tab/>
        <w:t>WP.11 thanked the informal working group for the excellent work done as it facilitates discussions in plenary and extended the mandate of the informal working group to 2020.</w:t>
      </w:r>
    </w:p>
    <w:p w14:paraId="212DABDC" w14:textId="383974F2" w:rsidR="00376218" w:rsidRPr="003C50CE" w:rsidRDefault="00376218" w:rsidP="00376218">
      <w:pPr>
        <w:pStyle w:val="H1G"/>
        <w:spacing w:before="320" w:after="200"/>
        <w:jc w:val="both"/>
      </w:pPr>
      <w:r w:rsidRPr="003C50CE">
        <w:tab/>
      </w:r>
      <w:r w:rsidRPr="008D3599">
        <w:t>VII.</w:t>
      </w:r>
      <w:r w:rsidRPr="002A3D95">
        <w:rPr>
          <w:color w:val="FF0000"/>
        </w:rPr>
        <w:tab/>
      </w:r>
      <w:r w:rsidRPr="003C50CE">
        <w:t>ATP Handbook (agenda item 6)</w:t>
      </w:r>
    </w:p>
    <w:p w14:paraId="7026C9DF" w14:textId="3525A17E" w:rsidR="00376218" w:rsidRDefault="00376218" w:rsidP="00376218">
      <w:pPr>
        <w:pStyle w:val="H23G"/>
      </w:pPr>
      <w:r>
        <w:tab/>
      </w:r>
      <w:r>
        <w:tab/>
      </w:r>
      <w:r w:rsidRPr="006243AA">
        <w:t>Amendment to Annex 1, Appendix 2, paragraph 3.2.6 and 4.3.4 (ii), Annex 1, Appendix</w:t>
      </w:r>
      <w:r w:rsidR="0004128A">
        <w:t> </w:t>
      </w:r>
      <w:r w:rsidRPr="006243AA">
        <w:t>3 and the ATP Handbook</w:t>
      </w:r>
    </w:p>
    <w:p w14:paraId="1B1B5DA2" w14:textId="02C84545" w:rsidR="00376218" w:rsidRDefault="00376218" w:rsidP="00376218">
      <w:pPr>
        <w:pStyle w:val="SingleTxtG"/>
      </w:pPr>
      <w:r w:rsidRPr="00FB0C7C">
        <w:rPr>
          <w:i/>
          <w:iCs/>
        </w:rPr>
        <w:t>Document</w:t>
      </w:r>
      <w:r w:rsidR="00FB6DAA">
        <w:rPr>
          <w:lang w:val="fr-CH"/>
        </w:rPr>
        <w:t>:</w:t>
      </w:r>
      <w:r w:rsidRPr="00FB0C7C">
        <w:rPr>
          <w:i/>
          <w:iCs/>
        </w:rPr>
        <w:tab/>
      </w:r>
      <w:r w:rsidRPr="00FB0C7C">
        <w:rPr>
          <w:i/>
          <w:iCs/>
        </w:rPr>
        <w:tab/>
      </w:r>
      <w:r w:rsidRPr="00FB0C7C">
        <w:t>ECE/TRANS/WP.11/2019/1</w:t>
      </w:r>
      <w:r>
        <w:t>7</w:t>
      </w:r>
      <w:r w:rsidRPr="00FB0C7C">
        <w:t xml:space="preserve"> (United Kingdom)</w:t>
      </w:r>
    </w:p>
    <w:p w14:paraId="4E36DAC8" w14:textId="7A33B550" w:rsidR="003242D6" w:rsidRDefault="001F7B96" w:rsidP="00376218">
      <w:pPr>
        <w:pStyle w:val="SingleTxtG"/>
      </w:pPr>
      <w:r>
        <w:t>96</w:t>
      </w:r>
      <w:r w:rsidR="00376218">
        <w:t>.</w:t>
      </w:r>
      <w:r w:rsidR="00376218">
        <w:tab/>
        <w:t>Proposed amendments to the ATP Handbook were no</w:t>
      </w:r>
      <w:r>
        <w:t>t</w:t>
      </w:r>
      <w:r w:rsidR="00376218">
        <w:t xml:space="preserve"> </w:t>
      </w:r>
      <w:r w:rsidR="00376218" w:rsidRPr="008D3599">
        <w:t>adopted.</w:t>
      </w:r>
      <w:r>
        <w:rPr>
          <w:highlight w:val="yellow"/>
        </w:rPr>
        <w:t xml:space="preserve"> </w:t>
      </w:r>
    </w:p>
    <w:p w14:paraId="5FDBF422" w14:textId="308751E0" w:rsidR="00376218" w:rsidRDefault="00376218" w:rsidP="00376218">
      <w:pPr>
        <w:pStyle w:val="H1G"/>
        <w:spacing w:before="320" w:after="200"/>
        <w:jc w:val="both"/>
      </w:pPr>
      <w:r>
        <w:rPr>
          <w:sz w:val="28"/>
          <w:szCs w:val="28"/>
        </w:rPr>
        <w:tab/>
      </w:r>
      <w:r w:rsidRPr="008D3599">
        <w:rPr>
          <w:sz w:val="28"/>
          <w:szCs w:val="28"/>
        </w:rPr>
        <w:t>VIII.</w:t>
      </w:r>
      <w:r w:rsidRPr="00376218">
        <w:rPr>
          <w:sz w:val="28"/>
          <w:szCs w:val="28"/>
        </w:rPr>
        <w:tab/>
      </w:r>
      <w:r w:rsidRPr="006D451A">
        <w:t>Scope of ATP</w:t>
      </w:r>
      <w:r>
        <w:t xml:space="preserve"> </w:t>
      </w:r>
      <w:r w:rsidRPr="0009377F">
        <w:t>(agenda item </w:t>
      </w:r>
      <w:r>
        <w:t>7</w:t>
      </w:r>
      <w:r w:rsidRPr="0009377F">
        <w:t>)</w:t>
      </w:r>
    </w:p>
    <w:p w14:paraId="163C4280" w14:textId="2CBFA5FD" w:rsidR="00376218" w:rsidRDefault="001F7B96" w:rsidP="00376218">
      <w:pPr>
        <w:pStyle w:val="SingleTxtG"/>
      </w:pPr>
      <w:r>
        <w:t>97</w:t>
      </w:r>
      <w:r w:rsidR="00376218">
        <w:t>.</w:t>
      </w:r>
      <w:r w:rsidR="00376218">
        <w:tab/>
      </w:r>
      <w:r w:rsidR="00376218" w:rsidRPr="00E51BB3">
        <w:t>As no document had been submitted under this agenda item, no discussion took place on this subject.</w:t>
      </w:r>
    </w:p>
    <w:p w14:paraId="648290DD" w14:textId="77777777" w:rsidR="00376218" w:rsidRPr="006D451A" w:rsidRDefault="00376218" w:rsidP="00376218">
      <w:pPr>
        <w:pStyle w:val="H1G"/>
        <w:spacing w:before="320" w:after="200"/>
        <w:jc w:val="both"/>
      </w:pPr>
      <w:r>
        <w:rPr>
          <w:sz w:val="28"/>
          <w:szCs w:val="28"/>
        </w:rPr>
        <w:tab/>
      </w:r>
      <w:r w:rsidRPr="008D3599">
        <w:rPr>
          <w:sz w:val="28"/>
          <w:szCs w:val="28"/>
        </w:rPr>
        <w:t>IX.</w:t>
      </w:r>
      <w:r>
        <w:rPr>
          <w:sz w:val="28"/>
          <w:szCs w:val="28"/>
        </w:rPr>
        <w:tab/>
      </w:r>
      <w:r w:rsidRPr="006D451A">
        <w:t>Energy labelling, refrigerants and blowing agents</w:t>
      </w:r>
      <w:r>
        <w:t xml:space="preserve"> </w:t>
      </w:r>
      <w:r w:rsidRPr="0009377F">
        <w:t>(agenda item </w:t>
      </w:r>
      <w:r>
        <w:t>8</w:t>
      </w:r>
      <w:r w:rsidRPr="0009377F">
        <w:t>)</w:t>
      </w:r>
    </w:p>
    <w:p w14:paraId="0AEC3DD9" w14:textId="4F4FB25A" w:rsidR="00376218" w:rsidRPr="00376218" w:rsidRDefault="00376218" w:rsidP="00376218">
      <w:pPr>
        <w:pStyle w:val="H1G"/>
        <w:spacing w:before="320" w:after="200"/>
        <w:jc w:val="both"/>
        <w:rPr>
          <w:b w:val="0"/>
          <w:bCs/>
          <w:sz w:val="20"/>
        </w:rPr>
      </w:pPr>
      <w:r>
        <w:rPr>
          <w:b w:val="0"/>
          <w:bCs/>
          <w:sz w:val="20"/>
        </w:rPr>
        <w:tab/>
      </w:r>
      <w:r>
        <w:rPr>
          <w:b w:val="0"/>
          <w:bCs/>
          <w:sz w:val="20"/>
        </w:rPr>
        <w:tab/>
      </w:r>
      <w:r w:rsidR="001F7B96" w:rsidRPr="00376218">
        <w:rPr>
          <w:b w:val="0"/>
          <w:bCs/>
          <w:sz w:val="20"/>
        </w:rPr>
        <w:t>9</w:t>
      </w:r>
      <w:r w:rsidR="001F7B96">
        <w:rPr>
          <w:b w:val="0"/>
          <w:bCs/>
          <w:sz w:val="20"/>
        </w:rPr>
        <w:t>8</w:t>
      </w:r>
      <w:r w:rsidRPr="00376218">
        <w:rPr>
          <w:b w:val="0"/>
          <w:bCs/>
          <w:sz w:val="20"/>
        </w:rPr>
        <w:t>.</w:t>
      </w:r>
      <w:r w:rsidRPr="00376218">
        <w:rPr>
          <w:b w:val="0"/>
          <w:bCs/>
          <w:sz w:val="20"/>
        </w:rPr>
        <w:tab/>
        <w:t>As no document had been submitted under this agenda item, no discussion took place on this subject.</w:t>
      </w:r>
    </w:p>
    <w:p w14:paraId="2A489A45" w14:textId="12B0F6E7" w:rsidR="00240AC0" w:rsidRDefault="00240AC0" w:rsidP="00240AC0">
      <w:pPr>
        <w:pStyle w:val="HChG"/>
      </w:pPr>
      <w:r w:rsidRPr="00240AC0">
        <w:tab/>
      </w:r>
      <w:bookmarkStart w:id="19" w:name="_Toc528147014"/>
      <w:r w:rsidR="00EC151E" w:rsidRPr="008D3599">
        <w:t>X</w:t>
      </w:r>
      <w:r w:rsidRPr="008D3599">
        <w:t>.</w:t>
      </w:r>
      <w:r w:rsidRPr="00240AC0">
        <w:tab/>
      </w:r>
      <w:r w:rsidR="00EC151E">
        <w:t xml:space="preserve">Programme of work and </w:t>
      </w:r>
      <w:r w:rsidR="00B356A4">
        <w:t>biennial</w:t>
      </w:r>
      <w:r w:rsidR="00EC151E">
        <w:t xml:space="preserve"> evaluation </w:t>
      </w:r>
      <w:r w:rsidR="00F573BA">
        <w:t>(</w:t>
      </w:r>
      <w:r w:rsidR="00EC151E">
        <w:t>agenda item 9)</w:t>
      </w:r>
      <w:bookmarkEnd w:id="19"/>
    </w:p>
    <w:p w14:paraId="5D66AADC" w14:textId="324BA39E" w:rsidR="00376218" w:rsidRPr="007D241D" w:rsidRDefault="001F7B96" w:rsidP="00376218">
      <w:pPr>
        <w:pStyle w:val="SingleTxtG"/>
      </w:pPr>
      <w:r>
        <w:t>99</w:t>
      </w:r>
      <w:r w:rsidR="00376218">
        <w:t>.</w:t>
      </w:r>
      <w:r w:rsidR="00376218">
        <w:tab/>
      </w:r>
      <w:r w:rsidR="00376218" w:rsidRPr="0080125D">
        <w:t xml:space="preserve">The Working Party decided to discontinue the preparation </w:t>
      </w:r>
      <w:r w:rsidR="00376218">
        <w:t>of the p</w:t>
      </w:r>
      <w:r w:rsidR="00376218" w:rsidRPr="004574DE">
        <w:t>rogramme of work and biennial evaluation</w:t>
      </w:r>
      <w:r w:rsidR="00376218">
        <w:t xml:space="preserve"> documents and to amend agenda item 9 to read “Programme of work”. It also decided to add a new agenda item 7 “Reports of informal working groups” and to renumber existing agenda items consequently.</w:t>
      </w:r>
    </w:p>
    <w:p w14:paraId="00E44034" w14:textId="088FAB3E" w:rsidR="00240AC0" w:rsidRDefault="00240AC0" w:rsidP="00531D55">
      <w:pPr>
        <w:pStyle w:val="HChG"/>
      </w:pPr>
      <w:r w:rsidRPr="00240AC0">
        <w:tab/>
      </w:r>
      <w:bookmarkStart w:id="20" w:name="_Toc528147017"/>
      <w:r w:rsidRPr="008D3599">
        <w:t>X</w:t>
      </w:r>
      <w:r w:rsidR="00376218" w:rsidRPr="008D3599">
        <w:t>I</w:t>
      </w:r>
      <w:r w:rsidRPr="008D3599">
        <w:t>.</w:t>
      </w:r>
      <w:r w:rsidRPr="00240AC0">
        <w:tab/>
        <w:t>Election of officers (agenda item 1</w:t>
      </w:r>
      <w:r w:rsidR="00EC151E">
        <w:t>0</w:t>
      </w:r>
      <w:r w:rsidRPr="00240AC0">
        <w:t>)</w:t>
      </w:r>
      <w:bookmarkEnd w:id="20"/>
      <w:r w:rsidRPr="00240AC0">
        <w:t xml:space="preserve"> </w:t>
      </w:r>
    </w:p>
    <w:p w14:paraId="790AC76A" w14:textId="1AD0B7A5" w:rsidR="00376218" w:rsidRPr="00567BD5" w:rsidRDefault="001F7B96" w:rsidP="00376218">
      <w:pPr>
        <w:pStyle w:val="SingleTxtG"/>
      </w:pPr>
      <w:r>
        <w:t>100</w:t>
      </w:r>
      <w:r w:rsidR="00376218">
        <w:t>.</w:t>
      </w:r>
      <w:r w:rsidR="00376218" w:rsidRPr="00240AC0">
        <w:tab/>
      </w:r>
      <w:r w:rsidR="00376218" w:rsidRPr="00240AC0">
        <w:rPr>
          <w:lang w:val="en-US"/>
        </w:rPr>
        <w:t>The Working Party</w:t>
      </w:r>
      <w:r w:rsidR="00376218" w:rsidRPr="00240AC0" w:rsidDel="0048640F">
        <w:t xml:space="preserve"> </w:t>
      </w:r>
      <w:r w:rsidR="00376218" w:rsidRPr="00240AC0">
        <w:t xml:space="preserve">elected Mr. T. </w:t>
      </w:r>
      <w:proofErr w:type="spellStart"/>
      <w:r w:rsidR="00376218" w:rsidRPr="00240AC0">
        <w:t>Nobre</w:t>
      </w:r>
      <w:proofErr w:type="spellEnd"/>
      <w:r w:rsidR="00376218" w:rsidRPr="00240AC0">
        <w:t xml:space="preserve"> (Portugal) as Chair, Mr. K. de Putter (Netherlands) and Mr. J. M. </w:t>
      </w:r>
      <w:proofErr w:type="spellStart"/>
      <w:r w:rsidR="00376218" w:rsidRPr="00240AC0">
        <w:t>Bonnal</w:t>
      </w:r>
      <w:proofErr w:type="spellEnd"/>
      <w:r w:rsidR="00376218" w:rsidRPr="00240AC0">
        <w:t xml:space="preserve"> (France) as Vice-Chair</w:t>
      </w:r>
      <w:r w:rsidR="00376218">
        <w:t>s</w:t>
      </w:r>
      <w:r w:rsidR="00376218" w:rsidRPr="00240AC0">
        <w:t xml:space="preserve"> for its session</w:t>
      </w:r>
      <w:r w:rsidR="00376218">
        <w:t>s</w:t>
      </w:r>
      <w:r w:rsidR="00376218" w:rsidRPr="00240AC0">
        <w:t xml:space="preserve"> in 20</w:t>
      </w:r>
      <w:r w:rsidR="00376218">
        <w:t>20</w:t>
      </w:r>
      <w:r w:rsidR="00376218" w:rsidRPr="00240AC0">
        <w:t xml:space="preserve">. </w:t>
      </w:r>
      <w:r w:rsidR="00376218" w:rsidRPr="00240AC0">
        <w:rPr>
          <w:lang w:val="en-US"/>
        </w:rPr>
        <w:t>The Working Party</w:t>
      </w:r>
      <w:r w:rsidR="00376218" w:rsidRPr="00240AC0">
        <w:t xml:space="preserve"> thanked the officers and the secretariat for their work.</w:t>
      </w:r>
    </w:p>
    <w:p w14:paraId="6F783332" w14:textId="1AFA8C9A" w:rsidR="00240AC0" w:rsidRDefault="00240AC0" w:rsidP="00240AC0">
      <w:pPr>
        <w:pStyle w:val="HChG"/>
      </w:pPr>
      <w:r w:rsidRPr="00240AC0">
        <w:tab/>
      </w:r>
      <w:bookmarkStart w:id="21" w:name="_Toc528147018"/>
      <w:r w:rsidRPr="008D3599">
        <w:t>XI</w:t>
      </w:r>
      <w:r w:rsidR="00376218" w:rsidRPr="008D3599">
        <w:t>I</w:t>
      </w:r>
      <w:r w:rsidRPr="008D3599">
        <w:t>.</w:t>
      </w:r>
      <w:r w:rsidRPr="00240AC0">
        <w:tab/>
        <w:t>Other business (agenda item 1</w:t>
      </w:r>
      <w:r w:rsidR="00EC151E">
        <w:t>1</w:t>
      </w:r>
      <w:r w:rsidRPr="00240AC0">
        <w:t>)</w:t>
      </w:r>
      <w:bookmarkEnd w:id="21"/>
    </w:p>
    <w:p w14:paraId="4F97454D" w14:textId="54220736" w:rsidR="00376218" w:rsidRDefault="001F7B96" w:rsidP="00376218">
      <w:pPr>
        <w:pStyle w:val="SingleTxtG"/>
      </w:pPr>
      <w:r>
        <w:t>101</w:t>
      </w:r>
      <w:r w:rsidR="00376218">
        <w:t>.</w:t>
      </w:r>
      <w:r w:rsidR="00376218">
        <w:tab/>
        <w:t>The secretariat informed the Working Party that due to internal restructuring within the Sustainable Transport Division, activities related to the transport of perishable foodstuffs were now under the Vehicles regulations and transport innovations section.</w:t>
      </w:r>
    </w:p>
    <w:p w14:paraId="794A799B" w14:textId="77777777" w:rsidR="00376218" w:rsidRDefault="00376218" w:rsidP="00376218">
      <w:pPr>
        <w:pStyle w:val="H23G"/>
      </w:pPr>
      <w:r>
        <w:tab/>
        <w:t>1.</w:t>
      </w:r>
      <w:r>
        <w:tab/>
        <w:t>Tributes</w:t>
      </w:r>
    </w:p>
    <w:p w14:paraId="392818F5" w14:textId="387B8D64" w:rsidR="00376218" w:rsidRDefault="001F7B96" w:rsidP="00376218">
      <w:pPr>
        <w:pStyle w:val="SingleTxtG"/>
      </w:pPr>
      <w:r>
        <w:t>102</w:t>
      </w:r>
      <w:r w:rsidR="00376218">
        <w:t>.</w:t>
      </w:r>
      <w:r w:rsidR="00376218">
        <w:tab/>
        <w:t xml:space="preserve">The Working Party was informed that </w:t>
      </w:r>
      <w:r w:rsidR="00376218" w:rsidRPr="00240AC0">
        <w:t xml:space="preserve">Mr. </w:t>
      </w:r>
      <w:r w:rsidR="00376218">
        <w:t>S</w:t>
      </w:r>
      <w:r w:rsidR="00376218" w:rsidRPr="002C23D5">
        <w:rPr>
          <w:bCs/>
          <w:noProof/>
        </w:rPr>
        <w:t>tumpf</w:t>
      </w:r>
      <w:r w:rsidR="00376218" w:rsidRPr="00240AC0">
        <w:t xml:space="preserve"> (</w:t>
      </w:r>
      <w:proofErr w:type="spellStart"/>
      <w:r w:rsidR="00376218" w:rsidRPr="00B80B31">
        <w:rPr>
          <w:bCs/>
          <w:iCs/>
          <w:noProof/>
          <w:szCs w:val="17"/>
        </w:rPr>
        <w:t>Transfrigoroute</w:t>
      </w:r>
      <w:proofErr w:type="spellEnd"/>
      <w:r w:rsidR="00376218" w:rsidRPr="00B80B31">
        <w:rPr>
          <w:bCs/>
          <w:iCs/>
          <w:noProof/>
          <w:szCs w:val="17"/>
        </w:rPr>
        <w:t xml:space="preserve"> International</w:t>
      </w:r>
      <w:r w:rsidR="00376218" w:rsidRPr="00240AC0">
        <w:t xml:space="preserve">) </w:t>
      </w:r>
      <w:r w:rsidR="00376218">
        <w:t>was retiring in March 2020</w:t>
      </w:r>
      <w:r w:rsidR="00376218">
        <w:rPr>
          <w:rFonts w:eastAsia="SimSun"/>
          <w:lang w:eastAsia="zh-CN"/>
        </w:rPr>
        <w:t xml:space="preserve">. </w:t>
      </w:r>
      <w:r w:rsidR="00376218">
        <w:t xml:space="preserve">WP.11 thanked </w:t>
      </w:r>
      <w:r w:rsidR="00376218" w:rsidRPr="00240AC0">
        <w:t xml:space="preserve">Mr. </w:t>
      </w:r>
      <w:r w:rsidR="00376218">
        <w:t>S</w:t>
      </w:r>
      <w:r w:rsidR="00376218" w:rsidRPr="002C23D5">
        <w:rPr>
          <w:bCs/>
          <w:noProof/>
        </w:rPr>
        <w:t>tumpf</w:t>
      </w:r>
      <w:r w:rsidR="00376218" w:rsidRPr="00240AC0">
        <w:t xml:space="preserve"> </w:t>
      </w:r>
      <w:r w:rsidR="00376218">
        <w:t>for his long-lasting contributions to the carriage of perishable foodstuff</w:t>
      </w:r>
      <w:r>
        <w:t>s</w:t>
      </w:r>
      <w:r w:rsidR="00376218">
        <w:t xml:space="preserve"> and wished him a long and happy retirement.</w:t>
      </w:r>
    </w:p>
    <w:p w14:paraId="52524D56" w14:textId="77777777" w:rsidR="00376218" w:rsidRPr="00567BD5" w:rsidRDefault="00376218" w:rsidP="00376218">
      <w:pPr>
        <w:pStyle w:val="H23G"/>
      </w:pPr>
      <w:r w:rsidRPr="00567BD5">
        <w:tab/>
      </w:r>
      <w:r>
        <w:t>2.</w:t>
      </w:r>
      <w:r w:rsidRPr="00567BD5">
        <w:tab/>
        <w:t>Dates of the seventy-</w:t>
      </w:r>
      <w:r>
        <w:t>sixth</w:t>
      </w:r>
      <w:r w:rsidRPr="00567BD5">
        <w:t xml:space="preserve"> session</w:t>
      </w:r>
    </w:p>
    <w:p w14:paraId="3A6DD062" w14:textId="5FEF8FB2" w:rsidR="00376218" w:rsidRDefault="001F7B96" w:rsidP="00376218">
      <w:pPr>
        <w:pStyle w:val="SingleTxtG"/>
      </w:pPr>
      <w:r>
        <w:t>103</w:t>
      </w:r>
      <w:r w:rsidR="00376218">
        <w:t>.</w:t>
      </w:r>
      <w:r w:rsidR="00376218">
        <w:tab/>
      </w:r>
      <w:r w:rsidR="00376218" w:rsidRPr="006A6731">
        <w:t>The dates of 6-9 April 2020 (Monday to Thursday) have been reserved for the seventy-sixth session of WP.11.</w:t>
      </w:r>
      <w:r w:rsidR="00376218">
        <w:t xml:space="preserve"> </w:t>
      </w:r>
      <w:r w:rsidR="00376218" w:rsidRPr="00D73DBB">
        <w:t>The deadline for submission of documents is 1</w:t>
      </w:r>
      <w:r w:rsidR="00376218">
        <w:t>0</w:t>
      </w:r>
      <w:r w:rsidR="00376218" w:rsidRPr="00D73DBB">
        <w:t xml:space="preserve"> J</w:t>
      </w:r>
      <w:r w:rsidR="00376218">
        <w:t>anuary</w:t>
      </w:r>
      <w:r w:rsidR="00376218" w:rsidRPr="00D73DBB">
        <w:t xml:space="preserve"> 20</w:t>
      </w:r>
      <w:r w:rsidR="00376218">
        <w:t>20</w:t>
      </w:r>
      <w:r w:rsidR="00F573BA">
        <w:t>.</w:t>
      </w:r>
    </w:p>
    <w:p w14:paraId="21E007E9" w14:textId="77777777" w:rsidR="00376218" w:rsidRPr="00567BD5" w:rsidRDefault="00376218" w:rsidP="00376218">
      <w:pPr>
        <w:pStyle w:val="H23G"/>
      </w:pPr>
      <w:r w:rsidRPr="00567BD5">
        <w:tab/>
      </w:r>
      <w:r>
        <w:t>3.</w:t>
      </w:r>
      <w:r w:rsidRPr="00567BD5">
        <w:tab/>
        <w:t>Dates of the seventy-</w:t>
      </w:r>
      <w:r>
        <w:t>seventh</w:t>
      </w:r>
      <w:r w:rsidRPr="00567BD5">
        <w:t xml:space="preserve"> session</w:t>
      </w:r>
    </w:p>
    <w:p w14:paraId="2A9C33FD" w14:textId="29FCBD1B" w:rsidR="00376218" w:rsidRPr="00567BD5" w:rsidRDefault="001F7B96" w:rsidP="00376218">
      <w:pPr>
        <w:pStyle w:val="SingleTxtG"/>
      </w:pPr>
      <w:r>
        <w:t>104</w:t>
      </w:r>
      <w:r w:rsidR="00376218">
        <w:t>.</w:t>
      </w:r>
      <w:r w:rsidR="00376218">
        <w:tab/>
      </w:r>
      <w:r w:rsidR="00376218" w:rsidRPr="00567BD5">
        <w:t xml:space="preserve">The dates of </w:t>
      </w:r>
      <w:r w:rsidR="00376218">
        <w:t>13-16</w:t>
      </w:r>
      <w:r w:rsidR="00376218" w:rsidRPr="00567BD5">
        <w:t xml:space="preserve"> October 20</w:t>
      </w:r>
      <w:r w:rsidR="00376218">
        <w:t>20</w:t>
      </w:r>
      <w:r w:rsidR="00376218" w:rsidRPr="00567BD5">
        <w:t xml:space="preserve"> (Tuesday to Friday) have been reserved for the seventy-</w:t>
      </w:r>
      <w:r w:rsidR="00376218">
        <w:t>seventh</w:t>
      </w:r>
      <w:r w:rsidR="00376218" w:rsidRPr="00567BD5">
        <w:t xml:space="preserve"> session of WP.11.</w:t>
      </w:r>
      <w:r w:rsidR="00376218">
        <w:t xml:space="preserve"> </w:t>
      </w:r>
      <w:r w:rsidR="00376218" w:rsidRPr="00D73DBB">
        <w:t>The deadline for submission of documents is 1</w:t>
      </w:r>
      <w:r w:rsidR="00376218">
        <w:t>7</w:t>
      </w:r>
      <w:r w:rsidR="00376218" w:rsidRPr="00D73DBB">
        <w:t xml:space="preserve"> July 20</w:t>
      </w:r>
      <w:r w:rsidR="00376218">
        <w:t>20</w:t>
      </w:r>
      <w:r w:rsidR="00F573BA">
        <w:t>.</w:t>
      </w:r>
    </w:p>
    <w:p w14:paraId="33C3EADA" w14:textId="72C862A9" w:rsidR="00240AC0" w:rsidRDefault="00240AC0" w:rsidP="00240AC0">
      <w:pPr>
        <w:pStyle w:val="HChG"/>
      </w:pPr>
      <w:r w:rsidRPr="008D3599">
        <w:tab/>
      </w:r>
      <w:bookmarkStart w:id="22" w:name="_Toc528147019"/>
      <w:r w:rsidRPr="008D3599">
        <w:t>XI</w:t>
      </w:r>
      <w:r w:rsidR="00EC151E" w:rsidRPr="008D3599">
        <w:t>I</w:t>
      </w:r>
      <w:r w:rsidR="00376218" w:rsidRPr="008D3599">
        <w:t>I</w:t>
      </w:r>
      <w:r w:rsidRPr="008D3599">
        <w:t>.</w:t>
      </w:r>
      <w:r w:rsidRPr="00240AC0">
        <w:tab/>
        <w:t>Adoption of the report (agenda item 1</w:t>
      </w:r>
      <w:r w:rsidR="00EC151E">
        <w:t>2</w:t>
      </w:r>
      <w:r w:rsidRPr="00240AC0">
        <w:t>)</w:t>
      </w:r>
      <w:bookmarkEnd w:id="22"/>
    </w:p>
    <w:p w14:paraId="02F9554F" w14:textId="639FDFC9" w:rsidR="00376218" w:rsidRDefault="001F7B96" w:rsidP="00376218">
      <w:pPr>
        <w:pStyle w:val="SingleTxtG"/>
      </w:pPr>
      <w:r>
        <w:t>105</w:t>
      </w:r>
      <w:r w:rsidR="00376218">
        <w:t>.</w:t>
      </w:r>
      <w:r w:rsidR="00376218">
        <w:tab/>
      </w:r>
      <w:r w:rsidR="00376218" w:rsidRPr="00567BD5">
        <w:t>The WP.11 adopt</w:t>
      </w:r>
      <w:r w:rsidR="00376218">
        <w:t>ed</w:t>
      </w:r>
      <w:r w:rsidR="00376218" w:rsidRPr="00567BD5">
        <w:t xml:space="preserve"> the report on its seventy-</w:t>
      </w:r>
      <w:r w:rsidR="00376218">
        <w:t>fifth</w:t>
      </w:r>
      <w:r w:rsidR="00376218" w:rsidRPr="00567BD5">
        <w:t xml:space="preserve"> session based on a draft prepared by the secretariat.</w:t>
      </w:r>
    </w:p>
    <w:p w14:paraId="4927FD5C" w14:textId="77777777" w:rsidR="00916DC5" w:rsidRPr="00D73DBB" w:rsidRDefault="00916DC5" w:rsidP="00916DC5">
      <w:pPr>
        <w:suppressAutoHyphens w:val="0"/>
        <w:spacing w:line="240" w:lineRule="auto"/>
      </w:pPr>
      <w:r w:rsidRPr="00D73DBB">
        <w:br w:type="page"/>
      </w:r>
    </w:p>
    <w:p w14:paraId="548A93F5" w14:textId="22DBEC48" w:rsidR="002C42E0" w:rsidRDefault="002C42E0" w:rsidP="00DF3CD6">
      <w:pPr>
        <w:pStyle w:val="HChG"/>
        <w:pageBreakBefore/>
        <w:tabs>
          <w:tab w:val="right" w:pos="8505"/>
        </w:tabs>
      </w:pPr>
      <w:r w:rsidRPr="00D73DBB">
        <w:rPr>
          <w:lang w:val="en-US"/>
        </w:rPr>
        <w:t>Annex I</w:t>
      </w:r>
      <w:r w:rsidR="00DF3CD6">
        <w:rPr>
          <w:lang w:val="en-US"/>
        </w:rPr>
        <w:br/>
      </w:r>
      <w:r w:rsidR="00DF3CD6">
        <w:rPr>
          <w:lang w:val="en-US"/>
        </w:rPr>
        <w:tab/>
      </w:r>
      <w:r w:rsidR="00DF3CD6" w:rsidRPr="00DF3CD6">
        <w:rPr>
          <w:b w:val="0"/>
          <w:bCs/>
          <w:sz w:val="20"/>
        </w:rPr>
        <w:t>[Original: English and French]</w:t>
      </w:r>
    </w:p>
    <w:p w14:paraId="635AF6DE" w14:textId="77777777" w:rsidR="002C42E0" w:rsidRDefault="002C42E0" w:rsidP="002C42E0">
      <w:pPr>
        <w:pStyle w:val="HChG"/>
        <w:rPr>
          <w:noProof/>
        </w:rPr>
      </w:pPr>
      <w:r>
        <w:tab/>
      </w:r>
      <w:r>
        <w:tab/>
      </w:r>
      <w:r w:rsidRPr="00D73DBB">
        <w:rPr>
          <w:lang w:val="en-US"/>
        </w:rPr>
        <w:t xml:space="preserve">Corrections to </w:t>
      </w:r>
      <w:r>
        <w:t>ECE/TRANS/WP.11/237</w:t>
      </w:r>
    </w:p>
    <w:p w14:paraId="33BD8CD3" w14:textId="77777777" w:rsidR="002C42E0" w:rsidRDefault="002C42E0" w:rsidP="002C42E0">
      <w:pPr>
        <w:pStyle w:val="H23G"/>
        <w:rPr>
          <w:rFonts w:eastAsia="SimSun"/>
          <w:bCs/>
          <w:lang w:val="en-US"/>
        </w:rPr>
      </w:pPr>
      <w:r>
        <w:tab/>
        <w:t>1.</w:t>
      </w:r>
      <w:r>
        <w:tab/>
        <w:t xml:space="preserve">Page 25, Model No.13, under </w:t>
      </w:r>
      <w:r w:rsidRPr="006772F9">
        <w:rPr>
          <w:rFonts w:eastAsia="SimSun"/>
          <w:bCs/>
          <w:lang w:val="en-US"/>
        </w:rPr>
        <w:t>Refrigerating unit presented by</w:t>
      </w:r>
    </w:p>
    <w:p w14:paraId="09D03CE5" w14:textId="77777777" w:rsidR="002C42E0" w:rsidRDefault="002C42E0" w:rsidP="002C42E0">
      <w:pPr>
        <w:pStyle w:val="SingleTxtG"/>
        <w:rPr>
          <w:rFonts w:eastAsia="SimSun"/>
          <w:lang w:val="en-US"/>
        </w:rPr>
      </w:pPr>
      <w:r w:rsidRPr="006772F9">
        <w:rPr>
          <w:i/>
          <w:iCs/>
        </w:rPr>
        <w:t>Delete</w:t>
      </w:r>
      <w:r>
        <w:t xml:space="preserve"> </w:t>
      </w:r>
      <w:r w:rsidRPr="00403D1F">
        <w:rPr>
          <w:rFonts w:eastAsia="SimSun"/>
          <w:lang w:val="en-US"/>
        </w:rPr>
        <w:t>[(a declaration by the manufacturer shall be provided if the applicant is not the manufacturer)]</w:t>
      </w:r>
    </w:p>
    <w:p w14:paraId="14BCC030" w14:textId="77777777" w:rsidR="002C42E0" w:rsidRDefault="002C42E0" w:rsidP="002C42E0">
      <w:pPr>
        <w:pStyle w:val="H23G"/>
        <w:rPr>
          <w:rFonts w:eastAsia="SimSun"/>
          <w:bCs/>
          <w:lang w:val="en-US"/>
        </w:rPr>
      </w:pPr>
      <w:r>
        <w:tab/>
        <w:t>2.</w:t>
      </w:r>
      <w:r>
        <w:tab/>
        <w:t xml:space="preserve">Page 27, Model No.13, </w:t>
      </w:r>
      <w:r w:rsidRPr="00D97ECB">
        <w:rPr>
          <w:bCs/>
          <w:spacing w:val="4"/>
          <w:w w:val="103"/>
          <w:kern w:val="14"/>
          <w:lang w:eastAsia="zh-CN"/>
        </w:rPr>
        <w:t>table concerning heat exchangers</w:t>
      </w:r>
    </w:p>
    <w:p w14:paraId="28259E3F" w14:textId="77777777" w:rsidR="002C42E0" w:rsidRDefault="002C42E0" w:rsidP="002C42E0">
      <w:pPr>
        <w:pStyle w:val="SingleTxtG"/>
        <w:rPr>
          <w:i/>
          <w:iCs/>
          <w:lang w:val="en-US"/>
        </w:rPr>
      </w:pPr>
      <w:r w:rsidRPr="006772F9">
        <w:rPr>
          <w:i/>
          <w:iCs/>
          <w:lang w:val="en-US"/>
        </w:rPr>
        <w:t>For</w:t>
      </w:r>
      <w:r>
        <w:rPr>
          <w:lang w:val="en-US"/>
        </w:rPr>
        <w:t xml:space="preserve"> existing table </w:t>
      </w:r>
      <w:r w:rsidRPr="006772F9">
        <w:rPr>
          <w:i/>
          <w:iCs/>
          <w:lang w:val="en-US"/>
        </w:rPr>
        <w:t>read</w:t>
      </w:r>
    </w:p>
    <w:tbl>
      <w:tblPr>
        <w:tblW w:w="0" w:type="auto"/>
        <w:tblInd w:w="1134" w:type="dxa"/>
        <w:tblLayout w:type="fixed"/>
        <w:tblCellMar>
          <w:left w:w="70" w:type="dxa"/>
          <w:right w:w="70" w:type="dxa"/>
        </w:tblCellMar>
        <w:tblLook w:val="0000" w:firstRow="0" w:lastRow="0" w:firstColumn="0" w:lastColumn="0" w:noHBand="0" w:noVBand="0"/>
      </w:tblPr>
      <w:tblGrid>
        <w:gridCol w:w="567"/>
        <w:gridCol w:w="2835"/>
        <w:gridCol w:w="1418"/>
        <w:gridCol w:w="1559"/>
      </w:tblGrid>
      <w:tr w:rsidR="002C42E0" w:rsidRPr="00403D1F" w14:paraId="40BF37F9" w14:textId="77777777" w:rsidTr="00444411">
        <w:trPr>
          <w:cantSplit/>
        </w:trPr>
        <w:tc>
          <w:tcPr>
            <w:tcW w:w="3402" w:type="dxa"/>
            <w:gridSpan w:val="2"/>
            <w:shd w:val="clear" w:color="auto" w:fill="auto"/>
            <w:vAlign w:val="center"/>
          </w:tcPr>
          <w:p w14:paraId="4634A231" w14:textId="77777777" w:rsidR="002C42E0" w:rsidRPr="00403D1F" w:rsidRDefault="002C42E0" w:rsidP="00444411">
            <w:pPr>
              <w:tabs>
                <w:tab w:val="left" w:pos="2694"/>
              </w:tabs>
              <w:rPr>
                <w:b/>
              </w:rPr>
            </w:pPr>
            <w:r w:rsidRPr="00403D1F">
              <w:rPr>
                <w:b/>
              </w:rPr>
              <w:t>HEAT EXCHANGERS</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C3EFA54" w14:textId="77777777" w:rsidR="002C42E0" w:rsidRPr="00403D1F" w:rsidRDefault="002C42E0" w:rsidP="00444411">
            <w:pPr>
              <w:jc w:val="center"/>
              <w:rPr>
                <w:i/>
              </w:rPr>
            </w:pPr>
            <w:r w:rsidRPr="00403D1F">
              <w:rPr>
                <w:i/>
              </w:rPr>
              <w:t xml:space="preserve">Condenser </w:t>
            </w: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7166220" w14:textId="77777777" w:rsidR="002C42E0" w:rsidRPr="00403D1F" w:rsidRDefault="002C42E0" w:rsidP="00444411">
            <w:pPr>
              <w:spacing w:before="80" w:after="80"/>
              <w:jc w:val="center"/>
            </w:pPr>
            <w:r w:rsidRPr="00403D1F">
              <w:rPr>
                <w:i/>
              </w:rPr>
              <w:t>Evaporator</w:t>
            </w:r>
          </w:p>
        </w:tc>
      </w:tr>
      <w:tr w:rsidR="002C42E0" w:rsidRPr="00403D1F" w14:paraId="2A8BF608" w14:textId="77777777" w:rsidTr="00444411">
        <w:trPr>
          <w:cantSplit/>
        </w:trPr>
        <w:tc>
          <w:tcPr>
            <w:tcW w:w="3402"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14:paraId="02D316D7" w14:textId="77777777" w:rsidR="002C42E0" w:rsidRPr="00403D1F" w:rsidRDefault="002C42E0" w:rsidP="00444411">
            <w:pPr>
              <w:rPr>
                <w:color w:val="000000"/>
              </w:rPr>
            </w:pPr>
            <w:r w:rsidRPr="00403D1F">
              <w:t>Make-Type</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71FDF3D" w14:textId="77777777" w:rsidR="002C42E0" w:rsidRPr="00403D1F" w:rsidRDefault="002C42E0" w:rsidP="00444411">
            <w:pPr>
              <w:jc w:val="center"/>
              <w:rPr>
                <w:color w:val="000000"/>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CC41CA7" w14:textId="77777777" w:rsidR="002C42E0" w:rsidRPr="00403D1F" w:rsidRDefault="002C42E0" w:rsidP="00444411">
            <w:pPr>
              <w:jc w:val="center"/>
              <w:rPr>
                <w:color w:val="000000"/>
              </w:rPr>
            </w:pPr>
          </w:p>
        </w:tc>
      </w:tr>
      <w:tr w:rsidR="002C42E0" w:rsidRPr="00403D1F" w14:paraId="72767021" w14:textId="77777777" w:rsidTr="00444411">
        <w:trPr>
          <w:cantSplit/>
        </w:trPr>
        <w:tc>
          <w:tcPr>
            <w:tcW w:w="3402"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14:paraId="566A4FB2" w14:textId="77777777" w:rsidR="002C42E0" w:rsidRPr="00403D1F" w:rsidRDefault="002C42E0" w:rsidP="00444411">
            <w:pPr>
              <w:rPr>
                <w:color w:val="000000"/>
              </w:rPr>
            </w:pPr>
            <w:r w:rsidRPr="00403D1F">
              <w:t xml:space="preserve">Number of circuits </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78041BF" w14:textId="77777777" w:rsidR="002C42E0" w:rsidRPr="00403D1F" w:rsidRDefault="002C42E0" w:rsidP="00444411">
            <w:pPr>
              <w:jc w:val="center"/>
              <w:rPr>
                <w:color w:val="000000"/>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E670D50" w14:textId="77777777" w:rsidR="002C42E0" w:rsidRPr="00403D1F" w:rsidRDefault="002C42E0" w:rsidP="00444411">
            <w:pPr>
              <w:jc w:val="center"/>
            </w:pPr>
          </w:p>
        </w:tc>
      </w:tr>
      <w:tr w:rsidR="002C42E0" w:rsidRPr="00403D1F" w14:paraId="418DDAC4" w14:textId="77777777" w:rsidTr="00444411">
        <w:trPr>
          <w:cantSplit/>
        </w:trPr>
        <w:tc>
          <w:tcPr>
            <w:tcW w:w="3402"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14:paraId="44B8996D" w14:textId="77777777" w:rsidR="002C42E0" w:rsidRPr="00403D1F" w:rsidRDefault="002C42E0" w:rsidP="00444411">
            <w:r w:rsidRPr="00403D1F">
              <w:t xml:space="preserve">Number of rows </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8E2B2C0" w14:textId="77777777" w:rsidR="002C42E0" w:rsidRPr="00403D1F" w:rsidRDefault="002C42E0" w:rsidP="00444411">
            <w:pPr>
              <w:jc w:val="cente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BF06CE2" w14:textId="77777777" w:rsidR="002C42E0" w:rsidRPr="00403D1F" w:rsidRDefault="002C42E0" w:rsidP="00444411">
            <w:pPr>
              <w:jc w:val="center"/>
            </w:pPr>
          </w:p>
        </w:tc>
      </w:tr>
      <w:tr w:rsidR="002C42E0" w:rsidRPr="00403D1F" w14:paraId="1DE6A158" w14:textId="77777777" w:rsidTr="00444411">
        <w:trPr>
          <w:cantSplit/>
        </w:trPr>
        <w:tc>
          <w:tcPr>
            <w:tcW w:w="3402"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14:paraId="7A0E61AC" w14:textId="77777777" w:rsidR="002C42E0" w:rsidRPr="00403D1F" w:rsidRDefault="002C42E0" w:rsidP="00444411">
            <w:r w:rsidRPr="00403D1F">
              <w:t xml:space="preserve">Number of blankets  </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4C606D6" w14:textId="77777777" w:rsidR="002C42E0" w:rsidRPr="00403D1F" w:rsidRDefault="002C42E0" w:rsidP="00444411">
            <w:pPr>
              <w:jc w:val="cente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C010342" w14:textId="77777777" w:rsidR="002C42E0" w:rsidRPr="00403D1F" w:rsidRDefault="002C42E0" w:rsidP="00444411">
            <w:pPr>
              <w:jc w:val="center"/>
            </w:pPr>
          </w:p>
        </w:tc>
      </w:tr>
      <w:tr w:rsidR="002C42E0" w:rsidRPr="00403D1F" w14:paraId="3A662DD4" w14:textId="77777777" w:rsidTr="00444411">
        <w:trPr>
          <w:cantSplit/>
        </w:trPr>
        <w:tc>
          <w:tcPr>
            <w:tcW w:w="3402"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14:paraId="33C86072" w14:textId="77777777" w:rsidR="002C42E0" w:rsidRPr="00403D1F" w:rsidRDefault="002C42E0" w:rsidP="00444411">
            <w:r w:rsidRPr="00403D1F">
              <w:t xml:space="preserve">Number of tubes </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928C716" w14:textId="77777777" w:rsidR="002C42E0" w:rsidRPr="00403D1F" w:rsidRDefault="002C42E0" w:rsidP="00444411">
            <w:pPr>
              <w:jc w:val="cente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C6A7062" w14:textId="77777777" w:rsidR="002C42E0" w:rsidRPr="00403D1F" w:rsidRDefault="002C42E0" w:rsidP="00444411">
            <w:pPr>
              <w:jc w:val="center"/>
            </w:pPr>
          </w:p>
        </w:tc>
      </w:tr>
      <w:tr w:rsidR="002C42E0" w:rsidRPr="00403D1F" w14:paraId="6A290492" w14:textId="77777777" w:rsidTr="00444411">
        <w:trPr>
          <w:cantSplit/>
        </w:trPr>
        <w:tc>
          <w:tcPr>
            <w:tcW w:w="3402"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14:paraId="7CF8E9C4" w14:textId="77777777" w:rsidR="002C42E0" w:rsidRPr="00403D1F" w:rsidRDefault="002C42E0" w:rsidP="00444411">
            <w:r w:rsidRPr="00403D1F">
              <w:t>Fin pitch</w:t>
            </w:r>
            <w:r w:rsidRPr="00403D1F">
              <w:rPr>
                <w:i/>
              </w:rPr>
              <w:t xml:space="preserve"> </w:t>
            </w:r>
            <w:r w:rsidRPr="00403D1F">
              <w:t>[mm]</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42CF68A" w14:textId="77777777" w:rsidR="002C42E0" w:rsidRPr="00403D1F" w:rsidRDefault="002C42E0" w:rsidP="00444411">
            <w:pPr>
              <w:jc w:val="cente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BFB1386" w14:textId="77777777" w:rsidR="002C42E0" w:rsidRPr="00403D1F" w:rsidRDefault="002C42E0" w:rsidP="00444411">
            <w:pPr>
              <w:jc w:val="center"/>
            </w:pPr>
          </w:p>
        </w:tc>
      </w:tr>
      <w:tr w:rsidR="002C42E0" w:rsidRPr="00403D1F" w14:paraId="6A8FC736" w14:textId="77777777" w:rsidTr="00444411">
        <w:trPr>
          <w:cantSplit/>
        </w:trPr>
        <w:tc>
          <w:tcPr>
            <w:tcW w:w="3402"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14:paraId="42A14FD9" w14:textId="77777777" w:rsidR="002C42E0" w:rsidRPr="00403D1F" w:rsidRDefault="002C42E0" w:rsidP="00444411">
            <w:pPr>
              <w:rPr>
                <w:lang w:val="en-US"/>
              </w:rPr>
            </w:pPr>
            <w:proofErr w:type="gramStart"/>
            <w:r w:rsidRPr="00403D1F">
              <w:rPr>
                <w:lang w:val="en-US"/>
              </w:rPr>
              <w:t>Tube :</w:t>
            </w:r>
            <w:proofErr w:type="gramEnd"/>
            <w:r w:rsidRPr="00403D1F">
              <w:rPr>
                <w:lang w:val="en-US"/>
              </w:rPr>
              <w:t xml:space="preserve"> nature and diameter [mm]</w:t>
            </w:r>
            <w:r w:rsidRPr="00993E36">
              <w:rPr>
                <w:vertAlign w:val="superscript"/>
                <w:lang w:val="en-US"/>
              </w:rPr>
              <w:t>2</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1810682" w14:textId="77777777" w:rsidR="002C42E0" w:rsidRPr="00403D1F" w:rsidRDefault="002C42E0" w:rsidP="00444411">
            <w:pPr>
              <w:jc w:val="center"/>
              <w:rPr>
                <w:lang w:val="en-US"/>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DE3786E" w14:textId="77777777" w:rsidR="002C42E0" w:rsidRPr="00403D1F" w:rsidRDefault="002C42E0" w:rsidP="00444411">
            <w:pPr>
              <w:jc w:val="center"/>
              <w:rPr>
                <w:lang w:val="en-US"/>
              </w:rPr>
            </w:pPr>
          </w:p>
        </w:tc>
      </w:tr>
      <w:tr w:rsidR="002C42E0" w:rsidRPr="00403D1F" w14:paraId="0B11AB08" w14:textId="77777777" w:rsidTr="00444411">
        <w:trPr>
          <w:cantSplit/>
        </w:trPr>
        <w:tc>
          <w:tcPr>
            <w:tcW w:w="3402"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14:paraId="28DA45C0" w14:textId="77777777" w:rsidR="002C42E0" w:rsidRPr="00403D1F" w:rsidRDefault="002C42E0" w:rsidP="00444411">
            <w:r w:rsidRPr="00403D1F">
              <w:t>Total exchange surface [m²]</w:t>
            </w:r>
            <w:r w:rsidRPr="00993E36">
              <w:rPr>
                <w:vertAlign w:val="superscript"/>
                <w:lang w:val="en-US"/>
              </w:rPr>
              <w:t>2</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8B29623" w14:textId="77777777" w:rsidR="002C42E0" w:rsidRPr="00403D1F" w:rsidRDefault="002C42E0" w:rsidP="00444411">
            <w:pPr>
              <w:jc w:val="cente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636B02E" w14:textId="77777777" w:rsidR="002C42E0" w:rsidRPr="00403D1F" w:rsidRDefault="002C42E0" w:rsidP="00444411">
            <w:pPr>
              <w:jc w:val="center"/>
            </w:pPr>
          </w:p>
        </w:tc>
      </w:tr>
      <w:tr w:rsidR="002C42E0" w:rsidRPr="00403D1F" w14:paraId="5F970077" w14:textId="77777777" w:rsidTr="00444411">
        <w:trPr>
          <w:cantSplit/>
        </w:trPr>
        <w:tc>
          <w:tcPr>
            <w:tcW w:w="3402"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14:paraId="3FDB0EF9" w14:textId="77777777" w:rsidR="002C42E0" w:rsidRPr="00403D1F" w:rsidRDefault="002C42E0" w:rsidP="00444411">
            <w:r w:rsidRPr="00403D1F">
              <w:t>Face area [m²]</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1DA41B8" w14:textId="77777777" w:rsidR="002C42E0" w:rsidRPr="00403D1F" w:rsidRDefault="002C42E0" w:rsidP="00444411">
            <w:pPr>
              <w:jc w:val="cente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D1812D3" w14:textId="77777777" w:rsidR="002C42E0" w:rsidRPr="00403D1F" w:rsidRDefault="002C42E0" w:rsidP="00444411">
            <w:pPr>
              <w:jc w:val="center"/>
            </w:pPr>
          </w:p>
        </w:tc>
      </w:tr>
      <w:tr w:rsidR="002C42E0" w:rsidRPr="00403D1F" w14:paraId="4ED8BD2E" w14:textId="77777777" w:rsidTr="00444411">
        <w:trPr>
          <w:cantSplit/>
        </w:trPr>
        <w:tc>
          <w:tcPr>
            <w:tcW w:w="567" w:type="dxa"/>
            <w:vMerge w:val="restart"/>
            <w:tcBorders>
              <w:left w:val="single" w:sz="6" w:space="0" w:color="00000A"/>
              <w:bottom w:val="single" w:sz="6" w:space="0" w:color="00000A"/>
              <w:right w:val="single" w:sz="6" w:space="0" w:color="00000A"/>
            </w:tcBorders>
            <w:shd w:val="clear" w:color="auto" w:fill="auto"/>
            <w:textDirection w:val="btLr"/>
            <w:vAlign w:val="center"/>
          </w:tcPr>
          <w:p w14:paraId="3EF9D0F0" w14:textId="77777777" w:rsidR="002C42E0" w:rsidRPr="00403D1F" w:rsidRDefault="002C42E0" w:rsidP="00444411">
            <w:pPr>
              <w:ind w:left="113" w:right="113"/>
              <w:jc w:val="center"/>
            </w:pPr>
            <w:r w:rsidRPr="00403D1F">
              <w:t>FANS</w:t>
            </w:r>
          </w:p>
        </w:tc>
        <w:tc>
          <w:tcPr>
            <w:tcW w:w="2835"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0D15CC2" w14:textId="77777777" w:rsidR="002C42E0" w:rsidRPr="00403D1F" w:rsidRDefault="002C42E0" w:rsidP="00444411">
            <w:r w:rsidRPr="00403D1F">
              <w:t xml:space="preserve">Make-Type </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AE04296" w14:textId="77777777" w:rsidR="002C42E0" w:rsidRPr="00403D1F" w:rsidRDefault="002C42E0" w:rsidP="00444411">
            <w:pPr>
              <w:jc w:val="cente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867529B" w14:textId="77777777" w:rsidR="002C42E0" w:rsidRPr="00403D1F" w:rsidRDefault="002C42E0" w:rsidP="00444411">
            <w:pPr>
              <w:jc w:val="center"/>
            </w:pPr>
          </w:p>
        </w:tc>
      </w:tr>
      <w:tr w:rsidR="002C42E0" w:rsidRPr="00403D1F" w14:paraId="419CF13E" w14:textId="77777777" w:rsidTr="00444411">
        <w:trPr>
          <w:cantSplit/>
        </w:trPr>
        <w:tc>
          <w:tcPr>
            <w:tcW w:w="567" w:type="dxa"/>
            <w:vMerge/>
            <w:tcBorders>
              <w:left w:val="single" w:sz="6" w:space="0" w:color="00000A"/>
              <w:bottom w:val="single" w:sz="6" w:space="0" w:color="00000A"/>
              <w:right w:val="single" w:sz="6" w:space="0" w:color="00000A"/>
            </w:tcBorders>
            <w:shd w:val="clear" w:color="auto" w:fill="auto"/>
            <w:vAlign w:val="center"/>
          </w:tcPr>
          <w:p w14:paraId="6BDE6261" w14:textId="77777777" w:rsidR="002C42E0" w:rsidRPr="00403D1F" w:rsidRDefault="002C42E0" w:rsidP="00444411"/>
        </w:tc>
        <w:tc>
          <w:tcPr>
            <w:tcW w:w="2835"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D7106D1" w14:textId="77777777" w:rsidR="002C42E0" w:rsidRPr="00403D1F" w:rsidRDefault="002C42E0" w:rsidP="00444411">
            <w:r w:rsidRPr="00403D1F">
              <w:t>Number</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41F6934" w14:textId="77777777" w:rsidR="002C42E0" w:rsidRPr="00403D1F" w:rsidRDefault="002C42E0" w:rsidP="00444411">
            <w:pPr>
              <w:jc w:val="cente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413AB3C" w14:textId="77777777" w:rsidR="002C42E0" w:rsidRPr="00403D1F" w:rsidRDefault="002C42E0" w:rsidP="00444411">
            <w:pPr>
              <w:jc w:val="center"/>
            </w:pPr>
          </w:p>
        </w:tc>
      </w:tr>
      <w:tr w:rsidR="002C42E0" w:rsidRPr="00403D1F" w14:paraId="09D32CA6" w14:textId="77777777" w:rsidTr="00444411">
        <w:trPr>
          <w:cantSplit/>
        </w:trPr>
        <w:tc>
          <w:tcPr>
            <w:tcW w:w="567" w:type="dxa"/>
            <w:vMerge/>
            <w:tcBorders>
              <w:left w:val="single" w:sz="6" w:space="0" w:color="00000A"/>
              <w:bottom w:val="single" w:sz="6" w:space="0" w:color="00000A"/>
              <w:right w:val="single" w:sz="6" w:space="0" w:color="00000A"/>
            </w:tcBorders>
            <w:shd w:val="clear" w:color="auto" w:fill="auto"/>
            <w:vAlign w:val="center"/>
          </w:tcPr>
          <w:p w14:paraId="3CDFA633" w14:textId="77777777" w:rsidR="002C42E0" w:rsidRPr="00403D1F" w:rsidRDefault="002C42E0" w:rsidP="00444411"/>
        </w:tc>
        <w:tc>
          <w:tcPr>
            <w:tcW w:w="2835"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AF7C1B9" w14:textId="77777777" w:rsidR="002C42E0" w:rsidRPr="00403D1F" w:rsidRDefault="002C42E0" w:rsidP="00444411">
            <w:r w:rsidRPr="00403D1F">
              <w:t xml:space="preserve">Blade per fan </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DCFD62F" w14:textId="77777777" w:rsidR="002C42E0" w:rsidRPr="00403D1F" w:rsidRDefault="002C42E0" w:rsidP="00444411">
            <w:pPr>
              <w:jc w:val="cente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958AC34" w14:textId="77777777" w:rsidR="002C42E0" w:rsidRPr="00403D1F" w:rsidRDefault="002C42E0" w:rsidP="00444411">
            <w:pPr>
              <w:jc w:val="center"/>
            </w:pPr>
          </w:p>
        </w:tc>
      </w:tr>
      <w:tr w:rsidR="002C42E0" w:rsidRPr="00403D1F" w14:paraId="337B041F" w14:textId="77777777" w:rsidTr="00444411">
        <w:trPr>
          <w:cantSplit/>
        </w:trPr>
        <w:tc>
          <w:tcPr>
            <w:tcW w:w="567" w:type="dxa"/>
            <w:vMerge/>
            <w:tcBorders>
              <w:left w:val="single" w:sz="6" w:space="0" w:color="00000A"/>
              <w:bottom w:val="single" w:sz="6" w:space="0" w:color="00000A"/>
              <w:right w:val="single" w:sz="6" w:space="0" w:color="00000A"/>
            </w:tcBorders>
            <w:shd w:val="clear" w:color="auto" w:fill="auto"/>
            <w:vAlign w:val="center"/>
          </w:tcPr>
          <w:p w14:paraId="0564830C" w14:textId="77777777" w:rsidR="002C42E0" w:rsidRPr="00403D1F" w:rsidRDefault="002C42E0" w:rsidP="00444411"/>
        </w:tc>
        <w:tc>
          <w:tcPr>
            <w:tcW w:w="2835" w:type="dxa"/>
            <w:tcBorders>
              <w:top w:val="single" w:sz="6" w:space="0" w:color="00000A"/>
              <w:left w:val="single" w:sz="6" w:space="0" w:color="00000A"/>
              <w:right w:val="single" w:sz="6" w:space="0" w:color="00000A"/>
            </w:tcBorders>
            <w:shd w:val="clear" w:color="auto" w:fill="auto"/>
            <w:vAlign w:val="center"/>
          </w:tcPr>
          <w:p w14:paraId="7C04134F" w14:textId="77777777" w:rsidR="002C42E0" w:rsidRPr="00403D1F" w:rsidRDefault="002C42E0" w:rsidP="00444411">
            <w:r w:rsidRPr="00403D1F">
              <w:t xml:space="preserve">Diameter [mm] </w:t>
            </w:r>
          </w:p>
        </w:tc>
        <w:tc>
          <w:tcPr>
            <w:tcW w:w="1418" w:type="dxa"/>
            <w:tcBorders>
              <w:top w:val="single" w:sz="6" w:space="0" w:color="00000A"/>
              <w:left w:val="single" w:sz="6" w:space="0" w:color="00000A"/>
              <w:right w:val="single" w:sz="6" w:space="0" w:color="00000A"/>
            </w:tcBorders>
            <w:shd w:val="clear" w:color="auto" w:fill="auto"/>
            <w:vAlign w:val="center"/>
          </w:tcPr>
          <w:p w14:paraId="4365C77E" w14:textId="77777777" w:rsidR="002C42E0" w:rsidRPr="00403D1F" w:rsidRDefault="002C42E0" w:rsidP="00444411">
            <w:pPr>
              <w:jc w:val="center"/>
            </w:pPr>
          </w:p>
        </w:tc>
        <w:tc>
          <w:tcPr>
            <w:tcW w:w="1559" w:type="dxa"/>
            <w:tcBorders>
              <w:top w:val="single" w:sz="6" w:space="0" w:color="00000A"/>
              <w:left w:val="single" w:sz="6" w:space="0" w:color="00000A"/>
              <w:right w:val="single" w:sz="6" w:space="0" w:color="00000A"/>
            </w:tcBorders>
            <w:shd w:val="clear" w:color="auto" w:fill="auto"/>
            <w:vAlign w:val="center"/>
          </w:tcPr>
          <w:p w14:paraId="32A3081D" w14:textId="77777777" w:rsidR="002C42E0" w:rsidRPr="00403D1F" w:rsidRDefault="002C42E0" w:rsidP="00444411">
            <w:pPr>
              <w:jc w:val="center"/>
            </w:pPr>
          </w:p>
        </w:tc>
      </w:tr>
      <w:tr w:rsidR="002C42E0" w:rsidRPr="00403D1F" w14:paraId="3C4E40D1" w14:textId="77777777" w:rsidTr="00444411">
        <w:trPr>
          <w:cantSplit/>
        </w:trPr>
        <w:tc>
          <w:tcPr>
            <w:tcW w:w="567" w:type="dxa"/>
            <w:vMerge/>
            <w:tcBorders>
              <w:left w:val="single" w:sz="6" w:space="0" w:color="00000A"/>
              <w:bottom w:val="single" w:sz="6" w:space="0" w:color="00000A"/>
              <w:right w:val="single" w:sz="6" w:space="0" w:color="00000A"/>
            </w:tcBorders>
            <w:shd w:val="clear" w:color="auto" w:fill="auto"/>
            <w:vAlign w:val="center"/>
          </w:tcPr>
          <w:p w14:paraId="1159ECF6" w14:textId="77777777" w:rsidR="002C42E0" w:rsidRPr="00403D1F" w:rsidRDefault="002C42E0" w:rsidP="00444411"/>
        </w:tc>
        <w:tc>
          <w:tcPr>
            <w:tcW w:w="2835"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1E448B9" w14:textId="77777777" w:rsidR="002C42E0" w:rsidRPr="00403D1F" w:rsidRDefault="002C42E0" w:rsidP="00444411">
            <w:r w:rsidRPr="00403D1F">
              <w:t>Power [W]</w:t>
            </w:r>
            <w:r w:rsidRPr="00993E36">
              <w:rPr>
                <w:vertAlign w:val="superscript"/>
                <w:lang w:val="en-US"/>
              </w:rPr>
              <w:t>2</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DC6B340" w14:textId="77777777" w:rsidR="002C42E0" w:rsidRPr="00403D1F" w:rsidRDefault="002C42E0" w:rsidP="00444411">
            <w:pPr>
              <w:jc w:val="cente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AD79A7A" w14:textId="77777777" w:rsidR="002C42E0" w:rsidRPr="00403D1F" w:rsidRDefault="002C42E0" w:rsidP="00444411">
            <w:pPr>
              <w:jc w:val="center"/>
            </w:pPr>
          </w:p>
        </w:tc>
      </w:tr>
      <w:tr w:rsidR="002C42E0" w:rsidRPr="00403D1F" w14:paraId="79D6EF36" w14:textId="77777777" w:rsidTr="00444411">
        <w:trPr>
          <w:cantSplit/>
        </w:trPr>
        <w:tc>
          <w:tcPr>
            <w:tcW w:w="567" w:type="dxa"/>
            <w:vMerge/>
            <w:tcBorders>
              <w:left w:val="single" w:sz="6" w:space="0" w:color="00000A"/>
              <w:bottom w:val="single" w:sz="6" w:space="0" w:color="00000A"/>
              <w:right w:val="single" w:sz="6" w:space="0" w:color="00000A"/>
            </w:tcBorders>
            <w:shd w:val="clear" w:color="auto" w:fill="auto"/>
            <w:vAlign w:val="center"/>
          </w:tcPr>
          <w:p w14:paraId="21196D91" w14:textId="77777777" w:rsidR="002C42E0" w:rsidRPr="00403D1F" w:rsidRDefault="002C42E0" w:rsidP="00444411"/>
        </w:tc>
        <w:tc>
          <w:tcPr>
            <w:tcW w:w="2835"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78D0CC5" w14:textId="77777777" w:rsidR="002C42E0" w:rsidRPr="00403D1F" w:rsidRDefault="002C42E0" w:rsidP="00444411">
            <w:r w:rsidRPr="00403D1F">
              <w:t>Nominal speed [rpm]</w:t>
            </w:r>
            <w:r w:rsidRPr="00993E36">
              <w:rPr>
                <w:vertAlign w:val="superscript"/>
                <w:lang w:val="en-US"/>
              </w:rPr>
              <w:t>2</w:t>
            </w:r>
            <w:r w:rsidRPr="00403D1F">
              <w:rPr>
                <w:i/>
              </w:rPr>
              <w:t xml:space="preserve"> </w:t>
            </w:r>
          </w:p>
          <w:p w14:paraId="292FCB24" w14:textId="77777777" w:rsidR="002C42E0" w:rsidRPr="00403D1F" w:rsidRDefault="002C42E0" w:rsidP="00444411"/>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990FB4C" w14:textId="77777777" w:rsidR="002C42E0" w:rsidRPr="00403D1F" w:rsidRDefault="002C42E0" w:rsidP="00444411">
            <w:pPr>
              <w:jc w:val="cente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A055692" w14:textId="77777777" w:rsidR="002C42E0" w:rsidRPr="00403D1F" w:rsidRDefault="002C42E0" w:rsidP="00444411">
            <w:pPr>
              <w:jc w:val="center"/>
            </w:pPr>
          </w:p>
        </w:tc>
      </w:tr>
      <w:tr w:rsidR="002C42E0" w:rsidRPr="00403D1F" w14:paraId="59D83293" w14:textId="77777777" w:rsidTr="00444411">
        <w:trPr>
          <w:cantSplit/>
        </w:trPr>
        <w:tc>
          <w:tcPr>
            <w:tcW w:w="567" w:type="dxa"/>
            <w:vMerge/>
            <w:tcBorders>
              <w:left w:val="single" w:sz="6" w:space="0" w:color="00000A"/>
              <w:bottom w:val="single" w:sz="6" w:space="0" w:color="00000A"/>
              <w:right w:val="single" w:sz="6" w:space="0" w:color="00000A"/>
            </w:tcBorders>
            <w:shd w:val="clear" w:color="auto" w:fill="auto"/>
            <w:vAlign w:val="center"/>
          </w:tcPr>
          <w:p w14:paraId="45A3D218" w14:textId="77777777" w:rsidR="002C42E0" w:rsidRPr="00403D1F" w:rsidRDefault="002C42E0" w:rsidP="00444411"/>
        </w:tc>
        <w:tc>
          <w:tcPr>
            <w:tcW w:w="2835"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8BFB6B7" w14:textId="77777777" w:rsidR="002C42E0" w:rsidRPr="00403D1F" w:rsidRDefault="002C42E0" w:rsidP="00444411">
            <w:pPr>
              <w:spacing w:after="120" w:line="240" w:lineRule="auto"/>
              <w:rPr>
                <w:lang w:val="en-US"/>
              </w:rPr>
            </w:pPr>
            <w:r w:rsidRPr="00403D1F">
              <w:rPr>
                <w:lang w:val="en-US"/>
              </w:rPr>
              <w:t>Total nominal output airflow [m</w:t>
            </w:r>
            <w:r w:rsidRPr="00403D1F">
              <w:rPr>
                <w:position w:val="6"/>
                <w:lang w:val="en-US"/>
              </w:rPr>
              <w:t>3</w:t>
            </w:r>
            <w:r w:rsidRPr="00403D1F">
              <w:rPr>
                <w:lang w:val="en-US"/>
              </w:rPr>
              <w:t>/h] at a pressure of 0 Pa</w:t>
            </w:r>
            <w:r w:rsidRPr="00993E36">
              <w:rPr>
                <w:vertAlign w:val="superscript"/>
                <w:lang w:val="en-US"/>
              </w:rPr>
              <w:t>2</w:t>
            </w:r>
            <w:r w:rsidRPr="00403D1F">
              <w:rPr>
                <w:lang w:val="en-US"/>
              </w:rPr>
              <w:t xml:space="preserve"> </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DD155B6" w14:textId="77777777" w:rsidR="002C42E0" w:rsidRPr="00403D1F" w:rsidRDefault="002C42E0" w:rsidP="00444411">
            <w:pPr>
              <w:jc w:val="center"/>
              <w:rPr>
                <w:lang w:val="en-US"/>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2D1E8AE" w14:textId="77777777" w:rsidR="002C42E0" w:rsidRPr="00403D1F" w:rsidRDefault="002C42E0" w:rsidP="00444411">
            <w:pPr>
              <w:jc w:val="center"/>
              <w:rPr>
                <w:lang w:val="en-US"/>
              </w:rPr>
            </w:pPr>
          </w:p>
        </w:tc>
      </w:tr>
      <w:tr w:rsidR="002C42E0" w:rsidRPr="00403D1F" w14:paraId="2B1F017F" w14:textId="77777777" w:rsidTr="00444411">
        <w:trPr>
          <w:cantSplit/>
        </w:trPr>
        <w:tc>
          <w:tcPr>
            <w:tcW w:w="567" w:type="dxa"/>
            <w:vMerge/>
            <w:tcBorders>
              <w:left w:val="single" w:sz="6" w:space="0" w:color="00000A"/>
              <w:bottom w:val="single" w:sz="6" w:space="0" w:color="00000A"/>
              <w:right w:val="single" w:sz="6" w:space="0" w:color="00000A"/>
            </w:tcBorders>
            <w:shd w:val="clear" w:color="auto" w:fill="auto"/>
            <w:vAlign w:val="center"/>
          </w:tcPr>
          <w:p w14:paraId="561929A9" w14:textId="77777777" w:rsidR="002C42E0" w:rsidRPr="00403D1F" w:rsidRDefault="002C42E0" w:rsidP="00444411"/>
        </w:tc>
        <w:tc>
          <w:tcPr>
            <w:tcW w:w="2835"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E6026B1" w14:textId="77777777" w:rsidR="002C42E0" w:rsidRPr="00403D1F" w:rsidRDefault="002C42E0" w:rsidP="00444411">
            <w:pPr>
              <w:rPr>
                <w:lang w:val="en-US"/>
              </w:rPr>
            </w:pPr>
            <w:r w:rsidRPr="00403D1F">
              <w:rPr>
                <w:lang w:val="en-US"/>
              </w:rPr>
              <w:t>Method of drive</w:t>
            </w:r>
          </w:p>
          <w:p w14:paraId="69B91629" w14:textId="77777777" w:rsidR="002C42E0" w:rsidRPr="00403D1F" w:rsidRDefault="002C42E0" w:rsidP="00444411">
            <w:pPr>
              <w:spacing w:after="240"/>
              <w:rPr>
                <w:i/>
                <w:lang w:val="en-US"/>
              </w:rPr>
            </w:pPr>
            <w:r w:rsidRPr="00403D1F">
              <w:rPr>
                <w:lang w:val="en-US"/>
              </w:rPr>
              <w:t>(Description direct current / alternative, frequency, etc.)</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C941622" w14:textId="77777777" w:rsidR="002C42E0" w:rsidRPr="00403D1F" w:rsidRDefault="002C42E0" w:rsidP="00444411">
            <w:pPr>
              <w:jc w:val="center"/>
              <w:rPr>
                <w:i/>
                <w:lang w:val="en-US"/>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821FE20" w14:textId="77777777" w:rsidR="002C42E0" w:rsidRPr="00403D1F" w:rsidRDefault="002C42E0" w:rsidP="00444411">
            <w:pPr>
              <w:jc w:val="center"/>
              <w:rPr>
                <w:i/>
                <w:lang w:val="en-US"/>
              </w:rPr>
            </w:pPr>
          </w:p>
        </w:tc>
      </w:tr>
    </w:tbl>
    <w:p w14:paraId="5F891FE1" w14:textId="77777777" w:rsidR="002C42E0" w:rsidRDefault="002C42E0" w:rsidP="002C42E0">
      <w:pPr>
        <w:pStyle w:val="H23G"/>
        <w:rPr>
          <w:rFonts w:eastAsia="SimSun"/>
          <w:bCs/>
          <w:lang w:val="en-US"/>
        </w:rPr>
      </w:pPr>
      <w:r>
        <w:tab/>
        <w:t>3.</w:t>
      </w:r>
      <w:r>
        <w:tab/>
        <w:t xml:space="preserve">Page 28, Model No.13, </w:t>
      </w:r>
      <w:r>
        <w:rPr>
          <w:bCs/>
          <w:spacing w:val="4"/>
          <w:w w:val="103"/>
          <w:kern w:val="14"/>
          <w:lang w:eastAsia="zh-CN"/>
        </w:rPr>
        <w:t>footnote 2</w:t>
      </w:r>
    </w:p>
    <w:p w14:paraId="2A98E42A" w14:textId="77777777" w:rsidR="002C42E0" w:rsidRDefault="002C42E0" w:rsidP="002C42E0">
      <w:pPr>
        <w:pStyle w:val="SingleTxtG"/>
        <w:rPr>
          <w:lang w:val="en-US"/>
        </w:rPr>
      </w:pPr>
      <w:r w:rsidRPr="006772F9">
        <w:rPr>
          <w:i/>
          <w:iCs/>
          <w:lang w:val="en-US"/>
        </w:rPr>
        <w:t>For</w:t>
      </w:r>
      <w:r>
        <w:rPr>
          <w:lang w:val="en-US"/>
        </w:rPr>
        <w:t xml:space="preserve"> </w:t>
      </w:r>
      <w:r w:rsidRPr="00993E36">
        <w:rPr>
          <w:iCs/>
          <w:lang w:val="en-US"/>
        </w:rPr>
        <w:t>Value indicated by the manufacturer</w:t>
      </w:r>
      <w:r w:rsidRPr="006772F9">
        <w:rPr>
          <w:i/>
          <w:iCs/>
          <w:lang w:val="en-US"/>
        </w:rPr>
        <w:t xml:space="preserve"> read</w:t>
      </w:r>
      <w:r>
        <w:rPr>
          <w:i/>
          <w:iCs/>
          <w:lang w:val="en-US"/>
        </w:rPr>
        <w:t xml:space="preserve"> </w:t>
      </w:r>
      <w:r w:rsidRPr="0029126B">
        <w:t>Information indicated by the manufacturer</w:t>
      </w:r>
      <w:r w:rsidRPr="00D73DBB">
        <w:rPr>
          <w:lang w:val="en-US"/>
        </w:rPr>
        <w:tab/>
      </w:r>
    </w:p>
    <w:p w14:paraId="1E2F7C27" w14:textId="6E2BC29B" w:rsidR="00916DC5" w:rsidRPr="00D73DBB" w:rsidRDefault="00916DC5" w:rsidP="00DF3CD6">
      <w:pPr>
        <w:pStyle w:val="HChG"/>
        <w:tabs>
          <w:tab w:val="right" w:pos="8505"/>
        </w:tabs>
        <w:rPr>
          <w:lang w:val="en-US"/>
        </w:rPr>
      </w:pPr>
      <w:r w:rsidRPr="00D73DBB">
        <w:rPr>
          <w:lang w:val="en-US"/>
        </w:rPr>
        <w:tab/>
      </w:r>
      <w:bookmarkStart w:id="23" w:name="_Toc432670211"/>
      <w:bookmarkStart w:id="24" w:name="_Toc528147020"/>
      <w:bookmarkStart w:id="25" w:name="_Hlk23768039"/>
      <w:r w:rsidRPr="00D73DBB">
        <w:rPr>
          <w:lang w:val="en-US"/>
        </w:rPr>
        <w:t>Annex I</w:t>
      </w:r>
      <w:bookmarkEnd w:id="23"/>
      <w:bookmarkEnd w:id="24"/>
      <w:r w:rsidR="00DE135E">
        <w:rPr>
          <w:lang w:val="en-US"/>
        </w:rPr>
        <w:t>I</w:t>
      </w:r>
      <w:r w:rsidR="00DF3CD6">
        <w:rPr>
          <w:lang w:val="en-US"/>
        </w:rPr>
        <w:br/>
      </w:r>
      <w:r w:rsidR="00DF3CD6">
        <w:rPr>
          <w:b w:val="0"/>
          <w:bCs/>
          <w:sz w:val="20"/>
        </w:rPr>
        <w:tab/>
      </w:r>
      <w:r w:rsidR="00DF3CD6" w:rsidRPr="00DF3CD6">
        <w:rPr>
          <w:b w:val="0"/>
          <w:bCs/>
          <w:sz w:val="20"/>
        </w:rPr>
        <w:t>[Original: English and French]</w:t>
      </w:r>
    </w:p>
    <w:bookmarkEnd w:id="25"/>
    <w:p w14:paraId="1EBAB3D2" w14:textId="427FC97B" w:rsidR="00916DC5" w:rsidRPr="00D73DBB" w:rsidRDefault="00916DC5" w:rsidP="00916DC5">
      <w:pPr>
        <w:pStyle w:val="HChG"/>
        <w:rPr>
          <w:lang w:val="en-US"/>
        </w:rPr>
      </w:pPr>
      <w:r w:rsidRPr="00D73DBB">
        <w:tab/>
      </w:r>
      <w:r w:rsidRPr="00D73DBB">
        <w:tab/>
      </w:r>
      <w:bookmarkStart w:id="26" w:name="_Toc432670212"/>
      <w:bookmarkStart w:id="27" w:name="_Toc528147021"/>
      <w:r w:rsidRPr="00D73DBB">
        <w:t>Proposed</w:t>
      </w:r>
      <w:r w:rsidRPr="00D73DBB">
        <w:rPr>
          <w:lang w:val="en-US"/>
        </w:rPr>
        <w:t xml:space="preserve"> amendments to ATP</w:t>
      </w:r>
      <w:bookmarkEnd w:id="26"/>
      <w:bookmarkEnd w:id="27"/>
    </w:p>
    <w:p w14:paraId="4DB730EE" w14:textId="77777777" w:rsidR="00DE5BCE" w:rsidRPr="009B5914" w:rsidRDefault="00DE5BCE" w:rsidP="00DE5BCE">
      <w:pPr>
        <w:pStyle w:val="H23G"/>
        <w:rPr>
          <w:spacing w:val="4"/>
          <w:w w:val="103"/>
          <w:kern w:val="14"/>
          <w:lang w:eastAsia="zh-CN"/>
        </w:rPr>
      </w:pPr>
      <w:bookmarkStart w:id="28" w:name="_Toc401568282"/>
      <w:bookmarkStart w:id="29" w:name="_Toc401568687"/>
      <w:r>
        <w:rPr>
          <w:spacing w:val="4"/>
          <w:w w:val="103"/>
          <w:kern w:val="14"/>
          <w:lang w:eastAsia="zh-CN"/>
        </w:rPr>
        <w:tab/>
      </w:r>
      <w:r w:rsidRPr="00FB14E2">
        <w:rPr>
          <w:spacing w:val="4"/>
          <w:w w:val="103"/>
          <w:kern w:val="14"/>
          <w:lang w:eastAsia="zh-CN"/>
        </w:rPr>
        <w:t>1.</w:t>
      </w:r>
      <w:r w:rsidRPr="00FB14E2">
        <w:rPr>
          <w:spacing w:val="4"/>
          <w:w w:val="103"/>
          <w:kern w:val="14"/>
          <w:lang w:eastAsia="zh-CN"/>
        </w:rPr>
        <w:tab/>
      </w:r>
      <w:r w:rsidRPr="009B5914">
        <w:rPr>
          <w:spacing w:val="4"/>
          <w:w w:val="103"/>
          <w:kern w:val="14"/>
          <w:lang w:eastAsia="zh-CN"/>
        </w:rPr>
        <w:t>Annex 1, appendix 2, section 6.5</w:t>
      </w:r>
    </w:p>
    <w:p w14:paraId="07DCE64B" w14:textId="77777777" w:rsidR="00DE5BCE" w:rsidRDefault="00DE5BCE" w:rsidP="00DE5BCE">
      <w:pPr>
        <w:pStyle w:val="SingleTxtG"/>
        <w:keepNext/>
        <w:keepLines/>
        <w:rPr>
          <w:lang w:val="en-US"/>
        </w:rPr>
      </w:pPr>
      <w:r>
        <w:rPr>
          <w:lang w:val="en-US"/>
        </w:rPr>
        <w:t>A</w:t>
      </w:r>
      <w:r w:rsidRPr="009B5914">
        <w:rPr>
          <w:lang w:val="en-US"/>
        </w:rPr>
        <w:t xml:space="preserve">mend </w:t>
      </w:r>
      <w:r>
        <w:rPr>
          <w:lang w:val="en-US"/>
        </w:rPr>
        <w:t xml:space="preserve">the two last paragraphs </w:t>
      </w:r>
      <w:r w:rsidRPr="009B5914">
        <w:rPr>
          <w:lang w:val="en-US"/>
        </w:rPr>
        <w:t xml:space="preserve">to read as follows: </w:t>
      </w:r>
    </w:p>
    <w:p w14:paraId="407B77D4" w14:textId="77777777" w:rsidR="00DE5BCE" w:rsidRDefault="00DE5BCE" w:rsidP="00DE5BCE">
      <w:pPr>
        <w:pStyle w:val="SingleTxtG"/>
        <w:keepNext/>
        <w:keepLines/>
      </w:pPr>
      <w:r>
        <w:t>“For measuring the outside temperature of the body (</w:t>
      </w:r>
      <w:proofErr w:type="spellStart"/>
      <w:r>
        <w:t>Te</w:t>
      </w:r>
      <w:proofErr w:type="spellEnd"/>
      <w:r>
        <w:t>), at least 2 temperature measuring points shall be placed,</w:t>
      </w:r>
    </w:p>
    <w:p w14:paraId="5BB0DCC7" w14:textId="77777777" w:rsidR="00DE5BCE" w:rsidRDefault="00DE5BCE" w:rsidP="00DE5BCE">
      <w:pPr>
        <w:pStyle w:val="SingleTxtG"/>
        <w:keepNext/>
        <w:keepLines/>
        <w:spacing w:after="0"/>
        <w:ind w:left="1985" w:hanging="284"/>
      </w:pPr>
      <w:r>
        <w:t>•</w:t>
      </w:r>
      <w:r>
        <w:tab/>
        <w:t xml:space="preserve">One measuring point vertically within 20 cm around the middle height of the body, at </w:t>
      </w:r>
      <w:proofErr w:type="gramStart"/>
      <w:r>
        <w:t>a distance of 10</w:t>
      </w:r>
      <w:proofErr w:type="gramEnd"/>
      <w:r>
        <w:t xml:space="preserve"> to 20 cm from the side wall, and</w:t>
      </w:r>
    </w:p>
    <w:p w14:paraId="2B129330" w14:textId="77777777" w:rsidR="00DE5BCE" w:rsidRDefault="00DE5BCE" w:rsidP="00DE5BCE">
      <w:pPr>
        <w:pStyle w:val="SingleTxtG"/>
        <w:keepNext/>
        <w:keepLines/>
        <w:ind w:left="1985" w:hanging="284"/>
      </w:pPr>
      <w:r>
        <w:t>•</w:t>
      </w:r>
      <w:r>
        <w:tab/>
        <w:t>Another measuring point 20 to 50 cm from the air inlet of the condenser unit.</w:t>
      </w:r>
    </w:p>
    <w:p w14:paraId="02A56A90" w14:textId="77777777" w:rsidR="00DE5BCE" w:rsidRDefault="00DE5BCE" w:rsidP="00DE5BCE">
      <w:pPr>
        <w:pStyle w:val="SingleTxtG"/>
        <w:keepNext/>
        <w:keepLines/>
        <w:rPr>
          <w:i/>
        </w:rPr>
      </w:pPr>
      <w:r>
        <w:t>The final reading shall be from the warmest measuring point inside the body at the end of the cool down test. The outside temperature used to determine the maximum cool down time, in case of equipment manufactured from 2 January 2012, is the average temperature of all readings from the outside measuring points until the class temperature has been reached.”</w:t>
      </w:r>
      <w:r w:rsidRPr="00977AA1">
        <w:rPr>
          <w:i/>
        </w:rPr>
        <w:t xml:space="preserve"> </w:t>
      </w:r>
    </w:p>
    <w:p w14:paraId="1EF5CCCA" w14:textId="77777777" w:rsidR="00DE5BCE" w:rsidRPr="001406CD" w:rsidRDefault="00DE5BCE" w:rsidP="00DE5BCE">
      <w:pPr>
        <w:pStyle w:val="SingleTxtG"/>
        <w:keepNext/>
        <w:keepLines/>
        <w:rPr>
          <w:i/>
        </w:rPr>
      </w:pPr>
      <w:r w:rsidRPr="00977AA1">
        <w:rPr>
          <w:i/>
        </w:rPr>
        <w:t>(Reference document: ECE/TRANS/WP.11/2019/12</w:t>
      </w:r>
      <w:r>
        <w:rPr>
          <w:i/>
        </w:rPr>
        <w:t>, as amended</w:t>
      </w:r>
      <w:r w:rsidRPr="00977AA1">
        <w:rPr>
          <w:i/>
        </w:rPr>
        <w:t>)</w:t>
      </w:r>
    </w:p>
    <w:p w14:paraId="56BE16E2" w14:textId="77777777" w:rsidR="00DE5BCE" w:rsidRPr="00E64746" w:rsidRDefault="00DE5BCE" w:rsidP="00DE5BCE">
      <w:pPr>
        <w:pStyle w:val="H23G"/>
        <w:rPr>
          <w:spacing w:val="4"/>
          <w:w w:val="103"/>
          <w:kern w:val="14"/>
          <w:lang w:eastAsia="zh-CN"/>
        </w:rPr>
      </w:pPr>
      <w:r w:rsidRPr="001406CD">
        <w:rPr>
          <w:spacing w:val="4"/>
          <w:w w:val="103"/>
          <w:kern w:val="14"/>
          <w:lang w:eastAsia="zh-CN"/>
        </w:rPr>
        <w:tab/>
        <w:t>2.</w:t>
      </w:r>
      <w:r w:rsidRPr="001406CD">
        <w:rPr>
          <w:spacing w:val="4"/>
          <w:w w:val="103"/>
          <w:kern w:val="14"/>
          <w:lang w:eastAsia="zh-CN"/>
        </w:rPr>
        <w:tab/>
      </w:r>
      <w:r w:rsidRPr="00E64746">
        <w:rPr>
          <w:spacing w:val="4"/>
          <w:w w:val="103"/>
          <w:kern w:val="14"/>
          <w:lang w:eastAsia="zh-CN"/>
        </w:rPr>
        <w:t>Annex 1, appendix 3</w:t>
      </w:r>
      <w:r>
        <w:rPr>
          <w:spacing w:val="4"/>
          <w:w w:val="103"/>
          <w:kern w:val="14"/>
          <w:lang w:eastAsia="zh-CN"/>
        </w:rPr>
        <w:t xml:space="preserve"> </w:t>
      </w:r>
    </w:p>
    <w:p w14:paraId="5580C11B" w14:textId="72578A95" w:rsidR="00DE5BCE" w:rsidRDefault="00DE5BCE" w:rsidP="00DE5BCE">
      <w:pPr>
        <w:pStyle w:val="SingleTxtG"/>
      </w:pPr>
      <w:r>
        <w:t>In l</w:t>
      </w:r>
      <w:r w:rsidRPr="00E64746">
        <w:t>ine 6.1.2 in the certificate, replace “Not independent” by “dependent”.</w:t>
      </w:r>
    </w:p>
    <w:p w14:paraId="477CFCF4" w14:textId="77777777" w:rsidR="00DE5BCE" w:rsidRPr="001406CD" w:rsidRDefault="00DE5BCE" w:rsidP="00DE5BCE">
      <w:pPr>
        <w:pStyle w:val="SingleTxtG"/>
      </w:pPr>
      <w:r w:rsidRPr="00E64746">
        <w:rPr>
          <w:i/>
        </w:rPr>
        <w:t>(Reference document: ECE/TRANS/WP.11/2019/16</w:t>
      </w:r>
      <w:r>
        <w:rPr>
          <w:i/>
        </w:rPr>
        <w:t>, as amended</w:t>
      </w:r>
      <w:r w:rsidRPr="00E64746">
        <w:rPr>
          <w:i/>
        </w:rPr>
        <w:t>)</w:t>
      </w:r>
    </w:p>
    <w:p w14:paraId="2100F5CF" w14:textId="77777777" w:rsidR="00DE5BCE" w:rsidRPr="00293F4E" w:rsidRDefault="00DE5BCE" w:rsidP="00DE5BCE">
      <w:pPr>
        <w:pStyle w:val="H23G"/>
        <w:rPr>
          <w:i/>
        </w:rPr>
      </w:pPr>
      <w:r w:rsidRPr="005B4131">
        <w:rPr>
          <w:spacing w:val="4"/>
          <w:w w:val="103"/>
          <w:kern w:val="14"/>
          <w:lang w:eastAsia="zh-CN"/>
        </w:rPr>
        <w:tab/>
        <w:t>3.</w:t>
      </w:r>
      <w:r w:rsidRPr="005B4131">
        <w:rPr>
          <w:spacing w:val="4"/>
          <w:w w:val="103"/>
          <w:kern w:val="14"/>
          <w:lang w:eastAsia="zh-CN"/>
        </w:rPr>
        <w:tab/>
      </w:r>
      <w:r w:rsidRPr="00E64746">
        <w:rPr>
          <w:spacing w:val="4"/>
          <w:w w:val="103"/>
          <w:kern w:val="14"/>
          <w:lang w:eastAsia="zh-CN"/>
        </w:rPr>
        <w:tab/>
        <w:t>Annex 1, appendix 4</w:t>
      </w:r>
    </w:p>
    <w:p w14:paraId="3CE2BF85" w14:textId="07EE3522" w:rsidR="00DE5BCE" w:rsidRDefault="00DE5BCE" w:rsidP="00DE5BCE">
      <w:pPr>
        <w:pStyle w:val="SingleTxtG"/>
      </w:pPr>
      <w:r>
        <w:t>In the f</w:t>
      </w:r>
      <w:r w:rsidRPr="00E64746">
        <w:t>irst line</w:t>
      </w:r>
      <w:r>
        <w:t>,</w:t>
      </w:r>
      <w:r w:rsidRPr="00E64746">
        <w:t xml:space="preserve"> after </w:t>
      </w:r>
      <w:r>
        <w:t xml:space="preserve">the </w:t>
      </w:r>
      <w:r w:rsidRPr="00E64746">
        <w:t>list of distinguishing marks</w:t>
      </w:r>
      <w:r>
        <w:t>,</w:t>
      </w:r>
      <w:r w:rsidRPr="00E64746">
        <w:t xml:space="preserve"> replace “non-independent” by “dependent”.</w:t>
      </w:r>
    </w:p>
    <w:p w14:paraId="4E8173CB" w14:textId="77777777" w:rsidR="00DE5BCE" w:rsidRPr="000C6AB5" w:rsidRDefault="00DE5BCE" w:rsidP="00DE5BCE">
      <w:pPr>
        <w:pStyle w:val="SingleTxtG"/>
        <w:rPr>
          <w:i/>
        </w:rPr>
      </w:pPr>
      <w:r w:rsidRPr="00E64746">
        <w:rPr>
          <w:i/>
        </w:rPr>
        <w:t>(Reference document: ECE/TRANS/WP.11/2019/16</w:t>
      </w:r>
      <w:r>
        <w:rPr>
          <w:i/>
        </w:rPr>
        <w:t>, as amended</w:t>
      </w:r>
      <w:r w:rsidRPr="00E64746">
        <w:rPr>
          <w:i/>
        </w:rPr>
        <w:t>)</w:t>
      </w:r>
    </w:p>
    <w:p w14:paraId="57441EB7" w14:textId="77777777" w:rsidR="00DE5BCE" w:rsidRPr="00FF40FA" w:rsidRDefault="00DE5BCE" w:rsidP="00DE5BCE">
      <w:pPr>
        <w:pStyle w:val="H23G"/>
        <w:rPr>
          <w:spacing w:val="4"/>
          <w:w w:val="103"/>
          <w:kern w:val="14"/>
          <w:lang w:eastAsia="zh-CN"/>
        </w:rPr>
      </w:pPr>
      <w:r w:rsidRPr="00FF40FA">
        <w:rPr>
          <w:spacing w:val="4"/>
          <w:w w:val="103"/>
          <w:kern w:val="14"/>
          <w:lang w:eastAsia="zh-CN"/>
        </w:rPr>
        <w:tab/>
      </w:r>
      <w:r>
        <w:rPr>
          <w:spacing w:val="4"/>
          <w:w w:val="103"/>
          <w:kern w:val="14"/>
          <w:lang w:eastAsia="zh-CN"/>
        </w:rPr>
        <w:t>4</w:t>
      </w:r>
      <w:r w:rsidRPr="00FF40FA">
        <w:rPr>
          <w:spacing w:val="4"/>
          <w:w w:val="103"/>
          <w:kern w:val="14"/>
          <w:lang w:eastAsia="zh-CN"/>
        </w:rPr>
        <w:t>.</w:t>
      </w:r>
      <w:r w:rsidRPr="00FF40FA">
        <w:rPr>
          <w:spacing w:val="4"/>
          <w:w w:val="103"/>
          <w:kern w:val="14"/>
          <w:lang w:eastAsia="zh-CN"/>
        </w:rPr>
        <w:tab/>
        <w:t>Annex 1, appendix 2, section 8, M</w:t>
      </w:r>
      <w:r>
        <w:rPr>
          <w:spacing w:val="4"/>
          <w:w w:val="103"/>
          <w:kern w:val="14"/>
          <w:lang w:eastAsia="zh-CN"/>
        </w:rPr>
        <w:t>odel</w:t>
      </w:r>
      <w:r w:rsidRPr="00FF40FA">
        <w:rPr>
          <w:spacing w:val="4"/>
          <w:w w:val="103"/>
          <w:kern w:val="14"/>
          <w:lang w:eastAsia="zh-CN"/>
        </w:rPr>
        <w:t xml:space="preserve"> No. 12</w:t>
      </w:r>
    </w:p>
    <w:p w14:paraId="6B5B48DD" w14:textId="77777777" w:rsidR="00DE5BCE" w:rsidRDefault="00DE5BCE" w:rsidP="00DE5BCE">
      <w:pPr>
        <w:pStyle w:val="SingleTxtG"/>
      </w:pPr>
      <w:r>
        <w:t xml:space="preserve">In table concerning heat exchangers, replace the row </w:t>
      </w:r>
      <w:r w:rsidRPr="00FF40FA">
        <w:t>“</w:t>
      </w:r>
      <w:r>
        <w:t>-type</w:t>
      </w:r>
      <w:r w:rsidRPr="00FF40FA">
        <w:t>”</w:t>
      </w:r>
      <w:r>
        <w:t xml:space="preserve"> by the following 2 rows:</w:t>
      </w:r>
    </w:p>
    <w:tbl>
      <w:tblPr>
        <w:tblStyle w:val="TableGrid"/>
        <w:tblW w:w="7370" w:type="dxa"/>
        <w:tblInd w:w="1134" w:type="dxa"/>
        <w:tblLook w:val="04A0" w:firstRow="1" w:lastRow="0" w:firstColumn="1" w:lastColumn="0" w:noHBand="0" w:noVBand="1"/>
      </w:tblPr>
      <w:tblGrid>
        <w:gridCol w:w="2405"/>
        <w:gridCol w:w="2373"/>
        <w:gridCol w:w="2592"/>
      </w:tblGrid>
      <w:tr w:rsidR="00DE5BCE" w14:paraId="237F6D20" w14:textId="77777777" w:rsidTr="009500F0">
        <w:trPr>
          <w:trHeight w:val="315"/>
        </w:trPr>
        <w:tc>
          <w:tcPr>
            <w:tcW w:w="2405" w:type="dxa"/>
          </w:tcPr>
          <w:p w14:paraId="28074631" w14:textId="77777777" w:rsidR="00DE5BCE" w:rsidRPr="00F2014A" w:rsidRDefault="00DE5BCE" w:rsidP="009500F0">
            <w:pPr>
              <w:ind w:left="1134" w:right="284"/>
              <w:rPr>
                <w:i/>
              </w:rPr>
            </w:pPr>
          </w:p>
        </w:tc>
        <w:tc>
          <w:tcPr>
            <w:tcW w:w="2373" w:type="dxa"/>
          </w:tcPr>
          <w:p w14:paraId="3A1C7BAD" w14:textId="77777777" w:rsidR="00DE5BCE" w:rsidRPr="00F2014A" w:rsidRDefault="00DE5BCE" w:rsidP="009500F0">
            <w:pPr>
              <w:ind w:left="1134" w:right="284"/>
              <w:rPr>
                <w:i/>
              </w:rPr>
            </w:pPr>
            <w:r w:rsidRPr="00F2014A">
              <w:rPr>
                <w:i/>
              </w:rPr>
              <w:t>Condenser</w:t>
            </w:r>
          </w:p>
        </w:tc>
        <w:tc>
          <w:tcPr>
            <w:tcW w:w="2592" w:type="dxa"/>
          </w:tcPr>
          <w:p w14:paraId="71C16653" w14:textId="77777777" w:rsidR="00DE5BCE" w:rsidRPr="00F2014A" w:rsidRDefault="00DE5BCE" w:rsidP="009500F0">
            <w:pPr>
              <w:ind w:left="1134" w:right="284"/>
              <w:rPr>
                <w:i/>
              </w:rPr>
            </w:pPr>
            <w:r w:rsidRPr="00F2014A">
              <w:rPr>
                <w:i/>
              </w:rPr>
              <w:t>Evaporator</w:t>
            </w:r>
          </w:p>
        </w:tc>
      </w:tr>
      <w:tr w:rsidR="00DE5BCE" w14:paraId="76EBE552" w14:textId="77777777" w:rsidTr="009500F0">
        <w:trPr>
          <w:trHeight w:val="303"/>
        </w:trPr>
        <w:tc>
          <w:tcPr>
            <w:tcW w:w="2405" w:type="dxa"/>
          </w:tcPr>
          <w:p w14:paraId="6A8A188C" w14:textId="77777777" w:rsidR="00DE5BCE" w:rsidRPr="00F2014A" w:rsidRDefault="00DE5BCE" w:rsidP="009500F0">
            <w:pPr>
              <w:tabs>
                <w:tab w:val="left" w:pos="1335"/>
              </w:tabs>
              <w:ind w:right="284"/>
              <w:rPr>
                <w:i/>
              </w:rPr>
            </w:pPr>
            <w:r>
              <w:rPr>
                <w:i/>
              </w:rPr>
              <w:t xml:space="preserve">    </w:t>
            </w:r>
            <w:r w:rsidRPr="00F2014A">
              <w:rPr>
                <w:i/>
              </w:rPr>
              <w:t xml:space="preserve">Make </w:t>
            </w:r>
            <w:r w:rsidRPr="00F2014A">
              <w:rPr>
                <w:i/>
                <w:vertAlign w:val="superscript"/>
              </w:rPr>
              <w:t>2/</w:t>
            </w:r>
          </w:p>
        </w:tc>
        <w:tc>
          <w:tcPr>
            <w:tcW w:w="2373" w:type="dxa"/>
          </w:tcPr>
          <w:p w14:paraId="4EDCAE57" w14:textId="77777777" w:rsidR="00DE5BCE" w:rsidRPr="00F2014A" w:rsidRDefault="00DE5BCE" w:rsidP="009500F0">
            <w:pPr>
              <w:ind w:left="1134" w:right="284"/>
              <w:rPr>
                <w:i/>
              </w:rPr>
            </w:pPr>
          </w:p>
        </w:tc>
        <w:tc>
          <w:tcPr>
            <w:tcW w:w="2592" w:type="dxa"/>
          </w:tcPr>
          <w:p w14:paraId="031926A3" w14:textId="77777777" w:rsidR="00DE5BCE" w:rsidRPr="00F2014A" w:rsidRDefault="00DE5BCE" w:rsidP="009500F0">
            <w:pPr>
              <w:ind w:left="1134" w:right="284"/>
              <w:rPr>
                <w:i/>
              </w:rPr>
            </w:pPr>
          </w:p>
        </w:tc>
      </w:tr>
      <w:tr w:rsidR="00DE5BCE" w14:paraId="6C833782" w14:textId="77777777" w:rsidTr="009500F0">
        <w:trPr>
          <w:trHeight w:val="315"/>
        </w:trPr>
        <w:tc>
          <w:tcPr>
            <w:tcW w:w="2405" w:type="dxa"/>
          </w:tcPr>
          <w:p w14:paraId="52C97E24" w14:textId="77777777" w:rsidR="00DE5BCE" w:rsidRPr="00F2014A" w:rsidRDefault="00DE5BCE" w:rsidP="009500F0">
            <w:pPr>
              <w:ind w:right="284"/>
              <w:rPr>
                <w:i/>
              </w:rPr>
            </w:pPr>
            <w:r>
              <w:rPr>
                <w:i/>
              </w:rPr>
              <w:t xml:space="preserve">    </w:t>
            </w:r>
            <w:r w:rsidRPr="00F2014A">
              <w:rPr>
                <w:i/>
              </w:rPr>
              <w:t xml:space="preserve">Type (if applicable) </w:t>
            </w:r>
            <w:r w:rsidRPr="00F2014A">
              <w:rPr>
                <w:i/>
                <w:vertAlign w:val="superscript"/>
              </w:rPr>
              <w:t>2/</w:t>
            </w:r>
          </w:p>
        </w:tc>
        <w:tc>
          <w:tcPr>
            <w:tcW w:w="2373" w:type="dxa"/>
          </w:tcPr>
          <w:p w14:paraId="16F90585" w14:textId="77777777" w:rsidR="00DE5BCE" w:rsidRPr="00F2014A" w:rsidRDefault="00DE5BCE" w:rsidP="009500F0">
            <w:pPr>
              <w:ind w:left="1134" w:right="284"/>
              <w:rPr>
                <w:i/>
              </w:rPr>
            </w:pPr>
          </w:p>
        </w:tc>
        <w:tc>
          <w:tcPr>
            <w:tcW w:w="2592" w:type="dxa"/>
          </w:tcPr>
          <w:p w14:paraId="6A557C02" w14:textId="77777777" w:rsidR="00DE5BCE" w:rsidRPr="00F2014A" w:rsidRDefault="00DE5BCE" w:rsidP="009500F0">
            <w:pPr>
              <w:ind w:left="1134" w:right="284"/>
              <w:rPr>
                <w:i/>
              </w:rPr>
            </w:pPr>
          </w:p>
        </w:tc>
      </w:tr>
    </w:tbl>
    <w:p w14:paraId="00F56DD1" w14:textId="77777777" w:rsidR="00DE5BCE" w:rsidRPr="000C6AB5" w:rsidRDefault="00DE5BCE" w:rsidP="00DE5BCE">
      <w:pPr>
        <w:pStyle w:val="SingleTxtG"/>
        <w:spacing w:before="120"/>
        <w:rPr>
          <w:i/>
        </w:rPr>
      </w:pPr>
      <w:r w:rsidRPr="00FF40FA">
        <w:rPr>
          <w:i/>
        </w:rPr>
        <w:t>(Reference document: ECE/TRANS/WP.11/2019/16</w:t>
      </w:r>
      <w:r>
        <w:rPr>
          <w:i/>
        </w:rPr>
        <w:t>, as amended</w:t>
      </w:r>
      <w:r w:rsidRPr="00FF40FA">
        <w:rPr>
          <w:i/>
        </w:rPr>
        <w:t>)</w:t>
      </w:r>
    </w:p>
    <w:p w14:paraId="62829A81" w14:textId="77777777" w:rsidR="00DE5BCE" w:rsidRPr="00FF40FA" w:rsidRDefault="00DE5BCE" w:rsidP="00DE5BCE">
      <w:pPr>
        <w:pStyle w:val="H23G"/>
        <w:rPr>
          <w:spacing w:val="4"/>
          <w:w w:val="103"/>
          <w:kern w:val="14"/>
          <w:lang w:eastAsia="zh-CN"/>
        </w:rPr>
      </w:pPr>
      <w:r>
        <w:rPr>
          <w:spacing w:val="4"/>
          <w:w w:val="103"/>
          <w:kern w:val="14"/>
          <w:lang w:eastAsia="zh-CN"/>
        </w:rPr>
        <w:tab/>
        <w:t>5</w:t>
      </w:r>
      <w:r w:rsidRPr="00FF40FA">
        <w:rPr>
          <w:spacing w:val="4"/>
          <w:w w:val="103"/>
          <w:kern w:val="14"/>
          <w:lang w:eastAsia="zh-CN"/>
        </w:rPr>
        <w:t>.</w:t>
      </w:r>
      <w:r w:rsidRPr="00FF40FA">
        <w:rPr>
          <w:spacing w:val="4"/>
          <w:w w:val="103"/>
          <w:kern w:val="14"/>
          <w:lang w:eastAsia="zh-CN"/>
        </w:rPr>
        <w:tab/>
        <w:t>Annex 1, appendix 2, section 8, M</w:t>
      </w:r>
      <w:r>
        <w:rPr>
          <w:spacing w:val="4"/>
          <w:w w:val="103"/>
          <w:kern w:val="14"/>
          <w:lang w:eastAsia="zh-CN"/>
        </w:rPr>
        <w:t>odel</w:t>
      </w:r>
      <w:r w:rsidRPr="00FF40FA">
        <w:rPr>
          <w:spacing w:val="4"/>
          <w:w w:val="103"/>
          <w:kern w:val="14"/>
          <w:lang w:eastAsia="zh-CN"/>
        </w:rPr>
        <w:t xml:space="preserve"> No. 12</w:t>
      </w:r>
    </w:p>
    <w:p w14:paraId="476E2DD1" w14:textId="77777777" w:rsidR="00DE5BCE" w:rsidRDefault="00DE5BCE" w:rsidP="00DE5BCE">
      <w:pPr>
        <w:pStyle w:val="SingleTxtG"/>
      </w:pPr>
      <w:r w:rsidRPr="0029126B">
        <w:t xml:space="preserve">In footnote 2 replace </w:t>
      </w:r>
      <w:r>
        <w:t>“Value indicated by the manufacturer” by “</w:t>
      </w:r>
      <w:r w:rsidRPr="0029126B">
        <w:t>Information indicated by the manufacturer</w:t>
      </w:r>
      <w:r>
        <w:t>”.</w:t>
      </w:r>
    </w:p>
    <w:p w14:paraId="68E07FE4" w14:textId="77777777" w:rsidR="00DE5BCE" w:rsidRPr="009F67CB" w:rsidRDefault="00DE5BCE" w:rsidP="00DE5BCE">
      <w:pPr>
        <w:pStyle w:val="SingleTxtG"/>
        <w:rPr>
          <w:i/>
        </w:rPr>
      </w:pPr>
      <w:r w:rsidRPr="00FF40FA">
        <w:rPr>
          <w:i/>
        </w:rPr>
        <w:t>(Reference document: ECE/TRANS/WP.11/2019/16)</w:t>
      </w:r>
    </w:p>
    <w:p w14:paraId="07974D49" w14:textId="77777777" w:rsidR="00DE5BCE" w:rsidRPr="00EE2463" w:rsidRDefault="00DE5BCE" w:rsidP="00DE5BCE">
      <w:pPr>
        <w:pStyle w:val="H23G"/>
        <w:rPr>
          <w:spacing w:val="4"/>
          <w:w w:val="103"/>
          <w:kern w:val="14"/>
          <w:lang w:eastAsia="zh-CN"/>
        </w:rPr>
      </w:pPr>
      <w:r w:rsidRPr="00EF5BD2">
        <w:rPr>
          <w:spacing w:val="4"/>
          <w:w w:val="103"/>
          <w:kern w:val="14"/>
          <w:lang w:eastAsia="zh-CN"/>
        </w:rPr>
        <w:tab/>
      </w:r>
      <w:r>
        <w:rPr>
          <w:spacing w:val="4"/>
          <w:w w:val="103"/>
          <w:kern w:val="14"/>
          <w:lang w:eastAsia="zh-CN"/>
        </w:rPr>
        <w:t>6</w:t>
      </w:r>
      <w:r w:rsidRPr="00EE2463">
        <w:rPr>
          <w:spacing w:val="4"/>
          <w:w w:val="103"/>
          <w:kern w:val="14"/>
          <w:lang w:eastAsia="zh-CN"/>
        </w:rPr>
        <w:t>.</w:t>
      </w:r>
      <w:r w:rsidRPr="00EE2463">
        <w:rPr>
          <w:spacing w:val="4"/>
          <w:w w:val="103"/>
          <w:kern w:val="14"/>
          <w:lang w:eastAsia="zh-CN"/>
        </w:rPr>
        <w:tab/>
        <w:t>Annex 1, appendix 3</w:t>
      </w:r>
    </w:p>
    <w:p w14:paraId="527C9BDF" w14:textId="77777777" w:rsidR="00DE5BCE" w:rsidRPr="00EF5BD2" w:rsidRDefault="00DE5BCE" w:rsidP="00DE5BCE">
      <w:pPr>
        <w:pStyle w:val="SingleTxtG"/>
      </w:pPr>
      <w:r w:rsidRPr="00EF5BD2">
        <w:t>In certificate lines</w:t>
      </w:r>
      <w:r>
        <w:t xml:space="preserve"> 3,</w:t>
      </w:r>
      <w:r w:rsidRPr="00EF5BD2">
        <w:t xml:space="preserve"> 6.1.1 and 6.1.2 replace “MARK” by “MAKE”.</w:t>
      </w:r>
    </w:p>
    <w:p w14:paraId="11749640" w14:textId="77777777" w:rsidR="00DE5BCE" w:rsidRPr="00EF5BD2" w:rsidRDefault="00DE5BCE" w:rsidP="00DE5BCE">
      <w:pPr>
        <w:pStyle w:val="SingleTxtG"/>
        <w:rPr>
          <w:lang w:eastAsia="zh-CN"/>
        </w:rPr>
      </w:pPr>
      <w:r>
        <w:t xml:space="preserve">In </w:t>
      </w:r>
      <w:r w:rsidRPr="00EF5BD2">
        <w:t xml:space="preserve">footnote 8 </w:t>
      </w:r>
      <w:r>
        <w:t>of the</w:t>
      </w:r>
      <w:r w:rsidRPr="00EF5BD2">
        <w:t xml:space="preserve"> certificate, replace “mark” by “make”.</w:t>
      </w:r>
    </w:p>
    <w:p w14:paraId="40B4DFBB" w14:textId="77777777" w:rsidR="00DE5BCE" w:rsidRPr="00EF5BD2" w:rsidRDefault="00DE5BCE" w:rsidP="00DE5BCE">
      <w:pPr>
        <w:pStyle w:val="SingleTxtG"/>
        <w:rPr>
          <w:i/>
        </w:rPr>
      </w:pPr>
      <w:r w:rsidRPr="00EF5BD2">
        <w:rPr>
          <w:i/>
        </w:rPr>
        <w:t>(Reference document: ECE/TRANS/WP.11/2019/19</w:t>
      </w:r>
      <w:r>
        <w:rPr>
          <w:i/>
        </w:rPr>
        <w:t>, as amended</w:t>
      </w:r>
      <w:r w:rsidRPr="00EF5BD2">
        <w:rPr>
          <w:i/>
        </w:rPr>
        <w:t>)</w:t>
      </w:r>
    </w:p>
    <w:p w14:paraId="75F7D189" w14:textId="77777777" w:rsidR="00DE5BCE" w:rsidRPr="00065898" w:rsidRDefault="00DE5BCE" w:rsidP="00DE5BCE">
      <w:pPr>
        <w:pStyle w:val="H23G"/>
        <w:rPr>
          <w:spacing w:val="4"/>
          <w:w w:val="103"/>
          <w:kern w:val="14"/>
          <w:lang w:eastAsia="zh-CN"/>
        </w:rPr>
      </w:pPr>
      <w:r w:rsidRPr="00065898">
        <w:rPr>
          <w:spacing w:val="4"/>
          <w:w w:val="103"/>
          <w:kern w:val="14"/>
          <w:lang w:eastAsia="zh-CN"/>
        </w:rPr>
        <w:tab/>
      </w:r>
      <w:r>
        <w:rPr>
          <w:spacing w:val="4"/>
          <w:w w:val="103"/>
          <w:kern w:val="14"/>
          <w:lang w:eastAsia="zh-CN"/>
        </w:rPr>
        <w:t>7</w:t>
      </w:r>
      <w:r w:rsidRPr="00065898">
        <w:rPr>
          <w:spacing w:val="4"/>
          <w:w w:val="103"/>
          <w:kern w:val="14"/>
          <w:lang w:eastAsia="zh-CN"/>
        </w:rPr>
        <w:t>.</w:t>
      </w:r>
      <w:r w:rsidRPr="00065898">
        <w:rPr>
          <w:spacing w:val="4"/>
          <w:w w:val="103"/>
          <w:kern w:val="14"/>
          <w:lang w:eastAsia="zh-CN"/>
        </w:rPr>
        <w:tab/>
        <w:t>Annex 2, appendix 1</w:t>
      </w:r>
    </w:p>
    <w:p w14:paraId="3F2E7559" w14:textId="77777777" w:rsidR="00DE5BCE" w:rsidRDefault="00DE5BCE" w:rsidP="00DE5BCE">
      <w:pPr>
        <w:pStyle w:val="SingleTxtG"/>
      </w:pPr>
      <w:r>
        <w:t>Replace paragraphs</w:t>
      </w:r>
      <w:r w:rsidRPr="00065898">
        <w:t xml:space="preserve"> 2 and 3 </w:t>
      </w:r>
      <w:r>
        <w:t>by the following</w:t>
      </w:r>
      <w:r w:rsidRPr="00065898">
        <w:t>:</w:t>
      </w:r>
    </w:p>
    <w:p w14:paraId="7458A57B" w14:textId="77777777" w:rsidR="00DE5BCE" w:rsidRPr="00065898" w:rsidRDefault="00DE5BCE" w:rsidP="00DE5BCE">
      <w:pPr>
        <w:pStyle w:val="SingleTxtG"/>
      </w:pPr>
      <w:r w:rsidRPr="00065898">
        <w:t>“The instrument shall be verified in accordance with EN 13486:2002 by an accredited body and the documentation shall be available for the approval of ATP competent authorities.</w:t>
      </w:r>
    </w:p>
    <w:p w14:paraId="07D14AD6" w14:textId="77777777" w:rsidR="00DE5BCE" w:rsidRDefault="00DE5BCE" w:rsidP="00DE5BCE">
      <w:pPr>
        <w:pStyle w:val="SingleTxtG"/>
      </w:pPr>
      <w:r w:rsidRPr="00065898">
        <w:t>The instrument shall comply with standard EN 12830:2018.</w:t>
      </w:r>
    </w:p>
    <w:p w14:paraId="03309DA2" w14:textId="77777777" w:rsidR="00DE5BCE" w:rsidRPr="00065898" w:rsidRDefault="00DE5BCE" w:rsidP="00DE5BCE">
      <w:pPr>
        <w:pStyle w:val="SingleTxtG"/>
      </w:pPr>
      <w:r w:rsidRPr="006F008D">
        <w:t>Temperature recorders in service that comply with EN 12830:1999 may continue to be used.</w:t>
      </w:r>
      <w:r>
        <w:t>”</w:t>
      </w:r>
    </w:p>
    <w:p w14:paraId="7B1BF191" w14:textId="5BADB639" w:rsidR="00DE5BCE" w:rsidRDefault="00DE5BCE" w:rsidP="00DE5BCE">
      <w:pPr>
        <w:pStyle w:val="SingleTxtG"/>
        <w:rPr>
          <w:i/>
        </w:rPr>
      </w:pPr>
      <w:r w:rsidRPr="00065898">
        <w:rPr>
          <w:i/>
        </w:rPr>
        <w:t>(Reference document: ECE/TRANS/WP.11/2019/20</w:t>
      </w:r>
      <w:r>
        <w:rPr>
          <w:i/>
        </w:rPr>
        <w:t>, as amended</w:t>
      </w:r>
      <w:r w:rsidRPr="00065898">
        <w:rPr>
          <w:i/>
        </w:rPr>
        <w:t>)</w:t>
      </w:r>
    </w:p>
    <w:p w14:paraId="22A3B07E" w14:textId="77777777" w:rsidR="009A360B" w:rsidRPr="00FD0655" w:rsidRDefault="009A360B" w:rsidP="009A360B">
      <w:pPr>
        <w:pStyle w:val="H23G"/>
        <w:rPr>
          <w:spacing w:val="4"/>
          <w:w w:val="103"/>
          <w:kern w:val="14"/>
          <w:highlight w:val="yellow"/>
          <w:lang w:eastAsia="zh-CN"/>
        </w:rPr>
      </w:pPr>
      <w:r>
        <w:rPr>
          <w:spacing w:val="4"/>
          <w:w w:val="103"/>
          <w:kern w:val="14"/>
          <w:lang w:eastAsia="zh-CN"/>
        </w:rPr>
        <w:tab/>
        <w:t>8</w:t>
      </w:r>
      <w:r w:rsidRPr="00FB14E2">
        <w:rPr>
          <w:spacing w:val="4"/>
          <w:w w:val="103"/>
          <w:kern w:val="14"/>
          <w:lang w:eastAsia="zh-CN"/>
        </w:rPr>
        <w:t>.</w:t>
      </w:r>
      <w:r w:rsidRPr="00FB14E2">
        <w:rPr>
          <w:spacing w:val="4"/>
          <w:w w:val="103"/>
          <w:kern w:val="14"/>
          <w:lang w:eastAsia="zh-CN"/>
        </w:rPr>
        <w:tab/>
      </w:r>
      <w:r w:rsidRPr="00EC21E2">
        <w:rPr>
          <w:spacing w:val="4"/>
          <w:w w:val="103"/>
          <w:kern w:val="14"/>
          <w:lang w:eastAsia="zh-CN"/>
        </w:rPr>
        <w:t xml:space="preserve">Annex 1, appendix 2, section 8, </w:t>
      </w:r>
      <w:r>
        <w:rPr>
          <w:spacing w:val="4"/>
          <w:w w:val="103"/>
          <w:kern w:val="14"/>
          <w:lang w:eastAsia="zh-CN"/>
        </w:rPr>
        <w:t>Model</w:t>
      </w:r>
      <w:r w:rsidRPr="00EC21E2">
        <w:rPr>
          <w:spacing w:val="4"/>
          <w:w w:val="103"/>
          <w:kern w:val="14"/>
          <w:lang w:eastAsia="zh-CN"/>
        </w:rPr>
        <w:t xml:space="preserve"> No. 12</w:t>
      </w:r>
    </w:p>
    <w:p w14:paraId="7CB68F36" w14:textId="77777777" w:rsidR="009A360B" w:rsidRPr="00EC21E2" w:rsidRDefault="009A360B" w:rsidP="009A360B">
      <w:pPr>
        <w:pStyle w:val="SingleTxtG"/>
        <w:keepNext/>
        <w:keepLines/>
        <w:rPr>
          <w:lang w:val="en-US"/>
        </w:rPr>
      </w:pPr>
      <w:r w:rsidRPr="00EC21E2">
        <w:rPr>
          <w:lang w:val="en-US"/>
        </w:rPr>
        <w:t xml:space="preserve">Amend paragraph (c) line </w:t>
      </w:r>
      <w:r>
        <w:rPr>
          <w:lang w:val="en-US"/>
        </w:rPr>
        <w:t>3</w:t>
      </w:r>
      <w:r w:rsidRPr="00EC21E2">
        <w:rPr>
          <w:lang w:val="en-US"/>
        </w:rPr>
        <w:t xml:space="preserve"> to read as follows: </w:t>
      </w:r>
    </w:p>
    <w:p w14:paraId="02A108BA" w14:textId="77777777" w:rsidR="009A360B" w:rsidRPr="00EC21E2" w:rsidRDefault="009A360B" w:rsidP="009A360B">
      <w:pPr>
        <w:pStyle w:val="SingleTxtG"/>
        <w:keepNext/>
        <w:keepLines/>
        <w:rPr>
          <w:lang w:val="en-US"/>
        </w:rPr>
      </w:pPr>
      <w:r w:rsidRPr="00EC21E2">
        <w:rPr>
          <w:lang w:val="en-US"/>
        </w:rPr>
        <w:t>“Air flow volume leaving the evaporator:</w:t>
      </w:r>
    </w:p>
    <w:p w14:paraId="76D86FA7" w14:textId="77777777" w:rsidR="009A360B" w:rsidRPr="00EC21E2" w:rsidRDefault="009A360B" w:rsidP="009A360B">
      <w:pPr>
        <w:pStyle w:val="SingleTxtG"/>
        <w:keepNext/>
        <w:keepLines/>
        <w:rPr>
          <w:lang w:val="en-US"/>
        </w:rPr>
      </w:pPr>
      <w:r w:rsidRPr="00EC21E2">
        <w:rPr>
          <w:lang w:val="en-US"/>
        </w:rPr>
        <w:t>value measured</w:t>
      </w:r>
      <w:r>
        <w:rPr>
          <w:lang w:val="en-US"/>
        </w:rPr>
        <w:t>…………………….</w:t>
      </w:r>
      <w:r w:rsidRPr="00EC21E2">
        <w:rPr>
          <w:lang w:val="en-US"/>
        </w:rPr>
        <w:t>m</w:t>
      </w:r>
      <w:r w:rsidRPr="00D5032F">
        <w:rPr>
          <w:vertAlign w:val="superscript"/>
          <w:lang w:val="en-US"/>
        </w:rPr>
        <w:t>3</w:t>
      </w:r>
      <w:r w:rsidRPr="00EC21E2">
        <w:rPr>
          <w:lang w:val="en-US"/>
        </w:rPr>
        <w:t>/h</w:t>
      </w:r>
    </w:p>
    <w:p w14:paraId="684060B0" w14:textId="77777777" w:rsidR="009A360B" w:rsidRPr="00EC21E2" w:rsidRDefault="009A360B" w:rsidP="009A360B">
      <w:pPr>
        <w:pStyle w:val="SingleTxtG"/>
        <w:keepNext/>
        <w:keepLines/>
        <w:rPr>
          <w:lang w:val="en-US"/>
        </w:rPr>
      </w:pPr>
      <w:r w:rsidRPr="00EC21E2">
        <w:rPr>
          <w:lang w:val="en-US"/>
        </w:rPr>
        <w:t>at a static:</w:t>
      </w:r>
    </w:p>
    <w:p w14:paraId="08CA3CFF" w14:textId="77777777" w:rsidR="009A360B" w:rsidRPr="00EC21E2" w:rsidRDefault="009A360B" w:rsidP="00F61B89">
      <w:pPr>
        <w:pStyle w:val="SingleTxtG"/>
        <w:keepNext/>
        <w:keepLines/>
        <w:numPr>
          <w:ilvl w:val="0"/>
          <w:numId w:val="21"/>
        </w:numPr>
        <w:rPr>
          <w:lang w:val="en-US"/>
        </w:rPr>
      </w:pPr>
      <w:r w:rsidRPr="00EC21E2">
        <w:rPr>
          <w:lang w:val="en-US"/>
        </w:rPr>
        <w:t>differential pressure measured between the air flows leaving and entering the evaporator of 0 Pa,</w:t>
      </w:r>
    </w:p>
    <w:p w14:paraId="5192BC2E" w14:textId="77777777" w:rsidR="009A360B" w:rsidRPr="00EC21E2" w:rsidRDefault="009A360B" w:rsidP="00F61B89">
      <w:pPr>
        <w:pStyle w:val="SingleTxtG"/>
        <w:keepNext/>
        <w:keepLines/>
        <w:numPr>
          <w:ilvl w:val="0"/>
          <w:numId w:val="21"/>
        </w:numPr>
        <w:rPr>
          <w:i/>
        </w:rPr>
      </w:pPr>
      <w:r w:rsidRPr="00EC21E2">
        <w:rPr>
          <w:lang w:val="en-US"/>
        </w:rPr>
        <w:t>absolute barometric air pressure of ……………………</w:t>
      </w:r>
      <w:proofErr w:type="gramStart"/>
      <w:r w:rsidRPr="00EC21E2">
        <w:rPr>
          <w:lang w:val="en-US"/>
        </w:rPr>
        <w:t>….</w:t>
      </w:r>
      <w:proofErr w:type="spellStart"/>
      <w:r w:rsidRPr="00EC21E2">
        <w:rPr>
          <w:lang w:val="en-US"/>
        </w:rPr>
        <w:t>hPa</w:t>
      </w:r>
      <w:proofErr w:type="spellEnd"/>
      <w:proofErr w:type="gramEnd"/>
      <w:r w:rsidRPr="00EC21E2">
        <w:t>.”</w:t>
      </w:r>
      <w:r w:rsidRPr="00EC21E2">
        <w:rPr>
          <w:i/>
        </w:rPr>
        <w:t xml:space="preserve"> </w:t>
      </w:r>
    </w:p>
    <w:p w14:paraId="054A1DBC" w14:textId="77777777" w:rsidR="009A360B" w:rsidRPr="00EC21E2" w:rsidRDefault="009A360B" w:rsidP="009A360B">
      <w:pPr>
        <w:pStyle w:val="SingleTxtG"/>
        <w:keepNext/>
        <w:keepLines/>
        <w:rPr>
          <w:i/>
        </w:rPr>
      </w:pPr>
      <w:r w:rsidRPr="00EC21E2">
        <w:rPr>
          <w:i/>
        </w:rPr>
        <w:t>(Reference document: ECE/TRANS/WP.11/2019/9, as amended)</w:t>
      </w:r>
    </w:p>
    <w:p w14:paraId="32347CC7" w14:textId="77777777" w:rsidR="009A360B" w:rsidRPr="009F67CB" w:rsidRDefault="009A360B" w:rsidP="00DE5BCE">
      <w:pPr>
        <w:pStyle w:val="SingleTxtG"/>
        <w:rPr>
          <w:i/>
        </w:rPr>
      </w:pPr>
    </w:p>
    <w:p w14:paraId="6B6F8E0D" w14:textId="0760177F" w:rsidR="00DE5BCE" w:rsidRDefault="00DE5BCE" w:rsidP="00DF3CD6">
      <w:pPr>
        <w:pStyle w:val="HChG"/>
        <w:pageBreakBefore/>
        <w:tabs>
          <w:tab w:val="right" w:pos="8505"/>
        </w:tabs>
        <w:rPr>
          <w:lang w:val="en-US"/>
        </w:rPr>
      </w:pPr>
      <w:bookmarkStart w:id="30" w:name="_Hlk23768440"/>
      <w:r w:rsidRPr="00D73DBB">
        <w:rPr>
          <w:lang w:val="en-US"/>
        </w:rPr>
        <w:t>Annex I</w:t>
      </w:r>
      <w:r>
        <w:rPr>
          <w:lang w:val="en-US"/>
        </w:rPr>
        <w:t>I</w:t>
      </w:r>
      <w:r w:rsidR="00DE135E">
        <w:rPr>
          <w:lang w:val="en-US"/>
        </w:rPr>
        <w:t>I</w:t>
      </w:r>
      <w:r w:rsidR="00DF3CD6">
        <w:rPr>
          <w:lang w:val="en-US"/>
        </w:rPr>
        <w:br/>
      </w:r>
      <w:r w:rsidR="00DF3CD6">
        <w:rPr>
          <w:b w:val="0"/>
          <w:bCs/>
          <w:sz w:val="20"/>
        </w:rPr>
        <w:tab/>
      </w:r>
      <w:r w:rsidR="00DF3CD6" w:rsidRPr="00DF3CD6">
        <w:rPr>
          <w:b w:val="0"/>
          <w:bCs/>
          <w:sz w:val="20"/>
        </w:rPr>
        <w:t>[Original: English and French]</w:t>
      </w:r>
    </w:p>
    <w:bookmarkEnd w:id="30"/>
    <w:p w14:paraId="7A0F3DD6" w14:textId="138DAC41" w:rsidR="00DE5BCE" w:rsidRDefault="00DE5BCE" w:rsidP="00DE5BCE">
      <w:pPr>
        <w:pStyle w:val="HChG"/>
        <w:rPr>
          <w:noProof/>
        </w:rPr>
      </w:pPr>
      <w:r w:rsidRPr="00AC60D0">
        <w:tab/>
      </w:r>
      <w:r>
        <w:rPr>
          <w:lang w:val="en-US"/>
        </w:rPr>
        <w:tab/>
      </w:r>
      <w:bookmarkStart w:id="31" w:name="_Toc432670214"/>
      <w:bookmarkStart w:id="32" w:name="_Toc528147043"/>
      <w:r w:rsidRPr="00D73DBB">
        <w:rPr>
          <w:lang w:val="en-US"/>
        </w:rPr>
        <w:t>Corrections to ATP</w:t>
      </w:r>
      <w:bookmarkEnd w:id="31"/>
      <w:bookmarkEnd w:id="32"/>
    </w:p>
    <w:p w14:paraId="35C43CBE" w14:textId="77777777" w:rsidR="00DE5BCE" w:rsidRPr="006F008D" w:rsidRDefault="00DE5BCE" w:rsidP="00DE5BCE">
      <w:pPr>
        <w:pStyle w:val="H23G"/>
        <w:rPr>
          <w:w w:val="103"/>
          <w:lang w:eastAsia="zh-CN"/>
        </w:rPr>
      </w:pPr>
      <w:r w:rsidRPr="00AD62DB">
        <w:rPr>
          <w:w w:val="103"/>
          <w:lang w:eastAsia="zh-CN"/>
        </w:rPr>
        <w:tab/>
      </w:r>
      <w:bookmarkStart w:id="33" w:name="_Toc528147044"/>
      <w:r w:rsidRPr="006F008D">
        <w:rPr>
          <w:w w:val="103"/>
          <w:lang w:eastAsia="zh-CN"/>
        </w:rPr>
        <w:tab/>
        <w:t>Annex 1, appendix 2, section 8, M</w:t>
      </w:r>
      <w:r>
        <w:rPr>
          <w:w w:val="103"/>
          <w:lang w:eastAsia="zh-CN"/>
        </w:rPr>
        <w:t>odel</w:t>
      </w:r>
      <w:r w:rsidRPr="006F008D">
        <w:rPr>
          <w:w w:val="103"/>
          <w:lang w:eastAsia="zh-CN"/>
        </w:rPr>
        <w:t xml:space="preserve"> No. 12</w:t>
      </w:r>
      <w:r>
        <w:rPr>
          <w:w w:val="103"/>
          <w:lang w:eastAsia="zh-CN"/>
        </w:rPr>
        <w:t xml:space="preserve">, </w:t>
      </w:r>
      <w:r w:rsidRPr="00D97ECB">
        <w:rPr>
          <w:bCs/>
          <w:spacing w:val="4"/>
          <w:w w:val="103"/>
          <w:kern w:val="14"/>
          <w:lang w:eastAsia="zh-CN"/>
        </w:rPr>
        <w:t>table concerning heat exchangers</w:t>
      </w:r>
    </w:p>
    <w:p w14:paraId="445B248F" w14:textId="77777777" w:rsidR="00DE5BCE" w:rsidRPr="00D97ECB" w:rsidRDefault="00DE5BCE" w:rsidP="00DE5BCE">
      <w:pPr>
        <w:pStyle w:val="SingleTxtG"/>
      </w:pPr>
      <w:r w:rsidRPr="00D97ECB">
        <w:rPr>
          <w:i/>
          <w:iCs/>
          <w:spacing w:val="4"/>
          <w:w w:val="103"/>
          <w:kern w:val="14"/>
          <w:lang w:eastAsia="zh-CN"/>
        </w:rPr>
        <w:tab/>
        <w:t>For</w:t>
      </w:r>
      <w:r w:rsidRPr="00D97ECB">
        <w:rPr>
          <w:spacing w:val="4"/>
          <w:w w:val="103"/>
          <w:kern w:val="14"/>
          <w:lang w:eastAsia="zh-CN"/>
        </w:rPr>
        <w:t xml:space="preserve"> “Fan pitch” </w:t>
      </w:r>
      <w:r w:rsidRPr="00D97ECB">
        <w:rPr>
          <w:i/>
          <w:iCs/>
          <w:spacing w:val="4"/>
          <w:w w:val="103"/>
          <w:kern w:val="14"/>
          <w:lang w:eastAsia="zh-CN"/>
        </w:rPr>
        <w:t>read</w:t>
      </w:r>
      <w:r w:rsidRPr="00D97ECB">
        <w:rPr>
          <w:spacing w:val="4"/>
          <w:w w:val="103"/>
          <w:kern w:val="14"/>
          <w:lang w:eastAsia="zh-CN"/>
        </w:rPr>
        <w:t xml:space="preserve"> “Fin pitch”.</w:t>
      </w:r>
    </w:p>
    <w:p w14:paraId="77964C20" w14:textId="77777777" w:rsidR="00DE5BCE" w:rsidRDefault="00DE5BCE" w:rsidP="00DE5BCE">
      <w:pPr>
        <w:pStyle w:val="SingleTxtG"/>
        <w:rPr>
          <w:spacing w:val="4"/>
          <w:w w:val="103"/>
          <w:kern w:val="14"/>
          <w:lang w:eastAsia="zh-CN"/>
        </w:rPr>
      </w:pPr>
      <w:r w:rsidRPr="006F008D">
        <w:rPr>
          <w:spacing w:val="4"/>
          <w:w w:val="103"/>
          <w:kern w:val="14"/>
          <w:lang w:eastAsia="zh-CN"/>
        </w:rPr>
        <w:tab/>
        <w:t>(</w:t>
      </w:r>
      <w:r w:rsidRPr="006F008D">
        <w:rPr>
          <w:i/>
          <w:iCs/>
          <w:spacing w:val="4"/>
          <w:w w:val="103"/>
          <w:kern w:val="14"/>
          <w:lang w:eastAsia="zh-CN"/>
        </w:rPr>
        <w:t>Reference document: ECE/TRANS/WP.11/2019/21</w:t>
      </w:r>
      <w:r w:rsidRPr="006F008D">
        <w:rPr>
          <w:spacing w:val="4"/>
          <w:w w:val="103"/>
          <w:kern w:val="14"/>
          <w:lang w:eastAsia="zh-CN"/>
        </w:rPr>
        <w:t>)</w:t>
      </w:r>
      <w:bookmarkEnd w:id="33"/>
    </w:p>
    <w:p w14:paraId="423E8FF0" w14:textId="5CCF9E13" w:rsidR="00DE5BCE" w:rsidRDefault="00DE5BCE" w:rsidP="00DF3CD6">
      <w:pPr>
        <w:pStyle w:val="HChG"/>
        <w:pageBreakBefore/>
        <w:tabs>
          <w:tab w:val="right" w:pos="8364"/>
        </w:tabs>
        <w:rPr>
          <w:lang w:val="en-US"/>
        </w:rPr>
      </w:pPr>
      <w:r w:rsidRPr="00D73DBB">
        <w:rPr>
          <w:lang w:val="en-US"/>
        </w:rPr>
        <w:t xml:space="preserve">Annex </w:t>
      </w:r>
      <w:r w:rsidR="00DE135E">
        <w:rPr>
          <w:lang w:val="en-US"/>
        </w:rPr>
        <w:t>IV</w:t>
      </w:r>
      <w:r w:rsidR="00DF3CD6">
        <w:rPr>
          <w:lang w:val="en-US"/>
        </w:rPr>
        <w:br/>
      </w:r>
      <w:r w:rsidR="00DF3CD6">
        <w:rPr>
          <w:lang w:val="en-US"/>
        </w:rPr>
        <w:tab/>
      </w:r>
      <w:r w:rsidR="00DF3CD6">
        <w:rPr>
          <w:lang w:val="en-US"/>
        </w:rPr>
        <w:tab/>
      </w:r>
      <w:r w:rsidR="00DF3CD6" w:rsidRPr="00DF3CD6">
        <w:rPr>
          <w:b w:val="0"/>
          <w:bCs/>
          <w:sz w:val="20"/>
        </w:rPr>
        <w:t>[Original: English and French]</w:t>
      </w:r>
    </w:p>
    <w:p w14:paraId="776D8032" w14:textId="6D142958" w:rsidR="009A360B" w:rsidRPr="00C05089" w:rsidRDefault="009A360B" w:rsidP="009A360B">
      <w:pPr>
        <w:pStyle w:val="HChG"/>
        <w:rPr>
          <w:noProof/>
        </w:rPr>
      </w:pPr>
      <w:r>
        <w:tab/>
      </w:r>
      <w:r>
        <w:tab/>
      </w:r>
      <w:r w:rsidRPr="00C05089">
        <w:t>Additions</w:t>
      </w:r>
      <w:r w:rsidRPr="00C05089">
        <w:rPr>
          <w:lang w:val="en-US"/>
        </w:rPr>
        <w:t xml:space="preserve"> to the ATP Handbook</w:t>
      </w:r>
    </w:p>
    <w:p w14:paraId="3EDC01E3" w14:textId="77777777" w:rsidR="009A360B" w:rsidRPr="00C05089" w:rsidRDefault="009A360B" w:rsidP="009A360B">
      <w:pPr>
        <w:pStyle w:val="H23G"/>
        <w:rPr>
          <w:w w:val="103"/>
          <w:lang w:eastAsia="zh-CN"/>
        </w:rPr>
      </w:pPr>
      <w:r w:rsidRPr="00C05089">
        <w:rPr>
          <w:w w:val="103"/>
          <w:lang w:eastAsia="zh-CN"/>
        </w:rPr>
        <w:tab/>
      </w:r>
      <w:r w:rsidRPr="00C05089">
        <w:rPr>
          <w:w w:val="103"/>
          <w:lang w:eastAsia="zh-CN"/>
        </w:rPr>
        <w:tab/>
        <w:t>Article 4</w:t>
      </w:r>
    </w:p>
    <w:p w14:paraId="194147E5" w14:textId="2ED4A15A" w:rsidR="009A360B" w:rsidRDefault="009A360B" w:rsidP="004B0606">
      <w:pPr>
        <w:pStyle w:val="SingleTxtG"/>
        <w:rPr>
          <w:lang w:eastAsia="zh-CN"/>
        </w:rPr>
      </w:pPr>
      <w:r w:rsidRPr="00C05089">
        <w:rPr>
          <w:lang w:eastAsia="zh-CN"/>
        </w:rPr>
        <w:tab/>
        <w:t>Add the following comment to Article 4:</w:t>
      </w:r>
    </w:p>
    <w:p w14:paraId="763C30BF" w14:textId="77777777" w:rsidR="009A360B" w:rsidRPr="00C05089" w:rsidRDefault="009A360B" w:rsidP="004B0606">
      <w:pPr>
        <w:pStyle w:val="SingleTxtG"/>
        <w:rPr>
          <w:lang w:eastAsia="zh-CN"/>
        </w:rPr>
      </w:pPr>
      <w:r w:rsidRPr="00C05089">
        <w:rPr>
          <w:lang w:eastAsia="zh-CN"/>
        </w:rPr>
        <w:tab/>
      </w:r>
      <w:r w:rsidRPr="00C05089">
        <w:rPr>
          <w:lang w:val="en-US"/>
        </w:rPr>
        <w:t>“For packages and cargo transport units containing substances presenting a risk of asphyxiation when used for cooling or conditioning purposes (such as dry ice (UN 1845) or nitrogen, refrigerated liquid (UN 1977) or argon, refrigerated liquid (UN 1951) or nitrogen, see section 5.5.3 of the International Maritime Dangerous Goods Code (IMDG Code), the Regulations concerning the International Carriage of Dangerous Goods by Rail (RID) and the European Agreement concerning the International Carriage of Dangerous Goods by Road (ADR).”</w:t>
      </w:r>
    </w:p>
    <w:p w14:paraId="363F2077" w14:textId="7B257B8F" w:rsidR="00916DC5" w:rsidRDefault="009A360B" w:rsidP="008D3599">
      <w:pPr>
        <w:pStyle w:val="SingleTxtG"/>
        <w:rPr>
          <w:spacing w:val="4"/>
          <w:w w:val="103"/>
          <w:kern w:val="14"/>
          <w:lang w:eastAsia="zh-CN"/>
        </w:rPr>
      </w:pPr>
      <w:r w:rsidRPr="00C05089">
        <w:rPr>
          <w:spacing w:val="4"/>
          <w:w w:val="103"/>
          <w:kern w:val="14"/>
          <w:lang w:eastAsia="zh-CN"/>
        </w:rPr>
        <w:tab/>
        <w:t>(</w:t>
      </w:r>
      <w:r w:rsidRPr="00C05089">
        <w:rPr>
          <w:i/>
          <w:iCs/>
          <w:spacing w:val="4"/>
          <w:w w:val="103"/>
          <w:kern w:val="14"/>
          <w:lang w:eastAsia="zh-CN"/>
        </w:rPr>
        <w:t>Reference document: ECE/TRANS/WP.11/2019/13, as amended</w:t>
      </w:r>
      <w:r w:rsidRPr="00C05089">
        <w:rPr>
          <w:spacing w:val="4"/>
          <w:w w:val="103"/>
          <w:kern w:val="14"/>
          <w:lang w:eastAsia="zh-CN"/>
        </w:rPr>
        <w:t>)</w:t>
      </w:r>
      <w:bookmarkEnd w:id="28"/>
      <w:bookmarkEnd w:id="29"/>
    </w:p>
    <w:p w14:paraId="68020EFD" w14:textId="3205EB6F" w:rsidR="00C75CAC" w:rsidRPr="00C75CAC" w:rsidRDefault="00C75CAC" w:rsidP="00C75CAC">
      <w:pPr>
        <w:spacing w:before="240"/>
        <w:jc w:val="center"/>
        <w:rPr>
          <w:u w:val="single"/>
          <w:lang w:val="en-US"/>
        </w:rPr>
      </w:pPr>
      <w:r>
        <w:rPr>
          <w:u w:val="single"/>
          <w:lang w:val="en-US"/>
        </w:rPr>
        <w:tab/>
      </w:r>
      <w:r>
        <w:rPr>
          <w:u w:val="single"/>
          <w:lang w:val="en-US"/>
        </w:rPr>
        <w:tab/>
      </w:r>
      <w:r>
        <w:rPr>
          <w:u w:val="single"/>
          <w:lang w:val="en-US"/>
        </w:rPr>
        <w:tab/>
      </w:r>
    </w:p>
    <w:sectPr w:rsidR="00C75CAC" w:rsidRPr="00C75CAC" w:rsidSect="00444411">
      <w:headerReference w:type="even" r:id="rId14"/>
      <w:headerReference w:type="default" r:id="rId15"/>
      <w:footerReference w:type="even" r:id="rId16"/>
      <w:footerReference w:type="defaul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716FD" w14:textId="77777777" w:rsidR="00873A64" w:rsidRDefault="00873A64"/>
  </w:endnote>
  <w:endnote w:type="continuationSeparator" w:id="0">
    <w:p w14:paraId="085B3521" w14:textId="77777777" w:rsidR="00873A64" w:rsidRDefault="00873A64"/>
  </w:endnote>
  <w:endnote w:type="continuationNotice" w:id="1">
    <w:p w14:paraId="02D3F19A" w14:textId="77777777" w:rsidR="00873A64" w:rsidRDefault="00873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2646C" w14:textId="26B813AF" w:rsidR="00873A64" w:rsidRPr="00916DC5" w:rsidRDefault="00873A64" w:rsidP="00916DC5">
    <w:pPr>
      <w:pStyle w:val="Footer"/>
      <w:tabs>
        <w:tab w:val="right" w:pos="9638"/>
      </w:tabs>
      <w:rPr>
        <w:sz w:val="18"/>
      </w:rPr>
    </w:pPr>
    <w:r w:rsidRPr="00916DC5">
      <w:rPr>
        <w:b/>
        <w:sz w:val="18"/>
      </w:rPr>
      <w:fldChar w:fldCharType="begin"/>
    </w:r>
    <w:r w:rsidRPr="00916DC5">
      <w:rPr>
        <w:b/>
        <w:sz w:val="18"/>
      </w:rPr>
      <w:instrText xml:space="preserve"> PAGE  \* MERGEFORMAT </w:instrText>
    </w:r>
    <w:r w:rsidRPr="00916DC5">
      <w:rPr>
        <w:b/>
        <w:sz w:val="18"/>
      </w:rPr>
      <w:fldChar w:fldCharType="separate"/>
    </w:r>
    <w:r>
      <w:rPr>
        <w:b/>
        <w:noProof/>
        <w:sz w:val="18"/>
      </w:rPr>
      <w:t>24</w:t>
    </w:r>
    <w:r w:rsidRPr="00916DC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6CEEC" w14:textId="06CAFAEB" w:rsidR="00873A64" w:rsidRPr="00916DC5" w:rsidRDefault="00873A64" w:rsidP="00916DC5">
    <w:pPr>
      <w:pStyle w:val="Footer"/>
      <w:tabs>
        <w:tab w:val="right" w:pos="9638"/>
      </w:tabs>
      <w:rPr>
        <w:b/>
        <w:sz w:val="18"/>
      </w:rPr>
    </w:pPr>
    <w:r>
      <w:tab/>
    </w:r>
    <w:r w:rsidRPr="00916DC5">
      <w:rPr>
        <w:b/>
        <w:sz w:val="18"/>
      </w:rPr>
      <w:fldChar w:fldCharType="begin"/>
    </w:r>
    <w:r w:rsidRPr="00916DC5">
      <w:rPr>
        <w:b/>
        <w:sz w:val="18"/>
      </w:rPr>
      <w:instrText xml:space="preserve"> PAGE  \* MERGEFORMAT </w:instrText>
    </w:r>
    <w:r w:rsidRPr="00916DC5">
      <w:rPr>
        <w:b/>
        <w:sz w:val="18"/>
      </w:rPr>
      <w:fldChar w:fldCharType="separate"/>
    </w:r>
    <w:r>
      <w:rPr>
        <w:b/>
        <w:noProof/>
        <w:sz w:val="18"/>
      </w:rPr>
      <w:t>25</w:t>
    </w:r>
    <w:r w:rsidRPr="00916DC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0628B" w14:textId="77777777" w:rsidR="00873A64" w:rsidRPr="000B175B" w:rsidRDefault="00873A64" w:rsidP="000B175B">
      <w:pPr>
        <w:tabs>
          <w:tab w:val="right" w:pos="2155"/>
        </w:tabs>
        <w:spacing w:after="80"/>
        <w:ind w:left="680"/>
        <w:rPr>
          <w:u w:val="single"/>
        </w:rPr>
      </w:pPr>
      <w:r>
        <w:rPr>
          <w:u w:val="single"/>
        </w:rPr>
        <w:tab/>
      </w:r>
    </w:p>
  </w:footnote>
  <w:footnote w:type="continuationSeparator" w:id="0">
    <w:p w14:paraId="52CB9FB4" w14:textId="77777777" w:rsidR="00873A64" w:rsidRPr="00FC68B7" w:rsidRDefault="00873A64" w:rsidP="00FC68B7">
      <w:pPr>
        <w:tabs>
          <w:tab w:val="left" w:pos="2155"/>
        </w:tabs>
        <w:spacing w:after="80"/>
        <w:ind w:left="680"/>
        <w:rPr>
          <w:u w:val="single"/>
        </w:rPr>
      </w:pPr>
      <w:r>
        <w:rPr>
          <w:u w:val="single"/>
        </w:rPr>
        <w:tab/>
      </w:r>
    </w:p>
  </w:footnote>
  <w:footnote w:type="continuationNotice" w:id="1">
    <w:p w14:paraId="587B6E9B" w14:textId="77777777" w:rsidR="00873A64" w:rsidRDefault="00873A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A3B48" w14:textId="60FE07F0" w:rsidR="00873A64" w:rsidRPr="00916DC5" w:rsidRDefault="00873A64">
    <w:pPr>
      <w:pStyle w:val="Header"/>
    </w:pPr>
    <w:r>
      <w:t>ECE/TRANS/WP.11/241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F86EE" w14:textId="52D4ED36" w:rsidR="00873A64" w:rsidRPr="00916DC5" w:rsidRDefault="00873A64" w:rsidP="00916DC5">
    <w:pPr>
      <w:pStyle w:val="Header"/>
      <w:jc w:val="right"/>
    </w:pPr>
    <w:r>
      <w:t>ECE/TRANS/WP.11/241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0285803"/>
    <w:multiLevelType w:val="hybridMultilevel"/>
    <w:tmpl w:val="05CCE5B0"/>
    <w:lvl w:ilvl="0" w:tplc="3A60C988">
      <w:start w:val="1"/>
      <w:numFmt w:val="bullet"/>
      <w:lvlText w:val="•"/>
      <w:lvlJc w:val="left"/>
      <w:pPr>
        <w:ind w:left="1854" w:hanging="360"/>
      </w:pPr>
      <w:rPr>
        <w:rFonts w:ascii="Times New Roman" w:hAnsi="Times New Roman" w:cs="Times New Roman" w:hint="default"/>
      </w:rPr>
    </w:lvl>
    <w:lvl w:ilvl="1" w:tplc="30F0D3F0">
      <w:numFmt w:val="bullet"/>
      <w:lvlText w:val="-"/>
      <w:lvlJc w:val="left"/>
      <w:pPr>
        <w:ind w:left="2769" w:hanging="555"/>
      </w:pPr>
      <w:rPr>
        <w:rFonts w:ascii="Times New Roman" w:eastAsia="Times New Roman" w:hAnsi="Times New Roman" w:cs="Times New Roman" w:hint="default"/>
        <w:i w:val="0"/>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5" w15:restartNumberingAfterBreak="0">
    <w:nsid w:val="382A51AA"/>
    <w:multiLevelType w:val="hybridMultilevel"/>
    <w:tmpl w:val="440AA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7" w15:restartNumberingAfterBreak="0">
    <w:nsid w:val="4A6E1B18"/>
    <w:multiLevelType w:val="hybridMultilevel"/>
    <w:tmpl w:val="42E4BAAA"/>
    <w:lvl w:ilvl="0" w:tplc="FFFFFFFF">
      <w:start w:val="1"/>
      <w:numFmt w:val="decimal"/>
      <w:pStyle w:val="ParaNo0"/>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198C83F0"/>
    <w:lvl w:ilvl="0" w:tplc="8C4849AC">
      <w:start w:val="1"/>
      <w:numFmt w:val="bullet"/>
      <w:pStyle w:val="Bullet1G"/>
      <w:lvlText w:val="•"/>
      <w:lvlJc w:val="left"/>
      <w:pPr>
        <w:tabs>
          <w:tab w:val="num" w:pos="2013"/>
        </w:tabs>
        <w:ind w:left="2013"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2"/>
  </w:num>
  <w:num w:numId="13">
    <w:abstractNumId w:val="11"/>
  </w:num>
  <w:num w:numId="14">
    <w:abstractNumId w:val="19"/>
  </w:num>
  <w:num w:numId="15">
    <w:abstractNumId w:val="20"/>
  </w:num>
  <w:num w:numId="16">
    <w:abstractNumId w:val="10"/>
  </w:num>
  <w:num w:numId="17">
    <w:abstractNumId w:val="17"/>
  </w:num>
  <w:num w:numId="18">
    <w:abstractNumId w:val="14"/>
  </w:num>
  <w:num w:numId="19">
    <w:abstractNumId w:val="16"/>
  </w:num>
  <w:num w:numId="20">
    <w:abstractNumId w:val="15"/>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fr-FR" w:vendorID="64" w:dllVersion="6" w:nlCheck="1" w:checkStyle="1"/>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I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DC5"/>
    <w:rsid w:val="00000218"/>
    <w:rsid w:val="000105FD"/>
    <w:rsid w:val="0004128A"/>
    <w:rsid w:val="00046B1F"/>
    <w:rsid w:val="00046B73"/>
    <w:rsid w:val="00050F6B"/>
    <w:rsid w:val="00051139"/>
    <w:rsid w:val="000519E9"/>
    <w:rsid w:val="00052D63"/>
    <w:rsid w:val="00057E97"/>
    <w:rsid w:val="000615ED"/>
    <w:rsid w:val="0006328C"/>
    <w:rsid w:val="000646F4"/>
    <w:rsid w:val="00066433"/>
    <w:rsid w:val="00072C8C"/>
    <w:rsid w:val="000733B5"/>
    <w:rsid w:val="00081815"/>
    <w:rsid w:val="0009140E"/>
    <w:rsid w:val="00091ADC"/>
    <w:rsid w:val="000931C0"/>
    <w:rsid w:val="00097A18"/>
    <w:rsid w:val="000A15E7"/>
    <w:rsid w:val="000A63AA"/>
    <w:rsid w:val="000B0595"/>
    <w:rsid w:val="000B175B"/>
    <w:rsid w:val="000B3A0F"/>
    <w:rsid w:val="000B4E9F"/>
    <w:rsid w:val="000B4EF7"/>
    <w:rsid w:val="000C2C03"/>
    <w:rsid w:val="000C2D2E"/>
    <w:rsid w:val="000D08D5"/>
    <w:rsid w:val="000D1104"/>
    <w:rsid w:val="000D1D75"/>
    <w:rsid w:val="000D224E"/>
    <w:rsid w:val="000D743C"/>
    <w:rsid w:val="000D7772"/>
    <w:rsid w:val="000E0415"/>
    <w:rsid w:val="000E4E6F"/>
    <w:rsid w:val="000E5BCF"/>
    <w:rsid w:val="000F1585"/>
    <w:rsid w:val="000F2877"/>
    <w:rsid w:val="001024D5"/>
    <w:rsid w:val="001103AA"/>
    <w:rsid w:val="0011666B"/>
    <w:rsid w:val="00126D71"/>
    <w:rsid w:val="001348C1"/>
    <w:rsid w:val="001372BA"/>
    <w:rsid w:val="00160515"/>
    <w:rsid w:val="00161871"/>
    <w:rsid w:val="00165F3A"/>
    <w:rsid w:val="00173F53"/>
    <w:rsid w:val="00180D49"/>
    <w:rsid w:val="00183D26"/>
    <w:rsid w:val="001A2752"/>
    <w:rsid w:val="001A3A3B"/>
    <w:rsid w:val="001B002C"/>
    <w:rsid w:val="001B1412"/>
    <w:rsid w:val="001B14DB"/>
    <w:rsid w:val="001B4B04"/>
    <w:rsid w:val="001B77C2"/>
    <w:rsid w:val="001C6663"/>
    <w:rsid w:val="001C7895"/>
    <w:rsid w:val="001D0C8C"/>
    <w:rsid w:val="001D0CA2"/>
    <w:rsid w:val="001D1419"/>
    <w:rsid w:val="001D1D6E"/>
    <w:rsid w:val="001D26DF"/>
    <w:rsid w:val="001D3084"/>
    <w:rsid w:val="001D3A03"/>
    <w:rsid w:val="001D58E4"/>
    <w:rsid w:val="001D6E5F"/>
    <w:rsid w:val="001E7B67"/>
    <w:rsid w:val="001F1597"/>
    <w:rsid w:val="001F7B96"/>
    <w:rsid w:val="00202DA8"/>
    <w:rsid w:val="00211E0B"/>
    <w:rsid w:val="00222DCB"/>
    <w:rsid w:val="002232A9"/>
    <w:rsid w:val="00232F0A"/>
    <w:rsid w:val="00235B87"/>
    <w:rsid w:val="00240AC0"/>
    <w:rsid w:val="00242FCF"/>
    <w:rsid w:val="0024772E"/>
    <w:rsid w:val="00267F1C"/>
    <w:rsid w:val="00267F5F"/>
    <w:rsid w:val="00286B4D"/>
    <w:rsid w:val="0029012E"/>
    <w:rsid w:val="002930A5"/>
    <w:rsid w:val="002A3D95"/>
    <w:rsid w:val="002B63A4"/>
    <w:rsid w:val="002B70B2"/>
    <w:rsid w:val="002C343B"/>
    <w:rsid w:val="002C42E0"/>
    <w:rsid w:val="002C4945"/>
    <w:rsid w:val="002C7F60"/>
    <w:rsid w:val="002D4643"/>
    <w:rsid w:val="002D5B04"/>
    <w:rsid w:val="002E0674"/>
    <w:rsid w:val="002E121B"/>
    <w:rsid w:val="002E16A6"/>
    <w:rsid w:val="002F175C"/>
    <w:rsid w:val="002F3FDD"/>
    <w:rsid w:val="002F40E7"/>
    <w:rsid w:val="002F4571"/>
    <w:rsid w:val="0030164A"/>
    <w:rsid w:val="00302E18"/>
    <w:rsid w:val="00307279"/>
    <w:rsid w:val="00312B8E"/>
    <w:rsid w:val="00320AA2"/>
    <w:rsid w:val="003229D8"/>
    <w:rsid w:val="003242D6"/>
    <w:rsid w:val="003356A3"/>
    <w:rsid w:val="003458B1"/>
    <w:rsid w:val="0035203C"/>
    <w:rsid w:val="00352709"/>
    <w:rsid w:val="0036044B"/>
    <w:rsid w:val="0036168F"/>
    <w:rsid w:val="003619B5"/>
    <w:rsid w:val="00365763"/>
    <w:rsid w:val="003668CA"/>
    <w:rsid w:val="0036693E"/>
    <w:rsid w:val="00371178"/>
    <w:rsid w:val="00376218"/>
    <w:rsid w:val="00377A8D"/>
    <w:rsid w:val="00377C8F"/>
    <w:rsid w:val="0038296A"/>
    <w:rsid w:val="003845E9"/>
    <w:rsid w:val="00386891"/>
    <w:rsid w:val="00386D8A"/>
    <w:rsid w:val="00387084"/>
    <w:rsid w:val="00392DD3"/>
    <w:rsid w:val="00392E47"/>
    <w:rsid w:val="003957DD"/>
    <w:rsid w:val="003A1B2A"/>
    <w:rsid w:val="003A2E58"/>
    <w:rsid w:val="003A5AC4"/>
    <w:rsid w:val="003A6810"/>
    <w:rsid w:val="003A6E7D"/>
    <w:rsid w:val="003B0F1B"/>
    <w:rsid w:val="003C2CC4"/>
    <w:rsid w:val="003C50CE"/>
    <w:rsid w:val="003C624E"/>
    <w:rsid w:val="003D1847"/>
    <w:rsid w:val="003D4B23"/>
    <w:rsid w:val="003D79A5"/>
    <w:rsid w:val="003E130E"/>
    <w:rsid w:val="003E574D"/>
    <w:rsid w:val="003E79DF"/>
    <w:rsid w:val="00401AF0"/>
    <w:rsid w:val="004044B2"/>
    <w:rsid w:val="00404A7B"/>
    <w:rsid w:val="00410C89"/>
    <w:rsid w:val="0042183C"/>
    <w:rsid w:val="00422E03"/>
    <w:rsid w:val="00426749"/>
    <w:rsid w:val="00426B9B"/>
    <w:rsid w:val="00431D9F"/>
    <w:rsid w:val="004325CB"/>
    <w:rsid w:val="00434DF5"/>
    <w:rsid w:val="004379D3"/>
    <w:rsid w:val="00437D47"/>
    <w:rsid w:val="004401F7"/>
    <w:rsid w:val="00442A83"/>
    <w:rsid w:val="00444411"/>
    <w:rsid w:val="00447AE6"/>
    <w:rsid w:val="0045161A"/>
    <w:rsid w:val="00451BBE"/>
    <w:rsid w:val="00452654"/>
    <w:rsid w:val="00453BBA"/>
    <w:rsid w:val="00453BC1"/>
    <w:rsid w:val="0045495B"/>
    <w:rsid w:val="004558CA"/>
    <w:rsid w:val="004561E5"/>
    <w:rsid w:val="0046182E"/>
    <w:rsid w:val="00462102"/>
    <w:rsid w:val="0046463A"/>
    <w:rsid w:val="00475E3B"/>
    <w:rsid w:val="0048011A"/>
    <w:rsid w:val="004808E3"/>
    <w:rsid w:val="00480C3F"/>
    <w:rsid w:val="00481FAC"/>
    <w:rsid w:val="0048397A"/>
    <w:rsid w:val="00485CBB"/>
    <w:rsid w:val="0048640F"/>
    <w:rsid w:val="004866B7"/>
    <w:rsid w:val="00493092"/>
    <w:rsid w:val="004A14FF"/>
    <w:rsid w:val="004A2C7B"/>
    <w:rsid w:val="004A2E64"/>
    <w:rsid w:val="004B0606"/>
    <w:rsid w:val="004B6CCA"/>
    <w:rsid w:val="004C2461"/>
    <w:rsid w:val="004C5E7E"/>
    <w:rsid w:val="004C7462"/>
    <w:rsid w:val="004D7392"/>
    <w:rsid w:val="004E4F0A"/>
    <w:rsid w:val="004E77B2"/>
    <w:rsid w:val="005003AF"/>
    <w:rsid w:val="00503CEE"/>
    <w:rsid w:val="00504B2D"/>
    <w:rsid w:val="00511578"/>
    <w:rsid w:val="0052136D"/>
    <w:rsid w:val="0052327E"/>
    <w:rsid w:val="00524C4D"/>
    <w:rsid w:val="00527608"/>
    <w:rsid w:val="0052775E"/>
    <w:rsid w:val="0053079D"/>
    <w:rsid w:val="0053085A"/>
    <w:rsid w:val="00531D55"/>
    <w:rsid w:val="00536FFB"/>
    <w:rsid w:val="005420F2"/>
    <w:rsid w:val="00545125"/>
    <w:rsid w:val="00553609"/>
    <w:rsid w:val="005543FC"/>
    <w:rsid w:val="005628B6"/>
    <w:rsid w:val="00570CCB"/>
    <w:rsid w:val="00575DD3"/>
    <w:rsid w:val="00582827"/>
    <w:rsid w:val="00591CAA"/>
    <w:rsid w:val="005941EC"/>
    <w:rsid w:val="00596AA5"/>
    <w:rsid w:val="0059724D"/>
    <w:rsid w:val="005A56EA"/>
    <w:rsid w:val="005A70A4"/>
    <w:rsid w:val="005B3DB3"/>
    <w:rsid w:val="005B4E13"/>
    <w:rsid w:val="005B746A"/>
    <w:rsid w:val="005C342F"/>
    <w:rsid w:val="005C7DF9"/>
    <w:rsid w:val="005E4407"/>
    <w:rsid w:val="005F7B75"/>
    <w:rsid w:val="006001EE"/>
    <w:rsid w:val="00605042"/>
    <w:rsid w:val="00610D7D"/>
    <w:rsid w:val="00611FC4"/>
    <w:rsid w:val="00616D67"/>
    <w:rsid w:val="006176FB"/>
    <w:rsid w:val="0062777E"/>
    <w:rsid w:val="006302B4"/>
    <w:rsid w:val="00631847"/>
    <w:rsid w:val="00640B26"/>
    <w:rsid w:val="006443BF"/>
    <w:rsid w:val="00647184"/>
    <w:rsid w:val="00652D0A"/>
    <w:rsid w:val="006538A6"/>
    <w:rsid w:val="00656059"/>
    <w:rsid w:val="006612A5"/>
    <w:rsid w:val="00662BB6"/>
    <w:rsid w:val="00670612"/>
    <w:rsid w:val="00670867"/>
    <w:rsid w:val="00676606"/>
    <w:rsid w:val="00684C21"/>
    <w:rsid w:val="006861C3"/>
    <w:rsid w:val="00687C9B"/>
    <w:rsid w:val="00687EFE"/>
    <w:rsid w:val="00687FD2"/>
    <w:rsid w:val="00695CF0"/>
    <w:rsid w:val="006A2530"/>
    <w:rsid w:val="006C1199"/>
    <w:rsid w:val="006C3589"/>
    <w:rsid w:val="006C4BB1"/>
    <w:rsid w:val="006C51EB"/>
    <w:rsid w:val="006C6B4F"/>
    <w:rsid w:val="006D37AF"/>
    <w:rsid w:val="006D51D0"/>
    <w:rsid w:val="006D5FB9"/>
    <w:rsid w:val="006D7121"/>
    <w:rsid w:val="006E564B"/>
    <w:rsid w:val="006E7191"/>
    <w:rsid w:val="006E795E"/>
    <w:rsid w:val="006F411E"/>
    <w:rsid w:val="006F4A63"/>
    <w:rsid w:val="00703577"/>
    <w:rsid w:val="007048FD"/>
    <w:rsid w:val="00705894"/>
    <w:rsid w:val="00710C51"/>
    <w:rsid w:val="0071149C"/>
    <w:rsid w:val="00720B33"/>
    <w:rsid w:val="00722A83"/>
    <w:rsid w:val="00723BAC"/>
    <w:rsid w:val="0072632A"/>
    <w:rsid w:val="00726728"/>
    <w:rsid w:val="007327D5"/>
    <w:rsid w:val="007339E8"/>
    <w:rsid w:val="007365AC"/>
    <w:rsid w:val="007438CD"/>
    <w:rsid w:val="007629C8"/>
    <w:rsid w:val="00765A4C"/>
    <w:rsid w:val="0077047D"/>
    <w:rsid w:val="00770855"/>
    <w:rsid w:val="00771DEE"/>
    <w:rsid w:val="0079064F"/>
    <w:rsid w:val="007A114F"/>
    <w:rsid w:val="007B6BA5"/>
    <w:rsid w:val="007C3390"/>
    <w:rsid w:val="007C4ABD"/>
    <w:rsid w:val="007C4C5F"/>
    <w:rsid w:val="007C4F4B"/>
    <w:rsid w:val="007C57B4"/>
    <w:rsid w:val="007C6B9F"/>
    <w:rsid w:val="007D0343"/>
    <w:rsid w:val="007D2BFD"/>
    <w:rsid w:val="007D50B6"/>
    <w:rsid w:val="007E01E9"/>
    <w:rsid w:val="007E23FB"/>
    <w:rsid w:val="007E63F3"/>
    <w:rsid w:val="007E7457"/>
    <w:rsid w:val="007F4077"/>
    <w:rsid w:val="007F6611"/>
    <w:rsid w:val="00800694"/>
    <w:rsid w:val="00802923"/>
    <w:rsid w:val="008114BD"/>
    <w:rsid w:val="00811920"/>
    <w:rsid w:val="00815AD0"/>
    <w:rsid w:val="0082161A"/>
    <w:rsid w:val="00822AE0"/>
    <w:rsid w:val="008242D7"/>
    <w:rsid w:val="008257B1"/>
    <w:rsid w:val="00825E1F"/>
    <w:rsid w:val="00827323"/>
    <w:rsid w:val="00832334"/>
    <w:rsid w:val="008367A3"/>
    <w:rsid w:val="00836966"/>
    <w:rsid w:val="00843767"/>
    <w:rsid w:val="00844576"/>
    <w:rsid w:val="008513D0"/>
    <w:rsid w:val="00853205"/>
    <w:rsid w:val="00862535"/>
    <w:rsid w:val="00862BF0"/>
    <w:rsid w:val="00864BC0"/>
    <w:rsid w:val="008679D9"/>
    <w:rsid w:val="00873A64"/>
    <w:rsid w:val="00874A9F"/>
    <w:rsid w:val="00875986"/>
    <w:rsid w:val="008852DD"/>
    <w:rsid w:val="008876BD"/>
    <w:rsid w:val="008878DE"/>
    <w:rsid w:val="008972B3"/>
    <w:rsid w:val="008979B1"/>
    <w:rsid w:val="008A129E"/>
    <w:rsid w:val="008A1D7A"/>
    <w:rsid w:val="008A3C07"/>
    <w:rsid w:val="008A47AB"/>
    <w:rsid w:val="008A5327"/>
    <w:rsid w:val="008A6B25"/>
    <w:rsid w:val="008A6C4F"/>
    <w:rsid w:val="008B2335"/>
    <w:rsid w:val="008C13C6"/>
    <w:rsid w:val="008C5121"/>
    <w:rsid w:val="008C6EA2"/>
    <w:rsid w:val="008D3599"/>
    <w:rsid w:val="008E0237"/>
    <w:rsid w:val="008E0678"/>
    <w:rsid w:val="008E2068"/>
    <w:rsid w:val="008F30F2"/>
    <w:rsid w:val="008F31D2"/>
    <w:rsid w:val="00916DC5"/>
    <w:rsid w:val="00917FDE"/>
    <w:rsid w:val="009223CA"/>
    <w:rsid w:val="009329AD"/>
    <w:rsid w:val="00940F93"/>
    <w:rsid w:val="009428AC"/>
    <w:rsid w:val="00947583"/>
    <w:rsid w:val="009500F0"/>
    <w:rsid w:val="009676A6"/>
    <w:rsid w:val="00967D0B"/>
    <w:rsid w:val="00972B27"/>
    <w:rsid w:val="009760F3"/>
    <w:rsid w:val="00976C4D"/>
    <w:rsid w:val="00976CFB"/>
    <w:rsid w:val="00977187"/>
    <w:rsid w:val="009833C3"/>
    <w:rsid w:val="00994426"/>
    <w:rsid w:val="00994570"/>
    <w:rsid w:val="00995C97"/>
    <w:rsid w:val="00996B5C"/>
    <w:rsid w:val="009A0830"/>
    <w:rsid w:val="009A0975"/>
    <w:rsid w:val="009A0E8D"/>
    <w:rsid w:val="009A360B"/>
    <w:rsid w:val="009B26E7"/>
    <w:rsid w:val="009B2CDE"/>
    <w:rsid w:val="009B7F7D"/>
    <w:rsid w:val="009C0111"/>
    <w:rsid w:val="009C7024"/>
    <w:rsid w:val="009E23F2"/>
    <w:rsid w:val="009E7847"/>
    <w:rsid w:val="00A00697"/>
    <w:rsid w:val="00A00A3F"/>
    <w:rsid w:val="00A01489"/>
    <w:rsid w:val="00A03668"/>
    <w:rsid w:val="00A0472F"/>
    <w:rsid w:val="00A26337"/>
    <w:rsid w:val="00A3026E"/>
    <w:rsid w:val="00A338F1"/>
    <w:rsid w:val="00A35023"/>
    <w:rsid w:val="00A3522E"/>
    <w:rsid w:val="00A35BE0"/>
    <w:rsid w:val="00A5265E"/>
    <w:rsid w:val="00A6129C"/>
    <w:rsid w:val="00A6553E"/>
    <w:rsid w:val="00A72F22"/>
    <w:rsid w:val="00A7360F"/>
    <w:rsid w:val="00A748A6"/>
    <w:rsid w:val="00A769F4"/>
    <w:rsid w:val="00A776B4"/>
    <w:rsid w:val="00A850F3"/>
    <w:rsid w:val="00A94361"/>
    <w:rsid w:val="00A97E13"/>
    <w:rsid w:val="00AA293C"/>
    <w:rsid w:val="00AA56F5"/>
    <w:rsid w:val="00AA6AEC"/>
    <w:rsid w:val="00AB3843"/>
    <w:rsid w:val="00AB6630"/>
    <w:rsid w:val="00AB67E5"/>
    <w:rsid w:val="00AC0ACD"/>
    <w:rsid w:val="00AD1ACC"/>
    <w:rsid w:val="00AD62DB"/>
    <w:rsid w:val="00AF126B"/>
    <w:rsid w:val="00AF2DE1"/>
    <w:rsid w:val="00B062F1"/>
    <w:rsid w:val="00B078ED"/>
    <w:rsid w:val="00B20E9A"/>
    <w:rsid w:val="00B21CFC"/>
    <w:rsid w:val="00B27610"/>
    <w:rsid w:val="00B30179"/>
    <w:rsid w:val="00B33238"/>
    <w:rsid w:val="00B356A4"/>
    <w:rsid w:val="00B421C1"/>
    <w:rsid w:val="00B46343"/>
    <w:rsid w:val="00B55C71"/>
    <w:rsid w:val="00B56E4A"/>
    <w:rsid w:val="00B56E9C"/>
    <w:rsid w:val="00B62E50"/>
    <w:rsid w:val="00B64B1F"/>
    <w:rsid w:val="00B6553F"/>
    <w:rsid w:val="00B67ACB"/>
    <w:rsid w:val="00B67D8B"/>
    <w:rsid w:val="00B73935"/>
    <w:rsid w:val="00B77D05"/>
    <w:rsid w:val="00B8032D"/>
    <w:rsid w:val="00B803BB"/>
    <w:rsid w:val="00B81206"/>
    <w:rsid w:val="00B81E12"/>
    <w:rsid w:val="00B82486"/>
    <w:rsid w:val="00B84167"/>
    <w:rsid w:val="00B8449C"/>
    <w:rsid w:val="00B941FC"/>
    <w:rsid w:val="00B94407"/>
    <w:rsid w:val="00BB2144"/>
    <w:rsid w:val="00BB67E5"/>
    <w:rsid w:val="00BC3FA0"/>
    <w:rsid w:val="00BC74E9"/>
    <w:rsid w:val="00BC7ADD"/>
    <w:rsid w:val="00BD0648"/>
    <w:rsid w:val="00BD08B1"/>
    <w:rsid w:val="00BE45FF"/>
    <w:rsid w:val="00BF68A8"/>
    <w:rsid w:val="00C02A6D"/>
    <w:rsid w:val="00C02C0A"/>
    <w:rsid w:val="00C04133"/>
    <w:rsid w:val="00C06315"/>
    <w:rsid w:val="00C11A03"/>
    <w:rsid w:val="00C17B17"/>
    <w:rsid w:val="00C22C0C"/>
    <w:rsid w:val="00C238BD"/>
    <w:rsid w:val="00C42193"/>
    <w:rsid w:val="00C4527F"/>
    <w:rsid w:val="00C463DD"/>
    <w:rsid w:val="00C4724C"/>
    <w:rsid w:val="00C629A0"/>
    <w:rsid w:val="00C63806"/>
    <w:rsid w:val="00C64629"/>
    <w:rsid w:val="00C64A8F"/>
    <w:rsid w:val="00C70054"/>
    <w:rsid w:val="00C73AA8"/>
    <w:rsid w:val="00C745C3"/>
    <w:rsid w:val="00C75CAC"/>
    <w:rsid w:val="00C96DF2"/>
    <w:rsid w:val="00C9785B"/>
    <w:rsid w:val="00C978EF"/>
    <w:rsid w:val="00CA342E"/>
    <w:rsid w:val="00CB1B6C"/>
    <w:rsid w:val="00CB28BF"/>
    <w:rsid w:val="00CB3E03"/>
    <w:rsid w:val="00CB573A"/>
    <w:rsid w:val="00CC186D"/>
    <w:rsid w:val="00CC7C3A"/>
    <w:rsid w:val="00CD1C61"/>
    <w:rsid w:val="00CD22B9"/>
    <w:rsid w:val="00CD4AA6"/>
    <w:rsid w:val="00CE4A8F"/>
    <w:rsid w:val="00CF2283"/>
    <w:rsid w:val="00D0159B"/>
    <w:rsid w:val="00D07F43"/>
    <w:rsid w:val="00D2031B"/>
    <w:rsid w:val="00D23DDF"/>
    <w:rsid w:val="00D248B6"/>
    <w:rsid w:val="00D25567"/>
    <w:rsid w:val="00D25FE2"/>
    <w:rsid w:val="00D27180"/>
    <w:rsid w:val="00D303E0"/>
    <w:rsid w:val="00D30889"/>
    <w:rsid w:val="00D31CC7"/>
    <w:rsid w:val="00D43252"/>
    <w:rsid w:val="00D46842"/>
    <w:rsid w:val="00D47EEA"/>
    <w:rsid w:val="00D5556A"/>
    <w:rsid w:val="00D66556"/>
    <w:rsid w:val="00D70E8E"/>
    <w:rsid w:val="00D7240A"/>
    <w:rsid w:val="00D73DBB"/>
    <w:rsid w:val="00D773DF"/>
    <w:rsid w:val="00D80525"/>
    <w:rsid w:val="00D868F2"/>
    <w:rsid w:val="00D87BC1"/>
    <w:rsid w:val="00D93FA0"/>
    <w:rsid w:val="00D95303"/>
    <w:rsid w:val="00D97379"/>
    <w:rsid w:val="00D978C6"/>
    <w:rsid w:val="00DA3C1C"/>
    <w:rsid w:val="00DA5D8A"/>
    <w:rsid w:val="00DB4184"/>
    <w:rsid w:val="00DC13B0"/>
    <w:rsid w:val="00DC25B1"/>
    <w:rsid w:val="00DC59F8"/>
    <w:rsid w:val="00DD3971"/>
    <w:rsid w:val="00DE135E"/>
    <w:rsid w:val="00DE5BCE"/>
    <w:rsid w:val="00DE6DCF"/>
    <w:rsid w:val="00DF3CD6"/>
    <w:rsid w:val="00DF40EF"/>
    <w:rsid w:val="00E046DF"/>
    <w:rsid w:val="00E24B3A"/>
    <w:rsid w:val="00E27346"/>
    <w:rsid w:val="00E31C8F"/>
    <w:rsid w:val="00E33671"/>
    <w:rsid w:val="00E4193E"/>
    <w:rsid w:val="00E43382"/>
    <w:rsid w:val="00E5020A"/>
    <w:rsid w:val="00E51150"/>
    <w:rsid w:val="00E6442E"/>
    <w:rsid w:val="00E71BC8"/>
    <w:rsid w:val="00E7260F"/>
    <w:rsid w:val="00E73F5D"/>
    <w:rsid w:val="00E7684D"/>
    <w:rsid w:val="00E77E4E"/>
    <w:rsid w:val="00E82CD6"/>
    <w:rsid w:val="00E91FA4"/>
    <w:rsid w:val="00E92DED"/>
    <w:rsid w:val="00E96630"/>
    <w:rsid w:val="00EA45DF"/>
    <w:rsid w:val="00EC013E"/>
    <w:rsid w:val="00EC151E"/>
    <w:rsid w:val="00EC655E"/>
    <w:rsid w:val="00ED2A35"/>
    <w:rsid w:val="00ED512B"/>
    <w:rsid w:val="00ED7A2A"/>
    <w:rsid w:val="00EE5E44"/>
    <w:rsid w:val="00EF00B9"/>
    <w:rsid w:val="00EF1D7F"/>
    <w:rsid w:val="00EF2111"/>
    <w:rsid w:val="00F109ED"/>
    <w:rsid w:val="00F10B16"/>
    <w:rsid w:val="00F24E42"/>
    <w:rsid w:val="00F26750"/>
    <w:rsid w:val="00F316E0"/>
    <w:rsid w:val="00F31E5F"/>
    <w:rsid w:val="00F40D28"/>
    <w:rsid w:val="00F41F68"/>
    <w:rsid w:val="00F50D07"/>
    <w:rsid w:val="00F573BA"/>
    <w:rsid w:val="00F60C1D"/>
    <w:rsid w:val="00F6100A"/>
    <w:rsid w:val="00F61B89"/>
    <w:rsid w:val="00F74C6A"/>
    <w:rsid w:val="00F81B3C"/>
    <w:rsid w:val="00F93781"/>
    <w:rsid w:val="00F94BC3"/>
    <w:rsid w:val="00FA49AA"/>
    <w:rsid w:val="00FA7D6D"/>
    <w:rsid w:val="00FB613B"/>
    <w:rsid w:val="00FB6DAA"/>
    <w:rsid w:val="00FB76D5"/>
    <w:rsid w:val="00FC0208"/>
    <w:rsid w:val="00FC058C"/>
    <w:rsid w:val="00FC4570"/>
    <w:rsid w:val="00FC58C2"/>
    <w:rsid w:val="00FC68B7"/>
    <w:rsid w:val="00FD1996"/>
    <w:rsid w:val="00FD3876"/>
    <w:rsid w:val="00FD3F98"/>
    <w:rsid w:val="00FE106A"/>
    <w:rsid w:val="00FE2FEF"/>
    <w:rsid w:val="00FE78E6"/>
    <w:rsid w:val="00FF145D"/>
    <w:rsid w:val="00FF413B"/>
    <w:rsid w:val="00FF4376"/>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DC72F4A"/>
  <w15:docId w15:val="{AD8B268C-ADF0-44E9-A939-7AF8ED8A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CC186D"/>
    <w:pPr>
      <w:keepNext/>
      <w:keepLines/>
      <w:tabs>
        <w:tab w:val="right" w:pos="851"/>
      </w:tabs>
      <w:spacing w:before="240" w:after="120" w:line="240" w:lineRule="exact"/>
      <w:ind w:left="1134" w:right="1134" w:hanging="1134"/>
      <w:jc w:val="both"/>
    </w:pPr>
    <w:rPr>
      <w:b/>
    </w:rPr>
  </w:style>
  <w:style w:type="paragraph" w:customStyle="1" w:styleId="H4G">
    <w:name w:val="_ H_4_G"/>
    <w:basedOn w:val="Normal"/>
    <w:next w:val="Normal"/>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uiPriority w:val="99"/>
    <w:rsid w:val="00916D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16DC5"/>
    <w:rPr>
      <w:rFonts w:ascii="Tahoma" w:hAnsi="Tahoma" w:cs="Tahoma"/>
      <w:sz w:val="16"/>
      <w:szCs w:val="16"/>
      <w:lang w:eastAsia="en-US"/>
    </w:rPr>
  </w:style>
  <w:style w:type="character" w:customStyle="1" w:styleId="HChGChar">
    <w:name w:val="_ H _Ch_G Char"/>
    <w:link w:val="HChG"/>
    <w:rsid w:val="00916DC5"/>
    <w:rPr>
      <w:b/>
      <w:sz w:val="28"/>
      <w:lang w:eastAsia="en-US"/>
    </w:rPr>
  </w:style>
  <w:style w:type="paragraph" w:customStyle="1" w:styleId="ParaNoG">
    <w:name w:val="_ParaNo._G"/>
    <w:basedOn w:val="SingleTxtG"/>
    <w:rsid w:val="00916DC5"/>
    <w:pPr>
      <w:numPr>
        <w:numId w:val="16"/>
      </w:numPr>
      <w:tabs>
        <w:tab w:val="clear" w:pos="1494"/>
      </w:tabs>
    </w:pPr>
  </w:style>
  <w:style w:type="numbering" w:customStyle="1" w:styleId="1111111">
    <w:name w:val="1 / 1.1 / 1.1.11"/>
    <w:basedOn w:val="NoList"/>
    <w:next w:val="111111"/>
    <w:semiHidden/>
    <w:rsid w:val="00916DC5"/>
  </w:style>
  <w:style w:type="numbering" w:customStyle="1" w:styleId="1ai1">
    <w:name w:val="1 / a / i1"/>
    <w:basedOn w:val="NoList"/>
    <w:next w:val="1ai"/>
    <w:semiHidden/>
    <w:rsid w:val="00916DC5"/>
  </w:style>
  <w:style w:type="numbering" w:customStyle="1" w:styleId="ArticleSection1">
    <w:name w:val="Article / Section1"/>
    <w:basedOn w:val="NoList"/>
    <w:next w:val="ArticleSection"/>
    <w:semiHidden/>
    <w:rsid w:val="00916DC5"/>
  </w:style>
  <w:style w:type="table" w:customStyle="1" w:styleId="TableGrid10">
    <w:name w:val="Table Grid1"/>
    <w:basedOn w:val="TableNormal"/>
    <w:next w:val="TableGrid"/>
    <w:semiHidden/>
    <w:rsid w:val="00916DC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qFormat/>
    <w:rsid w:val="00916DC5"/>
    <w:rPr>
      <w:lang w:eastAsia="en-US"/>
    </w:rPr>
  </w:style>
  <w:style w:type="table" w:customStyle="1" w:styleId="TableGrid11">
    <w:name w:val="Table Grid11"/>
    <w:basedOn w:val="TableNormal"/>
    <w:next w:val="TableGrid"/>
    <w:rsid w:val="00916DC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23GChar">
    <w:name w:val="_ H_2/3_G Char"/>
    <w:link w:val="H23G"/>
    <w:rsid w:val="00CC186D"/>
    <w:rPr>
      <w:b/>
      <w:lang w:eastAsia="en-US"/>
    </w:rPr>
  </w:style>
  <w:style w:type="paragraph" w:styleId="TOC1">
    <w:name w:val="toc 1"/>
    <w:basedOn w:val="Normal"/>
    <w:next w:val="Normal"/>
    <w:autoRedefine/>
    <w:uiPriority w:val="39"/>
    <w:rsid w:val="00802923"/>
    <w:pPr>
      <w:spacing w:after="100"/>
    </w:pPr>
  </w:style>
  <w:style w:type="paragraph" w:styleId="TOC2">
    <w:name w:val="toc 2"/>
    <w:basedOn w:val="Normal"/>
    <w:next w:val="Normal"/>
    <w:autoRedefine/>
    <w:uiPriority w:val="39"/>
    <w:rsid w:val="00802923"/>
    <w:pPr>
      <w:spacing w:after="100"/>
      <w:ind w:left="200"/>
    </w:pPr>
  </w:style>
  <w:style w:type="paragraph" w:styleId="TOC3">
    <w:name w:val="toc 3"/>
    <w:basedOn w:val="Normal"/>
    <w:next w:val="Normal"/>
    <w:autoRedefine/>
    <w:uiPriority w:val="39"/>
    <w:rsid w:val="00802923"/>
    <w:pPr>
      <w:spacing w:after="100"/>
      <w:ind w:left="400"/>
    </w:pPr>
  </w:style>
  <w:style w:type="paragraph" w:styleId="CommentSubject">
    <w:name w:val="annotation subject"/>
    <w:basedOn w:val="CommentText"/>
    <w:next w:val="CommentText"/>
    <w:link w:val="CommentSubjectChar"/>
    <w:semiHidden/>
    <w:unhideWhenUsed/>
    <w:rsid w:val="00E7684D"/>
    <w:pPr>
      <w:spacing w:line="240" w:lineRule="auto"/>
    </w:pPr>
    <w:rPr>
      <w:b/>
      <w:bCs/>
    </w:rPr>
  </w:style>
  <w:style w:type="character" w:customStyle="1" w:styleId="CommentTextChar">
    <w:name w:val="Comment Text Char"/>
    <w:basedOn w:val="DefaultParagraphFont"/>
    <w:link w:val="CommentText"/>
    <w:semiHidden/>
    <w:rsid w:val="00E7684D"/>
    <w:rPr>
      <w:lang w:eastAsia="en-US"/>
    </w:rPr>
  </w:style>
  <w:style w:type="character" w:customStyle="1" w:styleId="CommentSubjectChar">
    <w:name w:val="Comment Subject Char"/>
    <w:basedOn w:val="CommentTextChar"/>
    <w:link w:val="CommentSubject"/>
    <w:semiHidden/>
    <w:rsid w:val="00E7684D"/>
    <w:rPr>
      <w:b/>
      <w:bCs/>
      <w:lang w:eastAsia="en-US"/>
    </w:rPr>
  </w:style>
  <w:style w:type="character" w:customStyle="1" w:styleId="HeaderChar">
    <w:name w:val="Header Char"/>
    <w:aliases w:val="6_G Char"/>
    <w:basedOn w:val="DefaultParagraphFont"/>
    <w:link w:val="Header"/>
    <w:rsid w:val="00977187"/>
    <w:rPr>
      <w:b/>
      <w:sz w:val="18"/>
      <w:lang w:eastAsia="en-US"/>
    </w:rPr>
  </w:style>
  <w:style w:type="character" w:customStyle="1" w:styleId="FooterChar">
    <w:name w:val="Footer Char"/>
    <w:aliases w:val="3_G Char"/>
    <w:basedOn w:val="DefaultParagraphFont"/>
    <w:link w:val="Footer"/>
    <w:rsid w:val="00977187"/>
    <w:rPr>
      <w:sz w:val="16"/>
      <w:lang w:eastAsia="en-US"/>
    </w:rPr>
  </w:style>
  <w:style w:type="character" w:customStyle="1" w:styleId="FootnoteTextChar">
    <w:name w:val="Footnote Text Char"/>
    <w:aliases w:val="5_G Char"/>
    <w:basedOn w:val="DefaultParagraphFont"/>
    <w:link w:val="FootnoteText"/>
    <w:rsid w:val="00977187"/>
    <w:rPr>
      <w:sz w:val="18"/>
      <w:lang w:eastAsia="en-US"/>
    </w:rPr>
  </w:style>
  <w:style w:type="character" w:customStyle="1" w:styleId="EndnoteTextChar">
    <w:name w:val="Endnote Text Char"/>
    <w:aliases w:val="2_G Char"/>
    <w:basedOn w:val="DefaultParagraphFont"/>
    <w:link w:val="EndnoteText"/>
    <w:rsid w:val="00977187"/>
    <w:rPr>
      <w:sz w:val="18"/>
      <w:lang w:eastAsia="en-US"/>
    </w:rPr>
  </w:style>
  <w:style w:type="character" w:customStyle="1" w:styleId="Heading1Char">
    <w:name w:val="Heading 1 Char"/>
    <w:aliases w:val="Table_G Char"/>
    <w:basedOn w:val="DefaultParagraphFont"/>
    <w:link w:val="Heading1"/>
    <w:rsid w:val="00977187"/>
    <w:rPr>
      <w:lang w:eastAsia="en-US"/>
    </w:rPr>
  </w:style>
  <w:style w:type="character" w:customStyle="1" w:styleId="Heading2Char">
    <w:name w:val="Heading 2 Char"/>
    <w:basedOn w:val="DefaultParagraphFont"/>
    <w:link w:val="Heading2"/>
    <w:rsid w:val="00977187"/>
    <w:rPr>
      <w:lang w:eastAsia="en-US"/>
    </w:rPr>
  </w:style>
  <w:style w:type="character" w:customStyle="1" w:styleId="Heading3Char">
    <w:name w:val="Heading 3 Char"/>
    <w:basedOn w:val="DefaultParagraphFont"/>
    <w:link w:val="Heading3"/>
    <w:rsid w:val="00977187"/>
    <w:rPr>
      <w:lang w:eastAsia="en-US"/>
    </w:rPr>
  </w:style>
  <w:style w:type="character" w:customStyle="1" w:styleId="Heading4Char">
    <w:name w:val="Heading 4 Char"/>
    <w:basedOn w:val="DefaultParagraphFont"/>
    <w:link w:val="Heading4"/>
    <w:rsid w:val="00977187"/>
    <w:rPr>
      <w:lang w:eastAsia="en-US"/>
    </w:rPr>
  </w:style>
  <w:style w:type="character" w:customStyle="1" w:styleId="Heading5Char">
    <w:name w:val="Heading 5 Char"/>
    <w:basedOn w:val="DefaultParagraphFont"/>
    <w:link w:val="Heading5"/>
    <w:rsid w:val="00977187"/>
    <w:rPr>
      <w:lang w:eastAsia="en-US"/>
    </w:rPr>
  </w:style>
  <w:style w:type="character" w:customStyle="1" w:styleId="Heading6Char">
    <w:name w:val="Heading 6 Char"/>
    <w:basedOn w:val="DefaultParagraphFont"/>
    <w:link w:val="Heading6"/>
    <w:rsid w:val="00977187"/>
    <w:rPr>
      <w:lang w:eastAsia="en-US"/>
    </w:rPr>
  </w:style>
  <w:style w:type="character" w:customStyle="1" w:styleId="Heading7Char">
    <w:name w:val="Heading 7 Char"/>
    <w:basedOn w:val="DefaultParagraphFont"/>
    <w:link w:val="Heading7"/>
    <w:rsid w:val="00977187"/>
    <w:rPr>
      <w:lang w:eastAsia="en-US"/>
    </w:rPr>
  </w:style>
  <w:style w:type="character" w:customStyle="1" w:styleId="Heading8Char">
    <w:name w:val="Heading 8 Char"/>
    <w:basedOn w:val="DefaultParagraphFont"/>
    <w:link w:val="Heading8"/>
    <w:rsid w:val="00977187"/>
    <w:rPr>
      <w:lang w:eastAsia="en-US"/>
    </w:rPr>
  </w:style>
  <w:style w:type="character" w:customStyle="1" w:styleId="Heading9Char">
    <w:name w:val="Heading 9 Char"/>
    <w:basedOn w:val="DefaultParagraphFont"/>
    <w:link w:val="Heading9"/>
    <w:rsid w:val="00977187"/>
    <w:rPr>
      <w:lang w:eastAsia="en-US"/>
    </w:rPr>
  </w:style>
  <w:style w:type="character" w:styleId="BookTitle">
    <w:name w:val="Book Title"/>
    <w:basedOn w:val="DefaultParagraphFont"/>
    <w:uiPriority w:val="33"/>
    <w:rsid w:val="00977187"/>
    <w:rPr>
      <w:b/>
      <w:bCs/>
      <w:smallCaps/>
      <w:spacing w:val="5"/>
    </w:rPr>
  </w:style>
  <w:style w:type="paragraph" w:customStyle="1" w:styleId="ParaNo0">
    <w:name w:val="Para No"/>
    <w:basedOn w:val="Normal"/>
    <w:link w:val="ParaNoChar"/>
    <w:rsid w:val="00977187"/>
    <w:pPr>
      <w:numPr>
        <w:numId w:val="17"/>
      </w:numPr>
      <w:suppressAutoHyphens w:val="0"/>
      <w:spacing w:after="240" w:line="240" w:lineRule="auto"/>
      <w:jc w:val="both"/>
    </w:pPr>
    <w:rPr>
      <w:rFonts w:eastAsia="SimSun"/>
      <w:sz w:val="24"/>
      <w:szCs w:val="24"/>
    </w:rPr>
  </w:style>
  <w:style w:type="character" w:customStyle="1" w:styleId="PlainTextChar">
    <w:name w:val="Plain Text Char"/>
    <w:basedOn w:val="DefaultParagraphFont"/>
    <w:link w:val="PlainText"/>
    <w:semiHidden/>
    <w:rsid w:val="00977187"/>
    <w:rPr>
      <w:rFonts w:cs="Courier New"/>
      <w:lang w:eastAsia="en-US"/>
    </w:rPr>
  </w:style>
  <w:style w:type="character" w:customStyle="1" w:styleId="BodyTextChar">
    <w:name w:val="Body Text Char"/>
    <w:basedOn w:val="DefaultParagraphFont"/>
    <w:link w:val="BodyText"/>
    <w:semiHidden/>
    <w:rsid w:val="00977187"/>
    <w:rPr>
      <w:lang w:eastAsia="en-US"/>
    </w:rPr>
  </w:style>
  <w:style w:type="character" w:customStyle="1" w:styleId="BodyTextIndentChar">
    <w:name w:val="Body Text Indent Char"/>
    <w:basedOn w:val="DefaultParagraphFont"/>
    <w:link w:val="BodyTextIndent"/>
    <w:semiHidden/>
    <w:rsid w:val="00977187"/>
    <w:rPr>
      <w:lang w:eastAsia="en-US"/>
    </w:rPr>
  </w:style>
  <w:style w:type="character" w:customStyle="1" w:styleId="BodyText2Char">
    <w:name w:val="Body Text 2 Char"/>
    <w:basedOn w:val="DefaultParagraphFont"/>
    <w:link w:val="BodyText2"/>
    <w:semiHidden/>
    <w:rsid w:val="00977187"/>
    <w:rPr>
      <w:lang w:eastAsia="en-US"/>
    </w:rPr>
  </w:style>
  <w:style w:type="character" w:customStyle="1" w:styleId="BodyText3Char">
    <w:name w:val="Body Text 3 Char"/>
    <w:basedOn w:val="DefaultParagraphFont"/>
    <w:link w:val="BodyText3"/>
    <w:semiHidden/>
    <w:rsid w:val="00977187"/>
    <w:rPr>
      <w:sz w:val="16"/>
      <w:szCs w:val="16"/>
      <w:lang w:eastAsia="en-US"/>
    </w:rPr>
  </w:style>
  <w:style w:type="character" w:customStyle="1" w:styleId="BodyTextFirstIndentChar">
    <w:name w:val="Body Text First Indent Char"/>
    <w:basedOn w:val="BodyTextChar"/>
    <w:link w:val="BodyTextFirstIndent"/>
    <w:semiHidden/>
    <w:rsid w:val="00977187"/>
    <w:rPr>
      <w:lang w:eastAsia="en-US"/>
    </w:rPr>
  </w:style>
  <w:style w:type="character" w:customStyle="1" w:styleId="BodyTextFirstIndent2Char">
    <w:name w:val="Body Text First Indent 2 Char"/>
    <w:basedOn w:val="BodyTextIndentChar"/>
    <w:link w:val="BodyTextFirstIndent2"/>
    <w:semiHidden/>
    <w:rsid w:val="00977187"/>
    <w:rPr>
      <w:lang w:eastAsia="en-US"/>
    </w:rPr>
  </w:style>
  <w:style w:type="character" w:customStyle="1" w:styleId="BodyTextIndent2Char">
    <w:name w:val="Body Text Indent 2 Char"/>
    <w:basedOn w:val="DefaultParagraphFont"/>
    <w:link w:val="BodyTextIndent2"/>
    <w:semiHidden/>
    <w:rsid w:val="00977187"/>
    <w:rPr>
      <w:lang w:eastAsia="en-US"/>
    </w:rPr>
  </w:style>
  <w:style w:type="character" w:customStyle="1" w:styleId="BodyTextIndent3Char">
    <w:name w:val="Body Text Indent 3 Char"/>
    <w:basedOn w:val="DefaultParagraphFont"/>
    <w:link w:val="BodyTextIndent3"/>
    <w:semiHidden/>
    <w:rsid w:val="00977187"/>
    <w:rPr>
      <w:sz w:val="16"/>
      <w:szCs w:val="16"/>
      <w:lang w:eastAsia="en-US"/>
    </w:rPr>
  </w:style>
  <w:style w:type="character" w:customStyle="1" w:styleId="ClosingChar">
    <w:name w:val="Closing Char"/>
    <w:basedOn w:val="DefaultParagraphFont"/>
    <w:link w:val="Closing"/>
    <w:semiHidden/>
    <w:rsid w:val="00977187"/>
    <w:rPr>
      <w:lang w:eastAsia="en-US"/>
    </w:rPr>
  </w:style>
  <w:style w:type="character" w:customStyle="1" w:styleId="DateChar">
    <w:name w:val="Date Char"/>
    <w:basedOn w:val="DefaultParagraphFont"/>
    <w:link w:val="Date"/>
    <w:semiHidden/>
    <w:rsid w:val="00977187"/>
    <w:rPr>
      <w:lang w:eastAsia="en-US"/>
    </w:rPr>
  </w:style>
  <w:style w:type="character" w:customStyle="1" w:styleId="E-mailSignatureChar">
    <w:name w:val="E-mail Signature Char"/>
    <w:basedOn w:val="DefaultParagraphFont"/>
    <w:link w:val="E-mailSignature"/>
    <w:semiHidden/>
    <w:rsid w:val="00977187"/>
    <w:rPr>
      <w:lang w:eastAsia="en-US"/>
    </w:rPr>
  </w:style>
  <w:style w:type="character" w:customStyle="1" w:styleId="HTMLAddressChar">
    <w:name w:val="HTML Address Char"/>
    <w:basedOn w:val="DefaultParagraphFont"/>
    <w:link w:val="HTMLAddress"/>
    <w:semiHidden/>
    <w:rsid w:val="00977187"/>
    <w:rPr>
      <w:i/>
      <w:iCs/>
      <w:lang w:eastAsia="en-US"/>
    </w:rPr>
  </w:style>
  <w:style w:type="character" w:customStyle="1" w:styleId="HTMLPreformattedChar">
    <w:name w:val="HTML Preformatted Char"/>
    <w:basedOn w:val="DefaultParagraphFont"/>
    <w:link w:val="HTMLPreformatted"/>
    <w:uiPriority w:val="99"/>
    <w:semiHidden/>
    <w:rsid w:val="00977187"/>
    <w:rPr>
      <w:rFonts w:ascii="Courier New" w:hAnsi="Courier New" w:cs="Courier New"/>
      <w:lang w:eastAsia="en-US"/>
    </w:rPr>
  </w:style>
  <w:style w:type="character" w:customStyle="1" w:styleId="MessageHeaderChar">
    <w:name w:val="Message Header Char"/>
    <w:basedOn w:val="DefaultParagraphFont"/>
    <w:link w:val="MessageHeader"/>
    <w:semiHidden/>
    <w:rsid w:val="00977187"/>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977187"/>
    <w:rPr>
      <w:lang w:eastAsia="en-US"/>
    </w:rPr>
  </w:style>
  <w:style w:type="character" w:customStyle="1" w:styleId="SalutationChar">
    <w:name w:val="Salutation Char"/>
    <w:basedOn w:val="DefaultParagraphFont"/>
    <w:link w:val="Salutation"/>
    <w:semiHidden/>
    <w:rsid w:val="00977187"/>
    <w:rPr>
      <w:lang w:eastAsia="en-US"/>
    </w:rPr>
  </w:style>
  <w:style w:type="character" w:customStyle="1" w:styleId="SignatureChar">
    <w:name w:val="Signature Char"/>
    <w:basedOn w:val="DefaultParagraphFont"/>
    <w:link w:val="Signature"/>
    <w:semiHidden/>
    <w:rsid w:val="00977187"/>
    <w:rPr>
      <w:lang w:eastAsia="en-US"/>
    </w:rPr>
  </w:style>
  <w:style w:type="character" w:customStyle="1" w:styleId="SubtitleChar">
    <w:name w:val="Subtitle Char"/>
    <w:basedOn w:val="DefaultParagraphFont"/>
    <w:link w:val="Subtitle"/>
    <w:rsid w:val="00977187"/>
    <w:rPr>
      <w:rFonts w:ascii="Arial" w:hAnsi="Arial" w:cs="Arial"/>
      <w:sz w:val="24"/>
      <w:szCs w:val="24"/>
      <w:lang w:eastAsia="en-US"/>
    </w:rPr>
  </w:style>
  <w:style w:type="character" w:customStyle="1" w:styleId="TitleChar">
    <w:name w:val="Title Char"/>
    <w:basedOn w:val="DefaultParagraphFont"/>
    <w:link w:val="Title"/>
    <w:rsid w:val="00977187"/>
    <w:rPr>
      <w:rFonts w:ascii="Arial" w:hAnsi="Arial" w:cs="Arial"/>
      <w:b/>
      <w:bCs/>
      <w:kern w:val="28"/>
      <w:sz w:val="32"/>
      <w:szCs w:val="32"/>
      <w:lang w:eastAsia="en-US"/>
    </w:rPr>
  </w:style>
  <w:style w:type="character" w:customStyle="1" w:styleId="ParaNoChar">
    <w:name w:val="Para No Char"/>
    <w:link w:val="ParaNo0"/>
    <w:rsid w:val="00977187"/>
    <w:rPr>
      <w:rFonts w:eastAsia="SimSun"/>
      <w:sz w:val="24"/>
      <w:szCs w:val="24"/>
      <w:lang w:eastAsia="en-US"/>
    </w:rPr>
  </w:style>
  <w:style w:type="paragraph" w:customStyle="1" w:styleId="Rom2">
    <w:name w:val="Rom2"/>
    <w:basedOn w:val="Normal"/>
    <w:rsid w:val="00977187"/>
    <w:pPr>
      <w:numPr>
        <w:numId w:val="18"/>
      </w:numPr>
      <w:suppressAutoHyphens w:val="0"/>
      <w:spacing w:after="240" w:line="240" w:lineRule="auto"/>
    </w:pPr>
    <w:rPr>
      <w:rFonts w:eastAsia="SimSun"/>
      <w:sz w:val="24"/>
    </w:rPr>
  </w:style>
  <w:style w:type="paragraph" w:customStyle="1" w:styleId="ParaNo">
    <w:name w:val="ParaNo."/>
    <w:basedOn w:val="Normal"/>
    <w:link w:val="ParaNoChar0"/>
    <w:rsid w:val="00977187"/>
    <w:pPr>
      <w:numPr>
        <w:numId w:val="19"/>
      </w:numPr>
      <w:tabs>
        <w:tab w:val="clear" w:pos="360"/>
        <w:tab w:val="left" w:pos="737"/>
      </w:tabs>
      <w:suppressAutoHyphens w:val="0"/>
      <w:spacing w:after="240" w:line="240" w:lineRule="auto"/>
    </w:pPr>
    <w:rPr>
      <w:rFonts w:eastAsia="SimSun"/>
      <w:sz w:val="24"/>
      <w:lang w:val="fr-CH"/>
    </w:rPr>
  </w:style>
  <w:style w:type="character" w:customStyle="1" w:styleId="ParaNoChar0">
    <w:name w:val="ParaNo. Char"/>
    <w:link w:val="ParaNo"/>
    <w:rsid w:val="00977187"/>
    <w:rPr>
      <w:rFonts w:eastAsia="SimSun"/>
      <w:sz w:val="24"/>
      <w:lang w:val="fr-CH" w:eastAsia="en-US"/>
    </w:rPr>
  </w:style>
  <w:style w:type="character" w:customStyle="1" w:styleId="apple-converted-space">
    <w:name w:val="apple-converted-space"/>
    <w:basedOn w:val="DefaultParagraphFont"/>
    <w:rsid w:val="00977187"/>
  </w:style>
  <w:style w:type="character" w:customStyle="1" w:styleId="Mathcad">
    <w:name w:val="Mathcad: обычный"/>
    <w:basedOn w:val="DefaultParagraphFont"/>
    <w:rsid w:val="00977187"/>
    <w:rPr>
      <w:sz w:val="20"/>
    </w:rPr>
  </w:style>
  <w:style w:type="paragraph" w:styleId="Revision">
    <w:name w:val="Revision"/>
    <w:hidden/>
    <w:uiPriority w:val="99"/>
    <w:semiHidden/>
    <w:rsid w:val="007D2BFD"/>
    <w:rPr>
      <w:lang w:eastAsia="en-US"/>
    </w:rPr>
  </w:style>
  <w:style w:type="table" w:customStyle="1" w:styleId="TableGrid20">
    <w:name w:val="Table Grid2"/>
    <w:basedOn w:val="TableNormal"/>
    <w:next w:val="TableGrid"/>
    <w:semiHidden/>
    <w:rsid w:val="00AD62D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D27180"/>
    <w:pPr>
      <w:suppressAutoHyphens w:val="0"/>
      <w:spacing w:after="100" w:line="259" w:lineRule="auto"/>
      <w:ind w:left="660"/>
    </w:pPr>
    <w:rPr>
      <w:rFonts w:asciiTheme="minorHAnsi" w:eastAsiaTheme="minorEastAsia" w:hAnsiTheme="minorHAnsi" w:cstheme="minorBidi"/>
      <w:sz w:val="22"/>
      <w:szCs w:val="22"/>
      <w:lang w:val="en-US" w:eastAsia="zh-CN"/>
    </w:rPr>
  </w:style>
  <w:style w:type="paragraph" w:styleId="TOC5">
    <w:name w:val="toc 5"/>
    <w:basedOn w:val="Normal"/>
    <w:next w:val="Normal"/>
    <w:autoRedefine/>
    <w:uiPriority w:val="39"/>
    <w:unhideWhenUsed/>
    <w:rsid w:val="00D27180"/>
    <w:pPr>
      <w:suppressAutoHyphens w:val="0"/>
      <w:spacing w:after="100" w:line="259" w:lineRule="auto"/>
      <w:ind w:left="880"/>
    </w:pPr>
    <w:rPr>
      <w:rFonts w:asciiTheme="minorHAnsi" w:eastAsiaTheme="minorEastAsia" w:hAnsiTheme="minorHAnsi" w:cstheme="minorBidi"/>
      <w:sz w:val="22"/>
      <w:szCs w:val="22"/>
      <w:lang w:val="en-US" w:eastAsia="zh-CN"/>
    </w:rPr>
  </w:style>
  <w:style w:type="paragraph" w:styleId="TOC6">
    <w:name w:val="toc 6"/>
    <w:basedOn w:val="Normal"/>
    <w:next w:val="Normal"/>
    <w:autoRedefine/>
    <w:uiPriority w:val="39"/>
    <w:unhideWhenUsed/>
    <w:rsid w:val="00D27180"/>
    <w:pPr>
      <w:suppressAutoHyphens w:val="0"/>
      <w:spacing w:after="100" w:line="259" w:lineRule="auto"/>
      <w:ind w:left="1100"/>
    </w:pPr>
    <w:rPr>
      <w:rFonts w:asciiTheme="minorHAnsi" w:eastAsiaTheme="minorEastAsia" w:hAnsiTheme="minorHAnsi" w:cstheme="minorBidi"/>
      <w:sz w:val="22"/>
      <w:szCs w:val="22"/>
      <w:lang w:val="en-US" w:eastAsia="zh-CN"/>
    </w:rPr>
  </w:style>
  <w:style w:type="paragraph" w:styleId="TOC7">
    <w:name w:val="toc 7"/>
    <w:basedOn w:val="Normal"/>
    <w:next w:val="Normal"/>
    <w:autoRedefine/>
    <w:uiPriority w:val="39"/>
    <w:unhideWhenUsed/>
    <w:rsid w:val="00D27180"/>
    <w:pPr>
      <w:suppressAutoHyphens w:val="0"/>
      <w:spacing w:after="100" w:line="259" w:lineRule="auto"/>
      <w:ind w:left="1320"/>
    </w:pPr>
    <w:rPr>
      <w:rFonts w:asciiTheme="minorHAnsi" w:eastAsiaTheme="minorEastAsia" w:hAnsiTheme="minorHAnsi" w:cstheme="minorBidi"/>
      <w:sz w:val="22"/>
      <w:szCs w:val="22"/>
      <w:lang w:val="en-US" w:eastAsia="zh-CN"/>
    </w:rPr>
  </w:style>
  <w:style w:type="paragraph" w:styleId="TOC8">
    <w:name w:val="toc 8"/>
    <w:basedOn w:val="Normal"/>
    <w:next w:val="Normal"/>
    <w:autoRedefine/>
    <w:uiPriority w:val="39"/>
    <w:unhideWhenUsed/>
    <w:rsid w:val="00D27180"/>
    <w:pPr>
      <w:suppressAutoHyphens w:val="0"/>
      <w:spacing w:after="100" w:line="259" w:lineRule="auto"/>
      <w:ind w:left="1540"/>
    </w:pPr>
    <w:rPr>
      <w:rFonts w:asciiTheme="minorHAnsi" w:eastAsiaTheme="minorEastAsia" w:hAnsiTheme="minorHAnsi" w:cstheme="minorBidi"/>
      <w:sz w:val="22"/>
      <w:szCs w:val="22"/>
      <w:lang w:val="en-US" w:eastAsia="zh-CN"/>
    </w:rPr>
  </w:style>
  <w:style w:type="paragraph" w:styleId="TOC9">
    <w:name w:val="toc 9"/>
    <w:basedOn w:val="Normal"/>
    <w:next w:val="Normal"/>
    <w:autoRedefine/>
    <w:uiPriority w:val="39"/>
    <w:unhideWhenUsed/>
    <w:rsid w:val="00D27180"/>
    <w:pPr>
      <w:suppressAutoHyphens w:val="0"/>
      <w:spacing w:after="100" w:line="259" w:lineRule="auto"/>
      <w:ind w:left="1760"/>
    </w:pPr>
    <w:rPr>
      <w:rFonts w:asciiTheme="minorHAnsi" w:eastAsiaTheme="minorEastAsia" w:hAnsiTheme="minorHAnsi" w:cstheme="minorBidi"/>
      <w:sz w:val="22"/>
      <w:szCs w:val="22"/>
      <w:lang w:val="en-US" w:eastAsia="zh-CN"/>
    </w:rPr>
  </w:style>
  <w:style w:type="character" w:styleId="UnresolvedMention">
    <w:name w:val="Unresolved Mention"/>
    <w:basedOn w:val="DefaultParagraphFont"/>
    <w:uiPriority w:val="99"/>
    <w:semiHidden/>
    <w:unhideWhenUsed/>
    <w:rsid w:val="00D271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635651">
      <w:bodyDiv w:val="1"/>
      <w:marLeft w:val="0"/>
      <w:marRight w:val="0"/>
      <w:marTop w:val="0"/>
      <w:marBottom w:val="0"/>
      <w:divBdr>
        <w:top w:val="none" w:sz="0" w:space="0" w:color="auto"/>
        <w:left w:val="none" w:sz="0" w:space="0" w:color="auto"/>
        <w:bottom w:val="none" w:sz="0" w:space="0" w:color="auto"/>
        <w:right w:val="none" w:sz="0" w:space="0" w:color="auto"/>
      </w:divBdr>
    </w:div>
    <w:div w:id="294725601">
      <w:bodyDiv w:val="1"/>
      <w:marLeft w:val="0"/>
      <w:marRight w:val="0"/>
      <w:marTop w:val="0"/>
      <w:marBottom w:val="0"/>
      <w:divBdr>
        <w:top w:val="none" w:sz="0" w:space="0" w:color="auto"/>
        <w:left w:val="none" w:sz="0" w:space="0" w:color="auto"/>
        <w:bottom w:val="none" w:sz="0" w:space="0" w:color="auto"/>
        <w:right w:val="none" w:sz="0" w:space="0" w:color="auto"/>
      </w:divBdr>
    </w:div>
    <w:div w:id="3349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unece.org/trans/main/wp11/teststationsnew.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ce.org/trans/main/wp11/depnoti.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ce.org/trade/agr/welcome.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nece.org/trade/wp7/meat-28th-2019.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ece.org/trade/wp7/meatquality-sustainablefuture.htm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TRANS\TRANS_WP1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BC417-A98D-4217-93C8-600DC3E4C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TRANS_WP11_E.dotm</Template>
  <TotalTime>178</TotalTime>
  <Pages>22</Pages>
  <Words>7360</Words>
  <Characters>41953</Characters>
  <Application>Microsoft Office Word</Application>
  <DocSecurity>0</DocSecurity>
  <Lines>349</Lines>
  <Paragraphs>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Caillot</dc:creator>
  <cp:lastModifiedBy>Marie-Claude Collet</cp:lastModifiedBy>
  <cp:revision>24</cp:revision>
  <cp:lastPrinted>2019-11-05T12:43:00Z</cp:lastPrinted>
  <dcterms:created xsi:type="dcterms:W3CDTF">2019-11-04T15:30:00Z</dcterms:created>
  <dcterms:modified xsi:type="dcterms:W3CDTF">2019-11-06T12:46:00Z</dcterms:modified>
</cp:coreProperties>
</file>