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653E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653E6" w:rsidP="00F653E6">
            <w:pPr>
              <w:jc w:val="right"/>
            </w:pPr>
            <w:r w:rsidRPr="00F653E6">
              <w:rPr>
                <w:sz w:val="40"/>
              </w:rPr>
              <w:t>ECE</w:t>
            </w:r>
            <w:r>
              <w:t>/TRANS/WP.29/GRE/2019/4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653E6" w:rsidP="00C97039">
            <w:pPr>
              <w:spacing w:before="240"/>
            </w:pPr>
            <w:r>
              <w:t>Distr. générale</w:t>
            </w:r>
          </w:p>
          <w:p w:rsidR="00F653E6" w:rsidRDefault="00F653E6" w:rsidP="00F653E6">
            <w:pPr>
              <w:spacing w:line="240" w:lineRule="exact"/>
            </w:pPr>
            <w:r>
              <w:t>30 janvier 2019</w:t>
            </w:r>
          </w:p>
          <w:p w:rsidR="00F653E6" w:rsidRDefault="00F653E6" w:rsidP="00F653E6">
            <w:pPr>
              <w:spacing w:line="240" w:lineRule="exact"/>
            </w:pPr>
            <w:r>
              <w:t>Français</w:t>
            </w:r>
          </w:p>
          <w:p w:rsidR="00F653E6" w:rsidRPr="00DB58B5" w:rsidRDefault="00F653E6" w:rsidP="00F653E6">
            <w:pPr>
              <w:spacing w:line="240" w:lineRule="exact"/>
            </w:pPr>
            <w:r>
              <w:t>Original</w:t>
            </w:r>
            <w:r w:rsidR="00F52AE1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653E6" w:rsidRPr="00B127F5" w:rsidRDefault="00F653E6" w:rsidP="00F653E6">
      <w:pPr>
        <w:kinsoku/>
        <w:overflowPunct/>
        <w:autoSpaceDE/>
        <w:autoSpaceDN/>
        <w:adjustRightInd/>
        <w:snapToGrid/>
        <w:spacing w:before="120"/>
        <w:rPr>
          <w:rFonts w:cstheme="minorBidi"/>
          <w:b/>
          <w:bCs/>
          <w:sz w:val="24"/>
          <w:szCs w:val="24"/>
        </w:rPr>
      </w:pPr>
      <w:r w:rsidRPr="00B127F5">
        <w:rPr>
          <w:rFonts w:cstheme="minorBidi"/>
          <w:b/>
          <w:bCs/>
          <w:sz w:val="24"/>
          <w:szCs w:val="24"/>
        </w:rPr>
        <w:t xml:space="preserve">Forum mondial de l’harmonisation </w:t>
      </w:r>
      <w:r>
        <w:rPr>
          <w:rFonts w:cstheme="minorBidi"/>
          <w:b/>
          <w:bCs/>
          <w:sz w:val="24"/>
          <w:szCs w:val="24"/>
        </w:rPr>
        <w:br/>
      </w:r>
      <w:r w:rsidRPr="00B127F5">
        <w:rPr>
          <w:rFonts w:cstheme="minorBidi"/>
          <w:b/>
          <w:bCs/>
          <w:sz w:val="24"/>
          <w:szCs w:val="24"/>
        </w:rPr>
        <w:t>des Règlements concernant les véhicules</w:t>
      </w:r>
    </w:p>
    <w:p w:rsidR="00F653E6" w:rsidRPr="00553D81" w:rsidRDefault="00F653E6" w:rsidP="00F653E6">
      <w:pPr>
        <w:kinsoku/>
        <w:overflowPunct/>
        <w:autoSpaceDE/>
        <w:autoSpaceDN/>
        <w:adjustRightInd/>
        <w:snapToGrid/>
        <w:spacing w:before="120"/>
        <w:rPr>
          <w:rFonts w:cstheme="minorBidi"/>
          <w:b/>
          <w:bCs/>
          <w:szCs w:val="22"/>
        </w:rPr>
      </w:pPr>
      <w:r w:rsidRPr="00553D81">
        <w:rPr>
          <w:rFonts w:cstheme="minorBidi"/>
          <w:b/>
          <w:bCs/>
          <w:szCs w:val="22"/>
        </w:rPr>
        <w:t>Groupe de travail de l’éclairage et de la signalisation lumineuse</w:t>
      </w:r>
    </w:p>
    <w:p w:rsidR="00F653E6" w:rsidRPr="00553D81" w:rsidRDefault="00F653E6" w:rsidP="00F653E6">
      <w:pPr>
        <w:kinsoku/>
        <w:overflowPunct/>
        <w:autoSpaceDE/>
        <w:autoSpaceDN/>
        <w:adjustRightInd/>
        <w:snapToGrid/>
        <w:spacing w:before="120"/>
        <w:rPr>
          <w:rFonts w:cstheme="minorBidi"/>
          <w:b/>
          <w:bCs/>
          <w:szCs w:val="22"/>
        </w:rPr>
      </w:pPr>
      <w:r w:rsidRPr="00553D81">
        <w:rPr>
          <w:rFonts w:cstheme="minorBidi"/>
          <w:b/>
          <w:bCs/>
          <w:szCs w:val="22"/>
        </w:rPr>
        <w:t>Quatre-vingt-unième session</w:t>
      </w:r>
    </w:p>
    <w:p w:rsidR="00F653E6" w:rsidRPr="00553D81" w:rsidRDefault="00F653E6" w:rsidP="00F653E6">
      <w:pPr>
        <w:kinsoku/>
        <w:overflowPunct/>
        <w:autoSpaceDE/>
        <w:autoSpaceDN/>
        <w:adjustRightInd/>
        <w:snapToGrid/>
        <w:rPr>
          <w:rFonts w:cstheme="minorBidi"/>
          <w:bCs/>
          <w:szCs w:val="22"/>
        </w:rPr>
      </w:pPr>
      <w:r w:rsidRPr="00553D81">
        <w:rPr>
          <w:rFonts w:cstheme="minorBidi"/>
          <w:bCs/>
          <w:szCs w:val="22"/>
        </w:rPr>
        <w:t>Genève, 15-18 avril 2019</w:t>
      </w:r>
    </w:p>
    <w:p w:rsidR="00F653E6" w:rsidRPr="00553D81" w:rsidRDefault="00F653E6" w:rsidP="00F653E6">
      <w:pPr>
        <w:kinsoku/>
        <w:overflowPunct/>
        <w:autoSpaceDE/>
        <w:autoSpaceDN/>
        <w:adjustRightInd/>
        <w:snapToGrid/>
        <w:rPr>
          <w:rFonts w:cstheme="minorBidi"/>
          <w:bCs/>
          <w:szCs w:val="22"/>
        </w:rPr>
      </w:pPr>
      <w:r w:rsidRPr="00A46E74">
        <w:rPr>
          <w:lang w:val="fr-FR"/>
        </w:rPr>
        <w:t>Point 6 b) de l</w:t>
      </w:r>
      <w:r>
        <w:rPr>
          <w:lang w:val="fr-FR"/>
        </w:rPr>
        <w:t>’</w:t>
      </w:r>
      <w:r w:rsidRPr="00A46E74">
        <w:rPr>
          <w:lang w:val="fr-FR"/>
        </w:rPr>
        <w:t>ordre du jour provisoire</w:t>
      </w:r>
    </w:p>
    <w:p w:rsidR="00F653E6" w:rsidRPr="00A46E74" w:rsidRDefault="00F653E6" w:rsidP="00F653E6">
      <w:pPr>
        <w:rPr>
          <w:b/>
          <w:bCs/>
        </w:rPr>
      </w:pPr>
      <w:r w:rsidRPr="00A46E74">
        <w:rPr>
          <w:b/>
          <w:bCs/>
          <w:lang w:val="fr-FR"/>
        </w:rPr>
        <w:t>Règlement ONU n</w:t>
      </w:r>
      <w:r w:rsidRPr="00F653E6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A46E74">
        <w:rPr>
          <w:b/>
          <w:bCs/>
          <w:lang w:val="fr-FR"/>
        </w:rPr>
        <w:t xml:space="preserve">48 (Installation des dispositifs </w:t>
      </w:r>
      <w:r w:rsidR="004E23DC">
        <w:rPr>
          <w:b/>
          <w:bCs/>
          <w:lang w:val="fr-FR"/>
        </w:rPr>
        <w:br/>
      </w:r>
      <w:r w:rsidRPr="00A46E74">
        <w:rPr>
          <w:b/>
          <w:bCs/>
          <w:lang w:val="fr-FR"/>
        </w:rPr>
        <w:t>d</w:t>
      </w:r>
      <w:r>
        <w:rPr>
          <w:b/>
          <w:bCs/>
          <w:lang w:val="fr-FR"/>
        </w:rPr>
        <w:t>’</w:t>
      </w:r>
      <w:r w:rsidRPr="00A46E74">
        <w:rPr>
          <w:b/>
          <w:bCs/>
          <w:lang w:val="fr-FR"/>
        </w:rPr>
        <w:t>éclairage et de signalisation lumineuse)</w:t>
      </w:r>
      <w:r>
        <w:rPr>
          <w:b/>
          <w:bCs/>
          <w:lang w:val="fr-FR"/>
        </w:rPr>
        <w:t> </w:t>
      </w:r>
      <w:r w:rsidRPr="00A46E74">
        <w:rPr>
          <w:b/>
          <w:bCs/>
          <w:lang w:val="fr-FR"/>
        </w:rPr>
        <w:t>:</w:t>
      </w:r>
    </w:p>
    <w:p w:rsidR="00F653E6" w:rsidRPr="006A74AB" w:rsidRDefault="00F653E6" w:rsidP="00F653E6">
      <w:pPr>
        <w:kinsoku/>
        <w:overflowPunct/>
        <w:autoSpaceDE/>
        <w:autoSpaceDN/>
        <w:adjustRightInd/>
        <w:snapToGrid/>
        <w:rPr>
          <w:rFonts w:cstheme="minorBidi"/>
          <w:b/>
          <w:bCs/>
          <w:szCs w:val="22"/>
        </w:rPr>
      </w:pPr>
      <w:r w:rsidRPr="00A46E74">
        <w:rPr>
          <w:b/>
          <w:bCs/>
          <w:lang w:val="fr-FR"/>
        </w:rPr>
        <w:t>Autres propositions d</w:t>
      </w:r>
      <w:r>
        <w:rPr>
          <w:b/>
          <w:bCs/>
          <w:lang w:val="fr-FR"/>
        </w:rPr>
        <w:t>’</w:t>
      </w:r>
      <w:r w:rsidRPr="00A46E74">
        <w:rPr>
          <w:b/>
          <w:bCs/>
          <w:lang w:val="fr-FR"/>
        </w:rPr>
        <w:t>amendements au Règlement ONU n</w:t>
      </w:r>
      <w:r w:rsidRPr="00F653E6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A46E74">
        <w:rPr>
          <w:b/>
          <w:bCs/>
          <w:lang w:val="fr-FR"/>
        </w:rPr>
        <w:t>48</w:t>
      </w:r>
    </w:p>
    <w:p w:rsidR="00F653E6" w:rsidRDefault="00F653E6" w:rsidP="00F653E6">
      <w:pPr>
        <w:pStyle w:val="HChG"/>
      </w:pPr>
      <w:r>
        <w:tab/>
      </w:r>
      <w:r>
        <w:tab/>
        <w:t>Proposition de complément à la nouvelle série 07 d’amendements au Règlement ONU n</w:t>
      </w:r>
      <w:r w:rsidRPr="00F653E6">
        <w:rPr>
          <w:vertAlign w:val="superscript"/>
        </w:rPr>
        <w:t>o</w:t>
      </w:r>
      <w:r>
        <w:t> 48 (Installation des dispositifs d’éclairage et de signalisation lumineuse)</w:t>
      </w:r>
    </w:p>
    <w:p w:rsidR="00F653E6" w:rsidRDefault="00F653E6" w:rsidP="00F653E6">
      <w:pPr>
        <w:pStyle w:val="H1G"/>
      </w:pPr>
      <w:r>
        <w:tab/>
      </w:r>
      <w:r>
        <w:tab/>
        <w:t>Communication de l’expert de la France</w:t>
      </w:r>
      <w:r w:rsidRPr="00F653E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F653E6" w:rsidP="00F653E6">
      <w:pPr>
        <w:pStyle w:val="SingleTxtG"/>
        <w:ind w:firstLine="567"/>
      </w:pPr>
      <w:r>
        <w:t xml:space="preserve">Le texte ci-après, établi par l’expert de la France, vise à corriger et préciser les prescriptions relatives à </w:t>
      </w:r>
      <w:r w:rsidR="007A4F21">
        <w:t>l’intensité</w:t>
      </w:r>
      <w:r>
        <w:t xml:space="preserve"> lumineuse variable des feux de signalisation arrière. Cette proposition se fonde en grande partie sur le document ECE/TRANS/WP</w:t>
      </w:r>
      <w:r w:rsidR="00134798">
        <w:t>.</w:t>
      </w:r>
      <w:r>
        <w:t>29/GRE/2019/11.</w:t>
      </w:r>
    </w:p>
    <w:p w:rsidR="00F653E6" w:rsidRPr="00A46E74" w:rsidRDefault="00F653E6" w:rsidP="00F52AE1">
      <w:pPr>
        <w:pStyle w:val="HChG"/>
      </w:pPr>
      <w:r>
        <w:br w:type="page"/>
      </w:r>
      <w:r w:rsidR="00F52AE1">
        <w:lastRenderedPageBreak/>
        <w:tab/>
      </w:r>
      <w:r w:rsidRPr="00A46E74">
        <w:rPr>
          <w:lang w:val="fr-FR"/>
        </w:rPr>
        <w:t>I.</w:t>
      </w:r>
      <w:r w:rsidRPr="00A46E74">
        <w:rPr>
          <w:lang w:val="fr-FR"/>
        </w:rPr>
        <w:tab/>
        <w:t>Proposition</w:t>
      </w:r>
    </w:p>
    <w:p w:rsidR="00F653E6" w:rsidRPr="00A46E74" w:rsidRDefault="00F653E6" w:rsidP="00F52AE1">
      <w:pPr>
        <w:pStyle w:val="SingleTxtG"/>
        <w:rPr>
          <w:i/>
        </w:rPr>
      </w:pPr>
      <w:r w:rsidRPr="00F52AE1">
        <w:rPr>
          <w:i/>
          <w:lang w:val="fr-FR"/>
        </w:rPr>
        <w:t>Paragraphe 5.26</w:t>
      </w:r>
      <w:r w:rsidRPr="00A46E74">
        <w:rPr>
          <w:lang w:val="fr-FR"/>
        </w:rPr>
        <w:t>, lire</w:t>
      </w:r>
      <w:r w:rsidR="00F52AE1">
        <w:rPr>
          <w:lang w:val="fr-FR"/>
        </w:rPr>
        <w:t> :</w:t>
      </w:r>
    </w:p>
    <w:p w:rsidR="00F653E6" w:rsidRPr="00A46E74" w:rsidRDefault="00F653E6" w:rsidP="00F52AE1">
      <w:pPr>
        <w:pStyle w:val="SingleTxtG"/>
        <w:tabs>
          <w:tab w:val="left" w:pos="2268"/>
        </w:tabs>
        <w:kinsoku/>
        <w:overflowPunct/>
        <w:autoSpaceDE/>
        <w:autoSpaceDN/>
        <w:adjustRightInd/>
        <w:snapToGrid/>
        <w:ind w:left="2268" w:hanging="1134"/>
      </w:pPr>
      <w:r w:rsidRPr="00A46E74">
        <w:rPr>
          <w:lang w:val="fr-FR"/>
        </w:rPr>
        <w:t>«</w:t>
      </w:r>
      <w:r w:rsidR="00F52AE1">
        <w:rPr>
          <w:lang w:val="fr-FR"/>
        </w:rPr>
        <w:t> </w:t>
      </w:r>
      <w:r w:rsidRPr="00A46E74">
        <w:rPr>
          <w:lang w:val="fr-FR"/>
        </w:rPr>
        <w:t>5.26</w:t>
      </w:r>
      <w:r w:rsidRPr="00A46E74">
        <w:rPr>
          <w:lang w:val="fr-FR"/>
        </w:rPr>
        <w:tab/>
        <w:t xml:space="preserve">Les feux indicateurs de direction arrière </w:t>
      </w:r>
      <w:r w:rsidRPr="00727AB9">
        <w:rPr>
          <w:b/>
          <w:lang w:val="fr-FR"/>
        </w:rPr>
        <w:t>de la catégorie 2b</w:t>
      </w:r>
      <w:r w:rsidRPr="00A46E74">
        <w:rPr>
          <w:lang w:val="fr-FR"/>
        </w:rPr>
        <w:t xml:space="preserve">, les feux de position arrière </w:t>
      </w:r>
      <w:r w:rsidRPr="00727AB9">
        <w:rPr>
          <w:b/>
          <w:lang w:val="fr-FR"/>
        </w:rPr>
        <w:t>de la catégorie R2</w:t>
      </w:r>
      <w:r w:rsidRPr="00A46E74">
        <w:rPr>
          <w:lang w:val="fr-FR"/>
        </w:rPr>
        <w:t xml:space="preserve">, les feux-stop </w:t>
      </w:r>
      <w:r w:rsidRPr="00727AB9">
        <w:rPr>
          <w:b/>
          <w:lang w:val="fr-FR"/>
        </w:rPr>
        <w:t>de la catégorie S2</w:t>
      </w:r>
      <w:r w:rsidRPr="00A46E74">
        <w:rPr>
          <w:lang w:val="fr-FR"/>
        </w:rPr>
        <w:t xml:space="preserve"> </w:t>
      </w:r>
      <w:r w:rsidRPr="00A46E74">
        <w:rPr>
          <w:strike/>
          <w:lang w:val="fr-FR"/>
        </w:rPr>
        <w:t>(à</w:t>
      </w:r>
      <w:r w:rsidR="00F52AE1">
        <w:rPr>
          <w:strike/>
          <w:lang w:val="fr-FR"/>
        </w:rPr>
        <w:t> </w:t>
      </w:r>
      <w:r w:rsidRPr="00A46E74">
        <w:rPr>
          <w:strike/>
          <w:lang w:val="fr-FR"/>
        </w:rPr>
        <w:t>l</w:t>
      </w:r>
      <w:r>
        <w:rPr>
          <w:strike/>
          <w:lang w:val="fr-FR"/>
        </w:rPr>
        <w:t>’</w:t>
      </w:r>
      <w:r w:rsidRPr="00A46E74">
        <w:rPr>
          <w:strike/>
          <w:lang w:val="fr-FR"/>
        </w:rPr>
        <w:t>exception des feux-stop de la catégorie S4)</w:t>
      </w:r>
      <w:r w:rsidRPr="00A46E74">
        <w:rPr>
          <w:lang w:val="fr-FR"/>
        </w:rPr>
        <w:t xml:space="preserve"> et les feux de brouillard arrière </w:t>
      </w:r>
      <w:r w:rsidRPr="00727AB9">
        <w:rPr>
          <w:b/>
          <w:lang w:val="fr-FR"/>
        </w:rPr>
        <w:t>de la catégorie F2</w:t>
      </w:r>
      <w:r w:rsidRPr="00A46E74">
        <w:rPr>
          <w:lang w:val="fr-FR"/>
        </w:rPr>
        <w:t xml:space="preserve"> à régulateur d</w:t>
      </w:r>
      <w:r>
        <w:rPr>
          <w:lang w:val="fr-FR"/>
        </w:rPr>
        <w:t>’</w:t>
      </w:r>
      <w:r w:rsidRPr="00A46E74">
        <w:rPr>
          <w:lang w:val="fr-FR"/>
        </w:rPr>
        <w:t>intensité</w:t>
      </w:r>
      <w:r>
        <w:rPr>
          <w:lang w:val="fr-FR"/>
        </w:rPr>
        <w:t xml:space="preserve"> </w:t>
      </w:r>
      <w:r w:rsidRPr="006329FD">
        <w:rPr>
          <w:lang w:val="fr-FR"/>
        </w:rPr>
        <w:t>sont autorisés</w:t>
      </w:r>
      <w:r w:rsidRPr="00A46E74">
        <w:rPr>
          <w:lang w:val="fr-FR"/>
        </w:rPr>
        <w:t xml:space="preserve"> en réponse simultanée à </w:t>
      </w:r>
      <w:r w:rsidRPr="00A46E74">
        <w:rPr>
          <w:strike/>
          <w:lang w:val="fr-FR"/>
        </w:rPr>
        <w:t>au moins l</w:t>
      </w:r>
      <w:r>
        <w:rPr>
          <w:strike/>
          <w:lang w:val="fr-FR"/>
        </w:rPr>
        <w:t>’</w:t>
      </w:r>
      <w:r w:rsidRPr="00A46E74">
        <w:rPr>
          <w:lang w:val="fr-FR"/>
        </w:rPr>
        <w:t>un</w:t>
      </w:r>
      <w:r w:rsidRPr="00727AB9">
        <w:rPr>
          <w:b/>
          <w:lang w:val="fr-FR"/>
        </w:rPr>
        <w:t>e</w:t>
      </w:r>
      <w:r w:rsidRPr="00A46E74">
        <w:rPr>
          <w:lang w:val="fr-FR"/>
        </w:rPr>
        <w:t xml:space="preserve"> </w:t>
      </w:r>
      <w:r w:rsidRPr="00727AB9">
        <w:rPr>
          <w:b/>
          <w:lang w:val="fr-FR"/>
        </w:rPr>
        <w:t>ou plusieurs</w:t>
      </w:r>
      <w:r w:rsidRPr="00A46E74">
        <w:rPr>
          <w:lang w:val="fr-FR"/>
        </w:rPr>
        <w:t xml:space="preserve"> </w:t>
      </w:r>
      <w:r w:rsidRPr="00727AB9">
        <w:rPr>
          <w:strike/>
          <w:lang w:val="fr-FR"/>
        </w:rPr>
        <w:t>des</w:t>
      </w:r>
      <w:r>
        <w:rPr>
          <w:lang w:val="fr-FR"/>
        </w:rPr>
        <w:t xml:space="preserve"> [</w:t>
      </w:r>
      <w:r w:rsidRPr="00727AB9">
        <w:rPr>
          <w:b/>
          <w:lang w:val="fr-FR"/>
        </w:rPr>
        <w:t>conditions</w:t>
      </w:r>
      <w:r>
        <w:rPr>
          <w:lang w:val="fr-FR"/>
        </w:rPr>
        <w:t>]</w:t>
      </w:r>
      <w:r w:rsidR="00F52AE1">
        <w:rPr>
          <w:lang w:val="fr-FR"/>
        </w:rPr>
        <w:t xml:space="preserve"> </w:t>
      </w:r>
      <w:r w:rsidRPr="00A46E74">
        <w:rPr>
          <w:strike/>
          <w:lang w:val="fr-FR"/>
        </w:rPr>
        <w:t>suivants</w:t>
      </w:r>
      <w:r w:rsidR="00F52AE1">
        <w:rPr>
          <w:strike/>
          <w:lang w:val="fr-FR"/>
        </w:rPr>
        <w:t> :</w:t>
      </w:r>
      <w:r w:rsidRPr="00A46E74">
        <w:rPr>
          <w:strike/>
          <w:lang w:val="fr-FR"/>
        </w:rPr>
        <w:t xml:space="preserve"> éclairage ambiant, brouillard, chute de neige, pluie, bruine, nuages de poussières, proximité d</w:t>
      </w:r>
      <w:r>
        <w:rPr>
          <w:strike/>
          <w:lang w:val="fr-FR"/>
        </w:rPr>
        <w:t>’</w:t>
      </w:r>
      <w:r w:rsidRPr="00A46E74">
        <w:rPr>
          <w:strike/>
          <w:lang w:val="fr-FR"/>
        </w:rPr>
        <w:t xml:space="preserve">une surface émettant de la lumière </w:t>
      </w:r>
      <w:r w:rsidRPr="00727AB9">
        <w:rPr>
          <w:b/>
          <w:lang w:val="fr-FR"/>
        </w:rPr>
        <w:t xml:space="preserve">parmi celles visées au paragraphe 5.26.1 [et </w:t>
      </w:r>
      <w:r>
        <w:rPr>
          <w:b/>
          <w:lang w:val="fr-FR"/>
        </w:rPr>
        <w:t xml:space="preserve">au </w:t>
      </w:r>
      <w:r w:rsidRPr="00727AB9">
        <w:rPr>
          <w:b/>
          <w:lang w:val="fr-FR"/>
        </w:rPr>
        <w:t>5.26.2],</w:t>
      </w:r>
      <w:r>
        <w:rPr>
          <w:lang w:val="fr-FR"/>
        </w:rPr>
        <w:t xml:space="preserve"> </w:t>
      </w:r>
    </w:p>
    <w:p w:rsidR="00F653E6" w:rsidRPr="00F52AE1" w:rsidRDefault="00F653E6" w:rsidP="00134798">
      <w:pPr>
        <w:pStyle w:val="SingleTxtG"/>
        <w:tabs>
          <w:tab w:val="left" w:pos="2268"/>
        </w:tabs>
        <w:kinsoku/>
        <w:overflowPunct/>
        <w:autoSpaceDE/>
        <w:autoSpaceDN/>
        <w:adjustRightInd/>
        <w:snapToGrid/>
        <w:spacing w:before="240"/>
        <w:ind w:left="2268" w:hanging="1134"/>
        <w:rPr>
          <w:i/>
        </w:rPr>
      </w:pPr>
      <w:r w:rsidRPr="00A46E74">
        <w:rPr>
          <w:lang w:val="fr-FR"/>
        </w:rPr>
        <w:tab/>
      </w:r>
      <w:r w:rsidRPr="00F52AE1">
        <w:rPr>
          <w:i/>
          <w:lang w:val="fr-FR"/>
        </w:rPr>
        <w:t>Solution A</w:t>
      </w:r>
    </w:p>
    <w:p w:rsidR="00F653E6" w:rsidRPr="00A46E74" w:rsidRDefault="00F52AE1" w:rsidP="00F52AE1">
      <w:pPr>
        <w:pStyle w:val="SingleTxtG"/>
        <w:tabs>
          <w:tab w:val="left" w:pos="2268"/>
        </w:tabs>
        <w:kinsoku/>
        <w:overflowPunct/>
        <w:autoSpaceDE/>
        <w:autoSpaceDN/>
        <w:adjustRightInd/>
        <w:snapToGrid/>
        <w:ind w:left="2268" w:hanging="1134"/>
      </w:pPr>
      <w:r>
        <w:rPr>
          <w:lang w:val="fr-FR"/>
        </w:rPr>
        <w:tab/>
      </w:r>
      <w:r w:rsidR="00F653E6" w:rsidRPr="00A46E74">
        <w:rPr>
          <w:lang w:val="fr-FR"/>
        </w:rPr>
        <w:t>[</w:t>
      </w:r>
      <w:r w:rsidR="00F653E6">
        <w:rPr>
          <w:lang w:val="fr-FR"/>
        </w:rPr>
        <w:t xml:space="preserve">à condition </w:t>
      </w:r>
      <w:r w:rsidR="00F653E6" w:rsidRPr="00727AB9">
        <w:rPr>
          <w:b/>
          <w:lang w:val="fr-FR"/>
        </w:rPr>
        <w:t>que, pour chaque feu mentionné ci-dessus qui peut être considéré séparément, soit conservé</w:t>
      </w:r>
      <w:r w:rsidR="00F653E6">
        <w:rPr>
          <w:b/>
          <w:lang w:val="fr-FR"/>
        </w:rPr>
        <w:t>e</w:t>
      </w:r>
      <w:r w:rsidR="00F653E6" w:rsidRPr="00727AB9">
        <w:rPr>
          <w:b/>
          <w:lang w:val="fr-FR"/>
        </w:rPr>
        <w:t xml:space="preserve"> au cours des transitions la relation particulière prescrite entre les intensités avec chacun des autres feux, le cas échéant</w:t>
      </w:r>
      <w:r w:rsidR="00F653E6" w:rsidRPr="00A46E74">
        <w:rPr>
          <w:lang w:val="fr-FR"/>
        </w:rPr>
        <w:t xml:space="preserve">] </w:t>
      </w:r>
    </w:p>
    <w:p w:rsidR="00F653E6" w:rsidRPr="00A46E74" w:rsidRDefault="00F52AE1" w:rsidP="00134798">
      <w:pPr>
        <w:pStyle w:val="SingleTxtG"/>
        <w:tabs>
          <w:tab w:val="left" w:pos="2268"/>
        </w:tabs>
        <w:kinsoku/>
        <w:overflowPunct/>
        <w:autoSpaceDE/>
        <w:autoSpaceDN/>
        <w:adjustRightInd/>
        <w:snapToGrid/>
        <w:spacing w:before="240"/>
        <w:ind w:left="2268" w:hanging="1134"/>
        <w:rPr>
          <w:i/>
        </w:rPr>
      </w:pPr>
      <w:r>
        <w:rPr>
          <w:i/>
          <w:iCs/>
          <w:lang w:val="fr-FR"/>
        </w:rPr>
        <w:tab/>
      </w:r>
      <w:r w:rsidR="00F653E6" w:rsidRPr="00A46E74">
        <w:rPr>
          <w:i/>
          <w:iCs/>
          <w:lang w:val="fr-FR"/>
        </w:rPr>
        <w:t>Solution B</w:t>
      </w:r>
    </w:p>
    <w:p w:rsidR="00F653E6" w:rsidRPr="00A46E74" w:rsidRDefault="00F52AE1" w:rsidP="00F52AE1">
      <w:pPr>
        <w:pStyle w:val="SingleTxtG"/>
        <w:tabs>
          <w:tab w:val="left" w:pos="2268"/>
        </w:tabs>
        <w:kinsoku/>
        <w:overflowPunct/>
        <w:autoSpaceDE/>
        <w:autoSpaceDN/>
        <w:adjustRightInd/>
        <w:snapToGrid/>
        <w:ind w:left="2268" w:hanging="1134"/>
      </w:pPr>
      <w:r>
        <w:rPr>
          <w:lang w:val="fr-FR"/>
        </w:rPr>
        <w:tab/>
      </w:r>
      <w:r w:rsidR="00F653E6" w:rsidRPr="00A46E74">
        <w:rPr>
          <w:lang w:val="fr-FR"/>
        </w:rPr>
        <w:t>[</w:t>
      </w:r>
      <w:r w:rsidR="00F653E6">
        <w:rPr>
          <w:lang w:val="fr-FR"/>
        </w:rPr>
        <w:t xml:space="preserve">à condition </w:t>
      </w:r>
      <w:r w:rsidR="00F653E6" w:rsidRPr="00727AB9">
        <w:rPr>
          <w:b/>
          <w:lang w:val="fr-FR"/>
        </w:rPr>
        <w:t>que</w:t>
      </w:r>
      <w:r w:rsidR="00F653E6">
        <w:rPr>
          <w:lang w:val="fr-FR"/>
        </w:rPr>
        <w:t xml:space="preserve"> </w:t>
      </w:r>
      <w:r w:rsidR="00F653E6" w:rsidRPr="00727AB9">
        <w:rPr>
          <w:b/>
          <w:lang w:val="fr-FR"/>
        </w:rPr>
        <w:t>l</w:t>
      </w:r>
      <w:r w:rsidR="00F653E6">
        <w:rPr>
          <w:b/>
          <w:lang w:val="fr-FR"/>
        </w:rPr>
        <w:t>’</w:t>
      </w:r>
      <w:r w:rsidR="00F653E6" w:rsidRPr="00727AB9">
        <w:rPr>
          <w:b/>
          <w:lang w:val="fr-FR"/>
        </w:rPr>
        <w:t>intensité de tous les feux mentionnés ci-dessus varie dans les mêmes proportions, et que soit conservée au cours des transitions la relation particulière prescrite entre les intensités avec chacun des autres feux, le cas échéant</w:t>
      </w:r>
      <w:r w:rsidR="00F653E6" w:rsidRPr="00A46E74">
        <w:rPr>
          <w:lang w:val="fr-FR"/>
        </w:rPr>
        <w:t>]</w:t>
      </w:r>
    </w:p>
    <w:p w:rsidR="00F653E6" w:rsidRPr="00F52AE1" w:rsidRDefault="00F653E6" w:rsidP="00F52AE1">
      <w:pPr>
        <w:pStyle w:val="SingleTxtG"/>
        <w:tabs>
          <w:tab w:val="left" w:pos="2268"/>
        </w:tabs>
        <w:kinsoku/>
        <w:overflowPunct/>
        <w:autoSpaceDE/>
        <w:autoSpaceDN/>
        <w:adjustRightInd/>
        <w:snapToGrid/>
        <w:ind w:left="2268" w:hanging="1134"/>
        <w:rPr>
          <w:strike/>
        </w:rPr>
      </w:pPr>
      <w:r w:rsidRPr="00A46E74">
        <w:rPr>
          <w:lang w:val="fr-FR"/>
        </w:rPr>
        <w:tab/>
      </w:r>
      <w:r w:rsidRPr="00F52AE1">
        <w:rPr>
          <w:strike/>
          <w:lang w:val="fr-FR"/>
        </w:rPr>
        <w:t>à condition de conserver au cours des transitions [la relation prescrite entre les intensités</w:t>
      </w:r>
      <w:r w:rsidRPr="00F52AE1">
        <w:rPr>
          <w:b/>
          <w:strike/>
          <w:lang w:val="fr-FR"/>
        </w:rPr>
        <w:t>,</w:t>
      </w:r>
      <w:r w:rsidRPr="00F52AE1">
        <w:rPr>
          <w:strike/>
          <w:lang w:val="fr-FR"/>
        </w:rPr>
        <w:t xml:space="preserve"> </w:t>
      </w:r>
      <w:r w:rsidRPr="00F52AE1">
        <w:rPr>
          <w:b/>
          <w:strike/>
          <w:lang w:val="fr-FR"/>
        </w:rPr>
        <w:t>le cas échéant</w:t>
      </w:r>
      <w:r w:rsidRPr="00F52AE1">
        <w:rPr>
          <w:strike/>
          <w:lang w:val="fr-FR"/>
        </w:rPr>
        <w:t>]. Les variations d’intensité au cours de ces transitions doivent se faire progressivement, sans à-coups. Les feux-stop de la catégorie S4 peuvent produire une lumière d’intensité variable indépendamment des autres feux. Le conducteur doit avoir la possibilité de mettre les feux en mode «</w:t>
      </w:r>
      <w:r w:rsidR="00F52AE1" w:rsidRPr="00F52AE1">
        <w:rPr>
          <w:strike/>
          <w:lang w:val="fr-FR"/>
        </w:rPr>
        <w:t> </w:t>
      </w:r>
      <w:r w:rsidRPr="00F52AE1">
        <w:rPr>
          <w:strike/>
          <w:lang w:val="fr-FR"/>
        </w:rPr>
        <w:t>intensité constante</w:t>
      </w:r>
      <w:r w:rsidR="00F52AE1" w:rsidRPr="00F52AE1">
        <w:rPr>
          <w:strike/>
          <w:lang w:val="fr-FR"/>
        </w:rPr>
        <w:t> </w:t>
      </w:r>
      <w:r w:rsidRPr="00F52AE1">
        <w:rPr>
          <w:strike/>
          <w:lang w:val="fr-FR"/>
        </w:rPr>
        <w:t>» puis de revenir en mode «</w:t>
      </w:r>
      <w:r w:rsidR="00F52AE1" w:rsidRPr="00F52AE1">
        <w:rPr>
          <w:strike/>
          <w:lang w:val="fr-FR"/>
        </w:rPr>
        <w:t> </w:t>
      </w:r>
      <w:r w:rsidRPr="00F52AE1">
        <w:rPr>
          <w:strike/>
          <w:lang w:val="fr-FR"/>
        </w:rPr>
        <w:t>intensité variable.</w:t>
      </w:r>
      <w:r w:rsidR="00F52AE1" w:rsidRPr="00F52AE1">
        <w:rPr>
          <w:strike/>
          <w:lang w:val="fr-FR"/>
        </w:rPr>
        <w:t> </w:t>
      </w:r>
      <w:r w:rsidRPr="00F52AE1">
        <w:rPr>
          <w:strike/>
          <w:lang w:val="fr-FR"/>
        </w:rPr>
        <w:t>»</w:t>
      </w:r>
    </w:p>
    <w:p w:rsidR="00F653E6" w:rsidRPr="00A46E74" w:rsidRDefault="00F52AE1" w:rsidP="00F52AE1">
      <w:pPr>
        <w:pStyle w:val="HChG"/>
      </w:pPr>
      <w:r>
        <w:rPr>
          <w:lang w:val="fr-FR"/>
        </w:rPr>
        <w:tab/>
      </w:r>
      <w:r w:rsidR="00F653E6" w:rsidRPr="00A46E74">
        <w:rPr>
          <w:lang w:val="fr-FR"/>
        </w:rPr>
        <w:t>II.</w:t>
      </w:r>
      <w:r w:rsidR="00F653E6" w:rsidRPr="00A46E74">
        <w:rPr>
          <w:lang w:val="fr-FR"/>
        </w:rPr>
        <w:tab/>
        <w:t>Justification</w:t>
      </w:r>
    </w:p>
    <w:p w:rsidR="00F653E6" w:rsidRPr="00A46E74" w:rsidRDefault="00F653E6" w:rsidP="00F52AE1">
      <w:pPr>
        <w:pStyle w:val="SingleTxtG"/>
      </w:pPr>
      <w:r w:rsidRPr="00A46E74">
        <w:rPr>
          <w:lang w:val="fr-FR"/>
        </w:rPr>
        <w:t>1.</w:t>
      </w:r>
      <w:r w:rsidRPr="00A46E74">
        <w:rPr>
          <w:lang w:val="fr-FR"/>
        </w:rPr>
        <w:tab/>
        <w:t>L</w:t>
      </w:r>
      <w:r>
        <w:rPr>
          <w:lang w:val="fr-FR"/>
        </w:rPr>
        <w:t>’</w:t>
      </w:r>
      <w:r w:rsidRPr="00A46E74">
        <w:rPr>
          <w:lang w:val="fr-FR"/>
        </w:rPr>
        <w:t>objet de la présente proposition est de préciser les prescriptions du paragraphe 5.26</w:t>
      </w:r>
      <w:r>
        <w:rPr>
          <w:lang w:val="fr-FR"/>
        </w:rPr>
        <w:t>,</w:t>
      </w:r>
      <w:r w:rsidRPr="00A46E74">
        <w:rPr>
          <w:lang w:val="fr-FR"/>
        </w:rPr>
        <w:t xml:space="preserve"> qui permet</w:t>
      </w:r>
      <w:r>
        <w:rPr>
          <w:lang w:val="fr-FR"/>
        </w:rPr>
        <w:t>tent</w:t>
      </w:r>
      <w:r w:rsidRPr="00A46E74">
        <w:rPr>
          <w:lang w:val="fr-FR"/>
        </w:rPr>
        <w:t xml:space="preserve"> une variation d</w:t>
      </w:r>
      <w:r>
        <w:rPr>
          <w:lang w:val="fr-FR"/>
        </w:rPr>
        <w:t>e l</w:t>
      </w:r>
      <w:r w:rsidR="00B65D95">
        <w:rPr>
          <w:lang w:val="fr-FR"/>
        </w:rPr>
        <w:t>’</w:t>
      </w:r>
      <w:r w:rsidRPr="00A46E74">
        <w:rPr>
          <w:lang w:val="fr-FR"/>
        </w:rPr>
        <w:t>intensité lumineuse des quatre différentes fonctions de signalisation lumineuse</w:t>
      </w:r>
      <w:r>
        <w:rPr>
          <w:lang w:val="fr-FR"/>
        </w:rPr>
        <w:t>,</w:t>
      </w:r>
      <w:r w:rsidRPr="00A46E74">
        <w:rPr>
          <w:lang w:val="fr-FR"/>
        </w:rPr>
        <w:t xml:space="preserve"> </w:t>
      </w:r>
      <w:r>
        <w:rPr>
          <w:lang w:val="fr-FR"/>
        </w:rPr>
        <w:t xml:space="preserve">à savoir </w:t>
      </w:r>
      <w:r w:rsidRPr="00A46E74">
        <w:rPr>
          <w:lang w:val="fr-FR"/>
        </w:rPr>
        <w:t>les feux indicateurs de direction arrière de la catégorie 2b, les feux de position arrière de la catégorie R2, les feux-stop de la catégorie S2 et les feux de brouillard arrière de la catégorie F2.</w:t>
      </w:r>
    </w:p>
    <w:p w:rsidR="00F653E6" w:rsidRPr="009D7C70" w:rsidRDefault="00F653E6" w:rsidP="00F52AE1">
      <w:pPr>
        <w:pStyle w:val="SingleTxtG"/>
      </w:pPr>
      <w:r w:rsidRPr="00A46E74">
        <w:rPr>
          <w:lang w:val="fr-FR"/>
        </w:rPr>
        <w:t>2.</w:t>
      </w:r>
      <w:r w:rsidRPr="00A46E74">
        <w:rPr>
          <w:lang w:val="fr-FR"/>
        </w:rPr>
        <w:tab/>
        <w:t>Il semble que la</w:t>
      </w:r>
      <w:r>
        <w:rPr>
          <w:lang w:val="fr-FR"/>
        </w:rPr>
        <w:t xml:space="preserve"> lecture </w:t>
      </w:r>
      <w:r w:rsidRPr="00A46E74">
        <w:rPr>
          <w:lang w:val="fr-FR"/>
        </w:rPr>
        <w:t>du texte actuel du Règlement</w:t>
      </w:r>
      <w:r>
        <w:rPr>
          <w:lang w:val="fr-FR"/>
        </w:rPr>
        <w:t xml:space="preserve"> donne lieu </w:t>
      </w:r>
      <w:r w:rsidRPr="00A46E74">
        <w:rPr>
          <w:lang w:val="fr-FR"/>
        </w:rPr>
        <w:t>à des interprétations divergentes entre le</w:t>
      </w:r>
      <w:r>
        <w:rPr>
          <w:lang w:val="fr-FR"/>
        </w:rPr>
        <w:t>s professionnels du</w:t>
      </w:r>
      <w:r w:rsidRPr="00A46E74">
        <w:rPr>
          <w:lang w:val="fr-FR"/>
        </w:rPr>
        <w:t xml:space="preserve"> secteur, les services techniques et les autorités d</w:t>
      </w:r>
      <w:r>
        <w:rPr>
          <w:lang w:val="fr-FR"/>
        </w:rPr>
        <w:t>’</w:t>
      </w:r>
      <w:r w:rsidRPr="00A46E74">
        <w:rPr>
          <w:lang w:val="fr-FR"/>
        </w:rPr>
        <w:t>homologation de type. Il existe deux interprétations</w:t>
      </w:r>
      <w:r w:rsidRPr="00440030">
        <w:rPr>
          <w:lang w:val="fr-FR"/>
        </w:rPr>
        <w:t xml:space="preserve"> </w:t>
      </w:r>
      <w:r w:rsidRPr="00A46E74">
        <w:rPr>
          <w:lang w:val="fr-FR"/>
        </w:rPr>
        <w:t>principales</w:t>
      </w:r>
      <w:r w:rsidR="00F52AE1">
        <w:rPr>
          <w:lang w:val="fr-FR"/>
        </w:rPr>
        <w:t> </w:t>
      </w:r>
      <w:r w:rsidRPr="00A46E74">
        <w:rPr>
          <w:lang w:val="fr-FR"/>
        </w:rPr>
        <w:t>:</w:t>
      </w:r>
    </w:p>
    <w:p w:rsidR="00F653E6" w:rsidRPr="00A46E74" w:rsidRDefault="00F52AE1" w:rsidP="00F52AE1">
      <w:pPr>
        <w:pStyle w:val="SingleTxtG"/>
        <w:ind w:firstLine="567"/>
      </w:pPr>
      <w:r>
        <w:rPr>
          <w:lang w:val="fr-FR"/>
        </w:rPr>
        <w:t>a)</w:t>
      </w:r>
      <w:r>
        <w:rPr>
          <w:lang w:val="fr-FR"/>
        </w:rPr>
        <w:tab/>
      </w:r>
      <w:r w:rsidR="00F653E6" w:rsidRPr="00A46E74">
        <w:rPr>
          <w:lang w:val="fr-FR"/>
        </w:rPr>
        <w:t>Certains estiment que tous les feux peuvent produire une lumière d</w:t>
      </w:r>
      <w:r w:rsidR="00F653E6">
        <w:rPr>
          <w:lang w:val="fr-FR"/>
        </w:rPr>
        <w:t>’</w:t>
      </w:r>
      <w:r w:rsidR="00F653E6" w:rsidRPr="00A46E74">
        <w:rPr>
          <w:lang w:val="fr-FR"/>
        </w:rPr>
        <w:t>intensité variable indépendamment des autres feux</w:t>
      </w:r>
      <w:r w:rsidR="00F653E6">
        <w:rPr>
          <w:lang w:val="fr-FR"/>
        </w:rPr>
        <w:t>,</w:t>
      </w:r>
      <w:r w:rsidR="00F653E6" w:rsidRPr="00A46E74">
        <w:rPr>
          <w:lang w:val="fr-FR"/>
        </w:rPr>
        <w:t xml:space="preserve"> </w:t>
      </w:r>
      <w:r w:rsidR="00F653E6">
        <w:rPr>
          <w:lang w:val="fr-FR"/>
        </w:rPr>
        <w:t>c</w:t>
      </w:r>
      <w:r w:rsidR="00F653E6" w:rsidRPr="00A46E74">
        <w:rPr>
          <w:lang w:val="fr-FR"/>
        </w:rPr>
        <w:t>e qui veut dire que, par exemple, seul un ou deux feux (sur les quatre mentionnés) peuvent varier</w:t>
      </w:r>
      <w:r w:rsidR="00F653E6">
        <w:rPr>
          <w:lang w:val="fr-FR"/>
        </w:rPr>
        <w:t>,</w:t>
      </w:r>
      <w:r w:rsidR="00F653E6" w:rsidRPr="00A46E74">
        <w:rPr>
          <w:lang w:val="fr-FR"/>
        </w:rPr>
        <w:t xml:space="preserve"> et pas les autres.</w:t>
      </w:r>
    </w:p>
    <w:p w:rsidR="00F653E6" w:rsidRDefault="00F52AE1" w:rsidP="00F52AE1">
      <w:pPr>
        <w:pStyle w:val="SingleTxtG"/>
        <w:ind w:firstLine="567"/>
      </w:pPr>
      <w:r>
        <w:rPr>
          <w:lang w:val="fr-FR"/>
        </w:rPr>
        <w:t>b)</w:t>
      </w:r>
      <w:r>
        <w:rPr>
          <w:lang w:val="fr-FR"/>
        </w:rPr>
        <w:tab/>
      </w:r>
      <w:r w:rsidR="00F653E6" w:rsidRPr="00A46E74">
        <w:rPr>
          <w:lang w:val="fr-FR"/>
        </w:rPr>
        <w:t>D</w:t>
      </w:r>
      <w:r w:rsidR="00F653E6">
        <w:rPr>
          <w:lang w:val="fr-FR"/>
        </w:rPr>
        <w:t>’</w:t>
      </w:r>
      <w:r w:rsidR="00F653E6" w:rsidRPr="00A46E74">
        <w:rPr>
          <w:lang w:val="fr-FR"/>
        </w:rPr>
        <w:t xml:space="preserve">autres estiment que tous les feux mentionnés </w:t>
      </w:r>
      <w:r w:rsidR="00F653E6">
        <w:rPr>
          <w:lang w:val="fr-FR"/>
        </w:rPr>
        <w:t xml:space="preserve">doivent </w:t>
      </w:r>
      <w:r w:rsidR="00F653E6" w:rsidRPr="00A46E74">
        <w:rPr>
          <w:lang w:val="fr-FR"/>
        </w:rPr>
        <w:t>varier</w:t>
      </w:r>
      <w:r w:rsidR="00F653E6">
        <w:rPr>
          <w:lang w:val="fr-FR"/>
        </w:rPr>
        <w:t xml:space="preserve"> en</w:t>
      </w:r>
      <w:r w:rsidR="00F653E6" w:rsidRPr="00A46E74">
        <w:rPr>
          <w:lang w:val="fr-FR"/>
        </w:rPr>
        <w:t xml:space="preserve"> même</w:t>
      </w:r>
      <w:r w:rsidR="00F653E6">
        <w:rPr>
          <w:lang w:val="fr-FR"/>
        </w:rPr>
        <w:t xml:space="preserve"> temps</w:t>
      </w:r>
      <w:r w:rsidR="00F653E6" w:rsidRPr="00A46E74">
        <w:rPr>
          <w:lang w:val="fr-FR"/>
        </w:rPr>
        <w:t>, et non indépendamment des autres feux, surtout</w:t>
      </w:r>
      <w:r w:rsidR="00F653E6">
        <w:rPr>
          <w:lang w:val="fr-FR"/>
        </w:rPr>
        <w:t xml:space="preserve"> en ce qui concerne</w:t>
      </w:r>
      <w:r w:rsidR="00F653E6" w:rsidRPr="00A46E74">
        <w:rPr>
          <w:lang w:val="fr-FR"/>
        </w:rPr>
        <w:t xml:space="preserve"> l</w:t>
      </w:r>
      <w:r w:rsidR="00F653E6">
        <w:rPr>
          <w:lang w:val="fr-FR"/>
        </w:rPr>
        <w:t>’</w:t>
      </w:r>
      <w:r w:rsidR="00F653E6" w:rsidRPr="00A46E74">
        <w:rPr>
          <w:lang w:val="fr-FR"/>
        </w:rPr>
        <w:t>exception dans le texte actuel, qui est un cas particulier pour les feux de catégorie S4 et qui laisse penser que ce n</w:t>
      </w:r>
      <w:r w:rsidR="00F653E6">
        <w:rPr>
          <w:lang w:val="fr-FR"/>
        </w:rPr>
        <w:t>’</w:t>
      </w:r>
      <w:r w:rsidR="00F653E6" w:rsidRPr="00A46E74">
        <w:rPr>
          <w:lang w:val="fr-FR"/>
        </w:rPr>
        <w:t>est pas applicable aux autres feux. D</w:t>
      </w:r>
      <w:r w:rsidR="00F653E6">
        <w:rPr>
          <w:lang w:val="fr-FR"/>
        </w:rPr>
        <w:t>’</w:t>
      </w:r>
      <w:r w:rsidR="00F653E6" w:rsidRPr="00A46E74">
        <w:rPr>
          <w:lang w:val="fr-FR"/>
        </w:rPr>
        <w:t xml:space="preserve">après cette interprétation, tous les feux mentionnés ci-dessus </w:t>
      </w:r>
      <w:r w:rsidR="00F653E6">
        <w:rPr>
          <w:lang w:val="fr-FR"/>
        </w:rPr>
        <w:t xml:space="preserve">doivent </w:t>
      </w:r>
      <w:r w:rsidR="00F653E6" w:rsidRPr="00A46E74">
        <w:rPr>
          <w:lang w:val="fr-FR"/>
        </w:rPr>
        <w:t xml:space="preserve">varier en même temps et </w:t>
      </w:r>
      <w:r w:rsidR="00F653E6">
        <w:rPr>
          <w:lang w:val="fr-FR"/>
        </w:rPr>
        <w:t xml:space="preserve">dans les mêmes </w:t>
      </w:r>
      <w:r w:rsidR="00F653E6" w:rsidRPr="00A46E74">
        <w:rPr>
          <w:lang w:val="fr-FR"/>
        </w:rPr>
        <w:t>proportion</w:t>
      </w:r>
      <w:r w:rsidR="00F653E6">
        <w:rPr>
          <w:lang w:val="fr-FR"/>
        </w:rPr>
        <w:t>s</w:t>
      </w:r>
      <w:r w:rsidR="00F653E6" w:rsidRPr="00A46E74">
        <w:rPr>
          <w:lang w:val="fr-FR"/>
        </w:rPr>
        <w:t>.</w:t>
      </w:r>
    </w:p>
    <w:p w:rsidR="00F653E6" w:rsidRPr="00A46E74" w:rsidRDefault="00A81BB9" w:rsidP="00F52AE1">
      <w:pPr>
        <w:pStyle w:val="SingleTxtG"/>
      </w:pPr>
      <w:r>
        <w:rPr>
          <w:lang w:val="fr-FR"/>
        </w:rPr>
        <w:br w:type="page"/>
      </w:r>
      <w:r w:rsidR="00F653E6" w:rsidRPr="00A46E74">
        <w:rPr>
          <w:lang w:val="fr-FR"/>
        </w:rPr>
        <w:lastRenderedPageBreak/>
        <w:t>3.</w:t>
      </w:r>
      <w:r w:rsidR="00F653E6" w:rsidRPr="00A46E74">
        <w:rPr>
          <w:lang w:val="fr-FR"/>
        </w:rPr>
        <w:tab/>
        <w:t>C</w:t>
      </w:r>
      <w:r w:rsidR="00F653E6">
        <w:rPr>
          <w:lang w:val="fr-FR"/>
        </w:rPr>
        <w:t>’</w:t>
      </w:r>
      <w:r w:rsidR="00F653E6" w:rsidRPr="00A46E74">
        <w:rPr>
          <w:lang w:val="fr-FR"/>
        </w:rPr>
        <w:t>est pourquoi la</w:t>
      </w:r>
      <w:r w:rsidR="00F653E6">
        <w:rPr>
          <w:lang w:val="fr-FR"/>
        </w:rPr>
        <w:t xml:space="preserve"> proposition ci-dessus</w:t>
      </w:r>
      <w:r w:rsidR="00F653E6" w:rsidRPr="00A46E74">
        <w:rPr>
          <w:lang w:val="fr-FR"/>
        </w:rPr>
        <w:t xml:space="preserve"> vise à clarifier la situation</w:t>
      </w:r>
      <w:r w:rsidR="00F653E6">
        <w:rPr>
          <w:lang w:val="fr-FR"/>
        </w:rPr>
        <w:t xml:space="preserve"> sur la base de</w:t>
      </w:r>
      <w:r w:rsidR="00F653E6" w:rsidRPr="00A46E74">
        <w:rPr>
          <w:lang w:val="fr-FR"/>
        </w:rPr>
        <w:t xml:space="preserve"> deux</w:t>
      </w:r>
      <w:r w:rsidR="00F653E6">
        <w:rPr>
          <w:lang w:val="fr-FR"/>
        </w:rPr>
        <w:t xml:space="preserve"> solutions </w:t>
      </w:r>
      <w:r w:rsidR="00F653E6" w:rsidRPr="00A46E74">
        <w:rPr>
          <w:lang w:val="fr-FR"/>
        </w:rPr>
        <w:t>différentes, sur lesquelles il faudra statuer</w:t>
      </w:r>
      <w:r w:rsidR="00F52AE1">
        <w:rPr>
          <w:lang w:val="fr-FR"/>
        </w:rPr>
        <w:t> :</w:t>
      </w:r>
    </w:p>
    <w:p w:rsidR="00F653E6" w:rsidRPr="00A46E74" w:rsidRDefault="00F653E6" w:rsidP="00F52AE1">
      <w:pPr>
        <w:pStyle w:val="Bullet1G"/>
      </w:pPr>
      <w:r w:rsidRPr="00A46E74">
        <w:rPr>
          <w:lang w:val="fr-FR"/>
        </w:rPr>
        <w:t>S</w:t>
      </w:r>
      <w:r>
        <w:rPr>
          <w:lang w:val="fr-FR"/>
        </w:rPr>
        <w:t>olu</w:t>
      </w:r>
      <w:r w:rsidRPr="00A46E74">
        <w:rPr>
          <w:lang w:val="fr-FR"/>
        </w:rPr>
        <w:t>tion A</w:t>
      </w:r>
      <w:r w:rsidR="00F52AE1">
        <w:rPr>
          <w:lang w:val="fr-FR"/>
        </w:rPr>
        <w:t> :</w:t>
      </w:r>
      <w:r w:rsidRPr="00A46E74">
        <w:rPr>
          <w:lang w:val="fr-FR"/>
        </w:rPr>
        <w:t xml:space="preserve"> rectification et clarification relative</w:t>
      </w:r>
      <w:r>
        <w:rPr>
          <w:lang w:val="fr-FR"/>
        </w:rPr>
        <w:t>s</w:t>
      </w:r>
      <w:r w:rsidRPr="00A46E74">
        <w:rPr>
          <w:lang w:val="fr-FR"/>
        </w:rPr>
        <w:t xml:space="preserve"> à l</w:t>
      </w:r>
      <w:r>
        <w:rPr>
          <w:lang w:val="fr-FR"/>
        </w:rPr>
        <w:t>’</w:t>
      </w:r>
      <w:r w:rsidRPr="00A46E74">
        <w:rPr>
          <w:lang w:val="fr-FR"/>
        </w:rPr>
        <w:t>interprétation a) ci-dessus.</w:t>
      </w:r>
    </w:p>
    <w:p w:rsidR="00F653E6" w:rsidRPr="00A46E74" w:rsidRDefault="00F653E6" w:rsidP="00F52AE1">
      <w:pPr>
        <w:pStyle w:val="Bullet1G"/>
      </w:pPr>
      <w:r w:rsidRPr="00A46E74">
        <w:rPr>
          <w:lang w:val="fr-FR"/>
        </w:rPr>
        <w:t>S</w:t>
      </w:r>
      <w:r>
        <w:rPr>
          <w:lang w:val="fr-FR"/>
        </w:rPr>
        <w:t>olu</w:t>
      </w:r>
      <w:r w:rsidRPr="00A46E74">
        <w:rPr>
          <w:lang w:val="fr-FR"/>
        </w:rPr>
        <w:t>tion B</w:t>
      </w:r>
      <w:r w:rsidR="00F52AE1">
        <w:rPr>
          <w:lang w:val="fr-FR"/>
        </w:rPr>
        <w:t> :</w:t>
      </w:r>
      <w:r w:rsidRPr="00A46E74">
        <w:rPr>
          <w:lang w:val="fr-FR"/>
        </w:rPr>
        <w:t xml:space="preserve"> rectification et clarification relative</w:t>
      </w:r>
      <w:r>
        <w:rPr>
          <w:lang w:val="fr-FR"/>
        </w:rPr>
        <w:t>s</w:t>
      </w:r>
      <w:r w:rsidRPr="00A46E74">
        <w:rPr>
          <w:lang w:val="fr-FR"/>
        </w:rPr>
        <w:t xml:space="preserve"> à l</w:t>
      </w:r>
      <w:r>
        <w:rPr>
          <w:lang w:val="fr-FR"/>
        </w:rPr>
        <w:t>’</w:t>
      </w:r>
      <w:r w:rsidRPr="00A46E74">
        <w:rPr>
          <w:lang w:val="fr-FR"/>
        </w:rPr>
        <w:t>interprétation b) ci-dessus.</w:t>
      </w:r>
    </w:p>
    <w:p w:rsidR="00F653E6" w:rsidRPr="00B43604" w:rsidRDefault="00B43604" w:rsidP="00B4360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653E6" w:rsidRPr="00B43604" w:rsidSect="00F653E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50D" w:rsidRDefault="0079350D" w:rsidP="00F95C08">
      <w:pPr>
        <w:spacing w:line="240" w:lineRule="auto"/>
      </w:pPr>
    </w:p>
  </w:endnote>
  <w:endnote w:type="continuationSeparator" w:id="0">
    <w:p w:rsidR="0079350D" w:rsidRPr="00AC3823" w:rsidRDefault="0079350D" w:rsidP="00AC3823">
      <w:pPr>
        <w:pStyle w:val="Footer"/>
      </w:pPr>
    </w:p>
  </w:endnote>
  <w:endnote w:type="continuationNotice" w:id="1">
    <w:p w:rsidR="0079350D" w:rsidRDefault="007935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E6" w:rsidRPr="00F653E6" w:rsidRDefault="00F653E6" w:rsidP="00F653E6">
    <w:pPr>
      <w:pStyle w:val="Footer"/>
      <w:tabs>
        <w:tab w:val="right" w:pos="9638"/>
      </w:tabs>
    </w:pPr>
    <w:r w:rsidRPr="00F653E6">
      <w:rPr>
        <w:b/>
        <w:sz w:val="18"/>
      </w:rPr>
      <w:fldChar w:fldCharType="begin"/>
    </w:r>
    <w:r w:rsidRPr="00F653E6">
      <w:rPr>
        <w:b/>
        <w:sz w:val="18"/>
      </w:rPr>
      <w:instrText xml:space="preserve"> PAGE  \* MERGEFORMAT </w:instrText>
    </w:r>
    <w:r w:rsidRPr="00F653E6">
      <w:rPr>
        <w:b/>
        <w:sz w:val="18"/>
      </w:rPr>
      <w:fldChar w:fldCharType="separate"/>
    </w:r>
    <w:r w:rsidR="00EA40BE">
      <w:rPr>
        <w:b/>
        <w:noProof/>
        <w:sz w:val="18"/>
      </w:rPr>
      <w:t>2</w:t>
    </w:r>
    <w:r w:rsidRPr="00F653E6">
      <w:rPr>
        <w:b/>
        <w:sz w:val="18"/>
      </w:rPr>
      <w:fldChar w:fldCharType="end"/>
    </w:r>
    <w:r>
      <w:rPr>
        <w:b/>
        <w:sz w:val="18"/>
      </w:rPr>
      <w:tab/>
    </w:r>
    <w:r>
      <w:t>GE.19-01427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E6" w:rsidRPr="00F653E6" w:rsidRDefault="00F653E6" w:rsidP="00F653E6">
    <w:pPr>
      <w:pStyle w:val="Footer"/>
      <w:tabs>
        <w:tab w:val="right" w:pos="9638"/>
      </w:tabs>
      <w:rPr>
        <w:b/>
        <w:sz w:val="18"/>
      </w:rPr>
    </w:pPr>
    <w:r>
      <w:t>GE.19-01427</w:t>
    </w:r>
    <w:r>
      <w:tab/>
    </w:r>
    <w:r w:rsidRPr="00F653E6">
      <w:rPr>
        <w:b/>
        <w:sz w:val="18"/>
      </w:rPr>
      <w:fldChar w:fldCharType="begin"/>
    </w:r>
    <w:r w:rsidRPr="00F653E6">
      <w:rPr>
        <w:b/>
        <w:sz w:val="18"/>
      </w:rPr>
      <w:instrText xml:space="preserve"> PAGE  \* MERGEFORMAT </w:instrText>
    </w:r>
    <w:r w:rsidRPr="00F653E6">
      <w:rPr>
        <w:b/>
        <w:sz w:val="18"/>
      </w:rPr>
      <w:fldChar w:fldCharType="separate"/>
    </w:r>
    <w:r w:rsidR="00EA40BE">
      <w:rPr>
        <w:b/>
        <w:noProof/>
        <w:sz w:val="18"/>
      </w:rPr>
      <w:t>3</w:t>
    </w:r>
    <w:r w:rsidRPr="00F653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F653E6" w:rsidRDefault="00F653E6" w:rsidP="00F653E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19-01427 (F)    200219    280219</w:t>
    </w:r>
    <w:r>
      <w:rPr>
        <w:sz w:val="20"/>
      </w:rPr>
      <w:br/>
    </w:r>
    <w:r w:rsidRPr="00F653E6">
      <w:rPr>
        <w:rFonts w:ascii="C39T30Lfz" w:hAnsi="C39T30Lfz"/>
        <w:sz w:val="56"/>
      </w:rPr>
      <w:t></w:t>
    </w:r>
    <w:r w:rsidRPr="00F653E6">
      <w:rPr>
        <w:rFonts w:ascii="C39T30Lfz" w:hAnsi="C39T30Lfz"/>
        <w:sz w:val="56"/>
      </w:rPr>
      <w:t></w:t>
    </w:r>
    <w:r w:rsidRPr="00F653E6">
      <w:rPr>
        <w:rFonts w:ascii="C39T30Lfz" w:hAnsi="C39T30Lfz"/>
        <w:sz w:val="56"/>
      </w:rPr>
      <w:t></w:t>
    </w:r>
    <w:r w:rsidRPr="00F653E6">
      <w:rPr>
        <w:rFonts w:ascii="C39T30Lfz" w:hAnsi="C39T30Lfz"/>
        <w:sz w:val="56"/>
      </w:rPr>
      <w:t></w:t>
    </w:r>
    <w:r w:rsidRPr="00F653E6">
      <w:rPr>
        <w:rFonts w:ascii="C39T30Lfz" w:hAnsi="C39T30Lfz"/>
        <w:sz w:val="56"/>
      </w:rPr>
      <w:t></w:t>
    </w:r>
    <w:r w:rsidRPr="00F653E6">
      <w:rPr>
        <w:rFonts w:ascii="C39T30Lfz" w:hAnsi="C39T30Lfz"/>
        <w:sz w:val="56"/>
      </w:rPr>
      <w:t></w:t>
    </w:r>
    <w:r w:rsidRPr="00F653E6">
      <w:rPr>
        <w:rFonts w:ascii="C39T30Lfz" w:hAnsi="C39T30Lfz"/>
        <w:sz w:val="56"/>
      </w:rPr>
      <w:t></w:t>
    </w:r>
    <w:r w:rsidRPr="00F653E6">
      <w:rPr>
        <w:rFonts w:ascii="C39T30Lfz" w:hAnsi="C39T30Lfz"/>
        <w:sz w:val="56"/>
      </w:rPr>
      <w:t></w:t>
    </w:r>
    <w:r w:rsidRPr="00F653E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9/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50D" w:rsidRPr="00AC3823" w:rsidRDefault="0079350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9350D" w:rsidRPr="00AC3823" w:rsidRDefault="0079350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9350D" w:rsidRPr="00AC3823" w:rsidRDefault="0079350D">
      <w:pPr>
        <w:spacing w:line="240" w:lineRule="auto"/>
        <w:rPr>
          <w:sz w:val="2"/>
          <w:szCs w:val="2"/>
        </w:rPr>
      </w:pPr>
    </w:p>
  </w:footnote>
  <w:footnote w:id="2">
    <w:p w:rsidR="00F653E6" w:rsidRPr="00F653E6" w:rsidRDefault="00F653E6">
      <w:pPr>
        <w:pStyle w:val="FootnoteText"/>
      </w:pPr>
      <w:r>
        <w:rPr>
          <w:rStyle w:val="FootnoteReference"/>
        </w:rPr>
        <w:tab/>
      </w:r>
      <w:r w:rsidRPr="00F653E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2018-2019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E6" w:rsidRPr="00F653E6" w:rsidRDefault="003263D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A40BE">
      <w:t>ECE/TRANS/WP.29/GRE/2019/4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E6" w:rsidRPr="00F653E6" w:rsidRDefault="003263D2" w:rsidP="00F653E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A40BE">
      <w:t>ECE/TRANS/WP.29/GRE/2019/4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0D"/>
    <w:rsid w:val="00017F94"/>
    <w:rsid w:val="00023842"/>
    <w:rsid w:val="000334F9"/>
    <w:rsid w:val="00045FEB"/>
    <w:rsid w:val="0007796D"/>
    <w:rsid w:val="000B7790"/>
    <w:rsid w:val="00111F2F"/>
    <w:rsid w:val="00134798"/>
    <w:rsid w:val="0014365E"/>
    <w:rsid w:val="00143C66"/>
    <w:rsid w:val="00164C9E"/>
    <w:rsid w:val="00176178"/>
    <w:rsid w:val="001F525A"/>
    <w:rsid w:val="00223272"/>
    <w:rsid w:val="002368AA"/>
    <w:rsid w:val="0024779E"/>
    <w:rsid w:val="00257168"/>
    <w:rsid w:val="00267FB8"/>
    <w:rsid w:val="002744B8"/>
    <w:rsid w:val="002832AC"/>
    <w:rsid w:val="002D7C93"/>
    <w:rsid w:val="00305801"/>
    <w:rsid w:val="003263D2"/>
    <w:rsid w:val="003916DE"/>
    <w:rsid w:val="00421996"/>
    <w:rsid w:val="00441C3B"/>
    <w:rsid w:val="00446FE5"/>
    <w:rsid w:val="00452396"/>
    <w:rsid w:val="004837D8"/>
    <w:rsid w:val="004E23DC"/>
    <w:rsid w:val="004E2EED"/>
    <w:rsid w:val="004E468C"/>
    <w:rsid w:val="005505B7"/>
    <w:rsid w:val="00573BE5"/>
    <w:rsid w:val="00586ED3"/>
    <w:rsid w:val="00596AA9"/>
    <w:rsid w:val="00644049"/>
    <w:rsid w:val="0071601D"/>
    <w:rsid w:val="0079350D"/>
    <w:rsid w:val="007A4F21"/>
    <w:rsid w:val="007A62E6"/>
    <w:rsid w:val="007F20FA"/>
    <w:rsid w:val="0080684C"/>
    <w:rsid w:val="00871C75"/>
    <w:rsid w:val="008776DC"/>
    <w:rsid w:val="009010FB"/>
    <w:rsid w:val="009446C0"/>
    <w:rsid w:val="009705C8"/>
    <w:rsid w:val="009C1CF4"/>
    <w:rsid w:val="009F6B74"/>
    <w:rsid w:val="00A3029F"/>
    <w:rsid w:val="00A30353"/>
    <w:rsid w:val="00A81BB9"/>
    <w:rsid w:val="00AC3823"/>
    <w:rsid w:val="00AE323C"/>
    <w:rsid w:val="00AF0CB5"/>
    <w:rsid w:val="00B00181"/>
    <w:rsid w:val="00B00B0D"/>
    <w:rsid w:val="00B43604"/>
    <w:rsid w:val="00B45F2E"/>
    <w:rsid w:val="00B65D95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40BE"/>
    <w:rsid w:val="00EA6547"/>
    <w:rsid w:val="00EF2E22"/>
    <w:rsid w:val="00F35BAF"/>
    <w:rsid w:val="00F52AE1"/>
    <w:rsid w:val="00F653E6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F20A57-42E4-41E3-8603-FD84D7B5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ECE/TRANS/WP.29/GRE/2019/4</vt:lpstr>
      <vt:lpstr>ECE/TRANS/WP.29/GRE/2019/4</vt:lpstr>
    </vt:vector>
  </TitlesOfParts>
  <Company>DCM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ECE/TRANS/WP.29/GRE/2019/4</dc:title>
  <dc:subject/>
  <dc:creator>Chanthavy MORET-VAR</dc:creator>
  <cp:keywords/>
  <cp:lastModifiedBy>Benedicte Boudol</cp:lastModifiedBy>
  <cp:revision>2</cp:revision>
  <cp:lastPrinted>2019-02-28T13:59:00Z</cp:lastPrinted>
  <dcterms:created xsi:type="dcterms:W3CDTF">2019-02-28T14:05:00Z</dcterms:created>
  <dcterms:modified xsi:type="dcterms:W3CDTF">2019-02-28T14:05:00Z</dcterms:modified>
</cp:coreProperties>
</file>