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82E47" w14:textId="56BBB127" w:rsidR="00450B28" w:rsidRDefault="00B6567D" w:rsidP="009667B0">
      <w:pPr>
        <w:pStyle w:val="HChG"/>
        <w:tabs>
          <w:tab w:val="clear" w:pos="851"/>
        </w:tabs>
        <w:ind w:firstLine="0"/>
        <w:jc w:val="center"/>
        <w:rPr>
          <w:lang w:val="en-US"/>
        </w:rPr>
      </w:pPr>
      <w:r w:rsidRPr="00B6567D">
        <w:rPr>
          <w:lang w:val="en-US"/>
        </w:rPr>
        <w:t xml:space="preserve">Proposal for </w:t>
      </w:r>
      <w:r w:rsidR="0015017A">
        <w:rPr>
          <w:lang w:val="en-US"/>
        </w:rPr>
        <w:t xml:space="preserve">amendments to </w:t>
      </w:r>
      <w:r w:rsidR="00C70CC9">
        <w:rPr>
          <w:lang w:val="en-US"/>
        </w:rPr>
        <w:t xml:space="preserve">the </w:t>
      </w:r>
      <w:r w:rsidR="00C70CC9" w:rsidRPr="00BE1AC2">
        <w:rPr>
          <w:color w:val="000000" w:themeColor="text1"/>
        </w:rPr>
        <w:t xml:space="preserve">07 series </w:t>
      </w:r>
      <w:r w:rsidRPr="00BE1AC2">
        <w:rPr>
          <w:color w:val="000000" w:themeColor="text1"/>
          <w:lang w:val="en-US"/>
        </w:rPr>
        <w:t xml:space="preserve">of </w:t>
      </w:r>
      <w:r w:rsidR="002646F7">
        <w:rPr>
          <w:color w:val="000000" w:themeColor="text1"/>
          <w:lang w:val="en-US"/>
        </w:rPr>
        <w:t>A</w:t>
      </w:r>
      <w:r w:rsidRPr="00BE1AC2">
        <w:rPr>
          <w:color w:val="000000" w:themeColor="text1"/>
          <w:lang w:val="en-US"/>
        </w:rPr>
        <w:t xml:space="preserve">mendments to </w:t>
      </w:r>
      <w:r w:rsidR="005B0C06" w:rsidRPr="00BE1AC2">
        <w:rPr>
          <w:color w:val="000000" w:themeColor="text1"/>
          <w:lang w:val="en-US"/>
        </w:rPr>
        <w:t xml:space="preserve">UN </w:t>
      </w:r>
      <w:r w:rsidRPr="00BE1AC2">
        <w:rPr>
          <w:color w:val="000000" w:themeColor="text1"/>
          <w:lang w:val="en-US"/>
        </w:rPr>
        <w:t>Regulation No. 83</w:t>
      </w:r>
      <w:r w:rsidRPr="004234EC">
        <w:rPr>
          <w:color w:val="FF0000"/>
          <w:lang w:val="en-US"/>
        </w:rPr>
        <w:t xml:space="preserve"> </w:t>
      </w:r>
      <w:r w:rsidRPr="00B6567D">
        <w:rPr>
          <w:lang w:val="en-US"/>
        </w:rPr>
        <w:t>(Emissions of M1 and N1 vehicles)</w:t>
      </w:r>
    </w:p>
    <w:p w14:paraId="1CBD99FE" w14:textId="77777777" w:rsidR="002646F7" w:rsidRPr="002646F7" w:rsidRDefault="002646F7" w:rsidP="002646F7">
      <w:pPr>
        <w:rPr>
          <w:lang w:val="en-US"/>
        </w:rPr>
      </w:pPr>
    </w:p>
    <w:p w14:paraId="2A6BADAA" w14:textId="77777777" w:rsidR="00097A1F" w:rsidRDefault="00C70CC9" w:rsidP="002F4281">
      <w:pPr>
        <w:pStyle w:val="HChG"/>
        <w:ind w:hanging="567"/>
      </w:pPr>
      <w:r w:rsidRPr="00FD4196">
        <w:t>I.</w:t>
      </w:r>
      <w:r w:rsidR="00097A1F">
        <w:tab/>
      </w:r>
      <w:r w:rsidRPr="00FD4196">
        <w:tab/>
      </w:r>
      <w:r>
        <w:t>Proposal</w:t>
      </w:r>
    </w:p>
    <w:p w14:paraId="3D28DA16" w14:textId="7F2396EA" w:rsidR="000134A5" w:rsidRPr="003D08BF" w:rsidRDefault="000134A5" w:rsidP="000134A5">
      <w:pPr>
        <w:suppressAutoHyphens w:val="0"/>
        <w:autoSpaceDE w:val="0"/>
        <w:autoSpaceDN w:val="0"/>
        <w:adjustRightInd w:val="0"/>
        <w:spacing w:line="240" w:lineRule="auto"/>
        <w:ind w:left="2268" w:right="1134" w:hanging="1134"/>
        <w:rPr>
          <w:color w:val="000000"/>
          <w:lang w:eastAsia="de-DE"/>
        </w:rPr>
      </w:pPr>
      <w:r w:rsidRPr="003D08BF">
        <w:rPr>
          <w:i/>
          <w:iCs/>
          <w:color w:val="000000"/>
          <w:lang w:eastAsia="de-DE"/>
        </w:rPr>
        <w:t xml:space="preserve">Annex 11, paragraph </w:t>
      </w:r>
      <w:r w:rsidR="00601850">
        <w:rPr>
          <w:i/>
          <w:iCs/>
          <w:color w:val="000000"/>
          <w:lang w:eastAsia="de-DE"/>
        </w:rPr>
        <w:t>7.3</w:t>
      </w:r>
      <w:r w:rsidR="00601850" w:rsidRPr="003D08BF">
        <w:rPr>
          <w:i/>
          <w:iCs/>
          <w:color w:val="000000"/>
          <w:lang w:eastAsia="de-DE"/>
        </w:rPr>
        <w:t>.</w:t>
      </w:r>
      <w:r w:rsidR="00601850">
        <w:rPr>
          <w:i/>
          <w:iCs/>
          <w:color w:val="000000"/>
          <w:lang w:eastAsia="de-DE"/>
        </w:rPr>
        <w:t>2</w:t>
      </w:r>
      <w:r w:rsidR="006A712C">
        <w:rPr>
          <w:i/>
          <w:iCs/>
          <w:color w:val="000000"/>
          <w:lang w:eastAsia="de-DE"/>
        </w:rPr>
        <w:t>.</w:t>
      </w:r>
      <w:r w:rsidR="00601850" w:rsidRPr="003D08BF">
        <w:rPr>
          <w:color w:val="000000"/>
          <w:lang w:eastAsia="de-DE"/>
        </w:rPr>
        <w:t>, amend to read</w:t>
      </w:r>
      <w:r w:rsidRPr="003D08BF">
        <w:rPr>
          <w:color w:val="000000"/>
          <w:lang w:eastAsia="de-DE"/>
        </w:rPr>
        <w:t xml:space="preserve">: </w:t>
      </w:r>
    </w:p>
    <w:p w14:paraId="064FEEAB" w14:textId="77777777" w:rsidR="00601850" w:rsidRPr="00337A07" w:rsidRDefault="000134A5" w:rsidP="00601850">
      <w:pPr>
        <w:pStyle w:val="SingleTxtG"/>
        <w:ind w:left="2268" w:hanging="1134"/>
      </w:pPr>
      <w:r>
        <w:rPr>
          <w:color w:val="000000"/>
          <w:lang w:eastAsia="de-DE"/>
        </w:rPr>
        <w:t>"</w:t>
      </w:r>
      <w:r w:rsidR="00601850">
        <w:rPr>
          <w:color w:val="000000"/>
          <w:lang w:val="en-US" w:eastAsia="de-DE"/>
        </w:rPr>
        <w:t>7.3.2</w:t>
      </w:r>
      <w:r w:rsidRPr="00A56913">
        <w:rPr>
          <w:color w:val="000000"/>
          <w:lang w:val="en-US" w:eastAsia="de-DE"/>
        </w:rPr>
        <w:t xml:space="preserve">. </w:t>
      </w:r>
      <w:r>
        <w:rPr>
          <w:color w:val="000000"/>
          <w:lang w:val="en-US" w:eastAsia="de-DE"/>
        </w:rPr>
        <w:tab/>
      </w:r>
      <w:r w:rsidR="00601850" w:rsidRPr="00337A07">
        <w:t>In addition to the requirements of paragraph 7.3.1. of this appendix:</w:t>
      </w:r>
    </w:p>
    <w:p w14:paraId="4383BB10" w14:textId="77777777" w:rsidR="00601850" w:rsidRPr="00337A07" w:rsidRDefault="00601850" w:rsidP="00601850">
      <w:pPr>
        <w:pStyle w:val="SingleTxtG"/>
        <w:tabs>
          <w:tab w:val="left" w:pos="2268"/>
        </w:tabs>
        <w:ind w:left="2832" w:hanging="1698"/>
        <w:rPr>
          <w:lang w:eastAsia="en-GB"/>
        </w:rPr>
      </w:pPr>
      <w:r w:rsidRPr="00337A07">
        <w:rPr>
          <w:lang w:eastAsia="en-GB"/>
        </w:rPr>
        <w:tab/>
        <w:t>(a)</w:t>
      </w:r>
      <w:r w:rsidRPr="00337A07">
        <w:rPr>
          <w:lang w:eastAsia="en-GB"/>
        </w:rPr>
        <w:tab/>
        <w:t>Secondary air system monitor denominator(s) shall be incremented if the commanded "on" operation of the secondary air system occurs for a time greater than or equal to 10 seconds. For purposes of determining this commanded "on" time, the OBD system may not include time during intrusive operation of the secondary air system solely for the purposes of monitoring.</w:t>
      </w:r>
    </w:p>
    <w:p w14:paraId="2FAC1D58" w14:textId="77777777" w:rsidR="00601850" w:rsidRPr="00337A07" w:rsidRDefault="00601850" w:rsidP="00601850">
      <w:pPr>
        <w:pStyle w:val="SingleTxtG"/>
        <w:tabs>
          <w:tab w:val="left" w:pos="2268"/>
        </w:tabs>
        <w:ind w:left="2835" w:hanging="1701"/>
        <w:rPr>
          <w:lang w:eastAsia="en-GB"/>
        </w:rPr>
      </w:pPr>
      <w:r w:rsidRPr="00337A07">
        <w:rPr>
          <w:lang w:eastAsia="en-GB"/>
        </w:rPr>
        <w:tab/>
        <w:t>(b)</w:t>
      </w:r>
      <w:r w:rsidRPr="00337A07">
        <w:rPr>
          <w:lang w:eastAsia="en-GB"/>
        </w:rPr>
        <w:tab/>
        <w:t>Denominators of monitors of systems only active during cold start shall be incremented if the component or strategy is commanded "on" for a time greater than or equal to 10 seconds.</w:t>
      </w:r>
    </w:p>
    <w:p w14:paraId="78EE8C36" w14:textId="77777777" w:rsidR="00601850" w:rsidRPr="00337A07" w:rsidRDefault="00601850" w:rsidP="00601850">
      <w:pPr>
        <w:pStyle w:val="SingleTxtG"/>
        <w:tabs>
          <w:tab w:val="left" w:pos="2268"/>
        </w:tabs>
        <w:ind w:left="2835" w:hanging="1134"/>
        <w:rPr>
          <w:lang w:eastAsia="en-GB"/>
        </w:rPr>
      </w:pPr>
      <w:r w:rsidRPr="00337A07">
        <w:rPr>
          <w:lang w:eastAsia="en-GB"/>
        </w:rPr>
        <w:tab/>
        <w:t>(c)</w:t>
      </w:r>
      <w:r w:rsidRPr="00337A07">
        <w:rPr>
          <w:lang w:eastAsia="en-GB"/>
        </w:rPr>
        <w:tab/>
        <w:t>The denominator(s) for monitors of Variable Valve Timing (VVT) and/or control systems shall be incremented if the component is commanded to function (e.g., commanded "on", "open", "closed", "locked", etc.) on two or more occasions during the driving cycle or for a time greater than or equal to 10 seconds, whichever occurs first.</w:t>
      </w:r>
    </w:p>
    <w:p w14:paraId="7285EC40" w14:textId="77777777" w:rsidR="00601850" w:rsidRPr="00337A07" w:rsidRDefault="00601850" w:rsidP="00601850">
      <w:pPr>
        <w:pStyle w:val="SingleTxtG"/>
        <w:tabs>
          <w:tab w:val="left" w:pos="2268"/>
        </w:tabs>
        <w:ind w:left="2835" w:hanging="1701"/>
        <w:rPr>
          <w:lang w:eastAsia="en-GB"/>
        </w:rPr>
      </w:pPr>
      <w:r w:rsidRPr="00337A07">
        <w:rPr>
          <w:lang w:eastAsia="en-GB"/>
        </w:rPr>
        <w:tab/>
        <w:t>(d)</w:t>
      </w:r>
      <w:r w:rsidRPr="00337A07">
        <w:rPr>
          <w:lang w:eastAsia="en-GB"/>
        </w:rPr>
        <w:tab/>
        <w:t>For the following monitors, the denominator(s) shall be incremented by one if, in addition to meeting the requirements of this paragraph on at least one driving cycle, at least 800 cumulative kilometres of vehicle operation have been experienced since the last time the denominator was incremented:</w:t>
      </w:r>
    </w:p>
    <w:p w14:paraId="16C53E2D" w14:textId="36AB4C33" w:rsidR="00601850" w:rsidRPr="00337A07" w:rsidRDefault="00601850" w:rsidP="006A712C">
      <w:pPr>
        <w:pStyle w:val="SingleTxtG"/>
        <w:keepNext/>
        <w:keepLines/>
        <w:ind w:left="2835" w:hanging="567"/>
      </w:pPr>
      <w:r w:rsidRPr="00337A07">
        <w:rPr>
          <w:bCs/>
          <w:lang w:eastAsia="en-GB"/>
        </w:rPr>
        <w:tab/>
      </w:r>
      <w:r w:rsidRPr="00337A07">
        <w:rPr>
          <w:bCs/>
          <w:lang w:eastAsia="en-GB"/>
        </w:rPr>
        <w:tab/>
        <w:t>(</w:t>
      </w:r>
      <w:proofErr w:type="spellStart"/>
      <w:r w:rsidRPr="00337A07">
        <w:rPr>
          <w:bCs/>
          <w:lang w:eastAsia="en-GB"/>
        </w:rPr>
        <w:t>i</w:t>
      </w:r>
      <w:proofErr w:type="spellEnd"/>
      <w:r w:rsidRPr="00337A07">
        <w:rPr>
          <w:bCs/>
          <w:lang w:eastAsia="en-GB"/>
        </w:rPr>
        <w:t>)</w:t>
      </w:r>
      <w:r w:rsidRPr="00337A07">
        <w:rPr>
          <w:bCs/>
          <w:lang w:eastAsia="en-GB"/>
        </w:rPr>
        <w:tab/>
      </w:r>
      <w:r w:rsidRPr="00337A07">
        <w:t>Diesel</w:t>
      </w:r>
      <w:r w:rsidRPr="00337A07">
        <w:rPr>
          <w:bCs/>
          <w:lang w:eastAsia="en-GB"/>
        </w:rPr>
        <w:t xml:space="preserve"> oxidation</w:t>
      </w:r>
      <w:r w:rsidRPr="00337A07">
        <w:t xml:space="preserve"> catalyst;</w:t>
      </w:r>
    </w:p>
    <w:p w14:paraId="27EEFF9E" w14:textId="036731F7" w:rsidR="00601850" w:rsidRPr="00337A07" w:rsidRDefault="00601850" w:rsidP="006A712C">
      <w:pPr>
        <w:pStyle w:val="SingleTxtG"/>
        <w:keepNext/>
        <w:keepLines/>
        <w:ind w:left="2835" w:hanging="567"/>
        <w:rPr>
          <w:bCs/>
          <w:lang w:eastAsia="en-GB"/>
        </w:rPr>
      </w:pPr>
      <w:r w:rsidRPr="00337A07">
        <w:tab/>
      </w:r>
      <w:r w:rsidRPr="00337A07">
        <w:tab/>
        <w:t>(ii)</w:t>
      </w:r>
      <w:r w:rsidRPr="00337A07">
        <w:tab/>
        <w:t>Diesel particula</w:t>
      </w:r>
      <w:r w:rsidRPr="00337A07">
        <w:rPr>
          <w:bCs/>
          <w:lang w:eastAsia="en-GB"/>
        </w:rPr>
        <w:t>te filter.</w:t>
      </w:r>
    </w:p>
    <w:p w14:paraId="16D11DE1" w14:textId="77777777" w:rsidR="00601850" w:rsidRPr="00337A07" w:rsidRDefault="00601850" w:rsidP="00601850">
      <w:pPr>
        <w:pStyle w:val="SingleTxtG"/>
        <w:tabs>
          <w:tab w:val="left" w:pos="2268"/>
          <w:tab w:val="left" w:pos="2835"/>
        </w:tabs>
        <w:ind w:left="2835" w:hanging="1701"/>
      </w:pPr>
      <w:r w:rsidRPr="00337A07">
        <w:tab/>
        <w:t>(e)</w:t>
      </w:r>
      <w:r w:rsidRPr="00337A07">
        <w:tab/>
        <w:t>Without prejudice to requirements for the increment of denominators of other monitors the denominators of monitors of the following components shall be incremented if and only if the driving cycle started with a cold start:</w:t>
      </w:r>
    </w:p>
    <w:p w14:paraId="6F73ED2B" w14:textId="77777777" w:rsidR="00601850" w:rsidRPr="00337A07" w:rsidRDefault="00601850" w:rsidP="00601850">
      <w:pPr>
        <w:spacing w:after="120"/>
        <w:ind w:left="3402" w:right="1134" w:hanging="569"/>
        <w:jc w:val="both"/>
      </w:pPr>
      <w:r w:rsidRPr="00337A07">
        <w:t>(</w:t>
      </w:r>
      <w:proofErr w:type="spellStart"/>
      <w:r w:rsidRPr="00337A07">
        <w:t>i</w:t>
      </w:r>
      <w:proofErr w:type="spellEnd"/>
      <w:r w:rsidRPr="00337A07">
        <w:t xml:space="preserve">) </w:t>
      </w:r>
      <w:r w:rsidRPr="00337A07">
        <w:tab/>
        <w:t>Liquid (oil, engine coolant, fuel, SCR reagent) temperature sensors;</w:t>
      </w:r>
    </w:p>
    <w:p w14:paraId="4D5E7FCF" w14:textId="391B39A4" w:rsidR="00601850" w:rsidRPr="00337A07" w:rsidRDefault="00601850" w:rsidP="00601850">
      <w:pPr>
        <w:spacing w:after="120"/>
        <w:ind w:left="3402" w:right="1134" w:hanging="567"/>
        <w:jc w:val="both"/>
      </w:pPr>
      <w:r w:rsidRPr="00337A07">
        <w:t xml:space="preserve">(ii) </w:t>
      </w:r>
      <w:r w:rsidRPr="00337A07">
        <w:tab/>
        <w:t>Clean air (ambient air, intake air, charge air, inlet manifold) temperature sensors;</w:t>
      </w:r>
    </w:p>
    <w:p w14:paraId="3D5A0556" w14:textId="25C5D10F" w:rsidR="00601850" w:rsidRPr="00337A07" w:rsidRDefault="00601850" w:rsidP="00601850">
      <w:pPr>
        <w:spacing w:after="120"/>
        <w:ind w:left="3402" w:right="1134" w:hanging="567"/>
        <w:jc w:val="both"/>
      </w:pPr>
      <w:r w:rsidRPr="00337A07">
        <w:t xml:space="preserve">(iii) </w:t>
      </w:r>
      <w:r w:rsidRPr="00337A07">
        <w:tab/>
        <w:t>Exhaust (EGR recirculation/cooling, exhaust gas turbo-charging, catalyst) temperature sensors;</w:t>
      </w:r>
    </w:p>
    <w:p w14:paraId="418B859D" w14:textId="77777777" w:rsidR="00601850" w:rsidRPr="00337A07" w:rsidRDefault="00601850" w:rsidP="00601850">
      <w:pPr>
        <w:pStyle w:val="SingleTxtG"/>
        <w:tabs>
          <w:tab w:val="left" w:pos="2268"/>
          <w:tab w:val="left" w:pos="2835"/>
        </w:tabs>
        <w:ind w:left="2835" w:hanging="1701"/>
      </w:pPr>
      <w:r w:rsidRPr="00337A07">
        <w:lastRenderedPageBreak/>
        <w:tab/>
        <w:t>(f)</w:t>
      </w:r>
      <w:r w:rsidRPr="00337A07">
        <w:tab/>
        <w:t xml:space="preserve">The denominators of monitors of the boost pressure control system shall be incremented if </w:t>
      </w:r>
      <w:proofErr w:type="gramStart"/>
      <w:r w:rsidRPr="00337A07">
        <w:t>all of</w:t>
      </w:r>
      <w:proofErr w:type="gramEnd"/>
      <w:r w:rsidRPr="00337A07">
        <w:t xml:space="preserve"> the following conditions are met:</w:t>
      </w:r>
    </w:p>
    <w:p w14:paraId="2091BBEB" w14:textId="2FBAD1DD" w:rsidR="00601850" w:rsidRPr="00337A07" w:rsidRDefault="00601850" w:rsidP="009667B0">
      <w:pPr>
        <w:spacing w:after="120"/>
        <w:ind w:left="3402" w:right="1134" w:hanging="567"/>
      </w:pPr>
      <w:r w:rsidRPr="00337A07">
        <w:t>(</w:t>
      </w:r>
      <w:proofErr w:type="spellStart"/>
      <w:r w:rsidRPr="00337A07">
        <w:t>i</w:t>
      </w:r>
      <w:proofErr w:type="spellEnd"/>
      <w:r w:rsidRPr="00337A07">
        <w:t xml:space="preserve">) </w:t>
      </w:r>
      <w:r w:rsidRPr="00337A07">
        <w:tab/>
        <w:t>The general denominator conditions arc fulfilled;</w:t>
      </w:r>
    </w:p>
    <w:p w14:paraId="58DF6669" w14:textId="5A913188" w:rsidR="00601850" w:rsidRDefault="00601850" w:rsidP="009667B0">
      <w:pPr>
        <w:suppressAutoHyphens w:val="0"/>
        <w:autoSpaceDE w:val="0"/>
        <w:autoSpaceDN w:val="0"/>
        <w:adjustRightInd w:val="0"/>
        <w:spacing w:line="240" w:lineRule="auto"/>
        <w:ind w:left="3402" w:right="1134" w:hanging="567"/>
        <w:jc w:val="both"/>
      </w:pPr>
      <w:r w:rsidRPr="00337A07">
        <w:t xml:space="preserve">(ii) </w:t>
      </w:r>
      <w:r w:rsidRPr="00337A07">
        <w:tab/>
        <w:t>The boost pressure control system is active for a time greater than or equal to 15 seconds.</w:t>
      </w:r>
    </w:p>
    <w:p w14:paraId="50C24F2F" w14:textId="57C4146F" w:rsidR="006A712C" w:rsidRDefault="006A712C" w:rsidP="006A712C">
      <w:pPr>
        <w:suppressAutoHyphens w:val="0"/>
        <w:autoSpaceDE w:val="0"/>
        <w:autoSpaceDN w:val="0"/>
        <w:adjustRightInd w:val="0"/>
        <w:spacing w:line="240" w:lineRule="auto"/>
        <w:ind w:right="1134"/>
      </w:pPr>
      <w:r w:rsidRPr="00337A07">
        <w:tab/>
      </w:r>
    </w:p>
    <w:p w14:paraId="0D68B525" w14:textId="34F4ADE2" w:rsidR="00601850" w:rsidRDefault="006A712C" w:rsidP="009667B0">
      <w:pPr>
        <w:tabs>
          <w:tab w:val="left" w:pos="2268"/>
          <w:tab w:val="left" w:pos="2835"/>
        </w:tabs>
        <w:suppressAutoHyphens w:val="0"/>
        <w:autoSpaceDE w:val="0"/>
        <w:autoSpaceDN w:val="0"/>
        <w:adjustRightInd w:val="0"/>
        <w:spacing w:line="240" w:lineRule="auto"/>
        <w:ind w:left="2835" w:right="1134" w:hanging="1701"/>
        <w:jc w:val="both"/>
        <w:rPr>
          <w:b/>
          <w:color w:val="000000"/>
          <w:lang w:eastAsia="de-DE"/>
        </w:rPr>
      </w:pPr>
      <w:r>
        <w:rPr>
          <w:b/>
          <w:color w:val="000000"/>
          <w:lang w:eastAsia="de-DE"/>
        </w:rPr>
        <w:tab/>
      </w:r>
      <w:r w:rsidR="00601850" w:rsidRPr="002764D7">
        <w:rPr>
          <w:b/>
          <w:color w:val="000000"/>
          <w:lang w:eastAsia="de-DE"/>
        </w:rPr>
        <w:t xml:space="preserve">(g) </w:t>
      </w:r>
      <w:r>
        <w:rPr>
          <w:b/>
          <w:color w:val="000000"/>
          <w:lang w:eastAsia="de-DE"/>
        </w:rPr>
        <w:tab/>
      </w:r>
      <w:r>
        <w:rPr>
          <w:b/>
          <w:color w:val="000000"/>
          <w:lang w:eastAsia="de-DE"/>
        </w:rPr>
        <w:tab/>
      </w:r>
      <w:r w:rsidR="00601850" w:rsidRPr="00873F78">
        <w:rPr>
          <w:b/>
          <w:color w:val="000000"/>
          <w:lang w:eastAsia="de-DE"/>
        </w:rPr>
        <w:t>Manufacturers may request</w:t>
      </w:r>
      <w:r w:rsidR="00601850">
        <w:rPr>
          <w:b/>
          <w:color w:val="000000"/>
          <w:lang w:eastAsia="de-DE"/>
        </w:rPr>
        <w:t xml:space="preserve"> to use </w:t>
      </w:r>
      <w:r w:rsidR="00601850" w:rsidRPr="002764D7">
        <w:rPr>
          <w:b/>
          <w:color w:val="000000"/>
          <w:lang w:eastAsia="de-DE"/>
        </w:rPr>
        <w:t>speci</w:t>
      </w:r>
      <w:r w:rsidR="00601850">
        <w:rPr>
          <w:b/>
          <w:color w:val="000000"/>
          <w:lang w:eastAsia="de-DE"/>
        </w:rPr>
        <w:t>al</w:t>
      </w:r>
      <w:r w:rsidR="00601850" w:rsidRPr="002764D7">
        <w:rPr>
          <w:b/>
          <w:color w:val="000000"/>
          <w:lang w:eastAsia="de-DE"/>
        </w:rPr>
        <w:t xml:space="preserve"> denominator</w:t>
      </w:r>
      <w:r w:rsidR="00601850">
        <w:rPr>
          <w:b/>
          <w:color w:val="000000"/>
          <w:lang w:eastAsia="de-DE"/>
        </w:rPr>
        <w:t xml:space="preserve"> conditions</w:t>
      </w:r>
      <w:r w:rsidR="00601850" w:rsidRPr="00873F78">
        <w:rPr>
          <w:b/>
          <w:color w:val="000000"/>
          <w:lang w:eastAsia="de-DE"/>
        </w:rPr>
        <w:t xml:space="preserve"> </w:t>
      </w:r>
      <w:r w:rsidR="00601850">
        <w:rPr>
          <w:b/>
          <w:color w:val="000000"/>
          <w:lang w:eastAsia="de-DE"/>
        </w:rPr>
        <w:t xml:space="preserve">for certain components </w:t>
      </w:r>
      <w:r w:rsidR="00601850" w:rsidRPr="002764D7">
        <w:rPr>
          <w:b/>
          <w:color w:val="000000"/>
          <w:lang w:eastAsia="de-DE"/>
        </w:rPr>
        <w:t>or system</w:t>
      </w:r>
      <w:r w:rsidR="00601850">
        <w:rPr>
          <w:b/>
          <w:color w:val="000000"/>
          <w:lang w:eastAsia="de-DE"/>
        </w:rPr>
        <w:t xml:space="preserve">s </w:t>
      </w:r>
      <w:r w:rsidR="00601850" w:rsidRPr="00873F78">
        <w:rPr>
          <w:b/>
          <w:color w:val="000000"/>
          <w:lang w:eastAsia="de-DE"/>
        </w:rPr>
        <w:t>if it can be demonstrated to the Type Approval Authority that</w:t>
      </w:r>
      <w:r w:rsidR="00601850">
        <w:rPr>
          <w:b/>
          <w:color w:val="000000"/>
          <w:lang w:eastAsia="de-DE"/>
        </w:rPr>
        <w:t xml:space="preserve"> other conditions are necessary in order to enable the monitor.</w:t>
      </w:r>
      <w:r w:rsidR="00601850">
        <w:rPr>
          <w:color w:val="000000"/>
          <w:lang w:eastAsia="de-DE"/>
        </w:rPr>
        <w:t>"</w:t>
      </w:r>
      <w:r w:rsidR="00601850">
        <w:rPr>
          <w:b/>
          <w:color w:val="000000"/>
          <w:lang w:eastAsia="de-DE"/>
        </w:rPr>
        <w:t xml:space="preserve"> </w:t>
      </w:r>
    </w:p>
    <w:p w14:paraId="75A30A16" w14:textId="453CCC59" w:rsidR="008E4122" w:rsidRDefault="008E4122" w:rsidP="00601850">
      <w:pPr>
        <w:tabs>
          <w:tab w:val="left" w:pos="2268"/>
        </w:tabs>
        <w:suppressAutoHyphens w:val="0"/>
        <w:autoSpaceDE w:val="0"/>
        <w:autoSpaceDN w:val="0"/>
        <w:adjustRightInd w:val="0"/>
        <w:spacing w:line="240" w:lineRule="auto"/>
        <w:ind w:left="2268" w:right="1134" w:hanging="1134"/>
      </w:pPr>
    </w:p>
    <w:p w14:paraId="0AC6EBF3" w14:textId="77777777" w:rsidR="00C70CC9" w:rsidRPr="00A66D91" w:rsidRDefault="00C70CC9" w:rsidP="001D2F2F">
      <w:pPr>
        <w:pStyle w:val="HChG"/>
        <w:tabs>
          <w:tab w:val="clear" w:pos="851"/>
        </w:tabs>
        <w:ind w:hanging="567"/>
      </w:pPr>
      <w:r w:rsidRPr="007F7A9F">
        <w:rPr>
          <w:lang w:val="en-US"/>
        </w:rPr>
        <w:t>II.</w:t>
      </w:r>
      <w:r w:rsidRPr="007F7A9F">
        <w:rPr>
          <w:lang w:val="en-US"/>
        </w:rPr>
        <w:tab/>
        <w:t>Justification</w:t>
      </w:r>
    </w:p>
    <w:p w14:paraId="0889A9AD" w14:textId="7D5FD084" w:rsidR="00601850" w:rsidRDefault="00601850" w:rsidP="00601850">
      <w:pPr>
        <w:pStyle w:val="Paragraphedeliste"/>
        <w:numPr>
          <w:ilvl w:val="0"/>
          <w:numId w:val="49"/>
        </w:numPr>
        <w:spacing w:after="120"/>
        <w:ind w:left="1134" w:right="1179" w:firstLine="0"/>
        <w:rPr>
          <w:rFonts w:cs="Courier New"/>
          <w:sz w:val="20"/>
          <w:szCs w:val="20"/>
        </w:rPr>
      </w:pPr>
      <w:r w:rsidRPr="00601850">
        <w:rPr>
          <w:rFonts w:cs="Courier New"/>
          <w:sz w:val="20"/>
          <w:szCs w:val="20"/>
        </w:rPr>
        <w:t>The current definitions of the specific denominators are based on engine/aftertreatment system combinations which are designed as one TWC for gasoline vehicles and DOC, DPF and SCR respectively NSC for Diesel engines.</w:t>
      </w:r>
    </w:p>
    <w:p w14:paraId="5FCF5695" w14:textId="77777777" w:rsidR="00601850" w:rsidRPr="00601850" w:rsidRDefault="00601850" w:rsidP="00601850">
      <w:pPr>
        <w:pStyle w:val="Paragraphedeliste"/>
        <w:spacing w:after="120"/>
        <w:ind w:left="1134" w:right="1179"/>
        <w:rPr>
          <w:rFonts w:cs="Courier New"/>
          <w:sz w:val="20"/>
          <w:szCs w:val="20"/>
        </w:rPr>
      </w:pPr>
    </w:p>
    <w:p w14:paraId="25CD5C52" w14:textId="623D720D" w:rsidR="00601850" w:rsidRDefault="00601850" w:rsidP="00601850">
      <w:pPr>
        <w:pStyle w:val="Paragraphedeliste"/>
        <w:numPr>
          <w:ilvl w:val="0"/>
          <w:numId w:val="49"/>
        </w:numPr>
        <w:spacing w:after="120"/>
        <w:ind w:left="1134" w:right="1179" w:firstLine="0"/>
        <w:rPr>
          <w:rFonts w:cs="Courier New"/>
          <w:sz w:val="20"/>
        </w:rPr>
      </w:pPr>
      <w:r w:rsidRPr="00601850">
        <w:rPr>
          <w:rFonts w:cs="Courier New"/>
          <w:sz w:val="20"/>
        </w:rPr>
        <w:t xml:space="preserve">Upcoming emission requirements will bring up additional aftertreatment components like Gasoline Particulate Filters (GPF) or new designs with more than one SCR catalyst. Such new systems or catalyst combinations might require specific conditions to enable the monitoring, especially when their purpose is designed for such conditions. </w:t>
      </w:r>
    </w:p>
    <w:p w14:paraId="301339E6" w14:textId="77777777" w:rsidR="00601850" w:rsidRPr="00601850" w:rsidRDefault="00601850" w:rsidP="00601850">
      <w:pPr>
        <w:pStyle w:val="Paragraphedeliste"/>
        <w:rPr>
          <w:rFonts w:cs="Courier New"/>
          <w:sz w:val="20"/>
        </w:rPr>
      </w:pPr>
    </w:p>
    <w:p w14:paraId="214BCC5C" w14:textId="77777777" w:rsidR="00601850" w:rsidRPr="00601850" w:rsidRDefault="00601850" w:rsidP="00601850">
      <w:pPr>
        <w:pStyle w:val="Paragraphedeliste"/>
        <w:numPr>
          <w:ilvl w:val="0"/>
          <w:numId w:val="49"/>
        </w:numPr>
        <w:spacing w:after="120"/>
        <w:ind w:left="1134" w:right="1179" w:firstLine="0"/>
        <w:rPr>
          <w:rFonts w:cs="Courier New"/>
          <w:sz w:val="20"/>
        </w:rPr>
      </w:pPr>
      <w:r w:rsidRPr="00601850">
        <w:rPr>
          <w:rFonts w:cs="Courier New"/>
          <w:sz w:val="20"/>
        </w:rPr>
        <w:t>In case of a SCR system with two catalyst bricks, where one is mounted close to the engine and the other one further downstream, the NOx aftertreatment would be dependent on temperature conditions. The downstream SCR would be used for NOx aftertreatment mainly during high load and the resulting temperature conditions, e.</w:t>
      </w:r>
      <w:bookmarkStart w:id="0" w:name="_GoBack"/>
      <w:bookmarkEnd w:id="0"/>
      <w:r w:rsidRPr="00601850">
        <w:rPr>
          <w:rFonts w:cs="Courier New"/>
          <w:sz w:val="20"/>
        </w:rPr>
        <w:t>g. during a regeneration. Based on that the NOx conversion capability could only be monitored during comparable conditions.</w:t>
      </w:r>
    </w:p>
    <w:p w14:paraId="11171158" w14:textId="77777777" w:rsidR="00C70CC9" w:rsidRPr="00540E1C" w:rsidRDefault="00C70CC9" w:rsidP="00540E1C">
      <w:pPr>
        <w:pStyle w:val="SingleTxtG"/>
        <w:spacing w:before="240" w:after="0"/>
        <w:ind w:left="567"/>
        <w:jc w:val="center"/>
        <w:rPr>
          <w:u w:val="single"/>
        </w:rPr>
      </w:pPr>
      <w:r w:rsidRPr="00FD6858">
        <w:rPr>
          <w:u w:val="single"/>
        </w:rPr>
        <w:tab/>
      </w:r>
      <w:r w:rsidRPr="00FD6858">
        <w:rPr>
          <w:u w:val="single"/>
        </w:rPr>
        <w:tab/>
      </w:r>
      <w:r w:rsidRPr="00FD6858">
        <w:rPr>
          <w:u w:val="single"/>
        </w:rPr>
        <w:tab/>
      </w:r>
    </w:p>
    <w:sectPr w:rsidR="00C70CC9" w:rsidRPr="00540E1C" w:rsidSect="000C28D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1974" w14:textId="77777777" w:rsidR="00484DBC" w:rsidRDefault="00484DBC"/>
  </w:endnote>
  <w:endnote w:type="continuationSeparator" w:id="0">
    <w:p w14:paraId="1D68AB59" w14:textId="77777777" w:rsidR="00484DBC" w:rsidRDefault="00484DBC"/>
  </w:endnote>
  <w:endnote w:type="continuationNotice" w:id="1">
    <w:p w14:paraId="430E22C0" w14:textId="77777777" w:rsidR="00484DBC" w:rsidRDefault="00484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Yu Gothic UI"/>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23B2" w14:textId="77777777" w:rsidR="00484DBC" w:rsidRDefault="00484DBC" w:rsidP="003E02FC">
    <w:pPr>
      <w:pStyle w:val="Pieddepage"/>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337C" w14:textId="77777777" w:rsidR="00484DBC" w:rsidRDefault="00484DBC" w:rsidP="003E02FC">
    <w:pPr>
      <w:pStyle w:val="Pieddepage"/>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FCF7" w14:textId="77777777" w:rsidR="00484DBC" w:rsidRDefault="00484DBC" w:rsidP="00282C70">
    <w:pPr>
      <w:pStyle w:val="SingleTxtG"/>
      <w:ind w:left="0"/>
    </w:pPr>
  </w:p>
  <w:p w14:paraId="6ADC5197"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1134B" w14:textId="77777777" w:rsidR="00484DBC" w:rsidRPr="000B175B" w:rsidRDefault="00484DBC" w:rsidP="000B175B">
      <w:pPr>
        <w:tabs>
          <w:tab w:val="right" w:pos="2155"/>
        </w:tabs>
        <w:spacing w:after="80"/>
        <w:ind w:left="680"/>
        <w:rPr>
          <w:u w:val="single"/>
        </w:rPr>
      </w:pPr>
      <w:r>
        <w:rPr>
          <w:u w:val="single"/>
        </w:rPr>
        <w:tab/>
      </w:r>
    </w:p>
  </w:footnote>
  <w:footnote w:type="continuationSeparator" w:id="0">
    <w:p w14:paraId="6250583A" w14:textId="77777777" w:rsidR="00484DBC" w:rsidRPr="00FC68B7" w:rsidRDefault="00484DBC" w:rsidP="00FC68B7">
      <w:pPr>
        <w:tabs>
          <w:tab w:val="left" w:pos="2155"/>
        </w:tabs>
        <w:spacing w:after="80"/>
        <w:ind w:left="680"/>
        <w:rPr>
          <w:u w:val="single"/>
        </w:rPr>
      </w:pPr>
      <w:r>
        <w:rPr>
          <w:u w:val="single"/>
        </w:rPr>
        <w:tab/>
      </w:r>
    </w:p>
  </w:footnote>
  <w:footnote w:type="continuationNotice" w:id="1">
    <w:p w14:paraId="4EF371A9" w14:textId="77777777" w:rsidR="00484DBC" w:rsidRDefault="00484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5990" w14:textId="2B7C9EDD" w:rsidR="00484DBC" w:rsidRPr="003E02FC" w:rsidRDefault="00484DBC" w:rsidP="00680887">
    <w:pPr>
      <w:pStyle w:val="En-tte"/>
      <w:rPr>
        <w:lang w:val="fr-CH"/>
      </w:rPr>
    </w:pPr>
    <w:r>
      <w:rPr>
        <w:lang w:val="fr-CH"/>
      </w:rPr>
      <w:t>GRPE-7</w:t>
    </w:r>
    <w:r w:rsidR="00016B77">
      <w:rPr>
        <w:lang w:val="fr-CH"/>
      </w:rPr>
      <w:t>9-17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9E974" w14:textId="77777777" w:rsidR="00484DBC" w:rsidRPr="004C4175" w:rsidRDefault="004C4175" w:rsidP="004C4175">
    <w:pPr>
      <w:pStyle w:val="En-tte"/>
      <w:jc w:val="right"/>
    </w:pPr>
    <w:r w:rsidRPr="007F7A9F">
      <w:rPr>
        <w:lang w:val="en-US"/>
      </w:rPr>
      <w:t>GRPE-</w:t>
    </w:r>
    <w:r>
      <w:rPr>
        <w:lang w:val="en-US"/>
      </w:rPr>
      <w:t>78-16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35238E" w14:paraId="50A816BC" w14:textId="77777777" w:rsidTr="00EE2605">
      <w:trPr>
        <w:trHeight w:hRule="exact" w:val="991"/>
      </w:trPr>
      <w:tc>
        <w:tcPr>
          <w:tcW w:w="5103" w:type="dxa"/>
          <w:shd w:val="clear" w:color="auto" w:fill="auto"/>
        </w:tcPr>
        <w:p w14:paraId="0FBC1ED4" w14:textId="77777777" w:rsidR="00EE2605" w:rsidRPr="0035238E" w:rsidRDefault="00EE2605" w:rsidP="00EE2605">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expert from OICA</w:t>
          </w:r>
        </w:p>
      </w:tc>
      <w:tc>
        <w:tcPr>
          <w:tcW w:w="4341" w:type="dxa"/>
          <w:shd w:val="clear" w:color="auto" w:fill="auto"/>
        </w:tcPr>
        <w:p w14:paraId="3EF76B4E" w14:textId="336AB059" w:rsidR="00EE2605" w:rsidRPr="007F7A9F" w:rsidRDefault="00EE2605" w:rsidP="00A143CD">
          <w:pPr>
            <w:jc w:val="right"/>
            <w:rPr>
              <w:lang w:val="en-US"/>
            </w:rPr>
          </w:pPr>
          <w:r w:rsidRPr="007F7A9F">
            <w:rPr>
              <w:lang w:val="en-US"/>
            </w:rPr>
            <w:t xml:space="preserve">Informal document </w:t>
          </w:r>
          <w:r w:rsidRPr="007F7A9F">
            <w:rPr>
              <w:b/>
              <w:lang w:val="en-US"/>
            </w:rPr>
            <w:t>GRPE-</w:t>
          </w:r>
          <w:r>
            <w:rPr>
              <w:b/>
              <w:lang w:val="en-US"/>
            </w:rPr>
            <w:t>7</w:t>
          </w:r>
          <w:r w:rsidR="00A143CD">
            <w:rPr>
              <w:b/>
              <w:lang w:val="en-US"/>
            </w:rPr>
            <w:t>9</w:t>
          </w:r>
          <w:r>
            <w:rPr>
              <w:b/>
              <w:lang w:val="en-US"/>
            </w:rPr>
            <w:t>-</w:t>
          </w:r>
          <w:r w:rsidR="00016B77">
            <w:rPr>
              <w:b/>
              <w:lang w:val="en-US"/>
            </w:rPr>
            <w:t>17</w:t>
          </w:r>
        </w:p>
        <w:p w14:paraId="34DC6355" w14:textId="572379E0" w:rsidR="00EE2605" w:rsidRPr="007F7A9F" w:rsidRDefault="00EE2605" w:rsidP="00EE2605">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sidR="00A143CD">
            <w:rPr>
              <w:rFonts w:eastAsia="HGSGothicM"/>
              <w:kern w:val="2"/>
              <w:lang w:val="en-US" w:eastAsia="ar-SA"/>
            </w:rPr>
            <w:t>9</w:t>
          </w:r>
          <w:r w:rsidRPr="005D7B0B">
            <w:rPr>
              <w:rFonts w:eastAsia="HGSGothicM"/>
              <w:kern w:val="2"/>
              <w:vertAlign w:val="superscript"/>
              <w:lang w:val="en-US" w:eastAsia="ar-SA"/>
            </w:rPr>
            <w:t>th</w:t>
          </w:r>
          <w:r w:rsidRPr="007F7A9F">
            <w:rPr>
              <w:rFonts w:eastAsia="HGSGothicM"/>
              <w:kern w:val="2"/>
              <w:lang w:val="en-US" w:eastAsia="ar-SA"/>
            </w:rPr>
            <w:t xml:space="preserve"> GRPE, </w:t>
          </w:r>
          <w:r w:rsidR="00A143CD">
            <w:rPr>
              <w:rFonts w:eastAsia="HGSGothicM"/>
              <w:kern w:val="2"/>
              <w:lang w:val="en-US" w:eastAsia="ja-JP"/>
            </w:rPr>
            <w:t>21</w:t>
          </w:r>
          <w:r w:rsidRPr="007F7A9F">
            <w:rPr>
              <w:rFonts w:eastAsia="HGSGothicM" w:hint="eastAsia"/>
              <w:kern w:val="2"/>
              <w:lang w:val="en-US" w:eastAsia="ja-JP"/>
            </w:rPr>
            <w:t>-</w:t>
          </w:r>
          <w:r w:rsidR="00A143CD">
            <w:rPr>
              <w:rFonts w:eastAsia="HGSGothicM"/>
              <w:kern w:val="2"/>
              <w:lang w:val="en-US" w:eastAsia="ja-JP"/>
            </w:rPr>
            <w:t>24</w:t>
          </w:r>
          <w:r w:rsidRPr="007F7A9F">
            <w:rPr>
              <w:rFonts w:eastAsia="HGSGothicM"/>
              <w:kern w:val="2"/>
              <w:lang w:val="en-US" w:eastAsia="ar-SA"/>
            </w:rPr>
            <w:t xml:space="preserve"> </w:t>
          </w:r>
          <w:r w:rsidR="00A143CD">
            <w:rPr>
              <w:rFonts w:eastAsia="HGSGothicM"/>
              <w:kern w:val="2"/>
              <w:lang w:val="en-US" w:eastAsia="ar-SA"/>
            </w:rPr>
            <w:t>May</w:t>
          </w:r>
          <w:r w:rsidRPr="007F7A9F">
            <w:rPr>
              <w:rFonts w:eastAsia="HGSGothicM"/>
              <w:kern w:val="2"/>
              <w:lang w:val="en-US" w:eastAsia="ar-SA"/>
            </w:rPr>
            <w:t xml:space="preserve"> 201</w:t>
          </w:r>
          <w:r>
            <w:rPr>
              <w:rFonts w:eastAsia="HGSGothicM"/>
              <w:kern w:val="2"/>
              <w:lang w:val="en-US" w:eastAsia="ar-SA"/>
            </w:rPr>
            <w:t>9</w:t>
          </w:r>
          <w:r w:rsidRPr="007F7A9F">
            <w:rPr>
              <w:rFonts w:eastAsia="HGSGothicM"/>
              <w:kern w:val="2"/>
              <w:lang w:val="en-US" w:eastAsia="ko-KR"/>
            </w:rPr>
            <w:t xml:space="preserve">, </w:t>
          </w:r>
        </w:p>
        <w:p w14:paraId="05DB7F1C" w14:textId="77777777" w:rsidR="00EE2605" w:rsidRPr="0035238E" w:rsidRDefault="00EE2605" w:rsidP="00EE2605">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Pr>
              <w:rFonts w:eastAsia="HGSGothicM" w:hint="eastAsia"/>
              <w:kern w:val="2"/>
              <w:lang w:val="en-US" w:eastAsia="ja-JP"/>
            </w:rPr>
            <w:t>3(</w:t>
          </w:r>
          <w:r>
            <w:rPr>
              <w:rFonts w:eastAsia="HGSGothicM"/>
              <w:kern w:val="2"/>
              <w:lang w:val="en-US" w:eastAsia="ja-JP"/>
            </w:rPr>
            <w:t>a)</w:t>
          </w:r>
        </w:p>
      </w:tc>
    </w:tr>
  </w:tbl>
  <w:p w14:paraId="5B7D01A9" w14:textId="77777777" w:rsidR="00484DBC" w:rsidRPr="00A143CD" w:rsidRDefault="00484DBC" w:rsidP="00EE2605">
    <w:pPr>
      <w:pStyle w:val="En-tt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810F48"/>
    <w:multiLevelType w:val="hybridMultilevel"/>
    <w:tmpl w:val="F82C35FE"/>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77A5F"/>
    <w:multiLevelType w:val="hybridMultilevel"/>
    <w:tmpl w:val="D2E675F2"/>
    <w:lvl w:ilvl="0" w:tplc="88B64A4E">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286CF4"/>
    <w:multiLevelType w:val="hybridMultilevel"/>
    <w:tmpl w:val="87B2180C"/>
    <w:lvl w:ilvl="0" w:tplc="F786915E">
      <w:numFmt w:val="bullet"/>
      <w:lvlText w:val="-"/>
      <w:lvlJc w:val="left"/>
      <w:pPr>
        <w:ind w:left="1854" w:hanging="360"/>
      </w:pPr>
      <w:rPr>
        <w:rFonts w:ascii="Arial" w:eastAsia="MS Mincho"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7634B27"/>
    <w:multiLevelType w:val="hybridMultilevel"/>
    <w:tmpl w:val="B02E79EE"/>
    <w:lvl w:ilvl="0" w:tplc="F786915E">
      <w:numFmt w:val="bullet"/>
      <w:lvlText w:val="-"/>
      <w:lvlJc w:val="left"/>
      <w:pPr>
        <w:ind w:left="1334" w:hanging="360"/>
      </w:pPr>
      <w:rPr>
        <w:rFonts w:ascii="Arial" w:eastAsia="MS Mincho" w:hAnsi="Arial" w:cs="Aria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28126E"/>
    <w:multiLevelType w:val="hybridMultilevel"/>
    <w:tmpl w:val="6CCC543A"/>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5"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8"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471F3B80"/>
    <w:multiLevelType w:val="hybridMultilevel"/>
    <w:tmpl w:val="826A818E"/>
    <w:lvl w:ilvl="0" w:tplc="B8A2CBCE">
      <w:start w:val="1"/>
      <w:numFmt w:val="decimal"/>
      <w:lvlText w:val="%1."/>
      <w:lvlJc w:val="left"/>
      <w:pPr>
        <w:ind w:left="1689" w:hanging="555"/>
      </w:pPr>
      <w:rPr>
        <w:rFonts w:hint="default"/>
      </w:rPr>
    </w:lvl>
    <w:lvl w:ilvl="1" w:tplc="F786618A">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2EE3E59"/>
    <w:multiLevelType w:val="hybridMultilevel"/>
    <w:tmpl w:val="182C946E"/>
    <w:lvl w:ilvl="0" w:tplc="A67C57BC">
      <w:start w:val="3"/>
      <w:numFmt w:val="bullet"/>
      <w:lvlText w:val="-"/>
      <w:lvlJc w:val="left"/>
      <w:pPr>
        <w:ind w:left="2619" w:hanging="360"/>
      </w:pPr>
      <w:rPr>
        <w:rFonts w:ascii="Times New Roman" w:eastAsia="Times New Roman" w:hAnsi="Times New Roman" w:cs="Times New Roman" w:hint="default"/>
      </w:rPr>
    </w:lvl>
    <w:lvl w:ilvl="1" w:tplc="04070003" w:tentative="1">
      <w:start w:val="1"/>
      <w:numFmt w:val="bullet"/>
      <w:lvlText w:val="o"/>
      <w:lvlJc w:val="left"/>
      <w:pPr>
        <w:ind w:left="3339" w:hanging="360"/>
      </w:pPr>
      <w:rPr>
        <w:rFonts w:ascii="Courier New" w:hAnsi="Courier New" w:cs="Courier New" w:hint="default"/>
      </w:rPr>
    </w:lvl>
    <w:lvl w:ilvl="2" w:tplc="04070005" w:tentative="1">
      <w:start w:val="1"/>
      <w:numFmt w:val="bullet"/>
      <w:lvlText w:val=""/>
      <w:lvlJc w:val="left"/>
      <w:pPr>
        <w:ind w:left="4059" w:hanging="360"/>
      </w:pPr>
      <w:rPr>
        <w:rFonts w:ascii="Wingdings" w:hAnsi="Wingdings" w:hint="default"/>
      </w:rPr>
    </w:lvl>
    <w:lvl w:ilvl="3" w:tplc="04070001" w:tentative="1">
      <w:start w:val="1"/>
      <w:numFmt w:val="bullet"/>
      <w:lvlText w:val=""/>
      <w:lvlJc w:val="left"/>
      <w:pPr>
        <w:ind w:left="4779" w:hanging="360"/>
      </w:pPr>
      <w:rPr>
        <w:rFonts w:ascii="Symbol" w:hAnsi="Symbol" w:hint="default"/>
      </w:rPr>
    </w:lvl>
    <w:lvl w:ilvl="4" w:tplc="04070003" w:tentative="1">
      <w:start w:val="1"/>
      <w:numFmt w:val="bullet"/>
      <w:lvlText w:val="o"/>
      <w:lvlJc w:val="left"/>
      <w:pPr>
        <w:ind w:left="5499" w:hanging="360"/>
      </w:pPr>
      <w:rPr>
        <w:rFonts w:ascii="Courier New" w:hAnsi="Courier New" w:cs="Courier New" w:hint="default"/>
      </w:rPr>
    </w:lvl>
    <w:lvl w:ilvl="5" w:tplc="04070005" w:tentative="1">
      <w:start w:val="1"/>
      <w:numFmt w:val="bullet"/>
      <w:lvlText w:val=""/>
      <w:lvlJc w:val="left"/>
      <w:pPr>
        <w:ind w:left="6219" w:hanging="360"/>
      </w:pPr>
      <w:rPr>
        <w:rFonts w:ascii="Wingdings" w:hAnsi="Wingdings" w:hint="default"/>
      </w:rPr>
    </w:lvl>
    <w:lvl w:ilvl="6" w:tplc="04070001" w:tentative="1">
      <w:start w:val="1"/>
      <w:numFmt w:val="bullet"/>
      <w:lvlText w:val=""/>
      <w:lvlJc w:val="left"/>
      <w:pPr>
        <w:ind w:left="6939" w:hanging="360"/>
      </w:pPr>
      <w:rPr>
        <w:rFonts w:ascii="Symbol" w:hAnsi="Symbol" w:hint="default"/>
      </w:rPr>
    </w:lvl>
    <w:lvl w:ilvl="7" w:tplc="04070003" w:tentative="1">
      <w:start w:val="1"/>
      <w:numFmt w:val="bullet"/>
      <w:lvlText w:val="o"/>
      <w:lvlJc w:val="left"/>
      <w:pPr>
        <w:ind w:left="7659" w:hanging="360"/>
      </w:pPr>
      <w:rPr>
        <w:rFonts w:ascii="Courier New" w:hAnsi="Courier New" w:cs="Courier New" w:hint="default"/>
      </w:rPr>
    </w:lvl>
    <w:lvl w:ilvl="8" w:tplc="04070005" w:tentative="1">
      <w:start w:val="1"/>
      <w:numFmt w:val="bullet"/>
      <w:lvlText w:val=""/>
      <w:lvlJc w:val="left"/>
      <w:pPr>
        <w:ind w:left="8379" w:hanging="360"/>
      </w:pPr>
      <w:rPr>
        <w:rFonts w:ascii="Wingdings" w:hAnsi="Wingdings" w:hint="default"/>
      </w:rPr>
    </w:lvl>
  </w:abstractNum>
  <w:abstractNum w:abstractNumId="33" w15:restartNumberingAfterBreak="0">
    <w:nsid w:val="5A6512A1"/>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4"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29C4374"/>
    <w:multiLevelType w:val="hybridMultilevel"/>
    <w:tmpl w:val="76DEC35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7"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40"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1"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C66665"/>
    <w:multiLevelType w:val="hybridMultilevel"/>
    <w:tmpl w:val="350C888A"/>
    <w:lvl w:ilvl="0" w:tplc="7ABAD2A8">
      <w:start w:val="3"/>
      <w:numFmt w:val="bullet"/>
      <w:lvlText w:val="-"/>
      <w:lvlJc w:val="left"/>
      <w:pPr>
        <w:ind w:left="2619" w:hanging="360"/>
      </w:pPr>
      <w:rPr>
        <w:rFonts w:ascii="Times New Roman" w:eastAsia="Times New Roman" w:hAnsi="Times New Roman" w:cs="Times New Roman" w:hint="default"/>
      </w:rPr>
    </w:lvl>
    <w:lvl w:ilvl="1" w:tplc="04070003" w:tentative="1">
      <w:start w:val="1"/>
      <w:numFmt w:val="bullet"/>
      <w:lvlText w:val="o"/>
      <w:lvlJc w:val="left"/>
      <w:pPr>
        <w:ind w:left="3339" w:hanging="360"/>
      </w:pPr>
      <w:rPr>
        <w:rFonts w:ascii="Courier New" w:hAnsi="Courier New" w:cs="Courier New" w:hint="default"/>
      </w:rPr>
    </w:lvl>
    <w:lvl w:ilvl="2" w:tplc="04070005" w:tentative="1">
      <w:start w:val="1"/>
      <w:numFmt w:val="bullet"/>
      <w:lvlText w:val=""/>
      <w:lvlJc w:val="left"/>
      <w:pPr>
        <w:ind w:left="4059" w:hanging="360"/>
      </w:pPr>
      <w:rPr>
        <w:rFonts w:ascii="Wingdings" w:hAnsi="Wingdings" w:hint="default"/>
      </w:rPr>
    </w:lvl>
    <w:lvl w:ilvl="3" w:tplc="04070001" w:tentative="1">
      <w:start w:val="1"/>
      <w:numFmt w:val="bullet"/>
      <w:lvlText w:val=""/>
      <w:lvlJc w:val="left"/>
      <w:pPr>
        <w:ind w:left="4779" w:hanging="360"/>
      </w:pPr>
      <w:rPr>
        <w:rFonts w:ascii="Symbol" w:hAnsi="Symbol" w:hint="default"/>
      </w:rPr>
    </w:lvl>
    <w:lvl w:ilvl="4" w:tplc="04070003" w:tentative="1">
      <w:start w:val="1"/>
      <w:numFmt w:val="bullet"/>
      <w:lvlText w:val="o"/>
      <w:lvlJc w:val="left"/>
      <w:pPr>
        <w:ind w:left="5499" w:hanging="360"/>
      </w:pPr>
      <w:rPr>
        <w:rFonts w:ascii="Courier New" w:hAnsi="Courier New" w:cs="Courier New" w:hint="default"/>
      </w:rPr>
    </w:lvl>
    <w:lvl w:ilvl="5" w:tplc="04070005" w:tentative="1">
      <w:start w:val="1"/>
      <w:numFmt w:val="bullet"/>
      <w:lvlText w:val=""/>
      <w:lvlJc w:val="left"/>
      <w:pPr>
        <w:ind w:left="6219" w:hanging="360"/>
      </w:pPr>
      <w:rPr>
        <w:rFonts w:ascii="Wingdings" w:hAnsi="Wingdings" w:hint="default"/>
      </w:rPr>
    </w:lvl>
    <w:lvl w:ilvl="6" w:tplc="04070001" w:tentative="1">
      <w:start w:val="1"/>
      <w:numFmt w:val="bullet"/>
      <w:lvlText w:val=""/>
      <w:lvlJc w:val="left"/>
      <w:pPr>
        <w:ind w:left="6939" w:hanging="360"/>
      </w:pPr>
      <w:rPr>
        <w:rFonts w:ascii="Symbol" w:hAnsi="Symbol" w:hint="default"/>
      </w:rPr>
    </w:lvl>
    <w:lvl w:ilvl="7" w:tplc="04070003" w:tentative="1">
      <w:start w:val="1"/>
      <w:numFmt w:val="bullet"/>
      <w:lvlText w:val="o"/>
      <w:lvlJc w:val="left"/>
      <w:pPr>
        <w:ind w:left="7659" w:hanging="360"/>
      </w:pPr>
      <w:rPr>
        <w:rFonts w:ascii="Courier New" w:hAnsi="Courier New" w:cs="Courier New" w:hint="default"/>
      </w:rPr>
    </w:lvl>
    <w:lvl w:ilvl="8" w:tplc="04070005" w:tentative="1">
      <w:start w:val="1"/>
      <w:numFmt w:val="bullet"/>
      <w:lvlText w:val=""/>
      <w:lvlJc w:val="left"/>
      <w:pPr>
        <w:ind w:left="8379" w:hanging="360"/>
      </w:pPr>
      <w:rPr>
        <w:rFonts w:ascii="Wingdings" w:hAnsi="Wingdings" w:hint="default"/>
      </w:rPr>
    </w:lvl>
  </w:abstractNum>
  <w:abstractNum w:abstractNumId="44" w15:restartNumberingAfterBreak="0">
    <w:nsid w:val="76D35AAE"/>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5"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6"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350905"/>
    <w:multiLevelType w:val="hybridMultilevel"/>
    <w:tmpl w:val="EFD2D2C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8"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8"/>
  </w:num>
  <w:num w:numId="13">
    <w:abstractNumId w:val="14"/>
  </w:num>
  <w:num w:numId="14">
    <w:abstractNumId w:val="38"/>
  </w:num>
  <w:num w:numId="15">
    <w:abstractNumId w:val="42"/>
  </w:num>
  <w:num w:numId="16">
    <w:abstractNumId w:val="21"/>
  </w:num>
  <w:num w:numId="17">
    <w:abstractNumId w:val="46"/>
  </w:num>
  <w:num w:numId="18">
    <w:abstractNumId w:val="39"/>
  </w:num>
  <w:num w:numId="19">
    <w:abstractNumId w:val="27"/>
  </w:num>
  <w:num w:numId="20">
    <w:abstractNumId w:val="26"/>
  </w:num>
  <w:num w:numId="21">
    <w:abstractNumId w:val="23"/>
  </w:num>
  <w:num w:numId="22">
    <w:abstractNumId w:val="41"/>
  </w:num>
  <w:num w:numId="23">
    <w:abstractNumId w:val="48"/>
  </w:num>
  <w:num w:numId="24">
    <w:abstractNumId w:val="11"/>
  </w:num>
  <w:num w:numId="25">
    <w:abstractNumId w:val="45"/>
  </w:num>
  <w:num w:numId="26">
    <w:abstractNumId w:val="19"/>
  </w:num>
  <w:num w:numId="27">
    <w:abstractNumId w:val="13"/>
  </w:num>
  <w:num w:numId="28">
    <w:abstractNumId w:val="28"/>
  </w:num>
  <w:num w:numId="29">
    <w:abstractNumId w:val="17"/>
  </w:num>
  <w:num w:numId="30">
    <w:abstractNumId w:val="30"/>
  </w:num>
  <w:num w:numId="31">
    <w:abstractNumId w:val="34"/>
  </w:num>
  <w:num w:numId="32">
    <w:abstractNumId w:val="25"/>
  </w:num>
  <w:num w:numId="33">
    <w:abstractNumId w:val="15"/>
  </w:num>
  <w:num w:numId="34">
    <w:abstractNumId w:val="24"/>
  </w:num>
  <w:num w:numId="35">
    <w:abstractNumId w:val="37"/>
  </w:num>
  <w:num w:numId="36">
    <w:abstractNumId w:val="29"/>
  </w:num>
  <w:num w:numId="37">
    <w:abstractNumId w:val="40"/>
  </w:num>
  <w:num w:numId="38">
    <w:abstractNumId w:val="16"/>
  </w:num>
  <w:num w:numId="39">
    <w:abstractNumId w:val="22"/>
  </w:num>
  <w:num w:numId="40">
    <w:abstractNumId w:val="20"/>
  </w:num>
  <w:num w:numId="41">
    <w:abstractNumId w:val="10"/>
  </w:num>
  <w:num w:numId="42">
    <w:abstractNumId w:val="31"/>
  </w:num>
  <w:num w:numId="43">
    <w:abstractNumId w:val="44"/>
  </w:num>
  <w:num w:numId="44">
    <w:abstractNumId w:val="33"/>
  </w:num>
  <w:num w:numId="45">
    <w:abstractNumId w:val="12"/>
  </w:num>
  <w:num w:numId="46">
    <w:abstractNumId w:val="43"/>
  </w:num>
  <w:num w:numId="47">
    <w:abstractNumId w:val="32"/>
  </w:num>
  <w:num w:numId="48">
    <w:abstractNumId w:val="36"/>
  </w:num>
  <w:num w:numId="49">
    <w:abstractNumId w:val="4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34A5"/>
    <w:rsid w:val="00015498"/>
    <w:rsid w:val="00016B77"/>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6F7"/>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34EC"/>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1850"/>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F15"/>
    <w:rsid w:val="006A65B8"/>
    <w:rsid w:val="006A6E99"/>
    <w:rsid w:val="006A712C"/>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67B0"/>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3CD"/>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1AC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7FDA98"/>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sid w:val="00F60CD5"/>
    <w:rPr>
      <w:rFonts w:cs="Courier New"/>
    </w:rPr>
  </w:style>
  <w:style w:type="paragraph" w:styleId="Corpsdetexte">
    <w:name w:val="Body Text"/>
    <w:basedOn w:val="Normal"/>
    <w:next w:val="Normal"/>
    <w:semiHidden/>
    <w:rsid w:val="00F60CD5"/>
  </w:style>
  <w:style w:type="paragraph" w:styleId="Retraitcorpsdetexte">
    <w:name w:val="Body Text Indent"/>
    <w:basedOn w:val="Normal"/>
    <w:semiHidden/>
    <w:rsid w:val="00F60CD5"/>
    <w:pPr>
      <w:spacing w:after="120"/>
      <w:ind w:left="283"/>
    </w:pPr>
  </w:style>
  <w:style w:type="paragraph" w:styleId="Normalcentr">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uiPriority w:val="99"/>
    <w:rsid w:val="00F60CD5"/>
    <w:rPr>
      <w:sz w:val="6"/>
    </w:rPr>
  </w:style>
  <w:style w:type="paragraph" w:styleId="Commentaire">
    <w:name w:val="annotation text"/>
    <w:basedOn w:val="Normal"/>
    <w:link w:val="CommentaireCar"/>
    <w:uiPriority w:val="99"/>
    <w:rsid w:val="00F60CD5"/>
    <w:rPr>
      <w:lang w:val="x-none"/>
    </w:rPr>
  </w:style>
  <w:style w:type="character" w:styleId="Numrodeligne">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PieddepageCar">
    <w:name w:val="Pied de page Car"/>
    <w:aliases w:val="3_G Car"/>
    <w:link w:val="Pieddepage"/>
    <w:uiPriority w:val="99"/>
    <w:rsid w:val="00DA77C0"/>
    <w:rPr>
      <w:sz w:val="16"/>
      <w:lang w:val="en-GB" w:eastAsia="en-US" w:bidi="ar-SA"/>
    </w:rPr>
  </w:style>
  <w:style w:type="paragraph" w:styleId="Paragraphedeliste">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Titre1Car">
    <w:name w:val="Titre 1 Car"/>
    <w:aliases w:val="Table_G Car"/>
    <w:link w:val="Titre1"/>
    <w:rsid w:val="00790AED"/>
    <w:rPr>
      <w:lang w:val="en-GB" w:eastAsia="en-US" w:bidi="ar-SA"/>
    </w:rPr>
  </w:style>
  <w:style w:type="character" w:customStyle="1" w:styleId="NormalWebCar">
    <w:name w:val="Normal (Web) C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NotedebasdepageCar">
    <w:name w:val="Note de bas de page Car"/>
    <w:aliases w:val="5_G Car,PP Car,Footnote Text Char Car"/>
    <w:link w:val="Notedebasdepage"/>
    <w:rsid w:val="00837CC7"/>
    <w:rPr>
      <w:sz w:val="18"/>
      <w:lang w:val="en-GB" w:eastAsia="en-US" w:bidi="ar-SA"/>
    </w:rPr>
  </w:style>
  <w:style w:type="character" w:customStyle="1" w:styleId="En-tteCar">
    <w:name w:val="En-tête Car"/>
    <w:aliases w:val="6_G Car"/>
    <w:link w:val="En-tte"/>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Textedebulles">
    <w:name w:val="Balloon Text"/>
    <w:basedOn w:val="Normal"/>
    <w:link w:val="TextedebullesCar"/>
    <w:rsid w:val="0083784A"/>
    <w:pPr>
      <w:spacing w:line="240" w:lineRule="auto"/>
    </w:pPr>
    <w:rPr>
      <w:rFonts w:ascii="Tahoma" w:hAnsi="Tahoma"/>
      <w:sz w:val="16"/>
      <w:szCs w:val="16"/>
      <w:lang w:val="x-none"/>
    </w:rPr>
  </w:style>
  <w:style w:type="character" w:customStyle="1" w:styleId="TextedebullesCar">
    <w:name w:val="Texte de bulles Car"/>
    <w:link w:val="Textedebulles"/>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Objetducommentaire">
    <w:name w:val="annotation subject"/>
    <w:basedOn w:val="Commentaire"/>
    <w:next w:val="Commentaire"/>
    <w:link w:val="ObjetducommentaireCar"/>
    <w:rsid w:val="007C4E68"/>
    <w:pPr>
      <w:spacing w:line="240" w:lineRule="auto"/>
    </w:pPr>
    <w:rPr>
      <w:b/>
      <w:bCs/>
    </w:rPr>
  </w:style>
  <w:style w:type="character" w:customStyle="1" w:styleId="CommentaireCar">
    <w:name w:val="Commentaire Car"/>
    <w:link w:val="Commentaire"/>
    <w:uiPriority w:val="99"/>
    <w:rsid w:val="007C4E68"/>
    <w:rPr>
      <w:lang w:eastAsia="en-US"/>
    </w:rPr>
  </w:style>
  <w:style w:type="character" w:customStyle="1" w:styleId="ObjetducommentaireCar">
    <w:name w:val="Objet du commentaire Car"/>
    <w:link w:val="Objetducommentaire"/>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
    <w:name w:val="Table Grid2"/>
    <w:basedOn w:val="TableauNormal"/>
    <w:next w:val="Grilledutableau"/>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auNormal"/>
    <w:next w:val="Grilledutableau"/>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Textedelespacerserv">
    <w:name w:val="Placeholder Text"/>
    <w:basedOn w:val="Policepardfaut"/>
    <w:uiPriority w:val="99"/>
    <w:semiHidden/>
    <w:rsid w:val="008E4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1C38-728F-43C8-A072-CDF67D32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Pages>
  <Words>530</Words>
  <Characters>3027</Characters>
  <Application>Microsoft Office Word</Application>
  <DocSecurity>0</DocSecurity>
  <Lines>25</Lines>
  <Paragraphs>7</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3</cp:revision>
  <cp:lastPrinted>2018-08-29T09:38:00Z</cp:lastPrinted>
  <dcterms:created xsi:type="dcterms:W3CDTF">2019-05-21T09:46:00Z</dcterms:created>
  <dcterms:modified xsi:type="dcterms:W3CDTF">2019-05-21T18:14:00Z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