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E00F" w14:textId="45AF0790" w:rsidR="008A76B7" w:rsidRPr="000B330C" w:rsidRDefault="000B330C" w:rsidP="000B330C">
      <w:pPr>
        <w:pStyle w:val="HChG"/>
        <w:ind w:firstLine="0"/>
        <w:jc w:val="center"/>
      </w:pPr>
      <w:r>
        <w:t xml:space="preserve">Proposal for amendments to </w:t>
      </w:r>
      <w:r w:rsidRPr="000B330C">
        <w:t>ECE/TRANS/WP.29/GRSG/2019/26</w:t>
      </w:r>
    </w:p>
    <w:p w14:paraId="0490575A" w14:textId="7372B3A6" w:rsidR="008A76B7" w:rsidRPr="00066C8A" w:rsidRDefault="00066C8A" w:rsidP="00066C8A">
      <w:pPr>
        <w:pStyle w:val="HChG"/>
        <w:rPr>
          <w:rFonts w:eastAsia="Cambria"/>
        </w:rPr>
      </w:pPr>
      <w:r>
        <w:rPr>
          <w:rFonts w:eastAsia="Cambria"/>
        </w:rPr>
        <w:tab/>
      </w:r>
      <w:r w:rsidR="00BA2ADD">
        <w:rPr>
          <w:rFonts w:eastAsia="Cambria"/>
        </w:rPr>
        <w:tab/>
      </w:r>
      <w:r w:rsidR="008A76B7" w:rsidRPr="00066C8A">
        <w:rPr>
          <w:rFonts w:eastAsia="Cambria"/>
        </w:rPr>
        <w:t>Proposal</w:t>
      </w:r>
      <w:r w:rsidR="00BA2ADD">
        <w:rPr>
          <w:rFonts w:eastAsia="Cambria"/>
        </w:rPr>
        <w:t xml:space="preserve"> as amended in session</w:t>
      </w:r>
    </w:p>
    <w:p w14:paraId="3073B824" w14:textId="77777777" w:rsidR="008A76B7" w:rsidRPr="00347285" w:rsidRDefault="008A76B7" w:rsidP="008A76B7">
      <w:pPr>
        <w:pStyle w:val="H4G"/>
        <w:rPr>
          <w:rFonts w:eastAsia="Cambria"/>
        </w:rPr>
      </w:pPr>
      <w:r>
        <w:rPr>
          <w:rFonts w:eastAsia="Cambria"/>
        </w:rPr>
        <w:tab/>
      </w:r>
      <w:r>
        <w:rPr>
          <w:rFonts w:eastAsia="Cambria"/>
        </w:rPr>
        <w:tab/>
      </w:r>
      <w:r w:rsidRPr="00347285">
        <w:rPr>
          <w:rFonts w:eastAsia="Cambria"/>
        </w:rPr>
        <w:t xml:space="preserve">Annex 3A, </w:t>
      </w:r>
      <w:r>
        <w:rPr>
          <w:rFonts w:eastAsia="Cambria"/>
        </w:rPr>
        <w:t>p</w:t>
      </w:r>
      <w:r w:rsidRPr="00347285">
        <w:rPr>
          <w:rFonts w:eastAsia="Cambria"/>
        </w:rPr>
        <w:t>aragraph 4.1.4.</w:t>
      </w:r>
      <w:r>
        <w:rPr>
          <w:rFonts w:eastAsia="Cambria"/>
        </w:rPr>
        <w:t>, replace</w:t>
      </w:r>
      <w:r w:rsidRPr="00347285">
        <w:rPr>
          <w:rFonts w:eastAsia="Cambria"/>
        </w:rPr>
        <w:t xml:space="preserve"> to read:</w:t>
      </w:r>
    </w:p>
    <w:p w14:paraId="626C0981" w14:textId="77777777" w:rsidR="008A76B7" w:rsidRPr="00DD2100" w:rsidRDefault="00066C8A" w:rsidP="00464D74">
      <w:pPr>
        <w:pStyle w:val="SingleTxtG"/>
        <w:ind w:left="2268" w:hanging="1134"/>
      </w:pPr>
      <w:r>
        <w:t>“</w:t>
      </w:r>
      <w:r w:rsidR="008A76B7">
        <w:t>4.1.4</w:t>
      </w:r>
      <w:r w:rsidR="003D31EE">
        <w:t>.</w:t>
      </w:r>
      <w:r w:rsidR="008A76B7">
        <w:tab/>
      </w:r>
      <w:r w:rsidR="008A76B7" w:rsidRPr="007A7C79">
        <w:t xml:space="preserve">Periodic </w:t>
      </w:r>
      <w:r w:rsidR="008A76B7" w:rsidRPr="008A76B7">
        <w:rPr>
          <w:b/>
          <w:bCs/>
        </w:rPr>
        <w:t>technical inspections and</w:t>
      </w:r>
      <w:r w:rsidR="008A76B7" w:rsidRPr="00DD2100">
        <w:t xml:space="preserve"> </w:t>
      </w:r>
      <w:r w:rsidR="008A76B7" w:rsidRPr="007A7C79">
        <w:t>requalification</w:t>
      </w:r>
      <w:r w:rsidR="008A76B7" w:rsidRPr="00DD2100">
        <w:t xml:space="preserve"> </w:t>
      </w:r>
      <w:r w:rsidR="008A76B7" w:rsidRPr="008A76B7">
        <w:rPr>
          <w:b/>
          <w:bCs/>
        </w:rPr>
        <w:t>of cylinders</w:t>
      </w:r>
    </w:p>
    <w:p w14:paraId="65B57E31" w14:textId="77777777" w:rsidR="008A76B7" w:rsidRPr="00DD2100" w:rsidRDefault="008A76B7" w:rsidP="00464D74">
      <w:pPr>
        <w:tabs>
          <w:tab w:val="left" w:pos="1134"/>
        </w:tabs>
        <w:spacing w:after="120"/>
        <w:ind w:left="2268" w:hanging="1134"/>
        <w:rPr>
          <w:b/>
        </w:rPr>
      </w:pPr>
      <w:r w:rsidRPr="00DD2100">
        <w:rPr>
          <w:b/>
        </w:rPr>
        <w:t>4.1.4.1</w:t>
      </w:r>
      <w:r w:rsidR="003D31EE">
        <w:rPr>
          <w:b/>
        </w:rPr>
        <w:t>.</w:t>
      </w:r>
      <w:r>
        <w:rPr>
          <w:b/>
        </w:rPr>
        <w:tab/>
      </w:r>
      <w:r w:rsidRPr="00DD2100">
        <w:rPr>
          <w:b/>
        </w:rPr>
        <w:t>Periodic technical inspection</w:t>
      </w:r>
    </w:p>
    <w:p w14:paraId="7EB6FFF4" w14:textId="07D5CF9C" w:rsidR="008A76B7" w:rsidRDefault="008A76B7" w:rsidP="00BA6408">
      <w:pPr>
        <w:spacing w:after="120"/>
        <w:ind w:left="2268" w:right="1134" w:hanging="1134"/>
        <w:jc w:val="both"/>
      </w:pPr>
      <w:r>
        <w:rPr>
          <w:b/>
        </w:rPr>
        <w:tab/>
      </w:r>
      <w:r w:rsidRPr="00F1748F">
        <w:rPr>
          <w:b/>
        </w:rPr>
        <w:t xml:space="preserve">Periodic technical inspection means the inspection of vehicles performed at specified intervals </w:t>
      </w:r>
      <w:r w:rsidR="00BA6408" w:rsidRPr="00DC69AC">
        <w:rPr>
          <w:b/>
          <w:color w:val="FF0000"/>
          <w:highlight w:val="green"/>
        </w:rPr>
        <w:t>according to national regulations</w:t>
      </w:r>
      <w:r w:rsidR="00BA6408" w:rsidRPr="00DC69AC">
        <w:rPr>
          <w:b/>
          <w:color w:val="FF0000"/>
        </w:rPr>
        <w:t xml:space="preserve"> </w:t>
      </w:r>
      <w:r w:rsidRPr="00BA6408">
        <w:rPr>
          <w:b/>
          <w:strike/>
          <w:highlight w:val="yellow"/>
        </w:rPr>
        <w:t>by the</w:t>
      </w:r>
      <w:r w:rsidRPr="00F1748F">
        <w:rPr>
          <w:b/>
        </w:rPr>
        <w:t xml:space="preserve"> </w:t>
      </w:r>
      <w:r w:rsidRPr="00BA6408">
        <w:rPr>
          <w:b/>
          <w:strike/>
          <w:highlight w:val="yellow"/>
        </w:rPr>
        <w:t>competent</w:t>
      </w:r>
      <w:r w:rsidR="00BA6408">
        <w:rPr>
          <w:b/>
        </w:rPr>
        <w:t xml:space="preserve">  </w:t>
      </w:r>
      <w:r w:rsidRPr="00BA6408">
        <w:rPr>
          <w:b/>
          <w:strike/>
          <w:color w:val="FF0000"/>
          <w:highlight w:val="yellow"/>
        </w:rPr>
        <w:t>agency approved or recognized by the national (or regional) Regulatory Authority</w:t>
      </w:r>
      <w:r w:rsidRPr="00F1748F">
        <w:rPr>
          <w:b/>
        </w:rPr>
        <w:t>.</w:t>
      </w:r>
      <w:r>
        <w:t xml:space="preserve"> </w:t>
      </w:r>
      <w:r w:rsidRPr="000B0701">
        <w:rPr>
          <w:color w:val="000000" w:themeColor="text1"/>
        </w:rPr>
        <w:t xml:space="preserve">Guidelines for </w:t>
      </w:r>
      <w:r>
        <w:t xml:space="preserve">the visual inspection of each cylinder during its </w:t>
      </w:r>
      <w:r w:rsidRPr="00DE6D79">
        <w:t>service life shall be</w:t>
      </w:r>
      <w:r>
        <w:t xml:space="preserve"> provided by the cylinder manufacturer on</w:t>
      </w:r>
      <w:r w:rsidRPr="00DE6D79">
        <w:t xml:space="preserve"> the basis of use under service conditions specified herein.</w:t>
      </w:r>
    </w:p>
    <w:p w14:paraId="4D8631E5" w14:textId="77777777" w:rsidR="008A76B7" w:rsidRDefault="008A76B7" w:rsidP="00464D74">
      <w:pPr>
        <w:spacing w:after="120"/>
        <w:ind w:left="2268" w:right="1134"/>
        <w:jc w:val="both"/>
      </w:pPr>
      <w:r w:rsidRPr="00DE6D79">
        <w:t>Each cylinder shall be visually inspected at least every 48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 xml:space="preserve">in accordance with the manufacturer's specifications: Cylinders without </w:t>
      </w:r>
      <w:r>
        <w:t xml:space="preserve">a </w:t>
      </w:r>
      <w:r w:rsidRPr="00DE6D79">
        <w:t>label containing mandatory information or with labels containing mandatory information that are illegible in any way shall be removed from service. If the cylinder can be positively identified by</w:t>
      </w:r>
      <w:r>
        <w:t xml:space="preserve"> </w:t>
      </w:r>
      <w:r w:rsidRPr="003C7948">
        <w:rPr>
          <w:b/>
        </w:rPr>
        <w:t>the</w:t>
      </w:r>
      <w:r w:rsidRPr="00DE6D79">
        <w:t xml:space="preserve"> manufacturer and serial number, a replacement label may be applied, allowing the cylinder to remain in service.</w:t>
      </w:r>
      <w:r>
        <w:t xml:space="preserve"> </w:t>
      </w:r>
      <w:r w:rsidRPr="00417807">
        <w:rPr>
          <w:b/>
          <w:strike/>
          <w:color w:val="FF0000"/>
        </w:rPr>
        <w:t>If,</w:t>
      </w:r>
      <w:r w:rsidR="008D236B" w:rsidRPr="00417807">
        <w:rPr>
          <w:b/>
          <w:strike/>
          <w:color w:val="FF0000"/>
        </w:rPr>
        <w:t> </w:t>
      </w:r>
      <w:r w:rsidRPr="00417807">
        <w:rPr>
          <w:b/>
          <w:strike/>
          <w:color w:val="FF0000"/>
        </w:rPr>
        <w:t>where the support straps come in contact with the cylinder, any indication or evidence is found of corrosion, rust, cutting or fraying of material on the exterior surfaces, protruding gaskets, incisions, or other type of damage that could compromise the integrity of the cylinder, the inspector shall specify that a qualified, approved authority or workshop remove the straps for a more detailed, comprehensive inspection of these areas of the cylinder. Verification of such inspection shall be provided to the authorities performing the periodic technical inspection that the cylinders are (or are not) fit for continued service.</w:t>
      </w:r>
    </w:p>
    <w:p w14:paraId="3034FA94" w14:textId="77777777" w:rsidR="008A76B7" w:rsidRPr="00B443A5" w:rsidRDefault="008A76B7" w:rsidP="00464D74">
      <w:pPr>
        <w:tabs>
          <w:tab w:val="left" w:pos="1134"/>
        </w:tabs>
        <w:spacing w:after="120"/>
        <w:ind w:left="2268" w:hanging="1134"/>
        <w:rPr>
          <w:b/>
        </w:rPr>
      </w:pPr>
      <w:r w:rsidRPr="00B443A5">
        <w:rPr>
          <w:b/>
        </w:rPr>
        <w:t>4.1.4.2</w:t>
      </w:r>
      <w:r w:rsidR="003D31EE">
        <w:rPr>
          <w:b/>
        </w:rPr>
        <w:t>.</w:t>
      </w:r>
      <w:r w:rsidRPr="00B443A5">
        <w:rPr>
          <w:b/>
        </w:rPr>
        <w:tab/>
        <w:t>Periodic requalification</w:t>
      </w:r>
    </w:p>
    <w:p w14:paraId="7B7DD82D" w14:textId="062DAC97" w:rsidR="008A76B7" w:rsidRPr="00BA2ADD" w:rsidRDefault="008A76B7" w:rsidP="00BA2ADD">
      <w:pPr>
        <w:spacing w:after="120"/>
        <w:ind w:left="2268" w:right="1134" w:hanging="18"/>
        <w:jc w:val="both"/>
      </w:pPr>
      <w:r w:rsidRPr="00851882">
        <w:rPr>
          <w:b/>
          <w:bCs/>
        </w:rPr>
        <w:t xml:space="preserve">Periodic requalification means an inspection or testing of cylinders </w:t>
      </w:r>
      <w:r w:rsidRPr="00DC69AC">
        <w:rPr>
          <w:b/>
          <w:bCs/>
          <w:strike/>
          <w:highlight w:val="yellow"/>
        </w:rPr>
        <w:t>by a competent agency approved or recognized by the Regulatory Authority</w:t>
      </w:r>
      <w:r w:rsidRPr="00851882">
        <w:rPr>
          <w:b/>
          <w:bCs/>
        </w:rPr>
        <w:t xml:space="preserve"> at specified intervals </w:t>
      </w:r>
      <w:r w:rsidR="00DC69AC" w:rsidRPr="00DC69AC">
        <w:rPr>
          <w:b/>
          <w:color w:val="FF0000"/>
          <w:highlight w:val="green"/>
        </w:rPr>
        <w:t>according to national regulations</w:t>
      </w:r>
      <w:r w:rsidR="00DC69AC" w:rsidRPr="00DC69AC">
        <w:rPr>
          <w:b/>
          <w:color w:val="FF0000"/>
        </w:rPr>
        <w:t xml:space="preserve"> </w:t>
      </w:r>
      <w:r w:rsidRPr="00851882">
        <w:rPr>
          <w:b/>
          <w:bCs/>
        </w:rPr>
        <w:t>whereby cylinders are re-qualified for a further period of service. For those countries that require a periodic requalification, the procedure shall be performed in accordance with the relevant regulations of the country(</w:t>
      </w:r>
      <w:proofErr w:type="spellStart"/>
      <w:r w:rsidRPr="00851882">
        <w:rPr>
          <w:b/>
          <w:bCs/>
        </w:rPr>
        <w:t>ies</w:t>
      </w:r>
      <w:proofErr w:type="spellEnd"/>
      <w:r w:rsidRPr="00851882">
        <w:rPr>
          <w:b/>
          <w:bCs/>
        </w:rPr>
        <w:t xml:space="preserve">) where the cylinders are used </w:t>
      </w:r>
      <w:proofErr w:type="gramStart"/>
      <w:r w:rsidRPr="00851882">
        <w:rPr>
          <w:b/>
          <w:bCs/>
        </w:rPr>
        <w:t>and also</w:t>
      </w:r>
      <w:proofErr w:type="gramEnd"/>
      <w:r w:rsidRPr="00851882">
        <w:rPr>
          <w:b/>
          <w:bCs/>
        </w:rPr>
        <w:t xml:space="preserve"> in consideration of the manufacturer’s specifications.</w:t>
      </w:r>
    </w:p>
    <w:p w14:paraId="25DB4371" w14:textId="77777777" w:rsidR="008A76B7" w:rsidRDefault="008A76B7" w:rsidP="00464D74">
      <w:pPr>
        <w:pStyle w:val="SingleTxtG"/>
        <w:ind w:left="2268"/>
      </w:pPr>
      <w:r w:rsidRPr="00851882">
        <w:t xml:space="preserve">Periodic requalification shall be done at least every 48 months after the date of its entry into service on the vehicle (vehicle registration), and at the time of any reinstallation, for external damage and deterioration. The requalification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w:t>
      </w:r>
      <w:r w:rsidRPr="00851882">
        <w:lastRenderedPageBreak/>
        <w:t>manufacturer and serial number, a replacement label may be applied, allowing the cylinder to remain in service.</w:t>
      </w:r>
      <w:r w:rsidR="00066C8A">
        <w:t>”</w:t>
      </w:r>
    </w:p>
    <w:p w14:paraId="1C55F202" w14:textId="77777777" w:rsidR="00BA2ADD" w:rsidRDefault="00851882" w:rsidP="00851882">
      <w:pPr>
        <w:spacing w:after="120"/>
        <w:rPr>
          <w:i/>
          <w:iCs/>
        </w:rPr>
      </w:pPr>
      <w:r>
        <w:rPr>
          <w:i/>
          <w:iCs/>
        </w:rPr>
        <w:tab/>
      </w:r>
    </w:p>
    <w:p w14:paraId="67B6FAB9" w14:textId="2142D79A" w:rsidR="00851882" w:rsidRDefault="00851882" w:rsidP="00851882">
      <w:pPr>
        <w:spacing w:after="120"/>
      </w:pPr>
      <w:bookmarkStart w:id="0" w:name="_GoBack"/>
      <w:bookmarkEnd w:id="0"/>
      <w:r>
        <w:rPr>
          <w:i/>
          <w:iCs/>
        </w:rPr>
        <w:tab/>
      </w:r>
      <w:r w:rsidRPr="00583AB3">
        <w:rPr>
          <w:i/>
          <w:iCs/>
        </w:rPr>
        <w:t xml:space="preserve">In accordance with </w:t>
      </w:r>
      <w:r w:rsidR="00066C8A">
        <w:rPr>
          <w:i/>
          <w:iCs/>
        </w:rPr>
        <w:t>the inserted</w:t>
      </w:r>
      <w:r w:rsidRPr="00583AB3">
        <w:rPr>
          <w:i/>
          <w:iCs/>
        </w:rPr>
        <w:t xml:space="preserve"> paragraphs above</w:t>
      </w:r>
      <w:r>
        <w:t>, re-number the following paragraphs:</w:t>
      </w:r>
    </w:p>
    <w:p w14:paraId="71BD7FA5" w14:textId="77777777" w:rsidR="00851882" w:rsidRDefault="00066C8A" w:rsidP="00464D74">
      <w:pPr>
        <w:spacing w:after="120"/>
        <w:ind w:left="2268" w:hanging="1134"/>
      </w:pPr>
      <w:r>
        <w:t>“</w:t>
      </w:r>
      <w:r w:rsidR="00851882">
        <w:t>4.1.4.</w:t>
      </w:r>
      <w:r w:rsidR="00851882" w:rsidRPr="00DD2100">
        <w:rPr>
          <w:b/>
        </w:rPr>
        <w:t>3</w:t>
      </w:r>
      <w:r w:rsidR="003D31EE">
        <w:rPr>
          <w:b/>
        </w:rPr>
        <w:t>.</w:t>
      </w:r>
      <w:r w:rsidR="00851882">
        <w:t xml:space="preserve"> </w:t>
      </w:r>
      <w:r w:rsidR="00851882">
        <w:tab/>
        <w:t>Cylinders involved in collisions</w:t>
      </w:r>
    </w:p>
    <w:p w14:paraId="0DD6C120" w14:textId="77777777" w:rsidR="00851882" w:rsidRDefault="00851882" w:rsidP="00464D74">
      <w:pPr>
        <w:spacing w:after="120"/>
        <w:ind w:left="2268" w:hanging="1134"/>
      </w:pPr>
      <w:r>
        <w:t>4.1.4.</w:t>
      </w:r>
      <w:r w:rsidRPr="00DD2100">
        <w:rPr>
          <w:b/>
        </w:rPr>
        <w:t>4</w:t>
      </w:r>
      <w:r w:rsidR="003D31EE">
        <w:rPr>
          <w:b/>
        </w:rPr>
        <w:t>.</w:t>
      </w:r>
      <w:r>
        <w:tab/>
        <w:t>Cylinders involved in fires</w:t>
      </w:r>
      <w:r w:rsidR="00066C8A">
        <w:t>”</w:t>
      </w:r>
    </w:p>
    <w:p w14:paraId="02BB968F" w14:textId="77777777" w:rsidR="00851882" w:rsidRDefault="00851882" w:rsidP="00851882">
      <w:pPr>
        <w:tabs>
          <w:tab w:val="left" w:pos="851"/>
        </w:tabs>
        <w:spacing w:before="120" w:after="120" w:line="240" w:lineRule="auto"/>
        <w:ind w:left="851" w:hanging="851"/>
        <w:jc w:val="both"/>
        <w:rPr>
          <w:rFonts w:eastAsia="Cambria"/>
        </w:rPr>
      </w:pPr>
      <w:r>
        <w:rPr>
          <w:rFonts w:eastAsia="Cambria"/>
          <w:i/>
        </w:rPr>
        <w:tab/>
      </w:r>
      <w:r>
        <w:rPr>
          <w:rFonts w:eastAsia="Cambria"/>
          <w:i/>
        </w:rPr>
        <w:tab/>
      </w:r>
      <w:r w:rsidRPr="003C0B10">
        <w:rPr>
          <w:rFonts w:eastAsia="Cambria"/>
          <w:i/>
        </w:rPr>
        <w:t>Annex 3B, paragraph 2.1.3.,</w:t>
      </w:r>
      <w:r>
        <w:rPr>
          <w:rFonts w:eastAsia="Cambria"/>
        </w:rPr>
        <w:t xml:space="preserve"> </w:t>
      </w:r>
      <w:r w:rsidR="00066C8A">
        <w:rPr>
          <w:rFonts w:eastAsia="Cambria"/>
        </w:rPr>
        <w:t>amend</w:t>
      </w:r>
      <w:r w:rsidRPr="00347285">
        <w:rPr>
          <w:rFonts w:eastAsia="Cambria"/>
        </w:rPr>
        <w:t xml:space="preserve"> to read:</w:t>
      </w:r>
    </w:p>
    <w:p w14:paraId="718BACAF" w14:textId="77777777" w:rsidR="00851882" w:rsidRPr="00D528B4" w:rsidRDefault="00066C8A" w:rsidP="00464D74">
      <w:pPr>
        <w:spacing w:after="120"/>
        <w:ind w:left="2268" w:hanging="1134"/>
        <w:rPr>
          <w:b/>
        </w:rPr>
      </w:pPr>
      <w:r>
        <w:t>“</w:t>
      </w:r>
      <w:r w:rsidR="00851882" w:rsidRPr="00CB3B71">
        <w:t>2.1</w:t>
      </w:r>
      <w:r w:rsidR="00851882">
        <w:t>.</w:t>
      </w:r>
      <w:r w:rsidR="00851882" w:rsidRPr="00CB3B71">
        <w:t>3.</w:t>
      </w:r>
      <w:r w:rsidR="00851882">
        <w:tab/>
      </w:r>
      <w:r w:rsidR="00851882" w:rsidRPr="00CB3B71">
        <w:t>Periodic</w:t>
      </w:r>
      <w:r w:rsidR="00851882" w:rsidRPr="00D528B4">
        <w:rPr>
          <w:b/>
        </w:rPr>
        <w:t xml:space="preserve"> technical inspections and </w:t>
      </w:r>
      <w:r w:rsidR="00851882" w:rsidRPr="007A7C79">
        <w:t>requalification</w:t>
      </w:r>
      <w:r w:rsidR="00851882" w:rsidRPr="007A7C79">
        <w:rPr>
          <w:b/>
        </w:rPr>
        <w:t xml:space="preserve"> of tanks</w:t>
      </w:r>
    </w:p>
    <w:p w14:paraId="166CB362" w14:textId="77777777" w:rsidR="00851882" w:rsidRPr="00F1748F" w:rsidRDefault="00851882" w:rsidP="00464D74">
      <w:pPr>
        <w:tabs>
          <w:tab w:val="left" w:pos="1134"/>
        </w:tabs>
        <w:spacing w:after="120"/>
        <w:ind w:left="2268" w:hanging="1134"/>
        <w:rPr>
          <w:b/>
        </w:rPr>
      </w:pPr>
      <w:r w:rsidRPr="00F1748F">
        <w:rPr>
          <w:b/>
        </w:rPr>
        <w:t>2.1.3.1</w:t>
      </w:r>
      <w:r w:rsidR="003D31EE">
        <w:rPr>
          <w:b/>
        </w:rPr>
        <w:t>.</w:t>
      </w:r>
      <w:r w:rsidRPr="00F1748F">
        <w:rPr>
          <w:b/>
        </w:rPr>
        <w:tab/>
        <w:t>Periodic technical inspection</w:t>
      </w:r>
    </w:p>
    <w:p w14:paraId="632A801B" w14:textId="7C035B83" w:rsidR="00851882" w:rsidRDefault="00851882" w:rsidP="00464D74">
      <w:pPr>
        <w:pStyle w:val="SingleTxtG"/>
        <w:ind w:left="2268"/>
      </w:pPr>
      <w:r w:rsidRPr="00851882">
        <w:rPr>
          <w:b/>
          <w:bCs/>
        </w:rPr>
        <w:t xml:space="preserve">Periodic technical inspection means the inspection of vehicles performed at specified intervals </w:t>
      </w:r>
      <w:r w:rsidR="00DC69AC" w:rsidRPr="00DC69AC">
        <w:rPr>
          <w:b/>
          <w:color w:val="FF0000"/>
          <w:highlight w:val="yellow"/>
        </w:rPr>
        <w:t>according to national regulations</w:t>
      </w:r>
      <w:r w:rsidR="00DC69AC" w:rsidRPr="00DC69AC">
        <w:rPr>
          <w:b/>
          <w:color w:val="FF0000"/>
        </w:rPr>
        <w:t xml:space="preserve"> </w:t>
      </w:r>
      <w:r w:rsidRPr="00DC69AC">
        <w:rPr>
          <w:b/>
          <w:bCs/>
          <w:strike/>
          <w:highlight w:val="yellow"/>
        </w:rPr>
        <w:t>by the competent agency approved or recognized by the national (or regional) Regulatory Authority</w:t>
      </w:r>
      <w:r w:rsidRPr="00F1748F">
        <w:t>.</w:t>
      </w:r>
      <w:r>
        <w:t xml:space="preserve"> </w:t>
      </w:r>
      <w:r w:rsidRPr="000B0701">
        <w:rPr>
          <w:color w:val="000000" w:themeColor="text1"/>
        </w:rPr>
        <w:t xml:space="preserve">Guidelines for </w:t>
      </w:r>
      <w:r>
        <w:t xml:space="preserve">the visual inspection of each tank during its </w:t>
      </w:r>
      <w:r w:rsidRPr="00DE6D79">
        <w:t>service life shall be</w:t>
      </w:r>
      <w:r>
        <w:t xml:space="preserve"> provided by the tank manufacturer on</w:t>
      </w:r>
      <w:r w:rsidRPr="00DE6D79">
        <w:t xml:space="preserve"> the basis of use under service conditions specified herein.</w:t>
      </w:r>
      <w:r>
        <w:t xml:space="preserve">  </w:t>
      </w:r>
    </w:p>
    <w:p w14:paraId="70816CEA" w14:textId="77777777" w:rsidR="00851882" w:rsidRDefault="00851882" w:rsidP="00464D74">
      <w:pPr>
        <w:pStyle w:val="SingleTxtG"/>
        <w:ind w:left="2268"/>
      </w:pPr>
      <w:r>
        <w:t>Each tank</w:t>
      </w:r>
      <w:r w:rsidRPr="00DE6D79">
        <w:t xml:space="preserve"> shall be visu</w:t>
      </w:r>
      <w:r>
        <w:t>ally inspected at least every 120</w:t>
      </w:r>
      <w:r w:rsidRPr="00DE6D79">
        <w:t xml:space="preserve">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in accordance with the manufact</w:t>
      </w:r>
      <w:r>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t xml:space="preserve"> </w:t>
      </w:r>
      <w:r w:rsidRPr="00417807">
        <w:rPr>
          <w:b/>
          <w:bCs/>
          <w:strike/>
          <w:color w:val="FF0000"/>
        </w:rPr>
        <w:t>If, where the support straps come in contact with the tank, any indication or evidence is found of corrosion, incisions, or protruding gaskets on the exterior surfaces or other type of damage that could compromise the integrity of the tank, the inspector shall specify that a qualified, approved authority or workshop remove the straps for a more detailed, comprehensive inspection of these areas of the tank. Verification of such inspection shall be provided to the authorities performing the periodic technical inspection that the tanks are (or are not) fit for continued service.</w:t>
      </w:r>
    </w:p>
    <w:p w14:paraId="303C366F" w14:textId="77777777" w:rsidR="00851882" w:rsidRDefault="00851882" w:rsidP="00464D74">
      <w:pPr>
        <w:spacing w:after="120"/>
        <w:ind w:left="2268" w:hanging="1134"/>
      </w:pPr>
      <w:r w:rsidRPr="00D528B4">
        <w:rPr>
          <w:b/>
        </w:rPr>
        <w:t>2.1.3.2</w:t>
      </w:r>
      <w:r w:rsidR="003D31EE">
        <w:rPr>
          <w:b/>
        </w:rPr>
        <w:t>.</w:t>
      </w:r>
      <w:r>
        <w:tab/>
        <w:t>Periodic requalification</w:t>
      </w:r>
    </w:p>
    <w:p w14:paraId="110109AF" w14:textId="5B080CB5" w:rsidR="00851882" w:rsidRPr="00F1748F" w:rsidRDefault="00851882" w:rsidP="00464D74">
      <w:pPr>
        <w:pStyle w:val="SingleTxtG"/>
        <w:ind w:left="2268"/>
      </w:pPr>
      <w:r w:rsidRPr="007C2A66">
        <w:rPr>
          <w:b/>
          <w:bCs/>
        </w:rPr>
        <w:t xml:space="preserve">Periodic requalification means an inspection or testing of tanks </w:t>
      </w:r>
      <w:r w:rsidRPr="000629CF">
        <w:rPr>
          <w:b/>
          <w:bCs/>
          <w:strike/>
          <w:highlight w:val="yellow"/>
        </w:rPr>
        <w:t>by a competent agency approved or recognized by the Regulatory Authority</w:t>
      </w:r>
      <w:r w:rsidRPr="007C2A66">
        <w:rPr>
          <w:b/>
          <w:bCs/>
        </w:rPr>
        <w:t xml:space="preserve"> at specified intervals </w:t>
      </w:r>
      <w:r w:rsidR="000629CF" w:rsidRPr="000629CF">
        <w:rPr>
          <w:b/>
          <w:color w:val="FF0000"/>
          <w:highlight w:val="green"/>
        </w:rPr>
        <w:t>according to national regulations</w:t>
      </w:r>
      <w:r w:rsidR="000629CF" w:rsidRPr="00DC69AC">
        <w:rPr>
          <w:b/>
          <w:color w:val="FF0000"/>
        </w:rPr>
        <w:t xml:space="preserve"> </w:t>
      </w:r>
      <w:r w:rsidRPr="007C2A66">
        <w:rPr>
          <w:b/>
          <w:bCs/>
        </w:rPr>
        <w:t>whereby tanks are re-qualified for a further period of service. For those countries that require a periodic requalification, the procedure shall be performed in accordance with the relevant regulations of the country(</w:t>
      </w:r>
      <w:proofErr w:type="spellStart"/>
      <w:r w:rsidRPr="007C2A66">
        <w:rPr>
          <w:b/>
          <w:bCs/>
        </w:rPr>
        <w:t>ies</w:t>
      </w:r>
      <w:proofErr w:type="spellEnd"/>
      <w:r w:rsidRPr="007C2A66">
        <w:rPr>
          <w:b/>
          <w:bCs/>
        </w:rPr>
        <w:t xml:space="preserve">) where the tanks are used </w:t>
      </w:r>
      <w:proofErr w:type="gramStart"/>
      <w:r w:rsidRPr="007C2A66">
        <w:rPr>
          <w:b/>
          <w:bCs/>
        </w:rPr>
        <w:t>and also</w:t>
      </w:r>
      <w:proofErr w:type="gramEnd"/>
      <w:r w:rsidRPr="007C2A66">
        <w:rPr>
          <w:b/>
          <w:bCs/>
        </w:rPr>
        <w:t xml:space="preserve"> in consideration of the manufacturer’s specifications</w:t>
      </w:r>
      <w:r w:rsidRPr="00F1748F">
        <w:rPr>
          <w:bCs/>
        </w:rPr>
        <w:t>.</w:t>
      </w:r>
    </w:p>
    <w:p w14:paraId="6FDD2B61" w14:textId="77777777" w:rsidR="00851882" w:rsidRDefault="00851882" w:rsidP="00464D74">
      <w:pPr>
        <w:pStyle w:val="SingleTxtG"/>
        <w:ind w:left="2268"/>
      </w:pPr>
      <w:r>
        <w:t>Periodic requalification shall be done at least every 120</w:t>
      </w:r>
      <w:r w:rsidRPr="00DE6D79">
        <w:t xml:space="preserve"> months after the date of its entry into service on the vehicle (vehicle registration), and at the time of any reinstallation, for external damage and deterioration</w:t>
      </w:r>
      <w:r>
        <w:t>. The requalification</w:t>
      </w:r>
      <w:r w:rsidRPr="00DE6D79">
        <w:t xml:space="preserve"> shall be performed</w:t>
      </w:r>
      <w:r>
        <w:t xml:space="preserve"> </w:t>
      </w:r>
      <w:r w:rsidRPr="00DE6D79">
        <w:t>in accordance with the manufact</w:t>
      </w:r>
      <w:r>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rsidR="00066C8A">
        <w:t>”</w:t>
      </w:r>
    </w:p>
    <w:p w14:paraId="1388F05D" w14:textId="0B8603C0" w:rsidR="007C2A66" w:rsidRPr="00030884" w:rsidRDefault="00464D74" w:rsidP="00BA2ADD">
      <w:pPr>
        <w:pStyle w:val="HChG"/>
        <w:rPr>
          <w:rFonts w:eastAsia="Cambria"/>
        </w:rPr>
      </w:pPr>
      <w:r w:rsidRPr="00066C8A">
        <w:rPr>
          <w:rFonts w:eastAsia="Cambria"/>
        </w:rPr>
        <w:tab/>
      </w:r>
    </w:p>
    <w:sectPr w:rsidR="007C2A66" w:rsidRPr="00030884" w:rsidSect="00BA2ADD">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E94A" w14:textId="77777777" w:rsidR="00BD528F" w:rsidRDefault="00BD528F"/>
  </w:endnote>
  <w:endnote w:type="continuationSeparator" w:id="0">
    <w:p w14:paraId="116E8051" w14:textId="77777777" w:rsidR="00BD528F" w:rsidRDefault="00BD528F"/>
  </w:endnote>
  <w:endnote w:type="continuationNotice" w:id="1">
    <w:p w14:paraId="6702302D" w14:textId="77777777" w:rsidR="00BD528F" w:rsidRDefault="00BD5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0A89" w14:textId="6C35D6FC" w:rsidR="008A76B7" w:rsidRPr="008A76B7" w:rsidRDefault="008A76B7" w:rsidP="008A76B7">
    <w:pPr>
      <w:pStyle w:val="Footer"/>
      <w:tabs>
        <w:tab w:val="right" w:pos="9638"/>
      </w:tabs>
      <w:rPr>
        <w:sz w:val="18"/>
      </w:rPr>
    </w:pPr>
    <w:r w:rsidRPr="008A76B7">
      <w:rPr>
        <w:b/>
        <w:sz w:val="18"/>
      </w:rPr>
      <w:fldChar w:fldCharType="begin"/>
    </w:r>
    <w:r w:rsidRPr="008A76B7">
      <w:rPr>
        <w:b/>
        <w:sz w:val="18"/>
      </w:rPr>
      <w:instrText xml:space="preserve"> PAGE  \* MERGEFORMAT </w:instrText>
    </w:r>
    <w:r w:rsidRPr="008A76B7">
      <w:rPr>
        <w:b/>
        <w:sz w:val="18"/>
      </w:rPr>
      <w:fldChar w:fldCharType="separate"/>
    </w:r>
    <w:r w:rsidR="00DC69AC">
      <w:rPr>
        <w:b/>
        <w:noProof/>
        <w:sz w:val="18"/>
      </w:rPr>
      <w:t>2</w:t>
    </w:r>
    <w:r w:rsidRPr="008A76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A8F6" w14:textId="5E6B9440" w:rsidR="008A76B7" w:rsidRPr="008A76B7" w:rsidRDefault="008A76B7" w:rsidP="008A76B7">
    <w:pPr>
      <w:pStyle w:val="Footer"/>
      <w:tabs>
        <w:tab w:val="right" w:pos="9638"/>
      </w:tabs>
      <w:rPr>
        <w:b/>
        <w:sz w:val="18"/>
      </w:rPr>
    </w:pPr>
    <w:r>
      <w:tab/>
    </w:r>
    <w:r w:rsidRPr="008A76B7">
      <w:rPr>
        <w:b/>
        <w:sz w:val="18"/>
      </w:rPr>
      <w:fldChar w:fldCharType="begin"/>
    </w:r>
    <w:r w:rsidRPr="008A76B7">
      <w:rPr>
        <w:b/>
        <w:sz w:val="18"/>
      </w:rPr>
      <w:instrText xml:space="preserve"> PAGE  \* MERGEFORMAT </w:instrText>
    </w:r>
    <w:r w:rsidRPr="008A76B7">
      <w:rPr>
        <w:b/>
        <w:sz w:val="18"/>
      </w:rPr>
      <w:fldChar w:fldCharType="separate"/>
    </w:r>
    <w:r w:rsidR="00DC69AC">
      <w:rPr>
        <w:b/>
        <w:noProof/>
        <w:sz w:val="18"/>
      </w:rPr>
      <w:t>3</w:t>
    </w:r>
    <w:r w:rsidRPr="008A76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78F3" w14:textId="77777777" w:rsidR="00BD528F" w:rsidRPr="000B175B" w:rsidRDefault="00BD528F" w:rsidP="000B175B">
      <w:pPr>
        <w:tabs>
          <w:tab w:val="right" w:pos="2155"/>
        </w:tabs>
        <w:spacing w:after="80"/>
        <w:ind w:left="680"/>
        <w:rPr>
          <w:u w:val="single"/>
        </w:rPr>
      </w:pPr>
      <w:r>
        <w:rPr>
          <w:u w:val="single"/>
        </w:rPr>
        <w:tab/>
      </w:r>
    </w:p>
  </w:footnote>
  <w:footnote w:type="continuationSeparator" w:id="0">
    <w:p w14:paraId="13F40AB0" w14:textId="77777777" w:rsidR="00BD528F" w:rsidRPr="00FC68B7" w:rsidRDefault="00BD528F" w:rsidP="00FC68B7">
      <w:pPr>
        <w:tabs>
          <w:tab w:val="left" w:pos="2155"/>
        </w:tabs>
        <w:spacing w:after="80"/>
        <w:ind w:left="680"/>
        <w:rPr>
          <w:u w:val="single"/>
        </w:rPr>
      </w:pPr>
      <w:r>
        <w:rPr>
          <w:u w:val="single"/>
        </w:rPr>
        <w:tab/>
      </w:r>
    </w:p>
  </w:footnote>
  <w:footnote w:type="continuationNotice" w:id="1">
    <w:p w14:paraId="1060BDB8" w14:textId="77777777" w:rsidR="00BD528F" w:rsidRDefault="00BD5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F78B" w14:textId="6B2604EB" w:rsidR="008A76B7" w:rsidRPr="008A76B7" w:rsidRDefault="000B330C">
    <w:pPr>
      <w:pStyle w:val="Header"/>
    </w:pPr>
    <w:r>
      <w:t xml:space="preserve">Based on </w:t>
    </w:r>
    <w:r w:rsidR="00BA2ADD" w:rsidRPr="000B330C">
      <w:t>ECE/TRANS/WP.29/GRSG/2019/26</w:t>
    </w:r>
    <w:r w:rsidR="004D062C">
      <w:fldChar w:fldCharType="begin"/>
    </w:r>
    <w:r w:rsidR="004D062C">
      <w:instrText xml:space="preserve"> TITLE  \* MERGEFORMAT </w:instrText>
    </w:r>
    <w:r w:rsidR="004D06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A400" w14:textId="4E20004B" w:rsidR="008A76B7" w:rsidRPr="008A76B7" w:rsidRDefault="000B330C" w:rsidP="008A76B7">
    <w:pPr>
      <w:pStyle w:val="Header"/>
      <w:jc w:val="right"/>
    </w:pPr>
    <w:r>
      <w:t>Based on</w:t>
    </w:r>
    <w:r w:rsidR="00BA2ADD" w:rsidRPr="00BA2ADD">
      <w:t xml:space="preserve"> </w:t>
    </w:r>
    <w:r w:rsidR="00BA2ADD" w:rsidRPr="000B330C">
      <w:t>ECE/TRANS/WP.29/GRSG/2019/26</w:t>
    </w:r>
    <w:r>
      <w:t xml:space="preserve"> </w:t>
    </w:r>
    <w:r w:rsidR="004D062C">
      <w:fldChar w:fldCharType="begin"/>
    </w:r>
    <w:r w:rsidR="004D062C">
      <w:instrText xml:space="preserve"> TITLE  \* MERGEFORMAT </w:instrText>
    </w:r>
    <w:r w:rsidR="004D062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0B330C" w:rsidRPr="00252432" w14:paraId="3E06FCC0" w14:textId="77777777" w:rsidTr="009B6F82">
      <w:tc>
        <w:tcPr>
          <w:tcW w:w="4962" w:type="dxa"/>
        </w:tcPr>
        <w:p w14:paraId="271DB1FE" w14:textId="0DFBC1E3" w:rsidR="000B330C" w:rsidRPr="00252432" w:rsidRDefault="000B330C" w:rsidP="000B330C">
          <w:pPr>
            <w:tabs>
              <w:tab w:val="center" w:pos="4677"/>
              <w:tab w:val="right" w:pos="9355"/>
            </w:tabs>
            <w:spacing w:line="240" w:lineRule="auto"/>
            <w:rPr>
              <w:lang w:eastAsia="ar-SA"/>
            </w:rPr>
          </w:pPr>
          <w:r w:rsidRPr="00252432">
            <w:rPr>
              <w:lang w:eastAsia="ar-SA"/>
            </w:rPr>
            <w:t xml:space="preserve">Submitted by the expert </w:t>
          </w:r>
          <w:r w:rsidR="00030884">
            <w:rPr>
              <w:lang w:eastAsia="ar-SA"/>
            </w:rPr>
            <w:t xml:space="preserve">from </w:t>
          </w:r>
          <w:r w:rsidR="00030884" w:rsidRPr="00066C8A">
            <w:t>NGV Global</w:t>
          </w:r>
          <w:r w:rsidR="00BA2ADD">
            <w:br/>
          </w:r>
          <w:r w:rsidR="00BA2ADD">
            <w:rPr>
              <w:lang w:eastAsia="ar-SA"/>
            </w:rPr>
            <w:t>(Amended in session)</w:t>
          </w:r>
        </w:p>
      </w:tc>
      <w:tc>
        <w:tcPr>
          <w:tcW w:w="4253" w:type="dxa"/>
        </w:tcPr>
        <w:p w14:paraId="39421B9D" w14:textId="4B6B62EE" w:rsidR="000B330C" w:rsidRPr="00252432" w:rsidRDefault="000B330C" w:rsidP="00BA2ADD">
          <w:pPr>
            <w:spacing w:line="240" w:lineRule="auto"/>
            <w:ind w:left="354"/>
            <w:rPr>
              <w:b/>
              <w:bCs/>
              <w:lang w:eastAsia="ar-SA"/>
            </w:rPr>
          </w:pPr>
          <w:r w:rsidRPr="00252432">
            <w:rPr>
              <w:u w:val="single"/>
              <w:lang w:eastAsia="ar-SA"/>
            </w:rPr>
            <w:t>Informal document</w:t>
          </w:r>
          <w:r w:rsidRPr="00252432">
            <w:rPr>
              <w:lang w:eastAsia="ar-SA"/>
            </w:rPr>
            <w:t xml:space="preserve"> </w:t>
          </w:r>
          <w:r w:rsidRPr="00252432">
            <w:rPr>
              <w:b/>
              <w:bCs/>
              <w:lang w:eastAsia="ar-SA"/>
            </w:rPr>
            <w:t>GRSG-11</w:t>
          </w:r>
          <w:r>
            <w:rPr>
              <w:b/>
              <w:bCs/>
              <w:lang w:eastAsia="ar-SA"/>
            </w:rPr>
            <w:t>7</w:t>
          </w:r>
          <w:r w:rsidRPr="00252432">
            <w:rPr>
              <w:b/>
              <w:bCs/>
              <w:lang w:eastAsia="ar-SA"/>
            </w:rPr>
            <w:t>-</w:t>
          </w:r>
          <w:r w:rsidR="00030884">
            <w:rPr>
              <w:b/>
              <w:bCs/>
              <w:lang w:eastAsia="ar-SA"/>
            </w:rPr>
            <w:t>18</w:t>
          </w:r>
          <w:r w:rsidR="00BA2ADD">
            <w:rPr>
              <w:b/>
              <w:bCs/>
              <w:lang w:eastAsia="ar-SA"/>
            </w:rPr>
            <w:t>-Rev.1</w:t>
          </w:r>
        </w:p>
        <w:p w14:paraId="382A34AC" w14:textId="77777777" w:rsidR="000B330C" w:rsidRPr="00252432" w:rsidRDefault="000B330C" w:rsidP="00BA2ADD">
          <w:pPr>
            <w:tabs>
              <w:tab w:val="center" w:pos="4677"/>
              <w:tab w:val="right" w:pos="9355"/>
            </w:tabs>
            <w:spacing w:line="240" w:lineRule="auto"/>
            <w:ind w:left="354"/>
            <w:rPr>
              <w:lang w:eastAsia="ar-SA"/>
            </w:rPr>
          </w:pPr>
          <w:r w:rsidRPr="00252432">
            <w:rPr>
              <w:lang w:eastAsia="ar-SA"/>
            </w:rPr>
            <w:t>(11</w:t>
          </w:r>
          <w:r>
            <w:rPr>
              <w:lang w:eastAsia="ar-SA"/>
            </w:rPr>
            <w:t>7</w:t>
          </w:r>
          <w:r w:rsidRPr="00252432">
            <w:rPr>
              <w:lang w:eastAsia="ar-SA"/>
            </w:rPr>
            <w:t xml:space="preserve">th GRSG, </w:t>
          </w:r>
          <w:r>
            <w:rPr>
              <w:lang w:eastAsia="ar-SA"/>
            </w:rPr>
            <w:t>8</w:t>
          </w:r>
          <w:r w:rsidRPr="00252432">
            <w:rPr>
              <w:lang w:eastAsia="ar-SA"/>
            </w:rPr>
            <w:t>-</w:t>
          </w:r>
          <w:r>
            <w:rPr>
              <w:lang w:eastAsia="ar-SA"/>
            </w:rPr>
            <w:t>11</w:t>
          </w:r>
          <w:r w:rsidRPr="00252432">
            <w:rPr>
              <w:lang w:eastAsia="ar-SA"/>
            </w:rPr>
            <w:t xml:space="preserve"> </w:t>
          </w:r>
          <w:r>
            <w:rPr>
              <w:lang w:eastAsia="ar-SA"/>
            </w:rPr>
            <w:t>October</w:t>
          </w:r>
          <w:r w:rsidRPr="00252432">
            <w:rPr>
              <w:lang w:eastAsia="ar-SA"/>
            </w:rPr>
            <w:t xml:space="preserve"> 201</w:t>
          </w:r>
          <w:r>
            <w:rPr>
              <w:lang w:eastAsia="ar-SA"/>
            </w:rPr>
            <w:t>9</w:t>
          </w:r>
        </w:p>
        <w:p w14:paraId="46336DC5" w14:textId="1A022E7C" w:rsidR="000B330C" w:rsidRPr="00252432" w:rsidRDefault="000B330C" w:rsidP="00BA2ADD">
          <w:pPr>
            <w:tabs>
              <w:tab w:val="center" w:pos="4677"/>
              <w:tab w:val="right" w:pos="9355"/>
            </w:tabs>
            <w:spacing w:line="240" w:lineRule="auto"/>
            <w:ind w:left="354"/>
            <w:rPr>
              <w:lang w:eastAsia="ar-SA"/>
            </w:rPr>
          </w:pPr>
          <w:r w:rsidRPr="00252432">
            <w:rPr>
              <w:lang w:eastAsia="ar-SA"/>
            </w:rPr>
            <w:t xml:space="preserve">Agenda item </w:t>
          </w:r>
          <w:r w:rsidR="00030884">
            <w:rPr>
              <w:lang w:eastAsia="ar-SA"/>
            </w:rPr>
            <w:t>11(b)</w:t>
          </w:r>
          <w:r>
            <w:rPr>
              <w:lang w:eastAsia="ar-SA"/>
            </w:rPr>
            <w:t>)</w:t>
          </w:r>
        </w:p>
      </w:tc>
    </w:tr>
  </w:tbl>
  <w:p w14:paraId="3535CF35" w14:textId="77777777" w:rsidR="000B330C" w:rsidRDefault="000B330C" w:rsidP="000B330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47506"/>
    <w:multiLevelType w:val="hybridMultilevel"/>
    <w:tmpl w:val="387657D0"/>
    <w:lvl w:ilvl="0" w:tplc="BB7406A4">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B7"/>
    <w:rsid w:val="00002A7D"/>
    <w:rsid w:val="000038A8"/>
    <w:rsid w:val="00005DF3"/>
    <w:rsid w:val="00006790"/>
    <w:rsid w:val="00027624"/>
    <w:rsid w:val="00030884"/>
    <w:rsid w:val="00050F6B"/>
    <w:rsid w:val="000629CF"/>
    <w:rsid w:val="00066C8A"/>
    <w:rsid w:val="000678CD"/>
    <w:rsid w:val="00072C8C"/>
    <w:rsid w:val="00081CE0"/>
    <w:rsid w:val="00084D30"/>
    <w:rsid w:val="00090320"/>
    <w:rsid w:val="000931C0"/>
    <w:rsid w:val="00097003"/>
    <w:rsid w:val="000A2E09"/>
    <w:rsid w:val="000B175B"/>
    <w:rsid w:val="000B330C"/>
    <w:rsid w:val="000B3A0F"/>
    <w:rsid w:val="000E0415"/>
    <w:rsid w:val="000F7715"/>
    <w:rsid w:val="00156B99"/>
    <w:rsid w:val="00166124"/>
    <w:rsid w:val="00184DDA"/>
    <w:rsid w:val="00186C41"/>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CB7"/>
    <w:rsid w:val="003D31EE"/>
    <w:rsid w:val="003D4B23"/>
    <w:rsid w:val="003E278A"/>
    <w:rsid w:val="00402A9F"/>
    <w:rsid w:val="00413520"/>
    <w:rsid w:val="00417807"/>
    <w:rsid w:val="004325CB"/>
    <w:rsid w:val="00440A07"/>
    <w:rsid w:val="00462880"/>
    <w:rsid w:val="00464D74"/>
    <w:rsid w:val="00476F24"/>
    <w:rsid w:val="004A5D33"/>
    <w:rsid w:val="004C55B0"/>
    <w:rsid w:val="004D062C"/>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4810"/>
    <w:rsid w:val="006770B2"/>
    <w:rsid w:val="00686A48"/>
    <w:rsid w:val="0068763C"/>
    <w:rsid w:val="006940E1"/>
    <w:rsid w:val="006A3C72"/>
    <w:rsid w:val="006A7392"/>
    <w:rsid w:val="006B03A1"/>
    <w:rsid w:val="006B31B8"/>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2A66"/>
    <w:rsid w:val="007C3390"/>
    <w:rsid w:val="007C42D8"/>
    <w:rsid w:val="007C4F4B"/>
    <w:rsid w:val="007D6F65"/>
    <w:rsid w:val="007D7362"/>
    <w:rsid w:val="007F5CE2"/>
    <w:rsid w:val="007F6611"/>
    <w:rsid w:val="00810BAC"/>
    <w:rsid w:val="008175E9"/>
    <w:rsid w:val="008242D7"/>
    <w:rsid w:val="0082577B"/>
    <w:rsid w:val="00825CB5"/>
    <w:rsid w:val="00851882"/>
    <w:rsid w:val="00866893"/>
    <w:rsid w:val="00866F02"/>
    <w:rsid w:val="00867D18"/>
    <w:rsid w:val="00871F9A"/>
    <w:rsid w:val="00871FD5"/>
    <w:rsid w:val="0088172E"/>
    <w:rsid w:val="00881EFA"/>
    <w:rsid w:val="008879CB"/>
    <w:rsid w:val="008979B1"/>
    <w:rsid w:val="008A6B25"/>
    <w:rsid w:val="008A6C4F"/>
    <w:rsid w:val="008A76B7"/>
    <w:rsid w:val="008B389E"/>
    <w:rsid w:val="008D045E"/>
    <w:rsid w:val="008D236B"/>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4D9A"/>
    <w:rsid w:val="00B30179"/>
    <w:rsid w:val="00B31E0B"/>
    <w:rsid w:val="00B33FC7"/>
    <w:rsid w:val="00B37B15"/>
    <w:rsid w:val="00B4162A"/>
    <w:rsid w:val="00B45C02"/>
    <w:rsid w:val="00B6346F"/>
    <w:rsid w:val="00B65F68"/>
    <w:rsid w:val="00B70B63"/>
    <w:rsid w:val="00B72A1E"/>
    <w:rsid w:val="00B81E12"/>
    <w:rsid w:val="00BA2ADD"/>
    <w:rsid w:val="00BA339B"/>
    <w:rsid w:val="00BA6408"/>
    <w:rsid w:val="00BB23CC"/>
    <w:rsid w:val="00BC1E7E"/>
    <w:rsid w:val="00BC74E9"/>
    <w:rsid w:val="00BD528F"/>
    <w:rsid w:val="00BE36A9"/>
    <w:rsid w:val="00BE618E"/>
    <w:rsid w:val="00BE7BEC"/>
    <w:rsid w:val="00BF0A5A"/>
    <w:rsid w:val="00BF0B96"/>
    <w:rsid w:val="00BF0E63"/>
    <w:rsid w:val="00BF12A3"/>
    <w:rsid w:val="00BF16D7"/>
    <w:rsid w:val="00BF2373"/>
    <w:rsid w:val="00BF279B"/>
    <w:rsid w:val="00C044E2"/>
    <w:rsid w:val="00C048CB"/>
    <w:rsid w:val="00C066F3"/>
    <w:rsid w:val="00C356B9"/>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69AC"/>
    <w:rsid w:val="00DF7CAE"/>
    <w:rsid w:val="00E423C0"/>
    <w:rsid w:val="00E440E7"/>
    <w:rsid w:val="00E5771B"/>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57E57"/>
  <w15:docId w15:val="{565346D4-CD19-4040-AF95-061EACC0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erChar">
    <w:name w:val="Footer Char"/>
    <w:aliases w:val="3_G Char"/>
    <w:basedOn w:val="DefaultParagraphFont"/>
    <w:link w:val="Footer"/>
    <w:uiPriority w:val="99"/>
    <w:rsid w:val="008A76B7"/>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4F81-191E-4F52-87B8-86A5D026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7</TotalTime>
  <Pages>2</Pages>
  <Words>936</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Marie-Claude Collet</dc:creator>
  <cp:lastModifiedBy>Francois E. Guichard</cp:lastModifiedBy>
  <cp:revision>5</cp:revision>
  <cp:lastPrinted>2019-10-10T20:00:00Z</cp:lastPrinted>
  <dcterms:created xsi:type="dcterms:W3CDTF">2019-10-10T13:29:00Z</dcterms:created>
  <dcterms:modified xsi:type="dcterms:W3CDTF">2019-10-10T20:01:00Z</dcterms:modified>
</cp:coreProperties>
</file>