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432B1" w14:textId="3F6C34AC" w:rsidR="002F1476" w:rsidRDefault="004413E7" w:rsidP="002F1476">
      <w:pPr>
        <w:pStyle w:val="HChG"/>
        <w:rPr>
          <w:lang w:val="en-US"/>
        </w:rPr>
      </w:pPr>
      <w:r w:rsidRPr="004C4906">
        <w:tab/>
      </w:r>
      <w:r w:rsidR="002F1476">
        <w:tab/>
      </w:r>
      <w:r w:rsidR="002F1476" w:rsidRPr="002F1476">
        <w:rPr>
          <w:sz w:val="24"/>
          <w:szCs w:val="18"/>
          <w:lang w:val="en-US"/>
        </w:rPr>
        <w:t>Proposal for amendments to ECE/TRANS/WP.29</w:t>
      </w:r>
      <w:r w:rsidR="00B3452C">
        <w:rPr>
          <w:sz w:val="24"/>
          <w:szCs w:val="18"/>
          <w:lang w:val="en-US"/>
        </w:rPr>
        <w:t>/</w:t>
      </w:r>
      <w:r w:rsidR="002F1476" w:rsidRPr="002F1476">
        <w:rPr>
          <w:sz w:val="24"/>
          <w:szCs w:val="18"/>
          <w:lang w:val="en-US"/>
        </w:rPr>
        <w:t>GRVA/2019/23</w:t>
      </w:r>
    </w:p>
    <w:p w14:paraId="0BE5E422" w14:textId="5A17A141" w:rsidR="00B3452C" w:rsidRPr="00B3452C" w:rsidRDefault="002F1476" w:rsidP="00853662">
      <w:pPr>
        <w:pStyle w:val="HChG"/>
        <w:spacing w:before="120" w:line="240" w:lineRule="auto"/>
        <w:jc w:val="both"/>
        <w:rPr>
          <w:b w:val="0"/>
          <w:bCs/>
          <w:lang w:val="en-US"/>
        </w:rPr>
      </w:pPr>
      <w:r>
        <w:rPr>
          <w:sz w:val="24"/>
          <w:szCs w:val="18"/>
          <w:lang w:val="en-US"/>
        </w:rPr>
        <w:tab/>
      </w:r>
      <w:r>
        <w:rPr>
          <w:sz w:val="24"/>
          <w:szCs w:val="18"/>
          <w:lang w:val="en-US"/>
        </w:rPr>
        <w:tab/>
      </w:r>
      <w:r w:rsidR="00B3452C">
        <w:rPr>
          <w:lang w:val="en-US"/>
        </w:rPr>
        <w:tab/>
      </w:r>
      <w:r w:rsidR="00B3452C" w:rsidRPr="00B3452C">
        <w:rPr>
          <w:b w:val="0"/>
          <w:bCs/>
          <w:sz w:val="20"/>
          <w:szCs w:val="14"/>
          <w:lang w:val="en-US"/>
        </w:rPr>
        <w:t xml:space="preserve">The amendments to the text in document </w:t>
      </w:r>
      <w:r w:rsidR="00B3452C">
        <w:rPr>
          <w:b w:val="0"/>
          <w:bCs/>
          <w:sz w:val="20"/>
          <w:szCs w:val="14"/>
          <w:lang w:val="en-US"/>
        </w:rPr>
        <w:t xml:space="preserve">ECE/TRANS/WP.29/GRVA/2019/23 are in </w:t>
      </w:r>
      <w:r w:rsidR="00281BCA">
        <w:rPr>
          <w:b w:val="0"/>
          <w:bCs/>
          <w:sz w:val="20"/>
          <w:szCs w:val="14"/>
          <w:lang w:val="en-US"/>
        </w:rPr>
        <w:t>yellow</w:t>
      </w:r>
      <w:r w:rsidR="00B3452C">
        <w:rPr>
          <w:b w:val="0"/>
          <w:bCs/>
          <w:sz w:val="20"/>
          <w:szCs w:val="14"/>
          <w:lang w:val="en-US"/>
        </w:rPr>
        <w:t xml:space="preserve"> bold for new text and in </w:t>
      </w:r>
      <w:r w:rsidR="00C451CD">
        <w:rPr>
          <w:b w:val="0"/>
          <w:bCs/>
          <w:sz w:val="20"/>
          <w:szCs w:val="14"/>
          <w:lang w:val="en-US"/>
        </w:rPr>
        <w:t>yellow</w:t>
      </w:r>
      <w:r w:rsidR="00B3452C">
        <w:rPr>
          <w:b w:val="0"/>
          <w:bCs/>
          <w:sz w:val="20"/>
          <w:szCs w:val="14"/>
          <w:lang w:val="en-US"/>
        </w:rPr>
        <w:t xml:space="preserve"> strikethrough for deleted text.</w:t>
      </w:r>
    </w:p>
    <w:p w14:paraId="36EB0041" w14:textId="60466914" w:rsidR="004413E7" w:rsidRDefault="002F1476" w:rsidP="004413E7">
      <w:pPr>
        <w:pStyle w:val="HChG"/>
      </w:pPr>
      <w:r>
        <w:tab/>
      </w:r>
      <w:r w:rsidR="004413E7" w:rsidRPr="004C4906">
        <w:t>I.</w:t>
      </w:r>
      <w:r w:rsidR="004413E7" w:rsidRPr="004C4906">
        <w:tab/>
      </w:r>
      <w:r w:rsidR="008749F7">
        <w:rPr>
          <w:color w:val="000000"/>
        </w:rPr>
        <w:t>Proposal</w:t>
      </w:r>
    </w:p>
    <w:p w14:paraId="70759175" w14:textId="580CC3C4" w:rsidR="00DB19B7" w:rsidRPr="00127346" w:rsidRDefault="00DB19B7" w:rsidP="00DB19B7">
      <w:pPr>
        <w:pStyle w:val="SingleTxtG"/>
        <w:ind w:left="2268" w:hanging="1134"/>
        <w:rPr>
          <w:color w:val="000000"/>
        </w:rPr>
      </w:pPr>
      <w:r w:rsidRPr="00127346">
        <w:rPr>
          <w:i/>
          <w:color w:val="000000"/>
        </w:rPr>
        <w:t>Insert new paragraph</w:t>
      </w:r>
      <w:r w:rsidR="007664C4">
        <w:rPr>
          <w:i/>
          <w:color w:val="000000"/>
        </w:rPr>
        <w:t>s</w:t>
      </w:r>
      <w:r w:rsidRPr="00127346">
        <w:rPr>
          <w:i/>
          <w:color w:val="000000"/>
        </w:rPr>
        <w:t xml:space="preserve"> 2.</w:t>
      </w:r>
      <w:r w:rsidRPr="00127346">
        <w:rPr>
          <w:i/>
          <w:color w:val="000000"/>
          <w:lang w:eastAsia="ja-JP"/>
        </w:rPr>
        <w:t>22</w:t>
      </w:r>
      <w:r w:rsidRPr="00127346">
        <w:rPr>
          <w:i/>
          <w:color w:val="000000"/>
        </w:rPr>
        <w:t>.</w:t>
      </w:r>
      <w:r>
        <w:rPr>
          <w:color w:val="000000"/>
        </w:rPr>
        <w:t xml:space="preserve"> and 2.23., </w:t>
      </w:r>
      <w:r w:rsidRPr="00127346">
        <w:rPr>
          <w:color w:val="000000"/>
        </w:rPr>
        <w:t xml:space="preserve">to read: </w:t>
      </w:r>
    </w:p>
    <w:p w14:paraId="695A1928" w14:textId="34D91705" w:rsidR="00DB19B7" w:rsidRPr="00AA3911" w:rsidRDefault="00DB19B7" w:rsidP="00DB19B7">
      <w:pPr>
        <w:spacing w:after="120" w:line="240" w:lineRule="auto"/>
        <w:ind w:left="2268" w:right="1089" w:hanging="1134"/>
        <w:jc w:val="both"/>
        <w:rPr>
          <w:b/>
          <w:color w:val="000000"/>
          <w:highlight w:val="yellow"/>
        </w:rPr>
      </w:pPr>
      <w:r>
        <w:rPr>
          <w:b/>
          <w:color w:val="000000"/>
        </w:rPr>
        <w:t>"</w:t>
      </w:r>
      <w:r w:rsidRPr="00C445D5">
        <w:rPr>
          <w:b/>
          <w:color w:val="000000"/>
        </w:rPr>
        <w:t>2.</w:t>
      </w:r>
      <w:r w:rsidRPr="00C445D5">
        <w:rPr>
          <w:b/>
          <w:color w:val="000000"/>
          <w:lang w:eastAsia="ja-JP"/>
        </w:rPr>
        <w:t>22</w:t>
      </w:r>
      <w:r w:rsidRPr="00C445D5">
        <w:rPr>
          <w:b/>
          <w:color w:val="000000"/>
        </w:rPr>
        <w:t>.</w:t>
      </w:r>
      <w:r w:rsidRPr="00C445D5">
        <w:rPr>
          <w:b/>
          <w:color w:val="000000"/>
        </w:rPr>
        <w:tab/>
      </w:r>
      <w:r>
        <w:rPr>
          <w:b/>
          <w:color w:val="000000"/>
        </w:rPr>
        <w:t>"</w:t>
      </w:r>
      <w:r w:rsidRPr="00C445D5">
        <w:rPr>
          <w:b/>
          <w:i/>
          <w:color w:val="000000"/>
        </w:rPr>
        <w:t>Emergency braking signal</w:t>
      </w:r>
      <w:r>
        <w:rPr>
          <w:b/>
          <w:color w:val="000000"/>
        </w:rPr>
        <w:t>"</w:t>
      </w:r>
      <w:r w:rsidRPr="00C445D5">
        <w:rPr>
          <w:b/>
          <w:color w:val="000000"/>
        </w:rPr>
        <w:t xml:space="preserve"> means logic signal indicating emergency </w:t>
      </w:r>
      <w:r w:rsidRPr="00F412E8">
        <w:rPr>
          <w:b/>
          <w:color w:val="000000"/>
        </w:rPr>
        <w:t xml:space="preserve">braking specified in paragraphs </w:t>
      </w:r>
      <w:r w:rsidRPr="00F412E8">
        <w:rPr>
          <w:b/>
          <w:color w:val="000000"/>
          <w:lang w:eastAsia="ja-JP"/>
        </w:rPr>
        <w:t>3</w:t>
      </w:r>
      <w:r w:rsidRPr="00F412E8">
        <w:rPr>
          <w:b/>
          <w:color w:val="000000"/>
        </w:rPr>
        <w:t xml:space="preserve">.1.15. to </w:t>
      </w:r>
      <w:r w:rsidRPr="00F412E8">
        <w:rPr>
          <w:b/>
          <w:color w:val="000000"/>
          <w:lang w:eastAsia="ja-JP"/>
        </w:rPr>
        <w:t>3</w:t>
      </w:r>
      <w:r w:rsidRPr="00F412E8">
        <w:rPr>
          <w:b/>
          <w:color w:val="000000"/>
        </w:rPr>
        <w:t xml:space="preserve">.1.15.2. of this </w:t>
      </w:r>
      <w:r w:rsidR="00B52AB2">
        <w:rPr>
          <w:b/>
          <w:color w:val="000000"/>
        </w:rPr>
        <w:t>UN GTR</w:t>
      </w:r>
      <w:r w:rsidRPr="00F412E8">
        <w:rPr>
          <w:b/>
          <w:color w:val="000000"/>
        </w:rPr>
        <w:t>.</w:t>
      </w:r>
    </w:p>
    <w:p w14:paraId="408403D9" w14:textId="366BCE23" w:rsidR="00DB19B7" w:rsidRDefault="00DB19B7" w:rsidP="00DB19B7">
      <w:pPr>
        <w:pStyle w:val="SingleTxtG"/>
        <w:ind w:left="2268" w:hanging="1134"/>
        <w:rPr>
          <w:b/>
          <w:bCs/>
          <w:color w:val="000000"/>
        </w:rPr>
      </w:pPr>
      <w:r w:rsidRPr="00404056">
        <w:rPr>
          <w:b/>
          <w:color w:val="000000"/>
        </w:rPr>
        <w:t>2.23.</w:t>
      </w:r>
      <w:r w:rsidRPr="00404056">
        <w:rPr>
          <w:b/>
          <w:color w:val="000000"/>
        </w:rPr>
        <w:tab/>
      </w:r>
      <w:r w:rsidR="009F09BC" w:rsidRPr="009F09BC">
        <w:rPr>
          <w:b/>
          <w:color w:val="000000"/>
        </w:rPr>
        <w:t>"</w:t>
      </w:r>
      <w:r w:rsidR="009F09BC" w:rsidRPr="009F09BC">
        <w:rPr>
          <w:b/>
          <w:i/>
          <w:iCs/>
          <w:color w:val="000000"/>
        </w:rPr>
        <w:t>Disable the antilock brake system</w:t>
      </w:r>
      <w:r w:rsidR="009F09BC" w:rsidRPr="009F09BC">
        <w:rPr>
          <w:b/>
          <w:color w:val="000000"/>
        </w:rPr>
        <w:t>" means to put the system into a state where it will no longer fulfil the technical requirements in paragraph 4.9. of this Regulation.</w:t>
      </w:r>
      <w:r w:rsidR="007664C4" w:rsidRPr="003B5070">
        <w:rPr>
          <w:bCs/>
          <w:color w:val="000000"/>
        </w:rPr>
        <w:t>"</w:t>
      </w:r>
    </w:p>
    <w:p w14:paraId="23948063" w14:textId="2E76D6D7" w:rsidR="00DB19B7" w:rsidRDefault="00DB19B7" w:rsidP="00DB19B7">
      <w:pPr>
        <w:pStyle w:val="SingleTxtG"/>
        <w:ind w:left="2268" w:hanging="1134"/>
        <w:rPr>
          <w:b/>
          <w:bCs/>
          <w:color w:val="000000"/>
        </w:rPr>
      </w:pPr>
      <w:r w:rsidRPr="00127346">
        <w:rPr>
          <w:i/>
          <w:color w:val="000000"/>
        </w:rPr>
        <w:t>Insert new paragraph</w:t>
      </w:r>
      <w:r w:rsidR="00376BFF">
        <w:rPr>
          <w:i/>
          <w:color w:val="000000"/>
        </w:rPr>
        <w:t>s</w:t>
      </w:r>
      <w:r w:rsidRPr="00127346">
        <w:rPr>
          <w:i/>
          <w:color w:val="000000"/>
        </w:rPr>
        <w:t xml:space="preserve"> </w:t>
      </w:r>
      <w:r w:rsidRPr="00127346">
        <w:rPr>
          <w:i/>
          <w:color w:val="000000"/>
          <w:lang w:eastAsia="ja-JP"/>
        </w:rPr>
        <w:t>3</w:t>
      </w:r>
      <w:r w:rsidRPr="00127346">
        <w:rPr>
          <w:i/>
          <w:color w:val="000000"/>
        </w:rPr>
        <w:t>.1.14.</w:t>
      </w:r>
      <w:r w:rsidR="00376BFF" w:rsidRPr="00376BFF">
        <w:rPr>
          <w:i/>
          <w:color w:val="000000"/>
        </w:rPr>
        <w:t xml:space="preserve"> </w:t>
      </w:r>
      <w:r w:rsidR="00376BFF" w:rsidRPr="00127346">
        <w:rPr>
          <w:i/>
          <w:color w:val="000000"/>
        </w:rPr>
        <w:t xml:space="preserve">to </w:t>
      </w:r>
      <w:r w:rsidR="00376BFF" w:rsidRPr="00127346">
        <w:rPr>
          <w:i/>
          <w:color w:val="000000"/>
          <w:lang w:eastAsia="ja-JP"/>
        </w:rPr>
        <w:t>3</w:t>
      </w:r>
      <w:r w:rsidR="00376BFF" w:rsidRPr="00127346">
        <w:rPr>
          <w:i/>
          <w:color w:val="000000"/>
        </w:rPr>
        <w:t>.1.1</w:t>
      </w:r>
      <w:r w:rsidR="007664C4">
        <w:rPr>
          <w:i/>
          <w:color w:val="000000"/>
        </w:rPr>
        <w:t>6</w:t>
      </w:r>
      <w:r w:rsidR="00376BFF" w:rsidRPr="00127346">
        <w:rPr>
          <w:i/>
          <w:color w:val="000000"/>
        </w:rPr>
        <w:t>.</w:t>
      </w:r>
      <w:r w:rsidRPr="00127346">
        <w:rPr>
          <w:i/>
          <w:color w:val="000000"/>
        </w:rPr>
        <w:t xml:space="preserve">, </w:t>
      </w:r>
      <w:r w:rsidRPr="00127346">
        <w:rPr>
          <w:color w:val="000000"/>
        </w:rPr>
        <w:t>to read:</w:t>
      </w:r>
    </w:p>
    <w:p w14:paraId="130E26AA" w14:textId="3B23C1A9" w:rsidR="00DB19B7" w:rsidRDefault="00DB19B7" w:rsidP="00DB19B7">
      <w:pPr>
        <w:pStyle w:val="SingleTxtG"/>
        <w:ind w:left="2268" w:hanging="1134"/>
        <w:rPr>
          <w:b/>
          <w:color w:val="000000"/>
        </w:rPr>
      </w:pPr>
      <w:r>
        <w:rPr>
          <w:b/>
          <w:color w:val="000000"/>
        </w:rPr>
        <w:t>"</w:t>
      </w:r>
      <w:r w:rsidRPr="00C445D5">
        <w:rPr>
          <w:b/>
          <w:color w:val="000000"/>
        </w:rPr>
        <w:t>3.1.14.</w:t>
      </w:r>
      <w:r w:rsidRPr="00C445D5">
        <w:rPr>
          <w:b/>
          <w:color w:val="000000"/>
        </w:rPr>
        <w:tab/>
      </w:r>
      <w:r w:rsidR="009F09BC" w:rsidRPr="009F09BC">
        <w:rPr>
          <w:b/>
          <w:color w:val="000000"/>
        </w:rPr>
        <w:t>The effectiveness of the braking systems, including the anti-lock system, shall not be adversely affected by magnetic or electrical fields. This shall be demonstrated by fulfilling the technical requirements in national standards or regulations, if applicable.</w:t>
      </w:r>
    </w:p>
    <w:p w14:paraId="6866B4F4" w14:textId="65C94BA8" w:rsidR="00DB19B7" w:rsidRPr="00C445D5" w:rsidRDefault="00DB19B7" w:rsidP="00DB19B7">
      <w:pPr>
        <w:spacing w:after="120" w:line="240" w:lineRule="auto"/>
        <w:ind w:left="2268" w:right="1089" w:hanging="1134"/>
        <w:jc w:val="both"/>
        <w:rPr>
          <w:b/>
          <w:color w:val="000000"/>
        </w:rPr>
      </w:pPr>
      <w:r w:rsidRPr="00C445D5">
        <w:rPr>
          <w:b/>
          <w:color w:val="000000"/>
          <w:lang w:eastAsia="ja-JP"/>
        </w:rPr>
        <w:t>3</w:t>
      </w:r>
      <w:r w:rsidRPr="00C445D5">
        <w:rPr>
          <w:b/>
          <w:color w:val="000000"/>
        </w:rPr>
        <w:t>.1.15.</w:t>
      </w:r>
      <w:r w:rsidRPr="00C445D5">
        <w:rPr>
          <w:b/>
          <w:color w:val="000000"/>
        </w:rPr>
        <w:tab/>
      </w:r>
      <w:r w:rsidR="009F09BC" w:rsidRPr="009F09BC">
        <w:rPr>
          <w:b/>
          <w:color w:val="000000"/>
        </w:rPr>
        <w:t>If a vehicle is equipped with the means to indicate emergency braking, activation and de-activation of the emergency braking signal shall only be generated by the application of any service braking system when the conditions in paragraphs 3.1.15.1. through 3.1.15.2. are fulfilled</w:t>
      </w:r>
      <w:r w:rsidRPr="00C445D5">
        <w:rPr>
          <w:b/>
          <w:color w:val="000000"/>
        </w:rPr>
        <w:t>:</w:t>
      </w:r>
    </w:p>
    <w:p w14:paraId="4738E1E3" w14:textId="2C824B0B" w:rsidR="00DB19B7" w:rsidRPr="00C445D5" w:rsidRDefault="00DB19B7" w:rsidP="00DB19B7">
      <w:pPr>
        <w:spacing w:after="120" w:line="240" w:lineRule="auto"/>
        <w:ind w:left="2268" w:right="1089" w:hanging="1134"/>
        <w:jc w:val="both"/>
        <w:rPr>
          <w:b/>
          <w:color w:val="000000"/>
        </w:rPr>
      </w:pPr>
      <w:r w:rsidRPr="00C445D5">
        <w:rPr>
          <w:b/>
          <w:color w:val="000000"/>
          <w:lang w:eastAsia="ja-JP"/>
        </w:rPr>
        <w:t>3</w:t>
      </w:r>
      <w:r w:rsidRPr="00C445D5">
        <w:rPr>
          <w:b/>
          <w:color w:val="000000"/>
        </w:rPr>
        <w:t>.1.15.1.</w:t>
      </w:r>
      <w:r w:rsidRPr="00C445D5">
        <w:rPr>
          <w:b/>
          <w:color w:val="000000"/>
        </w:rPr>
        <w:tab/>
      </w:r>
      <w:r w:rsidR="009F09BC" w:rsidRPr="009F09BC">
        <w:rPr>
          <w:b/>
          <w:color w:val="000000"/>
        </w:rPr>
        <w:t xml:space="preserve">The signal shall not be activated when the vehicle deceleration is below </w:t>
      </w:r>
      <w:r w:rsidR="009F09BC" w:rsidRPr="00AA5BA8">
        <w:rPr>
          <w:b/>
          <w:color w:val="000000"/>
        </w:rPr>
        <w:t>6</w:t>
      </w:r>
      <w:r w:rsidR="00AA5BA8">
        <w:rPr>
          <w:b/>
          <w:color w:val="000000"/>
        </w:rPr>
        <w:t xml:space="preserve"> </w:t>
      </w:r>
      <w:r w:rsidR="009F09BC" w:rsidRPr="009F09BC">
        <w:rPr>
          <w:b/>
          <w:color w:val="000000"/>
        </w:rPr>
        <w:t>m/s</w:t>
      </w:r>
      <w:r w:rsidR="009F09BC" w:rsidRPr="00B17729">
        <w:rPr>
          <w:b/>
          <w:color w:val="000000"/>
          <w:vertAlign w:val="superscript"/>
        </w:rPr>
        <w:t>2</w:t>
      </w:r>
      <w:r w:rsidR="009F09BC" w:rsidRPr="009F09BC">
        <w:rPr>
          <w:b/>
          <w:color w:val="000000"/>
        </w:rPr>
        <w:t xml:space="preserve"> but it may be generated at any deceleration at or above this value, the actual value being defined by the vehicle manufacturer</w:t>
      </w:r>
      <w:r w:rsidRPr="00C445D5">
        <w:rPr>
          <w:b/>
          <w:color w:val="000000"/>
        </w:rPr>
        <w:t>.</w:t>
      </w:r>
    </w:p>
    <w:p w14:paraId="6C3E94DC" w14:textId="77777777" w:rsidR="00DB19B7" w:rsidRPr="00C445D5" w:rsidRDefault="00DB19B7" w:rsidP="00DB19B7">
      <w:pPr>
        <w:spacing w:after="120" w:line="240" w:lineRule="auto"/>
        <w:ind w:left="2268" w:right="1089" w:hanging="1134"/>
        <w:jc w:val="both"/>
        <w:rPr>
          <w:b/>
          <w:color w:val="000000"/>
        </w:rPr>
      </w:pPr>
      <w:r w:rsidRPr="00C445D5">
        <w:rPr>
          <w:b/>
          <w:color w:val="000000"/>
        </w:rPr>
        <w:tab/>
        <w:t>The signal shall be de-activated at the latest when the deceleration has fallen below 2.5 m/s</w:t>
      </w:r>
      <w:r w:rsidRPr="00C445D5">
        <w:rPr>
          <w:b/>
          <w:color w:val="000000"/>
          <w:vertAlign w:val="superscript"/>
        </w:rPr>
        <w:t>2</w:t>
      </w:r>
      <w:r w:rsidRPr="00C445D5">
        <w:rPr>
          <w:b/>
          <w:color w:val="000000"/>
        </w:rPr>
        <w:t>;</w:t>
      </w:r>
    </w:p>
    <w:p w14:paraId="37E19C21" w14:textId="17F6A703" w:rsidR="00DB19B7" w:rsidRPr="00B31187" w:rsidRDefault="00DB19B7" w:rsidP="00DB19B7">
      <w:pPr>
        <w:pStyle w:val="SingleTxtG"/>
        <w:ind w:left="2268" w:hanging="1134"/>
        <w:rPr>
          <w:b/>
          <w:color w:val="000000"/>
        </w:rPr>
      </w:pPr>
      <w:r w:rsidRPr="00225540">
        <w:rPr>
          <w:b/>
          <w:color w:val="000000"/>
        </w:rPr>
        <w:t>3.1.15.2.</w:t>
      </w:r>
      <w:r w:rsidRPr="00225540">
        <w:rPr>
          <w:b/>
          <w:color w:val="000000"/>
        </w:rPr>
        <w:tab/>
        <w:t xml:space="preserve">The signal may be activated at a speed above 50 km/h when the antilock system is fully cycling (as defined in paragraph </w:t>
      </w:r>
      <w:r w:rsidRPr="00D9031D">
        <w:rPr>
          <w:b/>
          <w:color w:val="000000"/>
          <w:lang w:eastAsia="ja-JP"/>
        </w:rPr>
        <w:t>4.9.1.</w:t>
      </w:r>
      <w:r w:rsidRPr="00D9031D">
        <w:rPr>
          <w:b/>
          <w:color w:val="000000"/>
        </w:rPr>
        <w:t>) and deceleration is at least 2.5 m/s</w:t>
      </w:r>
      <w:r w:rsidRPr="00D9031D">
        <w:rPr>
          <w:b/>
          <w:color w:val="000000"/>
          <w:vertAlign w:val="superscript"/>
        </w:rPr>
        <w:t>2</w:t>
      </w:r>
      <w:r w:rsidRPr="00D9031D">
        <w:rPr>
          <w:b/>
          <w:color w:val="000000"/>
        </w:rPr>
        <w:t xml:space="preserve">. The signal shall be deactivated when the antilock system is no longer fully </w:t>
      </w:r>
      <w:r w:rsidRPr="00281BCA">
        <w:rPr>
          <w:b/>
        </w:rPr>
        <w:t>cycling</w:t>
      </w:r>
      <w:r w:rsidR="00441CE4" w:rsidRPr="00281BCA">
        <w:rPr>
          <w:b/>
          <w:highlight w:val="yellow"/>
        </w:rPr>
        <w:t>.</w:t>
      </w:r>
      <w:r w:rsidRPr="00281BCA">
        <w:rPr>
          <w:b/>
          <w:strike/>
          <w:highlight w:val="yellow"/>
        </w:rPr>
        <w:t>; or</w:t>
      </w:r>
      <w:r w:rsidR="005B1AA1" w:rsidRPr="00281BCA">
        <w:rPr>
          <w:b/>
          <w:strike/>
          <w:highlight w:val="yellow"/>
        </w:rPr>
        <w:t>,</w:t>
      </w:r>
    </w:p>
    <w:p w14:paraId="652F8084" w14:textId="30DA5F29" w:rsidR="00DB19B7" w:rsidRDefault="00DB19B7" w:rsidP="00DB19B7">
      <w:pPr>
        <w:pStyle w:val="SingleTxtG"/>
        <w:ind w:left="2268" w:hanging="1134"/>
        <w:rPr>
          <w:b/>
          <w:color w:val="000000"/>
        </w:rPr>
      </w:pPr>
      <w:r w:rsidRPr="00225540">
        <w:rPr>
          <w:b/>
          <w:color w:val="000000"/>
        </w:rPr>
        <w:t>3.1.15.3.</w:t>
      </w:r>
      <w:r w:rsidRPr="00B31187">
        <w:rPr>
          <w:b/>
          <w:color w:val="000000"/>
        </w:rPr>
        <w:tab/>
        <w:t>The signal may be generated from a prediction of the vehicle deceleration resulting from the braking demand respecting the activation and de-activation thresholds defined in paragraph 3.1.15.1</w:t>
      </w:r>
      <w:r w:rsidR="00BE7A67">
        <w:rPr>
          <w:b/>
          <w:color w:val="000000"/>
        </w:rPr>
        <w:t>.</w:t>
      </w:r>
      <w:r w:rsidRPr="00B31187">
        <w:rPr>
          <w:b/>
          <w:color w:val="000000"/>
        </w:rPr>
        <w:t xml:space="preserve"> above</w:t>
      </w:r>
      <w:r w:rsidR="005B1AA1">
        <w:rPr>
          <w:b/>
          <w:color w:val="000000"/>
        </w:rPr>
        <w:t>;</w:t>
      </w:r>
    </w:p>
    <w:p w14:paraId="18088A44" w14:textId="17F37D3F" w:rsidR="00DB19B7" w:rsidRPr="00225540" w:rsidRDefault="00DB19B7" w:rsidP="00DB19B7">
      <w:pPr>
        <w:pStyle w:val="SingleTxtG"/>
        <w:ind w:left="2268" w:hanging="1134"/>
        <w:rPr>
          <w:b/>
          <w:color w:val="000000"/>
        </w:rPr>
      </w:pPr>
      <w:bookmarkStart w:id="0" w:name="_Hlk516824128"/>
      <w:r w:rsidRPr="00A00B7E">
        <w:rPr>
          <w:b/>
          <w:color w:val="000000"/>
        </w:rPr>
        <w:t>3.1.16.</w:t>
      </w:r>
      <w:bookmarkEnd w:id="0"/>
      <w:r w:rsidRPr="00A00B7E">
        <w:rPr>
          <w:b/>
          <w:color w:val="000000"/>
        </w:rPr>
        <w:tab/>
      </w:r>
      <w:bookmarkStart w:id="1" w:name="_Hlk516824857"/>
      <w:r w:rsidR="004B24BC" w:rsidRPr="004B24BC">
        <w:rPr>
          <w:b/>
          <w:color w:val="000000"/>
        </w:rPr>
        <w:t>A means to disable the antilock brake system is allowed, if vehicles are fitted with a riding mode selector allowing an "off-road" or "all terrain" mode, and the following provisions are met</w:t>
      </w:r>
      <w:r w:rsidRPr="00225540">
        <w:rPr>
          <w:b/>
          <w:color w:val="000000"/>
        </w:rPr>
        <w:t>:</w:t>
      </w:r>
    </w:p>
    <w:bookmarkEnd w:id="1"/>
    <w:p w14:paraId="1AAD0595" w14:textId="77777777" w:rsidR="00DB19B7" w:rsidRPr="00350226" w:rsidRDefault="00DB19B7" w:rsidP="004B24BC">
      <w:pPr>
        <w:pStyle w:val="SingleTxtG"/>
        <w:ind w:left="2268"/>
      </w:pPr>
      <w:r w:rsidRPr="00225540">
        <w:rPr>
          <w:b/>
          <w:color w:val="000000"/>
        </w:rPr>
        <w:t>(a)</w:t>
      </w:r>
      <w:r w:rsidRPr="00225540">
        <w:rPr>
          <w:b/>
          <w:color w:val="000000"/>
        </w:rPr>
        <w:tab/>
      </w:r>
      <w:r w:rsidR="004B24BC" w:rsidRPr="004B24BC">
        <w:rPr>
          <w:b/>
          <w:color w:val="000000"/>
        </w:rPr>
        <w:t>Disabling of the antilock brake system function shall only be allowed when the riding mode selector is in the "off-road" or "all terrain" mode; and</w:t>
      </w:r>
    </w:p>
    <w:p w14:paraId="7ABBE56A" w14:textId="0BD31C9B" w:rsidR="00DB19B7" w:rsidRPr="00225540" w:rsidRDefault="00DB19B7" w:rsidP="00DB19B7">
      <w:pPr>
        <w:pStyle w:val="SingleTxtG"/>
        <w:ind w:left="2268" w:hanging="1134"/>
        <w:rPr>
          <w:b/>
          <w:color w:val="000000"/>
        </w:rPr>
      </w:pPr>
      <w:r w:rsidRPr="00350226">
        <w:rPr>
          <w:b/>
          <w:color w:val="000000"/>
        </w:rPr>
        <w:tab/>
        <w:t>(b)</w:t>
      </w:r>
      <w:r w:rsidRPr="00350226">
        <w:rPr>
          <w:b/>
          <w:color w:val="000000"/>
        </w:rPr>
        <w:tab/>
      </w:r>
      <w:r w:rsidRPr="00225540">
        <w:rPr>
          <w:b/>
          <w:color w:val="000000"/>
        </w:rPr>
        <w:t>The vehicle is stationary; and</w:t>
      </w:r>
    </w:p>
    <w:p w14:paraId="155D0DDE" w14:textId="77777777" w:rsidR="00DB19B7" w:rsidRPr="00127346" w:rsidRDefault="00DB19B7" w:rsidP="00DB19B7">
      <w:pPr>
        <w:pStyle w:val="SingleTxtG"/>
        <w:ind w:left="2268" w:hanging="1134"/>
        <w:rPr>
          <w:b/>
          <w:color w:val="000000"/>
        </w:rPr>
      </w:pPr>
      <w:r w:rsidRPr="00350226">
        <w:rPr>
          <w:b/>
          <w:color w:val="000000"/>
        </w:rPr>
        <w:tab/>
        <w:t>(c)</w:t>
      </w:r>
      <w:r w:rsidRPr="00350226">
        <w:rPr>
          <w:b/>
          <w:color w:val="000000"/>
        </w:rPr>
        <w:tab/>
      </w:r>
      <w:r w:rsidR="004B24BC" w:rsidRPr="004B24BC">
        <w:rPr>
          <w:b/>
          <w:color w:val="000000"/>
        </w:rPr>
        <w:t>The disablement of the antilock brake system function shall be the result of a deliberate action by the rider according to one of the following methods</w:t>
      </w:r>
      <w:r w:rsidRPr="00350226">
        <w:rPr>
          <w:b/>
          <w:color w:val="000000"/>
        </w:rPr>
        <w:t>:</w:t>
      </w:r>
    </w:p>
    <w:p w14:paraId="2DE9C8F4" w14:textId="77777777" w:rsidR="00DB19B7" w:rsidRPr="00127346" w:rsidRDefault="00DB19B7" w:rsidP="00DB19B7">
      <w:pPr>
        <w:pStyle w:val="SingleTxtG"/>
        <w:ind w:left="3261" w:hanging="426"/>
        <w:rPr>
          <w:b/>
          <w:color w:val="000000"/>
        </w:rPr>
      </w:pPr>
      <w:r w:rsidRPr="00127346">
        <w:rPr>
          <w:b/>
          <w:color w:val="000000"/>
        </w:rPr>
        <w:t>(</w:t>
      </w:r>
      <w:proofErr w:type="spellStart"/>
      <w:r w:rsidRPr="00127346">
        <w:rPr>
          <w:b/>
          <w:color w:val="000000"/>
        </w:rPr>
        <w:t>i</w:t>
      </w:r>
      <w:proofErr w:type="spellEnd"/>
      <w:r w:rsidRPr="00127346">
        <w:rPr>
          <w:b/>
          <w:color w:val="000000"/>
        </w:rPr>
        <w:t>)</w:t>
      </w:r>
      <w:r w:rsidRPr="00127346">
        <w:rPr>
          <w:b/>
          <w:color w:val="000000"/>
        </w:rPr>
        <w:tab/>
      </w:r>
      <w:r w:rsidR="004B24BC" w:rsidRPr="004B24BC">
        <w:rPr>
          <w:b/>
          <w:color w:val="000000"/>
        </w:rPr>
        <w:t>Simultaneous actuation of the antilock braking system disable-switch and a service brake system control (i.e. brake lever or pedal); or</w:t>
      </w:r>
    </w:p>
    <w:p w14:paraId="7CCF012B" w14:textId="77777777" w:rsidR="00DB19B7" w:rsidRPr="00127346" w:rsidRDefault="00DB19B7" w:rsidP="00DB19B7">
      <w:pPr>
        <w:pStyle w:val="SingleTxtG"/>
        <w:ind w:left="3261" w:hanging="426"/>
        <w:rPr>
          <w:b/>
          <w:color w:val="000000"/>
        </w:rPr>
      </w:pPr>
      <w:r w:rsidRPr="00127346">
        <w:rPr>
          <w:b/>
          <w:color w:val="000000"/>
        </w:rPr>
        <w:lastRenderedPageBreak/>
        <w:t>(ii)</w:t>
      </w:r>
      <w:r w:rsidRPr="00127346">
        <w:rPr>
          <w:b/>
          <w:color w:val="000000"/>
        </w:rPr>
        <w:tab/>
      </w:r>
      <w:r w:rsidR="004B24BC" w:rsidRPr="004B24BC">
        <w:rPr>
          <w:b/>
          <w:color w:val="000000"/>
        </w:rPr>
        <w:t>The actuation of the antilock brake system disable-switch for a minimum of two seconds; or</w:t>
      </w:r>
    </w:p>
    <w:p w14:paraId="2C6CC83B" w14:textId="77777777" w:rsidR="00DB19B7" w:rsidRPr="00127346" w:rsidRDefault="00DB19B7" w:rsidP="00DB19B7">
      <w:pPr>
        <w:pStyle w:val="SingleTxtG"/>
        <w:ind w:left="3261" w:hanging="426"/>
        <w:rPr>
          <w:b/>
          <w:color w:val="000000"/>
        </w:rPr>
      </w:pPr>
      <w:r w:rsidRPr="00127346">
        <w:rPr>
          <w:b/>
          <w:color w:val="000000"/>
        </w:rPr>
        <w:t>(iii)</w:t>
      </w:r>
      <w:r w:rsidRPr="00127346">
        <w:rPr>
          <w:b/>
          <w:color w:val="000000"/>
        </w:rPr>
        <w:tab/>
      </w:r>
      <w:r w:rsidR="004B24BC" w:rsidRPr="004B24BC">
        <w:rPr>
          <w:b/>
          <w:color w:val="000000"/>
        </w:rPr>
        <w:t>The progression through at least two successive steps or levels of actuation of a control (e.g. rotating knob, a touch panel or a menu option selector).</w:t>
      </w:r>
    </w:p>
    <w:p w14:paraId="644A51C7" w14:textId="77777777" w:rsidR="00DB19B7" w:rsidRDefault="00DB19B7" w:rsidP="00DB19B7">
      <w:pPr>
        <w:pStyle w:val="SingleTxtG"/>
        <w:ind w:left="2268"/>
        <w:rPr>
          <w:b/>
          <w:color w:val="000000"/>
        </w:rPr>
      </w:pPr>
      <w:r w:rsidRPr="00127346">
        <w:rPr>
          <w:b/>
          <w:color w:val="000000"/>
        </w:rPr>
        <w:t>(</w:t>
      </w:r>
      <w:r>
        <w:rPr>
          <w:b/>
          <w:color w:val="000000"/>
        </w:rPr>
        <w:t>d</w:t>
      </w:r>
      <w:r w:rsidRPr="00127346">
        <w:rPr>
          <w:b/>
          <w:color w:val="000000"/>
        </w:rPr>
        <w:t>)</w:t>
      </w:r>
      <w:r w:rsidRPr="00127346">
        <w:rPr>
          <w:b/>
          <w:color w:val="000000"/>
        </w:rPr>
        <w:tab/>
      </w:r>
      <w:r w:rsidR="004B24BC" w:rsidRPr="004B24BC">
        <w:rPr>
          <w:b/>
          <w:color w:val="000000"/>
        </w:rPr>
        <w:t>The antilock brake system function shall be automatically enabled when exiting from the "off-road" or "all-terrain" ride mode, or after each start-up of the vehicle.</w:t>
      </w:r>
    </w:p>
    <w:p w14:paraId="1230310A" w14:textId="77777777" w:rsidR="00DB19B7" w:rsidRPr="00D85489" w:rsidRDefault="00DB19B7" w:rsidP="00DB19B7">
      <w:pPr>
        <w:pStyle w:val="SingleTxtG"/>
        <w:ind w:left="2268"/>
        <w:rPr>
          <w:b/>
          <w:color w:val="000000"/>
        </w:rPr>
      </w:pPr>
      <w:r w:rsidRPr="00D85489">
        <w:rPr>
          <w:b/>
          <w:color w:val="000000"/>
        </w:rPr>
        <w:t>(e)</w:t>
      </w:r>
      <w:r w:rsidRPr="00D85489">
        <w:rPr>
          <w:b/>
          <w:color w:val="000000"/>
        </w:rPr>
        <w:tab/>
      </w:r>
      <w:bookmarkStart w:id="2" w:name="_Hlk512524343"/>
      <w:r w:rsidR="004B24BC" w:rsidRPr="004B24BC">
        <w:rPr>
          <w:b/>
          <w:color w:val="000000"/>
        </w:rPr>
        <w:t>When disabled, the antilock brake system function shall be indicated by the activation of a yellow or amber tell-tale according to one of the following methods until the ABS is fully functional or operating again</w:t>
      </w:r>
      <w:r w:rsidRPr="00D85489">
        <w:rPr>
          <w:b/>
          <w:color w:val="000000"/>
        </w:rPr>
        <w:t>:</w:t>
      </w:r>
    </w:p>
    <w:p w14:paraId="5DD5F5C4" w14:textId="77777777" w:rsidR="00DB19B7" w:rsidRDefault="00DB19B7" w:rsidP="00DB19B7">
      <w:pPr>
        <w:pStyle w:val="SingleTxtG"/>
        <w:ind w:left="3402" w:hanging="567"/>
        <w:rPr>
          <w:b/>
          <w:color w:val="000000"/>
        </w:rPr>
      </w:pPr>
      <w:r w:rsidRPr="00D85489">
        <w:rPr>
          <w:b/>
          <w:color w:val="000000"/>
        </w:rPr>
        <w:t>(</w:t>
      </w:r>
      <w:proofErr w:type="spellStart"/>
      <w:r w:rsidRPr="00D85489">
        <w:rPr>
          <w:b/>
          <w:color w:val="000000"/>
        </w:rPr>
        <w:t>i</w:t>
      </w:r>
      <w:proofErr w:type="spellEnd"/>
      <w:r w:rsidRPr="00D85489">
        <w:rPr>
          <w:b/>
          <w:color w:val="000000"/>
        </w:rPr>
        <w:t>)</w:t>
      </w:r>
      <w:r w:rsidRPr="00D85489">
        <w:rPr>
          <w:b/>
          <w:color w:val="000000"/>
        </w:rPr>
        <w:tab/>
        <w:t xml:space="preserve">The </w:t>
      </w:r>
      <w:r>
        <w:rPr>
          <w:b/>
          <w:color w:val="000000"/>
        </w:rPr>
        <w:t xml:space="preserve">following </w:t>
      </w:r>
      <w:r w:rsidRPr="00D85489">
        <w:rPr>
          <w:b/>
          <w:color w:val="000000"/>
        </w:rPr>
        <w:t>symbol as specified in B.18 in ISO 2575:2010</w:t>
      </w:r>
      <w:r>
        <w:rPr>
          <w:b/>
          <w:color w:val="000000"/>
        </w:rPr>
        <w:t>:</w:t>
      </w:r>
    </w:p>
    <w:p w14:paraId="744255B0" w14:textId="77777777" w:rsidR="00DB19B7" w:rsidRDefault="00DB19B7" w:rsidP="00DB19B7">
      <w:pPr>
        <w:pStyle w:val="SingleTxtG"/>
        <w:ind w:left="3402" w:hanging="567"/>
        <w:rPr>
          <w:b/>
          <w:color w:val="000000"/>
        </w:rPr>
      </w:pPr>
      <w:r w:rsidRPr="00D85489">
        <w:rPr>
          <w:noProof/>
          <w:lang w:val="it-IT" w:eastAsia="it-IT"/>
        </w:rPr>
        <w:drawing>
          <wp:inline distT="0" distB="0" distL="0" distR="0" wp14:anchorId="5D8BB96D" wp14:editId="54556BB4">
            <wp:extent cx="577635" cy="5702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49" cy="586335"/>
                    </a:xfrm>
                    <a:prstGeom prst="rect">
                      <a:avLst/>
                    </a:prstGeom>
                  </pic:spPr>
                </pic:pic>
              </a:graphicData>
            </a:graphic>
          </wp:inline>
        </w:drawing>
      </w:r>
    </w:p>
    <w:p w14:paraId="2FDE39F3" w14:textId="77777777" w:rsidR="00DB19B7" w:rsidRPr="00D85489" w:rsidRDefault="00DB19B7" w:rsidP="00DB19B7">
      <w:pPr>
        <w:pStyle w:val="SingleTxtG"/>
        <w:ind w:left="3402" w:hanging="567"/>
        <w:rPr>
          <w:b/>
          <w:color w:val="000000"/>
        </w:rPr>
      </w:pPr>
      <w:r>
        <w:rPr>
          <w:b/>
          <w:color w:val="000000"/>
        </w:rPr>
        <w:t>O</w:t>
      </w:r>
      <w:r w:rsidRPr="00D85489">
        <w:rPr>
          <w:b/>
          <w:color w:val="000000"/>
        </w:rPr>
        <w:t>r</w:t>
      </w:r>
    </w:p>
    <w:p w14:paraId="7B61E03D" w14:textId="77777777" w:rsidR="00DB19B7" w:rsidRDefault="00DB19B7" w:rsidP="00DB19B7">
      <w:pPr>
        <w:pStyle w:val="SingleTxtG"/>
        <w:ind w:left="3402" w:hanging="567"/>
        <w:rPr>
          <w:b/>
          <w:color w:val="000000"/>
        </w:rPr>
      </w:pPr>
      <w:r w:rsidRPr="00D85489">
        <w:rPr>
          <w:b/>
          <w:color w:val="000000"/>
        </w:rPr>
        <w:t>(ii)</w:t>
      </w:r>
      <w:r w:rsidRPr="00D85489">
        <w:rPr>
          <w:b/>
          <w:color w:val="000000"/>
        </w:rPr>
        <w:tab/>
        <w:t xml:space="preserve">The </w:t>
      </w:r>
      <w:r>
        <w:rPr>
          <w:b/>
          <w:color w:val="000000"/>
        </w:rPr>
        <w:t xml:space="preserve">following </w:t>
      </w:r>
      <w:r w:rsidRPr="00D85489">
        <w:rPr>
          <w:b/>
          <w:color w:val="000000"/>
        </w:rPr>
        <w:t>symbol as specified in B.05 of ISO 2575:2010</w:t>
      </w:r>
      <w:r>
        <w:rPr>
          <w:b/>
          <w:color w:val="000000"/>
        </w:rPr>
        <w:t>:</w:t>
      </w:r>
    </w:p>
    <w:p w14:paraId="74E47081" w14:textId="77777777" w:rsidR="00DB19B7" w:rsidRDefault="00DB19B7" w:rsidP="00DB19B7">
      <w:pPr>
        <w:pStyle w:val="SingleTxtG"/>
        <w:ind w:left="3402" w:hanging="567"/>
        <w:rPr>
          <w:b/>
          <w:color w:val="000000"/>
        </w:rPr>
      </w:pPr>
      <w:r w:rsidRPr="00D85489">
        <w:rPr>
          <w:noProof/>
          <w:lang w:val="it-IT" w:eastAsia="it-IT"/>
        </w:rPr>
        <w:drawing>
          <wp:inline distT="0" distB="0" distL="0" distR="0" wp14:anchorId="6C11C1D0" wp14:editId="4EF0B2D7">
            <wp:extent cx="624505" cy="61087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6077" cy="631971"/>
                    </a:xfrm>
                    <a:prstGeom prst="rect">
                      <a:avLst/>
                    </a:prstGeom>
                  </pic:spPr>
                </pic:pic>
              </a:graphicData>
            </a:graphic>
          </wp:inline>
        </w:drawing>
      </w:r>
    </w:p>
    <w:p w14:paraId="7ABCF7E0" w14:textId="77777777" w:rsidR="00DB19B7" w:rsidRDefault="00DB19B7" w:rsidP="00DB19B7">
      <w:pPr>
        <w:pStyle w:val="SingleTxtG"/>
        <w:ind w:left="2835"/>
        <w:rPr>
          <w:b/>
          <w:color w:val="000000"/>
        </w:rPr>
      </w:pPr>
      <w:r>
        <w:rPr>
          <w:b/>
          <w:color w:val="000000"/>
        </w:rPr>
        <w:t>W</w:t>
      </w:r>
      <w:r w:rsidRPr="00D85489">
        <w:rPr>
          <w:b/>
          <w:color w:val="000000"/>
        </w:rPr>
        <w:t xml:space="preserve">ith the word </w:t>
      </w:r>
      <w:r>
        <w:rPr>
          <w:b/>
          <w:color w:val="000000"/>
        </w:rPr>
        <w:t>"</w:t>
      </w:r>
      <w:r w:rsidRPr="00D85489">
        <w:rPr>
          <w:b/>
          <w:color w:val="000000"/>
        </w:rPr>
        <w:t>OFF</w:t>
      </w:r>
      <w:r>
        <w:rPr>
          <w:b/>
          <w:color w:val="000000"/>
        </w:rPr>
        <w:t xml:space="preserve">" as follows, </w:t>
      </w:r>
      <w:r w:rsidRPr="00D85489">
        <w:rPr>
          <w:b/>
          <w:color w:val="000000"/>
        </w:rPr>
        <w:t xml:space="preserve">according to Y.01 in ISO 2575:2010, whereby </w:t>
      </w:r>
      <w:r w:rsidRPr="00B31187">
        <w:rPr>
          <w:b/>
          <w:color w:val="000000"/>
        </w:rPr>
        <w:t xml:space="preserve">the tell tales are adjacent to </w:t>
      </w:r>
      <w:r>
        <w:rPr>
          <w:b/>
          <w:color w:val="000000"/>
        </w:rPr>
        <w:t xml:space="preserve">each </w:t>
      </w:r>
      <w:r w:rsidRPr="00B31187">
        <w:rPr>
          <w:b/>
          <w:color w:val="000000"/>
        </w:rPr>
        <w:t>other</w:t>
      </w:r>
      <w:r w:rsidRPr="00225540">
        <w:rPr>
          <w:b/>
          <w:color w:val="000000"/>
        </w:rPr>
        <w:t>:</w:t>
      </w:r>
    </w:p>
    <w:p w14:paraId="3E7E45AF" w14:textId="77777777" w:rsidR="00DB19B7" w:rsidRDefault="00DB19B7" w:rsidP="00DB19B7">
      <w:pPr>
        <w:pStyle w:val="SingleTxtG"/>
        <w:ind w:left="3402" w:hanging="567"/>
        <w:rPr>
          <w:b/>
          <w:color w:val="000000"/>
        </w:rPr>
      </w:pPr>
      <w:r w:rsidRPr="00D85489">
        <w:rPr>
          <w:noProof/>
          <w:lang w:val="it-IT" w:eastAsia="it-IT"/>
        </w:rPr>
        <w:drawing>
          <wp:inline distT="0" distB="0" distL="0" distR="0" wp14:anchorId="7A8A159A" wp14:editId="1E6BB8AC">
            <wp:extent cx="635000" cy="6101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0020" cy="634192"/>
                    </a:xfrm>
                    <a:prstGeom prst="rect">
                      <a:avLst/>
                    </a:prstGeom>
                  </pic:spPr>
                </pic:pic>
              </a:graphicData>
            </a:graphic>
          </wp:inline>
        </w:drawing>
      </w:r>
    </w:p>
    <w:p w14:paraId="0D44276A" w14:textId="77777777" w:rsidR="00DB19B7" w:rsidRDefault="00DB19B7" w:rsidP="00DB19B7">
      <w:pPr>
        <w:pStyle w:val="SingleTxtG"/>
        <w:ind w:left="2835"/>
        <w:rPr>
          <w:b/>
          <w:color w:val="000000"/>
        </w:rPr>
      </w:pPr>
      <w:r w:rsidRPr="00D85489">
        <w:rPr>
          <w:b/>
          <w:color w:val="000000"/>
        </w:rPr>
        <w:t>Or</w:t>
      </w:r>
      <w:r>
        <w:rPr>
          <w:b/>
          <w:color w:val="000000"/>
        </w:rPr>
        <w:t>;</w:t>
      </w:r>
    </w:p>
    <w:p w14:paraId="0AA8C303" w14:textId="77777777" w:rsidR="00DB19B7" w:rsidRPr="00D85489" w:rsidRDefault="00DB19B7" w:rsidP="00DB19B7">
      <w:pPr>
        <w:pStyle w:val="SingleTxtG"/>
        <w:ind w:left="3402" w:hanging="567"/>
        <w:rPr>
          <w:b/>
          <w:color w:val="000000"/>
        </w:rPr>
      </w:pPr>
      <w:r w:rsidRPr="00D85489">
        <w:rPr>
          <w:b/>
          <w:color w:val="000000"/>
        </w:rPr>
        <w:t>(iii)</w:t>
      </w:r>
      <w:r w:rsidRPr="00D85489">
        <w:rPr>
          <w:b/>
          <w:color w:val="000000"/>
        </w:rPr>
        <w:tab/>
        <w:t xml:space="preserve">The text </w:t>
      </w:r>
      <w:r>
        <w:rPr>
          <w:b/>
          <w:color w:val="000000"/>
        </w:rPr>
        <w:t>"</w:t>
      </w:r>
      <w:r w:rsidRPr="00D85489">
        <w:rPr>
          <w:b/>
          <w:color w:val="000000"/>
        </w:rPr>
        <w:t>ABS OFF</w:t>
      </w:r>
      <w:r>
        <w:rPr>
          <w:b/>
          <w:color w:val="000000"/>
        </w:rPr>
        <w:t>"</w:t>
      </w:r>
      <w:r w:rsidRPr="00D85489">
        <w:rPr>
          <w:b/>
          <w:color w:val="000000"/>
        </w:rPr>
        <w:t xml:space="preserve">, or </w:t>
      </w:r>
      <w:r>
        <w:rPr>
          <w:b/>
          <w:color w:val="000000"/>
        </w:rPr>
        <w:t>"</w:t>
      </w:r>
      <w:r w:rsidRPr="00D85489">
        <w:rPr>
          <w:b/>
          <w:color w:val="000000"/>
        </w:rPr>
        <w:t>ABS not available</w:t>
      </w:r>
      <w:r>
        <w:rPr>
          <w:b/>
          <w:color w:val="000000"/>
        </w:rPr>
        <w:t>"</w:t>
      </w:r>
      <w:r w:rsidRPr="00D85489">
        <w:rPr>
          <w:b/>
          <w:color w:val="000000"/>
        </w:rPr>
        <w:t>, or,</w:t>
      </w:r>
    </w:p>
    <w:p w14:paraId="074DF1BB" w14:textId="77777777" w:rsidR="00DB19B7" w:rsidRPr="00281BCA" w:rsidRDefault="00DB19B7" w:rsidP="00DB19B7">
      <w:pPr>
        <w:pStyle w:val="SingleTxtG"/>
        <w:ind w:left="3402" w:hanging="567"/>
        <w:rPr>
          <w:b/>
        </w:rPr>
      </w:pPr>
      <w:r w:rsidRPr="00D85489">
        <w:rPr>
          <w:b/>
          <w:color w:val="000000"/>
        </w:rPr>
        <w:t>(iv)</w:t>
      </w:r>
      <w:r w:rsidRPr="00D85489">
        <w:rPr>
          <w:b/>
          <w:color w:val="000000"/>
        </w:rPr>
        <w:tab/>
        <w:t xml:space="preserve">The warning lamp referred to in paragraph 3.1.13., </w:t>
      </w:r>
      <w:r w:rsidRPr="00281BCA">
        <w:rPr>
          <w:b/>
        </w:rPr>
        <w:t>continuously activated (i.e. lit or flashing).</w:t>
      </w:r>
    </w:p>
    <w:p w14:paraId="543F49C8" w14:textId="77777777" w:rsidR="00DB19B7" w:rsidRPr="00281BCA" w:rsidRDefault="00DB19B7" w:rsidP="005515D8">
      <w:pPr>
        <w:pStyle w:val="SingleTxtG"/>
        <w:ind w:left="2268"/>
        <w:rPr>
          <w:b/>
        </w:rPr>
      </w:pPr>
      <w:r w:rsidRPr="00281BCA">
        <w:rPr>
          <w:b/>
        </w:rPr>
        <w:t>(f)</w:t>
      </w:r>
      <w:bookmarkEnd w:id="2"/>
      <w:r w:rsidRPr="00281BCA">
        <w:rPr>
          <w:b/>
        </w:rPr>
        <w:tab/>
      </w:r>
      <w:r w:rsidR="005515D8" w:rsidRPr="00281BCA">
        <w:rPr>
          <w:b/>
        </w:rPr>
        <w:t>Enabling of a functional stage which complies with anti-lock brake system requirements in paragraph 4.9 shall be possible through the single actuation of a control (e.g. simple press of a button or switch) initiating ABS system start-up procedure.</w:t>
      </w:r>
    </w:p>
    <w:p w14:paraId="1AFE5600" w14:textId="77777777" w:rsidR="00DB19B7" w:rsidRPr="00281BCA" w:rsidRDefault="00DB19B7" w:rsidP="005515D8">
      <w:pPr>
        <w:pStyle w:val="SingleTxtG"/>
        <w:ind w:left="2268"/>
        <w:rPr>
          <w:b/>
        </w:rPr>
      </w:pPr>
      <w:r w:rsidRPr="00281BCA">
        <w:rPr>
          <w:b/>
        </w:rPr>
        <w:t>(g)</w:t>
      </w:r>
      <w:r w:rsidRPr="00281BCA">
        <w:rPr>
          <w:b/>
        </w:rPr>
        <w:tab/>
      </w:r>
      <w:r w:rsidR="005515D8" w:rsidRPr="00281BCA">
        <w:rPr>
          <w:b/>
        </w:rPr>
        <w:t>The manufacturer shall not make available to consumers additional means of disabling ABS other than in compliance with the requirements set out in points (a) to (f).</w:t>
      </w:r>
    </w:p>
    <w:p w14:paraId="2A35F766" w14:textId="77777777" w:rsidR="00DB19B7" w:rsidRPr="00281BCA" w:rsidRDefault="00DB19B7" w:rsidP="005515D8">
      <w:pPr>
        <w:pStyle w:val="SingleTxtG"/>
        <w:ind w:left="2268"/>
        <w:rPr>
          <w:b/>
        </w:rPr>
      </w:pPr>
      <w:r w:rsidRPr="00281BCA">
        <w:rPr>
          <w:b/>
        </w:rPr>
        <w:tab/>
        <w:t>This provision does not apply to what is required to service the ABS (e.g. electrical connectors)."</w:t>
      </w:r>
    </w:p>
    <w:p w14:paraId="759C6E88" w14:textId="5C26E199" w:rsidR="0022623C" w:rsidRPr="00281BCA" w:rsidRDefault="00F97CBB" w:rsidP="0022623C">
      <w:pPr>
        <w:pStyle w:val="SingleTxtG"/>
        <w:ind w:left="2268" w:hanging="1134"/>
        <w:rPr>
          <w:b/>
          <w:highlight w:val="yellow"/>
        </w:rPr>
      </w:pPr>
      <w:bookmarkStart w:id="3" w:name="_Hlk532834779"/>
      <w:r w:rsidRPr="00281BCA">
        <w:rPr>
          <w:rFonts w:cstheme="minorHAnsi"/>
          <w:b/>
          <w:bCs/>
          <w:highlight w:val="yellow"/>
        </w:rPr>
        <w:t>3</w:t>
      </w:r>
      <w:r w:rsidR="00441CE4" w:rsidRPr="00281BCA">
        <w:rPr>
          <w:rFonts w:cstheme="minorHAnsi"/>
          <w:b/>
          <w:bCs/>
          <w:highlight w:val="yellow"/>
        </w:rPr>
        <w:t>.1.17.</w:t>
      </w:r>
      <w:r w:rsidR="00441CE4" w:rsidRPr="00281BCA">
        <w:rPr>
          <w:b/>
          <w:highlight w:val="yellow"/>
        </w:rPr>
        <w:tab/>
      </w:r>
      <w:r w:rsidR="0022623C" w:rsidRPr="00281BCA">
        <w:rPr>
          <w:rFonts w:cstheme="minorHAnsi"/>
          <w:b/>
          <w:bCs/>
          <w:highlight w:val="yellow"/>
        </w:rPr>
        <w:t xml:space="preserve">A vehicle fitted with an ABS system active on both axles may be fitted with a rider selectable mode to deactivate the ABS function on </w:t>
      </w:r>
      <w:r w:rsidR="0060142C" w:rsidRPr="00281BCA">
        <w:rPr>
          <w:rFonts w:cstheme="minorHAnsi"/>
          <w:b/>
          <w:bCs/>
          <w:highlight w:val="yellow"/>
        </w:rPr>
        <w:t>the rear</w:t>
      </w:r>
      <w:r w:rsidR="0022623C" w:rsidRPr="00281BCA">
        <w:rPr>
          <w:rFonts w:cstheme="minorHAnsi"/>
          <w:b/>
          <w:bCs/>
          <w:highlight w:val="yellow"/>
        </w:rPr>
        <w:t xml:space="preserve"> axle. </w:t>
      </w:r>
      <w:r w:rsidR="0022623C" w:rsidRPr="00281BCA">
        <w:rPr>
          <w:b/>
          <w:bCs/>
          <w:highlight w:val="yellow"/>
        </w:rPr>
        <w:t xml:space="preserve">When the ABS function is deactivated on </w:t>
      </w:r>
      <w:r w:rsidR="0060142C" w:rsidRPr="00281BCA">
        <w:rPr>
          <w:b/>
          <w:bCs/>
          <w:highlight w:val="yellow"/>
        </w:rPr>
        <w:t>the rear</w:t>
      </w:r>
      <w:r w:rsidR="0022623C" w:rsidRPr="00281BCA">
        <w:rPr>
          <w:b/>
          <w:bCs/>
          <w:highlight w:val="yellow"/>
        </w:rPr>
        <w:t xml:space="preserve"> axle this shall be indicated by a yellow or amber tell-tale or check control messages* according to one of the following methods until the ABS is fully functional or operating on both axles again</w:t>
      </w:r>
      <w:r w:rsidR="0022623C" w:rsidRPr="00281BCA">
        <w:rPr>
          <w:highlight w:val="yellow"/>
        </w:rPr>
        <w:t xml:space="preserve">: </w:t>
      </w:r>
    </w:p>
    <w:p w14:paraId="0D494A46" w14:textId="77777777" w:rsidR="0022623C" w:rsidRPr="00281BCA" w:rsidRDefault="0022623C" w:rsidP="0022623C">
      <w:pPr>
        <w:pStyle w:val="Default"/>
        <w:rPr>
          <w:color w:val="auto"/>
          <w:sz w:val="20"/>
          <w:szCs w:val="20"/>
          <w:highlight w:val="yellow"/>
        </w:rPr>
      </w:pPr>
    </w:p>
    <w:p w14:paraId="4FB32470" w14:textId="77777777" w:rsidR="0022623C" w:rsidRPr="00281BCA" w:rsidRDefault="0022623C" w:rsidP="0022623C">
      <w:pPr>
        <w:pStyle w:val="Default"/>
        <w:rPr>
          <w:color w:val="auto"/>
          <w:sz w:val="20"/>
          <w:szCs w:val="20"/>
          <w:highlight w:val="yellow"/>
        </w:rPr>
      </w:pPr>
    </w:p>
    <w:p w14:paraId="2689C1B1" w14:textId="77777777" w:rsidR="0022623C" w:rsidRPr="00281BCA" w:rsidRDefault="0022623C" w:rsidP="0022623C">
      <w:pPr>
        <w:pStyle w:val="SingleTxtG"/>
        <w:ind w:left="2268"/>
        <w:rPr>
          <w:b/>
          <w:highlight w:val="yellow"/>
        </w:rPr>
      </w:pPr>
      <w:r w:rsidRPr="00281BCA">
        <w:rPr>
          <w:b/>
          <w:highlight w:val="yellow"/>
        </w:rPr>
        <w:lastRenderedPageBreak/>
        <w:t>(</w:t>
      </w:r>
      <w:proofErr w:type="spellStart"/>
      <w:r w:rsidRPr="00281BCA">
        <w:rPr>
          <w:b/>
          <w:highlight w:val="yellow"/>
        </w:rPr>
        <w:t>i</w:t>
      </w:r>
      <w:proofErr w:type="spellEnd"/>
      <w:r w:rsidRPr="00281BCA">
        <w:rPr>
          <w:b/>
          <w:highlight w:val="yellow"/>
        </w:rPr>
        <w:t>)</w:t>
      </w:r>
      <w:r w:rsidRPr="00281BCA">
        <w:rPr>
          <w:b/>
          <w:highlight w:val="yellow"/>
        </w:rPr>
        <w:tab/>
        <w:t>The following symbol as specified in B.18 in ISO 2575:2010:</w:t>
      </w:r>
    </w:p>
    <w:p w14:paraId="0DD87773" w14:textId="29414E4E" w:rsidR="0022623C" w:rsidRPr="00281BCA" w:rsidRDefault="0022623C" w:rsidP="0022623C">
      <w:pPr>
        <w:pStyle w:val="SingleTxtG"/>
        <w:ind w:left="1985" w:hanging="1134"/>
        <w:rPr>
          <w:highlight w:val="yellow"/>
        </w:rPr>
      </w:pPr>
      <w:r w:rsidRPr="00281BCA">
        <w:rPr>
          <w:highlight w:val="yellow"/>
        </w:rPr>
        <w:tab/>
      </w:r>
      <w:r w:rsidRPr="00281BCA">
        <w:rPr>
          <w:highlight w:val="yellow"/>
        </w:rPr>
        <w:tab/>
      </w:r>
      <w:r w:rsidRPr="00281BCA">
        <w:rPr>
          <w:highlight w:val="yellow"/>
        </w:rPr>
        <w:tab/>
      </w:r>
      <w:r w:rsidRPr="00281BCA">
        <w:rPr>
          <w:noProof/>
          <w:highlight w:val="yellow"/>
          <w:lang w:val="it-IT" w:eastAsia="it-IT"/>
        </w:rPr>
        <w:drawing>
          <wp:inline distT="0" distB="0" distL="0" distR="0" wp14:anchorId="234AC7E8" wp14:editId="06E3E66D">
            <wp:extent cx="577635" cy="570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49" cy="586335"/>
                    </a:xfrm>
                    <a:prstGeom prst="rect">
                      <a:avLst/>
                    </a:prstGeom>
                  </pic:spPr>
                </pic:pic>
              </a:graphicData>
            </a:graphic>
          </wp:inline>
        </w:drawing>
      </w:r>
    </w:p>
    <w:p w14:paraId="446B2994" w14:textId="350353A0" w:rsidR="0022623C" w:rsidRPr="00281BCA" w:rsidRDefault="0022623C" w:rsidP="0022623C">
      <w:pPr>
        <w:pStyle w:val="SingleTxtG"/>
        <w:ind w:left="2268"/>
        <w:rPr>
          <w:b/>
          <w:highlight w:val="yellow"/>
        </w:rPr>
      </w:pPr>
      <w:r w:rsidRPr="00281BCA">
        <w:rPr>
          <w:b/>
          <w:highlight w:val="yellow"/>
        </w:rPr>
        <w:tab/>
      </w:r>
      <w:r w:rsidRPr="00281BCA">
        <w:rPr>
          <w:b/>
          <w:highlight w:val="yellow"/>
        </w:rPr>
        <w:tab/>
        <w:t>With the word "REAR" adjacent to it; or</w:t>
      </w:r>
    </w:p>
    <w:p w14:paraId="5E26F273" w14:textId="77777777" w:rsidR="0022623C" w:rsidRPr="00281BCA" w:rsidRDefault="0022623C" w:rsidP="0022623C">
      <w:pPr>
        <w:pStyle w:val="SingleTxtG"/>
        <w:ind w:left="0"/>
        <w:rPr>
          <w:b/>
          <w:bCs/>
          <w:highlight w:val="yellow"/>
        </w:rPr>
      </w:pPr>
    </w:p>
    <w:p w14:paraId="172FFDE5" w14:textId="77777777" w:rsidR="0022623C" w:rsidRPr="00281BCA" w:rsidRDefault="0022623C" w:rsidP="0022623C">
      <w:pPr>
        <w:pStyle w:val="SingleTxtG"/>
        <w:ind w:left="2268"/>
        <w:rPr>
          <w:b/>
          <w:highlight w:val="yellow"/>
        </w:rPr>
      </w:pPr>
      <w:r w:rsidRPr="00281BCA">
        <w:rPr>
          <w:b/>
          <w:highlight w:val="yellow"/>
        </w:rPr>
        <w:t xml:space="preserve"> (ii)</w:t>
      </w:r>
      <w:r w:rsidRPr="00281BCA">
        <w:rPr>
          <w:b/>
          <w:highlight w:val="yellow"/>
        </w:rPr>
        <w:tab/>
        <w:t>The following symbol as specified in B.18 in ISO 2575:2010:</w:t>
      </w:r>
    </w:p>
    <w:p w14:paraId="272C050C" w14:textId="77777777" w:rsidR="0022623C" w:rsidRPr="00281BCA" w:rsidRDefault="0022623C" w:rsidP="0022623C">
      <w:pPr>
        <w:pStyle w:val="SingleTxtG"/>
        <w:ind w:left="1985" w:hanging="1134"/>
        <w:rPr>
          <w:b/>
          <w:bCs/>
          <w:highlight w:val="yellow"/>
        </w:rPr>
      </w:pPr>
      <w:r w:rsidRPr="00281BCA">
        <w:rPr>
          <w:b/>
          <w:bCs/>
          <w:highlight w:val="yellow"/>
        </w:rPr>
        <w:tab/>
      </w:r>
      <w:r w:rsidRPr="00281BCA">
        <w:rPr>
          <w:b/>
          <w:bCs/>
          <w:highlight w:val="yellow"/>
        </w:rPr>
        <w:tab/>
      </w:r>
      <w:r w:rsidRPr="00281BCA">
        <w:rPr>
          <w:b/>
          <w:bCs/>
          <w:highlight w:val="yellow"/>
        </w:rPr>
        <w:tab/>
      </w:r>
      <w:r w:rsidRPr="00281BCA">
        <w:rPr>
          <w:b/>
          <w:bCs/>
          <w:noProof/>
          <w:highlight w:val="yellow"/>
          <w:lang w:val="it-IT" w:eastAsia="it-IT"/>
        </w:rPr>
        <w:drawing>
          <wp:inline distT="0" distB="0" distL="0" distR="0" wp14:anchorId="700BA096" wp14:editId="091C9527">
            <wp:extent cx="577635" cy="5702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49" cy="586335"/>
                    </a:xfrm>
                    <a:prstGeom prst="rect">
                      <a:avLst/>
                    </a:prstGeom>
                  </pic:spPr>
                </pic:pic>
              </a:graphicData>
            </a:graphic>
          </wp:inline>
        </w:drawing>
      </w:r>
      <w:r w:rsidRPr="00281BCA">
        <w:rPr>
          <w:b/>
          <w:bCs/>
          <w:highlight w:val="yellow"/>
        </w:rPr>
        <w:tab/>
      </w:r>
      <w:r w:rsidRPr="00281BCA">
        <w:rPr>
          <w:b/>
          <w:bCs/>
          <w:highlight w:val="yellow"/>
        </w:rPr>
        <w:tab/>
      </w:r>
    </w:p>
    <w:p w14:paraId="5ECA6271" w14:textId="59FCD37A" w:rsidR="0022623C" w:rsidRPr="00281BCA" w:rsidRDefault="0022623C" w:rsidP="00722108">
      <w:pPr>
        <w:pStyle w:val="SingleTxtG"/>
        <w:ind w:left="2832"/>
        <w:rPr>
          <w:b/>
          <w:highlight w:val="yellow"/>
        </w:rPr>
      </w:pPr>
      <w:r w:rsidRPr="00281BCA">
        <w:rPr>
          <w:b/>
          <w:highlight w:val="yellow"/>
        </w:rPr>
        <w:t xml:space="preserve">with a symbol of </w:t>
      </w:r>
      <w:r w:rsidR="009A737A" w:rsidRPr="00281BCA">
        <w:rPr>
          <w:b/>
          <w:highlight w:val="yellow"/>
        </w:rPr>
        <w:t>the</w:t>
      </w:r>
      <w:r w:rsidRPr="00281BCA">
        <w:rPr>
          <w:b/>
          <w:highlight w:val="yellow"/>
        </w:rPr>
        <w:t xml:space="preserve"> </w:t>
      </w:r>
      <w:r w:rsidR="009A737A" w:rsidRPr="00281BCA">
        <w:rPr>
          <w:b/>
          <w:highlight w:val="yellow"/>
        </w:rPr>
        <w:t>vehicle</w:t>
      </w:r>
      <w:r w:rsidRPr="00281BCA">
        <w:rPr>
          <w:b/>
          <w:highlight w:val="yellow"/>
        </w:rPr>
        <w:t xml:space="preserve"> adjacent </w:t>
      </w:r>
      <w:r w:rsidR="009A737A" w:rsidRPr="00281BCA">
        <w:rPr>
          <w:b/>
          <w:highlight w:val="yellow"/>
        </w:rPr>
        <w:t xml:space="preserve">to it with </w:t>
      </w:r>
      <w:r w:rsidRPr="00281BCA">
        <w:rPr>
          <w:b/>
          <w:highlight w:val="yellow"/>
        </w:rPr>
        <w:t xml:space="preserve">an arrow pointing to the </w:t>
      </w:r>
      <w:r w:rsidR="009A737A" w:rsidRPr="00281BCA">
        <w:rPr>
          <w:b/>
          <w:highlight w:val="yellow"/>
        </w:rPr>
        <w:t xml:space="preserve">rear </w:t>
      </w:r>
      <w:r w:rsidRPr="00281BCA">
        <w:rPr>
          <w:b/>
          <w:highlight w:val="yellow"/>
        </w:rPr>
        <w:t>axle; or</w:t>
      </w:r>
    </w:p>
    <w:p w14:paraId="152F7506" w14:textId="77777777" w:rsidR="0022623C" w:rsidRPr="00281BCA" w:rsidRDefault="0022623C" w:rsidP="0022623C">
      <w:pPr>
        <w:pStyle w:val="SingleTxtG"/>
        <w:ind w:left="0"/>
        <w:rPr>
          <w:highlight w:val="yellow"/>
        </w:rPr>
      </w:pPr>
    </w:p>
    <w:p w14:paraId="58A93734" w14:textId="77777777" w:rsidR="0022623C" w:rsidRPr="00281BCA" w:rsidRDefault="0022623C" w:rsidP="0022623C">
      <w:pPr>
        <w:pStyle w:val="SingleTxtG"/>
        <w:ind w:left="2268"/>
        <w:rPr>
          <w:b/>
          <w:highlight w:val="yellow"/>
        </w:rPr>
      </w:pPr>
      <w:r w:rsidRPr="00281BCA">
        <w:rPr>
          <w:b/>
          <w:highlight w:val="yellow"/>
        </w:rPr>
        <w:t>(iii)</w:t>
      </w:r>
      <w:r w:rsidRPr="00281BCA">
        <w:rPr>
          <w:b/>
          <w:highlight w:val="yellow"/>
        </w:rPr>
        <w:tab/>
        <w:t>The following symbol as specified in B.05 of ISO 2575:2010:</w:t>
      </w:r>
    </w:p>
    <w:p w14:paraId="6EB79F6D" w14:textId="4D9602DD" w:rsidR="0022623C" w:rsidRPr="00281BCA" w:rsidRDefault="0022623C" w:rsidP="0022623C">
      <w:pPr>
        <w:pStyle w:val="SingleTxtG"/>
        <w:ind w:left="1985" w:hanging="1134"/>
        <w:rPr>
          <w:highlight w:val="yellow"/>
        </w:rPr>
      </w:pPr>
      <w:r w:rsidRPr="00281BCA">
        <w:rPr>
          <w:highlight w:val="yellow"/>
        </w:rPr>
        <w:tab/>
      </w:r>
      <w:r w:rsidRPr="00281BCA">
        <w:rPr>
          <w:highlight w:val="yellow"/>
        </w:rPr>
        <w:tab/>
      </w:r>
      <w:r w:rsidRPr="00281BCA">
        <w:rPr>
          <w:highlight w:val="yellow"/>
        </w:rPr>
        <w:tab/>
      </w:r>
      <w:r w:rsidRPr="00281BCA">
        <w:rPr>
          <w:noProof/>
          <w:highlight w:val="yellow"/>
          <w:lang w:val="it-IT" w:eastAsia="it-IT"/>
        </w:rPr>
        <w:drawing>
          <wp:inline distT="0" distB="0" distL="0" distR="0" wp14:anchorId="2892B9FC" wp14:editId="1FF5B098">
            <wp:extent cx="624505" cy="61087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6077" cy="631971"/>
                    </a:xfrm>
                    <a:prstGeom prst="rect">
                      <a:avLst/>
                    </a:prstGeom>
                  </pic:spPr>
                </pic:pic>
              </a:graphicData>
            </a:graphic>
          </wp:inline>
        </w:drawing>
      </w:r>
    </w:p>
    <w:p w14:paraId="156C1B20" w14:textId="5C828DFD" w:rsidR="0022623C" w:rsidRPr="00281BCA" w:rsidRDefault="0022623C" w:rsidP="0022623C">
      <w:pPr>
        <w:pStyle w:val="SingleTxtG"/>
        <w:ind w:left="2268"/>
        <w:rPr>
          <w:b/>
          <w:highlight w:val="yellow"/>
        </w:rPr>
      </w:pPr>
      <w:r w:rsidRPr="00281BCA">
        <w:rPr>
          <w:b/>
          <w:highlight w:val="yellow"/>
        </w:rPr>
        <w:tab/>
      </w:r>
      <w:r w:rsidR="009A737A" w:rsidRPr="00281BCA">
        <w:rPr>
          <w:b/>
          <w:highlight w:val="yellow"/>
        </w:rPr>
        <w:tab/>
      </w:r>
      <w:r w:rsidRPr="00281BCA">
        <w:rPr>
          <w:b/>
          <w:highlight w:val="yellow"/>
        </w:rPr>
        <w:t>With the word "REAR OFF" adjacent to it</w:t>
      </w:r>
      <w:r w:rsidR="00527714" w:rsidRPr="00281BCA">
        <w:rPr>
          <w:b/>
          <w:highlight w:val="yellow"/>
        </w:rPr>
        <w:t>;</w:t>
      </w:r>
      <w:r w:rsidRPr="00281BCA">
        <w:rPr>
          <w:b/>
          <w:highlight w:val="yellow"/>
        </w:rPr>
        <w:t xml:space="preserve"> or</w:t>
      </w:r>
    </w:p>
    <w:p w14:paraId="046B69D3" w14:textId="63EABF67" w:rsidR="0022623C" w:rsidRPr="00281BCA" w:rsidRDefault="0022623C" w:rsidP="0022623C">
      <w:pPr>
        <w:pStyle w:val="SingleTxtG"/>
        <w:ind w:left="1985" w:hanging="1134"/>
        <w:rPr>
          <w:highlight w:val="yellow"/>
        </w:rPr>
      </w:pPr>
      <w:r w:rsidRPr="00281BCA">
        <w:rPr>
          <w:highlight w:val="yellow"/>
        </w:rPr>
        <w:tab/>
      </w:r>
      <w:r w:rsidRPr="00281BCA">
        <w:rPr>
          <w:highlight w:val="yellow"/>
        </w:rPr>
        <w:tab/>
      </w:r>
    </w:p>
    <w:p w14:paraId="27C77DA6" w14:textId="5B270436" w:rsidR="0022623C" w:rsidRPr="00281BCA" w:rsidRDefault="0022623C" w:rsidP="0022623C">
      <w:pPr>
        <w:pStyle w:val="SingleTxtG"/>
        <w:ind w:left="2268"/>
        <w:rPr>
          <w:b/>
          <w:highlight w:val="yellow"/>
        </w:rPr>
      </w:pPr>
      <w:r w:rsidRPr="00281BCA">
        <w:rPr>
          <w:b/>
          <w:highlight w:val="yellow"/>
        </w:rPr>
        <w:t>(iv)</w:t>
      </w:r>
      <w:r w:rsidRPr="00281BCA">
        <w:rPr>
          <w:b/>
          <w:highlight w:val="yellow"/>
        </w:rPr>
        <w:tab/>
        <w:t>The text " REAR</w:t>
      </w:r>
      <w:r w:rsidR="009A737A" w:rsidRPr="00281BCA">
        <w:rPr>
          <w:b/>
          <w:highlight w:val="yellow"/>
        </w:rPr>
        <w:t xml:space="preserve"> </w:t>
      </w:r>
      <w:r w:rsidRPr="00281BCA">
        <w:rPr>
          <w:b/>
          <w:highlight w:val="yellow"/>
        </w:rPr>
        <w:t>ABS OFF", or " REAR ABS not available"</w:t>
      </w:r>
      <w:r w:rsidR="00527714" w:rsidRPr="00281BCA">
        <w:rPr>
          <w:b/>
          <w:highlight w:val="yellow"/>
        </w:rPr>
        <w:t>;</w:t>
      </w:r>
      <w:r w:rsidRPr="00281BCA">
        <w:rPr>
          <w:b/>
          <w:highlight w:val="yellow"/>
        </w:rPr>
        <w:t xml:space="preserve"> or</w:t>
      </w:r>
    </w:p>
    <w:p w14:paraId="2B2C1369" w14:textId="77777777" w:rsidR="0022623C" w:rsidRPr="00281BCA" w:rsidRDefault="0022623C" w:rsidP="0022623C">
      <w:pPr>
        <w:pStyle w:val="SingleTxtG"/>
        <w:ind w:left="1985" w:hanging="1134"/>
        <w:rPr>
          <w:highlight w:val="yellow"/>
        </w:rPr>
      </w:pPr>
    </w:p>
    <w:p w14:paraId="69F1846F" w14:textId="77F16520" w:rsidR="00046900" w:rsidRPr="00281BCA" w:rsidRDefault="0022623C" w:rsidP="00046900">
      <w:pPr>
        <w:pStyle w:val="SingleTxtG"/>
        <w:ind w:left="2832" w:hanging="564"/>
        <w:rPr>
          <w:b/>
          <w:highlight w:val="yellow"/>
        </w:rPr>
      </w:pPr>
      <w:r w:rsidRPr="00281BCA">
        <w:rPr>
          <w:b/>
          <w:highlight w:val="yellow"/>
        </w:rPr>
        <w:t>(</w:t>
      </w:r>
      <w:r w:rsidR="009A737A" w:rsidRPr="00281BCA">
        <w:rPr>
          <w:b/>
          <w:highlight w:val="yellow"/>
        </w:rPr>
        <w:t>v</w:t>
      </w:r>
      <w:r w:rsidRPr="00281BCA">
        <w:rPr>
          <w:b/>
          <w:highlight w:val="yellow"/>
        </w:rPr>
        <w:t>)</w:t>
      </w:r>
      <w:r w:rsidRPr="00281BCA">
        <w:rPr>
          <w:b/>
          <w:highlight w:val="yellow"/>
        </w:rPr>
        <w:tab/>
      </w:r>
      <w:r w:rsidR="00046900" w:rsidRPr="00281BCA">
        <w:rPr>
          <w:b/>
          <w:highlight w:val="yellow"/>
        </w:rPr>
        <w:t xml:space="preserve">The warning lamp referred to in paragraph 3.1.13., continuously flashing. If the disablement of the ABS system is also indicated by a flashing of this warning lamp as specified in 3.1.16 e-iv, the frequency of the flashing for indicating the deactivation of the ABS system on one axle shall be different from the frequency of flashing to indicate the disablement of the ABS system. </w:t>
      </w:r>
    </w:p>
    <w:p w14:paraId="71728C09" w14:textId="77777777" w:rsidR="00046900" w:rsidRPr="00281BCA" w:rsidRDefault="00046900" w:rsidP="00046900">
      <w:pPr>
        <w:rPr>
          <w:highlight w:val="yellow"/>
        </w:rPr>
      </w:pPr>
    </w:p>
    <w:p w14:paraId="20B0376B" w14:textId="2BE069F8" w:rsidR="0022623C" w:rsidRPr="00281BCA" w:rsidRDefault="0022623C" w:rsidP="009A737A">
      <w:pPr>
        <w:pStyle w:val="SingleTxtG"/>
        <w:ind w:left="2268" w:firstLine="564"/>
        <w:rPr>
          <w:b/>
        </w:rPr>
      </w:pPr>
      <w:r w:rsidRPr="00281BCA">
        <w:rPr>
          <w:b/>
          <w:highlight w:val="yellow"/>
        </w:rPr>
        <w:t>* Pop up messages in the instrument panel</w:t>
      </w:r>
    </w:p>
    <w:p w14:paraId="34473FFF" w14:textId="2C6EDD86" w:rsidR="0022623C" w:rsidRDefault="0022623C" w:rsidP="00441CE4">
      <w:pPr>
        <w:pStyle w:val="SingleTxtG"/>
        <w:ind w:left="2268" w:hanging="1134"/>
        <w:rPr>
          <w:b/>
          <w:color w:val="FF0000"/>
        </w:rPr>
      </w:pPr>
    </w:p>
    <w:p w14:paraId="343526E3" w14:textId="77777777" w:rsidR="0022623C" w:rsidRPr="00441CE4" w:rsidRDefault="0022623C" w:rsidP="00441CE4">
      <w:pPr>
        <w:pStyle w:val="SingleTxtG"/>
        <w:ind w:left="2268" w:hanging="1134"/>
        <w:rPr>
          <w:b/>
          <w:color w:val="FF0000"/>
        </w:rPr>
      </w:pPr>
    </w:p>
    <w:p w14:paraId="6136E506" w14:textId="77777777" w:rsidR="00DB19B7" w:rsidRPr="00127346" w:rsidRDefault="00DB19B7" w:rsidP="00DB19B7">
      <w:pPr>
        <w:spacing w:after="120"/>
        <w:ind w:left="567" w:right="1134" w:firstLine="567"/>
        <w:jc w:val="both"/>
        <w:rPr>
          <w:i/>
          <w:iCs/>
          <w:color w:val="000000"/>
          <w:lang w:val="en-US"/>
        </w:rPr>
      </w:pPr>
      <w:r w:rsidRPr="00127346">
        <w:rPr>
          <w:i/>
          <w:iCs/>
          <w:color w:val="000000"/>
          <w:lang w:val="en-US"/>
        </w:rPr>
        <w:t xml:space="preserve">Paragraph 4.9.1., </w:t>
      </w:r>
      <w:r w:rsidRPr="00127346">
        <w:rPr>
          <w:iCs/>
          <w:color w:val="000000"/>
          <w:lang w:val="en-US"/>
        </w:rPr>
        <w:t>amend to read:</w:t>
      </w:r>
      <w:r w:rsidRPr="00127346">
        <w:rPr>
          <w:i/>
          <w:iCs/>
          <w:color w:val="000000"/>
          <w:lang w:val="en-US"/>
        </w:rPr>
        <w:t xml:space="preserve"> </w:t>
      </w:r>
    </w:p>
    <w:bookmarkEnd w:id="3"/>
    <w:p w14:paraId="3268FF74" w14:textId="3A7B217A" w:rsidR="00DB19B7" w:rsidRPr="00127346" w:rsidRDefault="0083628C" w:rsidP="00DB19B7">
      <w:pPr>
        <w:tabs>
          <w:tab w:val="left" w:pos="2244"/>
          <w:tab w:val="left" w:pos="2805"/>
        </w:tabs>
        <w:spacing w:after="120"/>
        <w:ind w:left="2244" w:hanging="1123"/>
        <w:jc w:val="both"/>
        <w:rPr>
          <w:color w:val="000000"/>
        </w:rPr>
      </w:pPr>
      <w:r>
        <w:rPr>
          <w:bCs/>
          <w:color w:val="000000"/>
          <w:lang w:val="en-US"/>
        </w:rPr>
        <w:t>"</w:t>
      </w:r>
      <w:r w:rsidR="00DB19B7" w:rsidRPr="00127346">
        <w:rPr>
          <w:color w:val="000000"/>
        </w:rPr>
        <w:t>4.9.1.</w:t>
      </w:r>
      <w:r w:rsidR="00DB19B7" w:rsidRPr="00127346">
        <w:rPr>
          <w:color w:val="000000"/>
        </w:rPr>
        <w:tab/>
        <w:t>General:</w:t>
      </w:r>
    </w:p>
    <w:p w14:paraId="011CC090" w14:textId="2A382733" w:rsidR="00DB19B7" w:rsidRPr="00127346" w:rsidRDefault="00DB19B7" w:rsidP="00DB19B7">
      <w:pPr>
        <w:pStyle w:val="SingleTxtG"/>
        <w:ind w:left="2268"/>
        <w:rPr>
          <w:color w:val="000000"/>
        </w:rPr>
      </w:pPr>
      <w:r w:rsidRPr="00127346">
        <w:rPr>
          <w:color w:val="000000"/>
        </w:rPr>
        <w:t>(a)</w:t>
      </w:r>
      <w:r w:rsidRPr="00127346">
        <w:rPr>
          <w:color w:val="000000"/>
        </w:rPr>
        <w:tab/>
        <w:t xml:space="preserve">The tests are only applicable to the ABS </w:t>
      </w:r>
      <w:r w:rsidRPr="00B17729">
        <w:rPr>
          <w:b/>
          <w:bCs/>
          <w:color w:val="000000"/>
        </w:rPr>
        <w:t>if</w:t>
      </w:r>
      <w:r w:rsidRPr="00127346">
        <w:rPr>
          <w:color w:val="000000"/>
        </w:rPr>
        <w:t xml:space="preserve"> fitted </w:t>
      </w:r>
      <w:r w:rsidRPr="00B31187">
        <w:rPr>
          <w:b/>
          <w:color w:val="000000"/>
        </w:rPr>
        <w:t>and enabled</w:t>
      </w:r>
      <w:r w:rsidR="0083628C" w:rsidRPr="00B17729">
        <w:rPr>
          <w:bCs/>
          <w:strike/>
          <w:color w:val="000000"/>
        </w:rPr>
        <w:t xml:space="preserve"> on vehicle categories 3-1 and 3-3</w:t>
      </w:r>
      <w:r w:rsidRPr="00E02933">
        <w:rPr>
          <w:color w:val="000000"/>
        </w:rPr>
        <w:t>.</w:t>
      </w:r>
    </w:p>
    <w:p w14:paraId="705A9426" w14:textId="5B62A27E" w:rsidR="00DB19B7" w:rsidRDefault="0083628C" w:rsidP="00DB19B7">
      <w:pPr>
        <w:pStyle w:val="SingleTxtG"/>
        <w:ind w:left="2268"/>
        <w:rPr>
          <w:color w:val="000000"/>
        </w:rPr>
      </w:pPr>
      <w:r w:rsidRPr="00DB4BC4">
        <w:rPr>
          <w:color w:val="000000"/>
        </w:rPr>
        <w:t>…</w:t>
      </w:r>
    </w:p>
    <w:p w14:paraId="36D19D10" w14:textId="71EF9DB0" w:rsidR="00DB19B7" w:rsidRDefault="00D23ADB" w:rsidP="00D23ADB">
      <w:pPr>
        <w:pStyle w:val="SingleTxtG"/>
        <w:ind w:left="2268"/>
        <w:rPr>
          <w:bCs/>
          <w:color w:val="000000"/>
          <w:lang w:val="en-US"/>
        </w:rPr>
      </w:pPr>
      <w:r>
        <w:rPr>
          <w:b/>
          <w:color w:val="000000"/>
        </w:rPr>
        <w:t>(e)</w:t>
      </w:r>
      <w:r w:rsidR="00DB19B7" w:rsidRPr="00B31187">
        <w:rPr>
          <w:b/>
          <w:color w:val="000000"/>
        </w:rPr>
        <w:tab/>
        <w:t xml:space="preserve">Vehicles with </w:t>
      </w:r>
      <w:r w:rsidR="00C25C5A">
        <w:rPr>
          <w:b/>
          <w:color w:val="000000"/>
        </w:rPr>
        <w:t>driver</w:t>
      </w:r>
      <w:r w:rsidR="00DB19B7" w:rsidRPr="00B31187">
        <w:rPr>
          <w:b/>
          <w:color w:val="000000"/>
        </w:rPr>
        <w:t xml:space="preserve"> selectable ABS modes (e.g. a dual channel ABS system </w:t>
      </w:r>
      <w:r w:rsidR="00DB19B7" w:rsidRPr="00281BCA">
        <w:rPr>
          <w:b/>
        </w:rPr>
        <w:t xml:space="preserve">whereby </w:t>
      </w:r>
      <w:r w:rsidR="00DB19B7" w:rsidRPr="00281BCA">
        <w:rPr>
          <w:b/>
          <w:strike/>
          <w:highlight w:val="yellow"/>
        </w:rPr>
        <w:t xml:space="preserve">a single </w:t>
      </w:r>
      <w:r w:rsidR="00B71B39" w:rsidRPr="00281BCA">
        <w:rPr>
          <w:b/>
          <w:strike/>
          <w:highlight w:val="yellow"/>
        </w:rPr>
        <w:t>axle</w:t>
      </w:r>
      <w:r w:rsidR="00527714" w:rsidRPr="00281BCA">
        <w:rPr>
          <w:b/>
          <w:strike/>
          <w:highlight w:val="yellow"/>
        </w:rPr>
        <w:t xml:space="preserve"> </w:t>
      </w:r>
      <w:r w:rsidR="00DB19B7" w:rsidRPr="00281BCA">
        <w:rPr>
          <w:b/>
          <w:strike/>
          <w:highlight w:val="yellow"/>
        </w:rPr>
        <w:t>ABS</w:t>
      </w:r>
      <w:r w:rsidR="007077EA" w:rsidRPr="00281BCA">
        <w:rPr>
          <w:b/>
          <w:strike/>
          <w:highlight w:val="yellow"/>
        </w:rPr>
        <w:t xml:space="preserve"> </w:t>
      </w:r>
      <w:r w:rsidR="00527714" w:rsidRPr="00281BCA">
        <w:rPr>
          <w:b/>
          <w:highlight w:val="yellow"/>
        </w:rPr>
        <w:t xml:space="preserve">the ABS </w:t>
      </w:r>
      <w:r w:rsidR="007077EA" w:rsidRPr="00281BCA">
        <w:rPr>
          <w:b/>
          <w:highlight w:val="yellow"/>
        </w:rPr>
        <w:t>on the rear axle</w:t>
      </w:r>
      <w:r w:rsidR="007077EA" w:rsidRPr="00281BCA">
        <w:rPr>
          <w:b/>
        </w:rPr>
        <w:t xml:space="preserve"> </w:t>
      </w:r>
      <w:r w:rsidR="00DB19B7" w:rsidRPr="00281BCA">
        <w:rPr>
          <w:b/>
        </w:rPr>
        <w:t>can be disabled) shall comply with the technical requirements of this paragr</w:t>
      </w:r>
      <w:r w:rsidR="00DB19B7" w:rsidRPr="00B31187">
        <w:rPr>
          <w:b/>
          <w:color w:val="000000"/>
        </w:rPr>
        <w:t>aph in all modes where ABS is enabled</w:t>
      </w:r>
      <w:r w:rsidR="00DB19B7" w:rsidRPr="00225540">
        <w:rPr>
          <w:b/>
          <w:color w:val="000000"/>
        </w:rPr>
        <w:t>.</w:t>
      </w:r>
      <w:r w:rsidR="0083628C">
        <w:rPr>
          <w:bCs/>
          <w:color w:val="000000"/>
          <w:lang w:val="en-US"/>
        </w:rPr>
        <w:t>"</w:t>
      </w:r>
    </w:p>
    <w:p w14:paraId="319897AD" w14:textId="4ACD56C0" w:rsidR="008749F7" w:rsidRDefault="008749F7" w:rsidP="008749F7">
      <w:pPr>
        <w:pStyle w:val="HChG"/>
      </w:pPr>
      <w:r>
        <w:tab/>
      </w:r>
      <w:r w:rsidRPr="004C4906">
        <w:t>I</w:t>
      </w:r>
      <w:r>
        <w:t>I</w:t>
      </w:r>
      <w:r w:rsidRPr="004C4906">
        <w:t>.</w:t>
      </w:r>
      <w:r w:rsidRPr="004C4906">
        <w:tab/>
      </w:r>
      <w:r>
        <w:rPr>
          <w:color w:val="000000"/>
        </w:rPr>
        <w:t>Justification</w:t>
      </w:r>
    </w:p>
    <w:p w14:paraId="199BAB50" w14:textId="55094D98" w:rsidR="008749F7" w:rsidRPr="009006F8" w:rsidRDefault="008749F7" w:rsidP="00441CE4">
      <w:pPr>
        <w:pStyle w:val="ListParagraph"/>
        <w:widowControl w:val="0"/>
        <w:numPr>
          <w:ilvl w:val="0"/>
          <w:numId w:val="21"/>
        </w:numPr>
        <w:tabs>
          <w:tab w:val="left" w:pos="1701"/>
        </w:tabs>
        <w:suppressAutoHyphens w:val="0"/>
        <w:autoSpaceDE w:val="0"/>
        <w:autoSpaceDN w:val="0"/>
        <w:adjustRightInd w:val="0"/>
        <w:spacing w:after="120" w:line="240" w:lineRule="auto"/>
        <w:ind w:right="1134"/>
        <w:jc w:val="both"/>
        <w:rPr>
          <w:shd w:val="clear" w:color="auto" w:fill="FFFFFF"/>
        </w:rPr>
      </w:pPr>
      <w:r w:rsidRPr="009006F8">
        <w:rPr>
          <w:shd w:val="clear" w:color="auto" w:fill="FFFFFF"/>
        </w:rPr>
        <w:t xml:space="preserve">The proposed amendment </w:t>
      </w:r>
      <w:r w:rsidR="00AB18C2" w:rsidRPr="009006F8">
        <w:rPr>
          <w:shd w:val="clear" w:color="auto" w:fill="FFFFFF"/>
        </w:rPr>
        <w:t xml:space="preserve">to paragraph 3.1.15.2 </w:t>
      </w:r>
      <w:r w:rsidRPr="009006F8">
        <w:rPr>
          <w:shd w:val="clear" w:color="auto" w:fill="FFFFFF"/>
        </w:rPr>
        <w:t xml:space="preserve">is </w:t>
      </w:r>
      <w:r w:rsidR="00F65036" w:rsidRPr="009006F8">
        <w:rPr>
          <w:shd w:val="clear" w:color="auto" w:fill="FFFFFF"/>
        </w:rPr>
        <w:t>an editorial correction</w:t>
      </w:r>
      <w:r w:rsidR="00F8604A" w:rsidRPr="009006F8">
        <w:rPr>
          <w:shd w:val="clear" w:color="auto" w:fill="FFFFFF"/>
        </w:rPr>
        <w:t xml:space="preserve">, as article 3.1.15.2 and 3.1.15.3 should be considered independent </w:t>
      </w:r>
      <w:r w:rsidR="005629A0" w:rsidRPr="009006F8">
        <w:rPr>
          <w:shd w:val="clear" w:color="auto" w:fill="FFFFFF"/>
        </w:rPr>
        <w:t>from</w:t>
      </w:r>
      <w:r w:rsidR="00F8604A" w:rsidRPr="009006F8">
        <w:rPr>
          <w:shd w:val="clear" w:color="auto" w:fill="FFFFFF"/>
        </w:rPr>
        <w:t xml:space="preserve"> each other.</w:t>
      </w:r>
    </w:p>
    <w:p w14:paraId="0E882E7E" w14:textId="77777777" w:rsidR="00441CE4" w:rsidRPr="009006F8" w:rsidRDefault="00441CE4" w:rsidP="00441CE4">
      <w:pPr>
        <w:pStyle w:val="ListParagraph"/>
        <w:widowControl w:val="0"/>
        <w:tabs>
          <w:tab w:val="left" w:pos="1701"/>
        </w:tabs>
        <w:suppressAutoHyphens w:val="0"/>
        <w:autoSpaceDE w:val="0"/>
        <w:autoSpaceDN w:val="0"/>
        <w:adjustRightInd w:val="0"/>
        <w:spacing w:after="120" w:line="240" w:lineRule="auto"/>
        <w:ind w:left="1710" w:right="1134"/>
        <w:jc w:val="both"/>
        <w:rPr>
          <w:shd w:val="clear" w:color="auto" w:fill="FFFFFF"/>
        </w:rPr>
      </w:pPr>
    </w:p>
    <w:p w14:paraId="53D1151C" w14:textId="269BA526" w:rsidR="00441CE4" w:rsidRPr="009006F8" w:rsidRDefault="00941609" w:rsidP="00441CE4">
      <w:pPr>
        <w:pStyle w:val="ListParagraph"/>
        <w:widowControl w:val="0"/>
        <w:numPr>
          <w:ilvl w:val="0"/>
          <w:numId w:val="21"/>
        </w:numPr>
        <w:tabs>
          <w:tab w:val="left" w:pos="1701"/>
        </w:tabs>
        <w:suppressAutoHyphens w:val="0"/>
        <w:autoSpaceDE w:val="0"/>
        <w:autoSpaceDN w:val="0"/>
        <w:adjustRightInd w:val="0"/>
        <w:spacing w:after="120" w:line="240" w:lineRule="auto"/>
        <w:ind w:right="1134"/>
        <w:jc w:val="both"/>
        <w:rPr>
          <w:shd w:val="clear" w:color="auto" w:fill="FFFFFF"/>
        </w:rPr>
      </w:pPr>
      <w:bookmarkStart w:id="4" w:name="_Hlk17455312"/>
      <w:r w:rsidRPr="009006F8">
        <w:rPr>
          <w:shd w:val="clear" w:color="auto" w:fill="FFFFFF"/>
        </w:rPr>
        <w:t>P</w:t>
      </w:r>
      <w:r w:rsidR="00B3452C" w:rsidRPr="009006F8">
        <w:rPr>
          <w:shd w:val="clear" w:color="auto" w:fill="FFFFFF"/>
        </w:rPr>
        <w:t xml:space="preserve">aragraph </w:t>
      </w:r>
      <w:r w:rsidR="005F4F38" w:rsidRPr="005F4F38">
        <w:rPr>
          <w:b/>
          <w:bCs/>
          <w:color w:val="FF0000"/>
          <w:shd w:val="clear" w:color="auto" w:fill="FFFFFF"/>
        </w:rPr>
        <w:t>3</w:t>
      </w:r>
      <w:r w:rsidR="00B3452C" w:rsidRPr="009006F8">
        <w:rPr>
          <w:shd w:val="clear" w:color="auto" w:fill="FFFFFF"/>
        </w:rPr>
        <w:t xml:space="preserve">.1.17 </w:t>
      </w:r>
      <w:r w:rsidRPr="009006F8">
        <w:rPr>
          <w:shd w:val="clear" w:color="auto" w:fill="FFFFFF"/>
        </w:rPr>
        <w:t xml:space="preserve">aims to clarify </w:t>
      </w:r>
      <w:r w:rsidR="00F8604A" w:rsidRPr="009006F8">
        <w:rPr>
          <w:shd w:val="clear" w:color="auto" w:fill="FFFFFF"/>
        </w:rPr>
        <w:t>with an explicit article</w:t>
      </w:r>
      <w:r w:rsidRPr="009006F8">
        <w:rPr>
          <w:shd w:val="clear" w:color="auto" w:fill="FFFFFF"/>
        </w:rPr>
        <w:t xml:space="preserve"> </w:t>
      </w:r>
      <w:r w:rsidR="00695833" w:rsidRPr="009006F8">
        <w:rPr>
          <w:shd w:val="clear" w:color="auto" w:fill="FFFFFF"/>
        </w:rPr>
        <w:t xml:space="preserve">that the </w:t>
      </w:r>
      <w:r w:rsidR="005629A0" w:rsidRPr="009006F8">
        <w:rPr>
          <w:shd w:val="clear" w:color="auto" w:fill="FFFFFF"/>
        </w:rPr>
        <w:t>rider</w:t>
      </w:r>
      <w:r w:rsidR="00695833" w:rsidRPr="009006F8">
        <w:rPr>
          <w:shd w:val="clear" w:color="auto" w:fill="FFFFFF"/>
        </w:rPr>
        <w:t xml:space="preserve"> is </w:t>
      </w:r>
      <w:r w:rsidR="005629A0" w:rsidRPr="009006F8">
        <w:rPr>
          <w:shd w:val="clear" w:color="auto" w:fill="FFFFFF"/>
        </w:rPr>
        <w:t xml:space="preserve">duly </w:t>
      </w:r>
      <w:r w:rsidR="00695833" w:rsidRPr="009006F8">
        <w:rPr>
          <w:shd w:val="clear" w:color="auto" w:fill="FFFFFF"/>
        </w:rPr>
        <w:t xml:space="preserve">informed when </w:t>
      </w:r>
      <w:r w:rsidR="00F8604A" w:rsidRPr="009006F8">
        <w:rPr>
          <w:shd w:val="clear" w:color="auto" w:fill="FFFFFF"/>
        </w:rPr>
        <w:t>activating</w:t>
      </w:r>
      <w:r w:rsidRPr="009006F8">
        <w:rPr>
          <w:shd w:val="clear" w:color="auto" w:fill="FFFFFF"/>
        </w:rPr>
        <w:t xml:space="preserve"> a</w:t>
      </w:r>
      <w:r w:rsidR="00224AAB" w:rsidRPr="009006F8">
        <w:rPr>
          <w:shd w:val="clear" w:color="auto" w:fill="FFFFFF"/>
        </w:rPr>
        <w:t xml:space="preserve"> </w:t>
      </w:r>
      <w:r w:rsidR="005629A0" w:rsidRPr="009006F8">
        <w:rPr>
          <w:shd w:val="clear" w:color="auto" w:fill="FFFFFF"/>
        </w:rPr>
        <w:t>riding</w:t>
      </w:r>
      <w:r w:rsidRPr="009006F8">
        <w:rPr>
          <w:shd w:val="clear" w:color="auto" w:fill="FFFFFF"/>
        </w:rPr>
        <w:t xml:space="preserve"> mode that </w:t>
      </w:r>
      <w:r w:rsidR="00224AAB" w:rsidRPr="009006F8">
        <w:rPr>
          <w:shd w:val="clear" w:color="auto" w:fill="FFFFFF"/>
        </w:rPr>
        <w:t>disable</w:t>
      </w:r>
      <w:r w:rsidRPr="009006F8">
        <w:rPr>
          <w:shd w:val="clear" w:color="auto" w:fill="FFFFFF"/>
        </w:rPr>
        <w:t>s</w:t>
      </w:r>
      <w:r w:rsidR="00224AAB" w:rsidRPr="009006F8">
        <w:rPr>
          <w:shd w:val="clear" w:color="auto" w:fill="FFFFFF"/>
        </w:rPr>
        <w:t xml:space="preserve"> </w:t>
      </w:r>
      <w:r w:rsidR="00695833" w:rsidRPr="009006F8">
        <w:rPr>
          <w:shd w:val="clear" w:color="auto" w:fill="FFFFFF"/>
        </w:rPr>
        <w:t xml:space="preserve">the ABS </w:t>
      </w:r>
      <w:r w:rsidRPr="009006F8">
        <w:rPr>
          <w:shd w:val="clear" w:color="auto" w:fill="FFFFFF"/>
        </w:rPr>
        <w:t xml:space="preserve">on </w:t>
      </w:r>
      <w:r w:rsidR="00527714">
        <w:rPr>
          <w:shd w:val="clear" w:color="auto" w:fill="FFFFFF"/>
        </w:rPr>
        <w:t>the rear</w:t>
      </w:r>
      <w:r w:rsidRPr="009006F8">
        <w:rPr>
          <w:shd w:val="clear" w:color="auto" w:fill="FFFFFF"/>
        </w:rPr>
        <w:t xml:space="preserve"> axle</w:t>
      </w:r>
      <w:r w:rsidR="00F843E9">
        <w:rPr>
          <w:shd w:val="clear" w:color="auto" w:fill="FFFFFF"/>
        </w:rPr>
        <w:t>.</w:t>
      </w:r>
    </w:p>
    <w:bookmarkEnd w:id="4"/>
    <w:p w14:paraId="15C46B79" w14:textId="77777777" w:rsidR="00B3452C" w:rsidRPr="009006F8" w:rsidRDefault="00B3452C" w:rsidP="00B3452C">
      <w:pPr>
        <w:pStyle w:val="ListParagraph"/>
        <w:rPr>
          <w:shd w:val="clear" w:color="auto" w:fill="FFFFFF"/>
        </w:rPr>
      </w:pPr>
    </w:p>
    <w:p w14:paraId="5F809C2F" w14:textId="484C81B3" w:rsidR="00B3452C" w:rsidRPr="009006F8" w:rsidRDefault="00695833" w:rsidP="00441CE4">
      <w:pPr>
        <w:pStyle w:val="ListParagraph"/>
        <w:widowControl w:val="0"/>
        <w:numPr>
          <w:ilvl w:val="0"/>
          <w:numId w:val="21"/>
        </w:numPr>
        <w:tabs>
          <w:tab w:val="left" w:pos="1701"/>
        </w:tabs>
        <w:suppressAutoHyphens w:val="0"/>
        <w:autoSpaceDE w:val="0"/>
        <w:autoSpaceDN w:val="0"/>
        <w:adjustRightInd w:val="0"/>
        <w:spacing w:after="120" w:line="240" w:lineRule="auto"/>
        <w:ind w:right="1134"/>
        <w:jc w:val="both"/>
        <w:rPr>
          <w:shd w:val="clear" w:color="auto" w:fill="FFFFFF"/>
        </w:rPr>
      </w:pPr>
      <w:r w:rsidRPr="009006F8">
        <w:rPr>
          <w:shd w:val="clear" w:color="auto" w:fill="FFFFFF"/>
        </w:rPr>
        <w:t>For consistency, t</w:t>
      </w:r>
      <w:r w:rsidR="00B3452C" w:rsidRPr="009006F8">
        <w:rPr>
          <w:shd w:val="clear" w:color="auto" w:fill="FFFFFF"/>
        </w:rPr>
        <w:t xml:space="preserve">he above modifications are also </w:t>
      </w:r>
      <w:r w:rsidRPr="009006F8">
        <w:rPr>
          <w:shd w:val="clear" w:color="auto" w:fill="FFFFFF"/>
        </w:rPr>
        <w:t xml:space="preserve">proposed </w:t>
      </w:r>
      <w:r w:rsidR="00B3452C" w:rsidRPr="009006F8">
        <w:rPr>
          <w:shd w:val="clear" w:color="auto" w:fill="FFFFFF"/>
        </w:rPr>
        <w:t xml:space="preserve">to </w:t>
      </w:r>
      <w:r w:rsidRPr="009006F8">
        <w:rPr>
          <w:shd w:val="clear" w:color="auto" w:fill="FFFFFF"/>
        </w:rPr>
        <w:t xml:space="preserve">be introduced in the 04 series of </w:t>
      </w:r>
      <w:r w:rsidR="00B3452C" w:rsidRPr="009006F8">
        <w:rPr>
          <w:shd w:val="clear" w:color="auto" w:fill="FFFFFF"/>
        </w:rPr>
        <w:t>UN Regulation No. 78</w:t>
      </w:r>
      <w:r w:rsidRPr="009006F8">
        <w:rPr>
          <w:shd w:val="clear" w:color="auto" w:fill="FFFFFF"/>
        </w:rPr>
        <w:t xml:space="preserve"> by informal document GRVA-04-</w:t>
      </w:r>
      <w:r w:rsidR="005F4F38" w:rsidRPr="005F4F38">
        <w:rPr>
          <w:b/>
          <w:bCs/>
          <w:color w:val="FF0000"/>
          <w:shd w:val="clear" w:color="auto" w:fill="FFFFFF"/>
        </w:rPr>
        <w:t>05</w:t>
      </w:r>
      <w:r w:rsidRPr="009006F8">
        <w:rPr>
          <w:shd w:val="clear" w:color="auto" w:fill="FFFFFF"/>
        </w:rPr>
        <w:t>, t</w:t>
      </w:r>
      <w:r w:rsidR="00941609" w:rsidRPr="009006F8">
        <w:rPr>
          <w:shd w:val="clear" w:color="auto" w:fill="FFFFFF"/>
        </w:rPr>
        <w:t>o</w:t>
      </w:r>
      <w:r w:rsidRPr="009006F8">
        <w:rPr>
          <w:shd w:val="clear" w:color="auto" w:fill="FFFFFF"/>
        </w:rPr>
        <w:t xml:space="preserve"> harmoni</w:t>
      </w:r>
      <w:r w:rsidR="00941609" w:rsidRPr="009006F8">
        <w:rPr>
          <w:shd w:val="clear" w:color="auto" w:fill="FFFFFF"/>
        </w:rPr>
        <w:t xml:space="preserve">ze </w:t>
      </w:r>
      <w:r w:rsidRPr="009006F8">
        <w:rPr>
          <w:shd w:val="clear" w:color="auto" w:fill="FFFFFF"/>
        </w:rPr>
        <w:t xml:space="preserve">the language of </w:t>
      </w:r>
      <w:r w:rsidR="00AB18C2" w:rsidRPr="009006F8">
        <w:rPr>
          <w:shd w:val="clear" w:color="auto" w:fill="FFFFFF"/>
        </w:rPr>
        <w:t>both UN GTR No. 3 and UN Regulation No. 78.</w:t>
      </w:r>
    </w:p>
    <w:p w14:paraId="516F3031" w14:textId="77777777" w:rsidR="008749F7" w:rsidRPr="003F09D3" w:rsidRDefault="008749F7" w:rsidP="008749F7">
      <w:pPr>
        <w:pStyle w:val="SingleTxtG"/>
        <w:rPr>
          <w:color w:val="000000"/>
          <w:u w:val="single"/>
        </w:rPr>
      </w:pPr>
    </w:p>
    <w:p w14:paraId="228351DF" w14:textId="03C7B09A" w:rsidR="00B15F7C" w:rsidRPr="003F09D3" w:rsidRDefault="00F22DCB" w:rsidP="00F22DCB">
      <w:pPr>
        <w:pStyle w:val="SingleTxtG"/>
        <w:ind w:left="2268" w:hanging="1134"/>
        <w:jc w:val="center"/>
        <w:rPr>
          <w:color w:val="000000"/>
          <w:u w:val="single"/>
        </w:rPr>
      </w:pPr>
      <w:r>
        <w:rPr>
          <w:color w:val="000000"/>
          <w:u w:val="single"/>
        </w:rPr>
        <w:tab/>
      </w:r>
      <w:r>
        <w:rPr>
          <w:color w:val="000000"/>
          <w:u w:val="single"/>
        </w:rPr>
        <w:tab/>
      </w:r>
      <w:r>
        <w:rPr>
          <w:color w:val="000000"/>
          <w:u w:val="single"/>
        </w:rPr>
        <w:tab/>
      </w:r>
      <w:r>
        <w:rPr>
          <w:color w:val="000000"/>
          <w:u w:val="single"/>
        </w:rPr>
        <w:tab/>
      </w:r>
    </w:p>
    <w:sectPr w:rsidR="00B15F7C" w:rsidRPr="003F09D3" w:rsidSect="005F4F3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463F7" w14:textId="77777777" w:rsidR="0089226F" w:rsidRDefault="0089226F"/>
  </w:endnote>
  <w:endnote w:type="continuationSeparator" w:id="0">
    <w:p w14:paraId="12C7966A" w14:textId="77777777" w:rsidR="0089226F" w:rsidRDefault="0089226F"/>
  </w:endnote>
  <w:endnote w:type="continuationNotice" w:id="1">
    <w:p w14:paraId="37E89C68" w14:textId="77777777" w:rsidR="0089226F" w:rsidRDefault="008922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7AA91" w14:textId="723A05F5" w:rsidR="00DB4BC4" w:rsidRPr="00844BB6" w:rsidRDefault="00DB4BC4"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D406A6">
      <w:rPr>
        <w:b/>
        <w:noProof/>
        <w:sz w:val="18"/>
      </w:rPr>
      <w:t>4</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86597" w14:textId="1D50CDCB" w:rsidR="00DB4BC4" w:rsidRPr="00844BB6" w:rsidRDefault="00DB4BC4"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853662">
      <w:rPr>
        <w:b/>
        <w:noProof/>
        <w:sz w:val="18"/>
      </w:rPr>
      <w:t>4</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73C01" w14:textId="35D148CF" w:rsidR="006E7654" w:rsidRPr="002F1476" w:rsidRDefault="006E7654" w:rsidP="006E7654">
    <w:pPr>
      <w:pStyle w:val="Footer"/>
      <w:ind w:right="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B6F54" w14:textId="77777777" w:rsidR="0089226F" w:rsidRPr="000B175B" w:rsidRDefault="0089226F" w:rsidP="000B175B">
      <w:pPr>
        <w:tabs>
          <w:tab w:val="right" w:pos="2155"/>
        </w:tabs>
        <w:spacing w:after="80"/>
        <w:ind w:left="680"/>
        <w:rPr>
          <w:u w:val="single"/>
        </w:rPr>
      </w:pPr>
      <w:r>
        <w:rPr>
          <w:u w:val="single"/>
        </w:rPr>
        <w:tab/>
      </w:r>
    </w:p>
  </w:footnote>
  <w:footnote w:type="continuationSeparator" w:id="0">
    <w:p w14:paraId="0F217D82" w14:textId="77777777" w:rsidR="0089226F" w:rsidRPr="00FC68B7" w:rsidRDefault="0089226F" w:rsidP="00FC68B7">
      <w:pPr>
        <w:tabs>
          <w:tab w:val="left" w:pos="2155"/>
        </w:tabs>
        <w:spacing w:after="80"/>
        <w:ind w:left="680"/>
        <w:rPr>
          <w:u w:val="single"/>
        </w:rPr>
      </w:pPr>
      <w:r>
        <w:rPr>
          <w:u w:val="single"/>
        </w:rPr>
        <w:tab/>
      </w:r>
    </w:p>
  </w:footnote>
  <w:footnote w:type="continuationNotice" w:id="1">
    <w:p w14:paraId="1B3D9AAF" w14:textId="77777777" w:rsidR="0089226F" w:rsidRDefault="008922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825"/>
    </w:tblGrid>
    <w:tr w:rsidR="002F1476" w:rsidRPr="002F1476" w14:paraId="663A1F3F" w14:textId="77777777" w:rsidTr="004D018F">
      <w:tc>
        <w:tcPr>
          <w:tcW w:w="4824" w:type="dxa"/>
        </w:tcPr>
        <w:p w14:paraId="599B7767" w14:textId="77777777" w:rsidR="002F1476" w:rsidRPr="002F1476" w:rsidRDefault="002F1476" w:rsidP="002F1476">
          <w:pPr>
            <w:tabs>
              <w:tab w:val="center" w:pos="4513"/>
              <w:tab w:val="right" w:pos="9026"/>
            </w:tabs>
            <w:spacing w:line="240" w:lineRule="auto"/>
            <w:rPr>
              <w:rFonts w:ascii="Times New Roman" w:hAnsi="Times New Roman"/>
              <w:bCs/>
            </w:rPr>
          </w:pPr>
        </w:p>
      </w:tc>
      <w:tc>
        <w:tcPr>
          <w:tcW w:w="4825" w:type="dxa"/>
          <w:hideMark/>
        </w:tcPr>
        <w:p w14:paraId="3C407DBD" w14:textId="77777777" w:rsidR="002F1476" w:rsidRPr="002F1476" w:rsidRDefault="002F1476" w:rsidP="002F1476">
          <w:pPr>
            <w:tabs>
              <w:tab w:val="center" w:pos="4513"/>
              <w:tab w:val="right" w:pos="9026"/>
            </w:tabs>
            <w:spacing w:line="240" w:lineRule="auto"/>
            <w:ind w:left="1130"/>
            <w:rPr>
              <w:rFonts w:ascii="Times New Roman" w:hAnsi="Times New Roman"/>
              <w:sz w:val="18"/>
              <w:szCs w:val="18"/>
            </w:rPr>
          </w:pPr>
          <w:r w:rsidRPr="002F1476">
            <w:rPr>
              <w:rFonts w:ascii="Times New Roman" w:hAnsi="Times New Roman"/>
              <w:bCs/>
              <w:sz w:val="18"/>
              <w:szCs w:val="18"/>
              <w:u w:val="single"/>
            </w:rPr>
            <w:t>Informal document</w:t>
          </w:r>
          <w:r w:rsidRPr="002F1476">
            <w:rPr>
              <w:rFonts w:ascii="Times New Roman" w:hAnsi="Times New Roman"/>
              <w:bCs/>
              <w:sz w:val="18"/>
              <w:szCs w:val="18"/>
            </w:rPr>
            <w:t xml:space="preserve"> </w:t>
          </w:r>
          <w:r w:rsidRPr="002F1476">
            <w:rPr>
              <w:rFonts w:ascii="Times New Roman" w:hAnsi="Times New Roman"/>
              <w:sz w:val="18"/>
              <w:szCs w:val="18"/>
            </w:rPr>
            <w:t>GRVA-04-XX</w:t>
          </w:r>
        </w:p>
        <w:p w14:paraId="112494E7" w14:textId="77777777" w:rsidR="002F1476" w:rsidRPr="002F1476" w:rsidRDefault="002F1476" w:rsidP="002F1476">
          <w:pPr>
            <w:tabs>
              <w:tab w:val="center" w:pos="4513"/>
              <w:tab w:val="right" w:pos="9026"/>
            </w:tabs>
            <w:spacing w:line="240" w:lineRule="auto"/>
            <w:ind w:left="1130"/>
            <w:rPr>
              <w:rFonts w:ascii="Times New Roman" w:hAnsi="Times New Roman"/>
              <w:bCs/>
              <w:sz w:val="18"/>
              <w:szCs w:val="18"/>
            </w:rPr>
          </w:pPr>
          <w:r w:rsidRPr="002F1476">
            <w:rPr>
              <w:rFonts w:ascii="Times New Roman" w:hAnsi="Times New Roman"/>
              <w:bCs/>
              <w:sz w:val="18"/>
              <w:szCs w:val="18"/>
            </w:rPr>
            <w:t>4</w:t>
          </w:r>
          <w:r w:rsidRPr="002F1476">
            <w:rPr>
              <w:rFonts w:ascii="Times New Roman" w:hAnsi="Times New Roman"/>
              <w:bCs/>
              <w:sz w:val="18"/>
              <w:szCs w:val="18"/>
              <w:vertAlign w:val="superscript"/>
            </w:rPr>
            <w:t>th</w:t>
          </w:r>
          <w:r w:rsidRPr="002F1476">
            <w:rPr>
              <w:rFonts w:ascii="Times New Roman" w:hAnsi="Times New Roman"/>
              <w:bCs/>
              <w:sz w:val="18"/>
              <w:szCs w:val="18"/>
            </w:rPr>
            <w:t xml:space="preserve"> GRVA, 24 - 27 </w:t>
          </w:r>
          <w:proofErr w:type="spellStart"/>
          <w:r w:rsidRPr="002F1476">
            <w:rPr>
              <w:rFonts w:ascii="Times New Roman" w:hAnsi="Times New Roman"/>
              <w:bCs/>
              <w:sz w:val="18"/>
              <w:szCs w:val="18"/>
            </w:rPr>
            <w:t>September</w:t>
          </w:r>
          <w:proofErr w:type="spellEnd"/>
          <w:r w:rsidRPr="002F1476">
            <w:rPr>
              <w:rFonts w:ascii="Times New Roman" w:hAnsi="Times New Roman"/>
              <w:bCs/>
              <w:sz w:val="18"/>
              <w:szCs w:val="18"/>
            </w:rPr>
            <w:t xml:space="preserve"> 2019</w:t>
          </w:r>
        </w:p>
        <w:p w14:paraId="43712235" w14:textId="77777777" w:rsidR="002F1476" w:rsidRPr="002F1476" w:rsidRDefault="002F1476" w:rsidP="002F1476">
          <w:pPr>
            <w:tabs>
              <w:tab w:val="center" w:pos="4513"/>
              <w:tab w:val="right" w:pos="9026"/>
            </w:tabs>
            <w:spacing w:line="240" w:lineRule="auto"/>
            <w:ind w:left="1130"/>
            <w:rPr>
              <w:rFonts w:ascii="Times New Roman" w:hAnsi="Times New Roman"/>
              <w:bCs/>
            </w:rPr>
          </w:pPr>
          <w:r w:rsidRPr="002F1476">
            <w:rPr>
              <w:rFonts w:ascii="Times New Roman" w:hAnsi="Times New Roman"/>
              <w:bCs/>
              <w:sz w:val="18"/>
              <w:szCs w:val="18"/>
            </w:rPr>
            <w:t>Agenda item X (x)</w:t>
          </w:r>
        </w:p>
      </w:tc>
    </w:tr>
  </w:tbl>
  <w:p w14:paraId="3B65CFE3" w14:textId="2DACCF5A" w:rsidR="00DB4BC4" w:rsidRPr="002F1476" w:rsidRDefault="00DB4BC4" w:rsidP="002F14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21272" w14:textId="73D3021D" w:rsidR="00DB4BC4" w:rsidRPr="002F1476" w:rsidRDefault="00DB4BC4" w:rsidP="002F1476">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825"/>
    </w:tblGrid>
    <w:tr w:rsidR="005F4F38" w:rsidRPr="002F1476" w14:paraId="593263E8" w14:textId="77777777" w:rsidTr="00185A4D">
      <w:tc>
        <w:tcPr>
          <w:tcW w:w="4824" w:type="dxa"/>
        </w:tcPr>
        <w:p w14:paraId="6FFCE943" w14:textId="77777777" w:rsidR="005F4F38" w:rsidRPr="00404156" w:rsidRDefault="005F4F38" w:rsidP="005F4F38">
          <w:pPr>
            <w:tabs>
              <w:tab w:val="center" w:pos="4513"/>
              <w:tab w:val="right" w:pos="9026"/>
            </w:tabs>
            <w:spacing w:line="240" w:lineRule="auto"/>
            <w:rPr>
              <w:rFonts w:ascii="Times New Roman" w:hAnsi="Times New Roman"/>
              <w:bCs/>
              <w:lang w:val="en-GB"/>
            </w:rPr>
          </w:pPr>
          <w:r w:rsidRPr="00404156">
            <w:rPr>
              <w:rFonts w:ascii="Times New Roman" w:hAnsi="Times New Roman"/>
              <w:sz w:val="18"/>
              <w:szCs w:val="12"/>
              <w:lang w:val="en-GB"/>
            </w:rPr>
            <w:t>Submitted by the expert from Italy</w:t>
          </w:r>
        </w:p>
      </w:tc>
      <w:tc>
        <w:tcPr>
          <w:tcW w:w="4825" w:type="dxa"/>
          <w:hideMark/>
        </w:tcPr>
        <w:p w14:paraId="548DACD8" w14:textId="77777777" w:rsidR="005F4F38" w:rsidRPr="00404156" w:rsidRDefault="005F4F38" w:rsidP="005F4F38">
          <w:pPr>
            <w:tabs>
              <w:tab w:val="center" w:pos="4513"/>
              <w:tab w:val="right" w:pos="9026"/>
            </w:tabs>
            <w:spacing w:line="240" w:lineRule="auto"/>
            <w:ind w:left="1130"/>
            <w:rPr>
              <w:rFonts w:ascii="Times New Roman" w:hAnsi="Times New Roman"/>
              <w:sz w:val="18"/>
              <w:szCs w:val="18"/>
              <w:lang w:val="en-GB"/>
            </w:rPr>
          </w:pPr>
          <w:r w:rsidRPr="00404156">
            <w:rPr>
              <w:rFonts w:ascii="Times New Roman" w:hAnsi="Times New Roman"/>
              <w:bCs/>
              <w:sz w:val="18"/>
              <w:szCs w:val="18"/>
              <w:u w:val="single"/>
              <w:lang w:val="en-GB"/>
            </w:rPr>
            <w:t>Informal document</w:t>
          </w:r>
          <w:r w:rsidRPr="00404156">
            <w:rPr>
              <w:rFonts w:ascii="Times New Roman" w:hAnsi="Times New Roman"/>
              <w:bCs/>
              <w:sz w:val="18"/>
              <w:szCs w:val="18"/>
              <w:lang w:val="en-GB"/>
            </w:rPr>
            <w:t xml:space="preserve"> </w:t>
          </w:r>
          <w:r w:rsidRPr="00C83FA0">
            <w:rPr>
              <w:rFonts w:ascii="Times New Roman" w:hAnsi="Times New Roman"/>
              <w:b/>
              <w:bCs/>
              <w:sz w:val="18"/>
              <w:szCs w:val="18"/>
              <w:lang w:val="en-GB"/>
            </w:rPr>
            <w:t>GRVA-04-23</w:t>
          </w:r>
        </w:p>
        <w:p w14:paraId="5A2CBDE6" w14:textId="77777777" w:rsidR="005F4F38" w:rsidRPr="00404156" w:rsidRDefault="005F4F38" w:rsidP="005F4F38">
          <w:pPr>
            <w:tabs>
              <w:tab w:val="center" w:pos="4513"/>
              <w:tab w:val="right" w:pos="9026"/>
            </w:tabs>
            <w:spacing w:line="240" w:lineRule="auto"/>
            <w:ind w:left="1130"/>
            <w:rPr>
              <w:rFonts w:ascii="Times New Roman" w:hAnsi="Times New Roman"/>
              <w:bCs/>
              <w:sz w:val="18"/>
              <w:szCs w:val="18"/>
              <w:lang w:val="en-GB"/>
            </w:rPr>
          </w:pPr>
          <w:r w:rsidRPr="00404156">
            <w:rPr>
              <w:rFonts w:ascii="Times New Roman" w:hAnsi="Times New Roman"/>
              <w:bCs/>
              <w:sz w:val="18"/>
              <w:szCs w:val="18"/>
              <w:lang w:val="en-GB"/>
            </w:rPr>
            <w:t>4</w:t>
          </w:r>
          <w:r w:rsidRPr="00404156">
            <w:rPr>
              <w:rFonts w:ascii="Times New Roman" w:hAnsi="Times New Roman"/>
              <w:bCs/>
              <w:sz w:val="18"/>
              <w:szCs w:val="18"/>
              <w:vertAlign w:val="superscript"/>
              <w:lang w:val="en-GB"/>
            </w:rPr>
            <w:t>th</w:t>
          </w:r>
          <w:r w:rsidRPr="00404156">
            <w:rPr>
              <w:rFonts w:ascii="Times New Roman" w:hAnsi="Times New Roman"/>
              <w:bCs/>
              <w:sz w:val="18"/>
              <w:szCs w:val="18"/>
              <w:lang w:val="en-GB"/>
            </w:rPr>
            <w:t xml:space="preserve"> GRVA, 24 - 27 September 2019</w:t>
          </w:r>
        </w:p>
        <w:p w14:paraId="017DFBD2" w14:textId="77777777" w:rsidR="005F4F38" w:rsidRPr="00404156" w:rsidRDefault="005F4F38" w:rsidP="005F4F38">
          <w:pPr>
            <w:tabs>
              <w:tab w:val="center" w:pos="4513"/>
              <w:tab w:val="right" w:pos="9026"/>
            </w:tabs>
            <w:spacing w:line="240" w:lineRule="auto"/>
            <w:ind w:left="1130"/>
            <w:rPr>
              <w:rFonts w:ascii="Times New Roman" w:hAnsi="Times New Roman"/>
              <w:bCs/>
              <w:lang w:val="en-GB"/>
            </w:rPr>
          </w:pPr>
          <w:r w:rsidRPr="00404156">
            <w:rPr>
              <w:rFonts w:ascii="Times New Roman" w:hAnsi="Times New Roman"/>
              <w:bCs/>
              <w:sz w:val="18"/>
              <w:szCs w:val="18"/>
              <w:lang w:val="en-GB"/>
            </w:rPr>
            <w:t xml:space="preserve">Agenda item </w:t>
          </w:r>
          <w:r>
            <w:rPr>
              <w:rFonts w:ascii="Times New Roman" w:hAnsi="Times New Roman"/>
              <w:bCs/>
              <w:sz w:val="18"/>
              <w:szCs w:val="18"/>
              <w:lang w:val="en-GB"/>
            </w:rPr>
            <w:t>9</w:t>
          </w:r>
          <w:r w:rsidRPr="00404156">
            <w:rPr>
              <w:rFonts w:ascii="Times New Roman" w:hAnsi="Times New Roman"/>
              <w:bCs/>
              <w:sz w:val="18"/>
              <w:szCs w:val="18"/>
              <w:lang w:val="en-GB"/>
            </w:rPr>
            <w:t xml:space="preserve"> (</w:t>
          </w:r>
          <w:r>
            <w:rPr>
              <w:rFonts w:ascii="Times New Roman" w:hAnsi="Times New Roman"/>
              <w:bCs/>
              <w:sz w:val="18"/>
              <w:szCs w:val="18"/>
              <w:lang w:val="en-GB"/>
            </w:rPr>
            <w:t>a</w:t>
          </w:r>
          <w:r w:rsidRPr="00404156">
            <w:rPr>
              <w:rFonts w:ascii="Times New Roman" w:hAnsi="Times New Roman"/>
              <w:bCs/>
              <w:sz w:val="18"/>
              <w:szCs w:val="18"/>
              <w:lang w:val="en-GB"/>
            </w:rPr>
            <w:t>)</w:t>
          </w:r>
        </w:p>
      </w:tc>
    </w:tr>
  </w:tbl>
  <w:p w14:paraId="67D1348C" w14:textId="672B23D6" w:rsidR="002F1476" w:rsidRPr="005F4F38" w:rsidRDefault="002F1476" w:rsidP="005F4F38">
    <w:pPr>
      <w:pStyle w:val="Header"/>
      <w:pBdr>
        <w:bottom w:val="none" w:sz="0" w:space="0" w:color="auto"/>
      </w:pBdr>
    </w:pPr>
    <w:bookmarkStart w:id="5" w:name="_GoBack"/>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2D4251"/>
    <w:multiLevelType w:val="hybridMultilevel"/>
    <w:tmpl w:val="819A7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B02430C"/>
    <w:multiLevelType w:val="hybridMultilevel"/>
    <w:tmpl w:val="A6601E2C"/>
    <w:lvl w:ilvl="0" w:tplc="69A8EFE4">
      <w:start w:val="1"/>
      <w:numFmt w:val="lowerLetter"/>
      <w:lvlText w:val="(%1)"/>
      <w:lvlJc w:val="left"/>
      <w:pPr>
        <w:ind w:left="2628" w:hanging="360"/>
      </w:pPr>
      <w:rPr>
        <w:rFonts w:hint="default"/>
        <w:b/>
        <w:color w:val="000000"/>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6" w15:restartNumberingAfterBreak="0">
    <w:nsid w:val="4E6E16EE"/>
    <w:multiLevelType w:val="hybridMultilevel"/>
    <w:tmpl w:val="3474D7E4"/>
    <w:lvl w:ilvl="0" w:tplc="925AEA68">
      <w:start w:val="1"/>
      <w:numFmt w:val="decimal"/>
      <w:lvlText w:val="%1."/>
      <w:lvlJc w:val="left"/>
      <w:pPr>
        <w:ind w:left="1710" w:hanging="576"/>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1"/>
  </w:num>
  <w:num w:numId="14">
    <w:abstractNumId w:val="19"/>
  </w:num>
  <w:num w:numId="15">
    <w:abstractNumId w:val="20"/>
  </w:num>
  <w:num w:numId="16">
    <w:abstractNumId w:val="10"/>
  </w:num>
  <w:num w:numId="17">
    <w:abstractNumId w:val="13"/>
  </w:num>
  <w:num w:numId="18">
    <w:abstractNumId w:val="18"/>
  </w:num>
  <w:num w:numId="19">
    <w:abstractNumId w:val="14"/>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BB6"/>
    <w:rsid w:val="000028EE"/>
    <w:rsid w:val="00004907"/>
    <w:rsid w:val="00015D5D"/>
    <w:rsid w:val="00017CE9"/>
    <w:rsid w:val="00020B2F"/>
    <w:rsid w:val="00022671"/>
    <w:rsid w:val="0002367B"/>
    <w:rsid w:val="00035B92"/>
    <w:rsid w:val="0004548E"/>
    <w:rsid w:val="00046900"/>
    <w:rsid w:val="00046B1F"/>
    <w:rsid w:val="00047DEE"/>
    <w:rsid w:val="00050724"/>
    <w:rsid w:val="00050F6B"/>
    <w:rsid w:val="00052635"/>
    <w:rsid w:val="00057E97"/>
    <w:rsid w:val="000646F4"/>
    <w:rsid w:val="00064BDE"/>
    <w:rsid w:val="00067127"/>
    <w:rsid w:val="00072C8C"/>
    <w:rsid w:val="00072EEC"/>
    <w:rsid w:val="000733B5"/>
    <w:rsid w:val="00075B8B"/>
    <w:rsid w:val="00076E2E"/>
    <w:rsid w:val="00081815"/>
    <w:rsid w:val="00083C10"/>
    <w:rsid w:val="00086624"/>
    <w:rsid w:val="00092CC5"/>
    <w:rsid w:val="000931C0"/>
    <w:rsid w:val="000A21A2"/>
    <w:rsid w:val="000A2337"/>
    <w:rsid w:val="000B0595"/>
    <w:rsid w:val="000B0835"/>
    <w:rsid w:val="000B175B"/>
    <w:rsid w:val="000B2776"/>
    <w:rsid w:val="000B2D34"/>
    <w:rsid w:val="000B2F02"/>
    <w:rsid w:val="000B3A0F"/>
    <w:rsid w:val="000B44F2"/>
    <w:rsid w:val="000B4EF7"/>
    <w:rsid w:val="000B5F4A"/>
    <w:rsid w:val="000B61C9"/>
    <w:rsid w:val="000C2C03"/>
    <w:rsid w:val="000C2D2E"/>
    <w:rsid w:val="000C2F51"/>
    <w:rsid w:val="000C797D"/>
    <w:rsid w:val="000C7CF3"/>
    <w:rsid w:val="000D1860"/>
    <w:rsid w:val="000D30B4"/>
    <w:rsid w:val="000E0415"/>
    <w:rsid w:val="000F0991"/>
    <w:rsid w:val="00101EDE"/>
    <w:rsid w:val="001103AA"/>
    <w:rsid w:val="00114B96"/>
    <w:rsid w:val="0011664F"/>
    <w:rsid w:val="0011666B"/>
    <w:rsid w:val="00121DC8"/>
    <w:rsid w:val="001242E7"/>
    <w:rsid w:val="001268BF"/>
    <w:rsid w:val="00131329"/>
    <w:rsid w:val="001326B0"/>
    <w:rsid w:val="00135769"/>
    <w:rsid w:val="00141447"/>
    <w:rsid w:val="00144EA3"/>
    <w:rsid w:val="00152F62"/>
    <w:rsid w:val="00153D6B"/>
    <w:rsid w:val="00155860"/>
    <w:rsid w:val="00165208"/>
    <w:rsid w:val="00165F3A"/>
    <w:rsid w:val="0016604C"/>
    <w:rsid w:val="00174891"/>
    <w:rsid w:val="001809C5"/>
    <w:rsid w:val="001816FA"/>
    <w:rsid w:val="00182290"/>
    <w:rsid w:val="001857B6"/>
    <w:rsid w:val="001A05E3"/>
    <w:rsid w:val="001A1646"/>
    <w:rsid w:val="001A36DE"/>
    <w:rsid w:val="001A3955"/>
    <w:rsid w:val="001A3EF3"/>
    <w:rsid w:val="001B4B04"/>
    <w:rsid w:val="001B61B6"/>
    <w:rsid w:val="001C490A"/>
    <w:rsid w:val="001C6663"/>
    <w:rsid w:val="001C7895"/>
    <w:rsid w:val="001D014C"/>
    <w:rsid w:val="001D0C8C"/>
    <w:rsid w:val="001D1419"/>
    <w:rsid w:val="001D26DF"/>
    <w:rsid w:val="001D3A03"/>
    <w:rsid w:val="001E0A44"/>
    <w:rsid w:val="001E5C30"/>
    <w:rsid w:val="001E7B67"/>
    <w:rsid w:val="001F278D"/>
    <w:rsid w:val="001F42B0"/>
    <w:rsid w:val="001F4AA5"/>
    <w:rsid w:val="001F4DFC"/>
    <w:rsid w:val="001F5460"/>
    <w:rsid w:val="0020048B"/>
    <w:rsid w:val="00202DA8"/>
    <w:rsid w:val="002111A6"/>
    <w:rsid w:val="00211E0B"/>
    <w:rsid w:val="00224AAB"/>
    <w:rsid w:val="0022623C"/>
    <w:rsid w:val="00230299"/>
    <w:rsid w:val="002303A8"/>
    <w:rsid w:val="00240805"/>
    <w:rsid w:val="00245396"/>
    <w:rsid w:val="00245A5D"/>
    <w:rsid w:val="0024772E"/>
    <w:rsid w:val="002525C6"/>
    <w:rsid w:val="0025740F"/>
    <w:rsid w:val="0026412D"/>
    <w:rsid w:val="00265A56"/>
    <w:rsid w:val="00267F5F"/>
    <w:rsid w:val="0027258B"/>
    <w:rsid w:val="002738ED"/>
    <w:rsid w:val="002755EB"/>
    <w:rsid w:val="002758FB"/>
    <w:rsid w:val="00280F90"/>
    <w:rsid w:val="00281BCA"/>
    <w:rsid w:val="00285D1B"/>
    <w:rsid w:val="00286B4D"/>
    <w:rsid w:val="00287CF6"/>
    <w:rsid w:val="002941EE"/>
    <w:rsid w:val="002A6F8E"/>
    <w:rsid w:val="002B13FB"/>
    <w:rsid w:val="002B2288"/>
    <w:rsid w:val="002B2D35"/>
    <w:rsid w:val="002B6A6D"/>
    <w:rsid w:val="002C446B"/>
    <w:rsid w:val="002D463A"/>
    <w:rsid w:val="002D4643"/>
    <w:rsid w:val="002E07F8"/>
    <w:rsid w:val="002E207F"/>
    <w:rsid w:val="002E4CBF"/>
    <w:rsid w:val="002E51AD"/>
    <w:rsid w:val="002E64ED"/>
    <w:rsid w:val="002F0243"/>
    <w:rsid w:val="002F1476"/>
    <w:rsid w:val="002F175C"/>
    <w:rsid w:val="002F4662"/>
    <w:rsid w:val="002F7DE0"/>
    <w:rsid w:val="0030087C"/>
    <w:rsid w:val="00300EE7"/>
    <w:rsid w:val="00302E18"/>
    <w:rsid w:val="003039F9"/>
    <w:rsid w:val="00314755"/>
    <w:rsid w:val="003229D8"/>
    <w:rsid w:val="003236AC"/>
    <w:rsid w:val="003341B9"/>
    <w:rsid w:val="003364F7"/>
    <w:rsid w:val="003451AD"/>
    <w:rsid w:val="00350A6E"/>
    <w:rsid w:val="00352709"/>
    <w:rsid w:val="003575C5"/>
    <w:rsid w:val="00361653"/>
    <w:rsid w:val="003619B5"/>
    <w:rsid w:val="00361AC3"/>
    <w:rsid w:val="00365763"/>
    <w:rsid w:val="003667DC"/>
    <w:rsid w:val="00366C39"/>
    <w:rsid w:val="00371178"/>
    <w:rsid w:val="003732C0"/>
    <w:rsid w:val="00376BFF"/>
    <w:rsid w:val="003778E3"/>
    <w:rsid w:val="00382FB4"/>
    <w:rsid w:val="0038332E"/>
    <w:rsid w:val="003918CA"/>
    <w:rsid w:val="00392E47"/>
    <w:rsid w:val="00397432"/>
    <w:rsid w:val="003A547D"/>
    <w:rsid w:val="003A5F76"/>
    <w:rsid w:val="003A6810"/>
    <w:rsid w:val="003B1A66"/>
    <w:rsid w:val="003B30D0"/>
    <w:rsid w:val="003B313F"/>
    <w:rsid w:val="003B5070"/>
    <w:rsid w:val="003C132F"/>
    <w:rsid w:val="003C2CC4"/>
    <w:rsid w:val="003C3E06"/>
    <w:rsid w:val="003C4887"/>
    <w:rsid w:val="003C5060"/>
    <w:rsid w:val="003C534D"/>
    <w:rsid w:val="003C54BB"/>
    <w:rsid w:val="003D188B"/>
    <w:rsid w:val="003D4B23"/>
    <w:rsid w:val="003E130E"/>
    <w:rsid w:val="003E350C"/>
    <w:rsid w:val="003E4CC6"/>
    <w:rsid w:val="003E7CFA"/>
    <w:rsid w:val="003E7E2B"/>
    <w:rsid w:val="003F09D3"/>
    <w:rsid w:val="003F09FB"/>
    <w:rsid w:val="003F0C22"/>
    <w:rsid w:val="003F1D39"/>
    <w:rsid w:val="003F5B8E"/>
    <w:rsid w:val="003F7695"/>
    <w:rsid w:val="00404156"/>
    <w:rsid w:val="00410C89"/>
    <w:rsid w:val="0041174E"/>
    <w:rsid w:val="00412960"/>
    <w:rsid w:val="00417281"/>
    <w:rsid w:val="004179C4"/>
    <w:rsid w:val="00421E4F"/>
    <w:rsid w:val="00422E03"/>
    <w:rsid w:val="0042491E"/>
    <w:rsid w:val="004256DD"/>
    <w:rsid w:val="00426B9B"/>
    <w:rsid w:val="00427A7A"/>
    <w:rsid w:val="004325CB"/>
    <w:rsid w:val="004350F8"/>
    <w:rsid w:val="00437526"/>
    <w:rsid w:val="00437B66"/>
    <w:rsid w:val="00441193"/>
    <w:rsid w:val="004413E7"/>
    <w:rsid w:val="00441CE4"/>
    <w:rsid w:val="00442A83"/>
    <w:rsid w:val="00443BBC"/>
    <w:rsid w:val="0044636E"/>
    <w:rsid w:val="0044642F"/>
    <w:rsid w:val="00446EAD"/>
    <w:rsid w:val="0044781F"/>
    <w:rsid w:val="004500C7"/>
    <w:rsid w:val="00450916"/>
    <w:rsid w:val="0045438B"/>
    <w:rsid w:val="0045495B"/>
    <w:rsid w:val="004561E5"/>
    <w:rsid w:val="0046553D"/>
    <w:rsid w:val="004747F7"/>
    <w:rsid w:val="0048343F"/>
    <w:rsid w:val="0048397A"/>
    <w:rsid w:val="0048476A"/>
    <w:rsid w:val="00485CBB"/>
    <w:rsid w:val="004866B7"/>
    <w:rsid w:val="00486B5D"/>
    <w:rsid w:val="0049131A"/>
    <w:rsid w:val="00496A98"/>
    <w:rsid w:val="004A5A1C"/>
    <w:rsid w:val="004B2424"/>
    <w:rsid w:val="004B24BC"/>
    <w:rsid w:val="004C2461"/>
    <w:rsid w:val="004C4906"/>
    <w:rsid w:val="004C4E98"/>
    <w:rsid w:val="004C7462"/>
    <w:rsid w:val="004E1F36"/>
    <w:rsid w:val="004E71CD"/>
    <w:rsid w:val="004E77B2"/>
    <w:rsid w:val="004F331E"/>
    <w:rsid w:val="004F4537"/>
    <w:rsid w:val="004F511F"/>
    <w:rsid w:val="0050325F"/>
    <w:rsid w:val="005036DB"/>
    <w:rsid w:val="00504B2D"/>
    <w:rsid w:val="00515C2C"/>
    <w:rsid w:val="0052136D"/>
    <w:rsid w:val="0052565E"/>
    <w:rsid w:val="00526F73"/>
    <w:rsid w:val="00527714"/>
    <w:rsid w:val="0052775E"/>
    <w:rsid w:val="00530CE1"/>
    <w:rsid w:val="0053571D"/>
    <w:rsid w:val="005420F2"/>
    <w:rsid w:val="005463C5"/>
    <w:rsid w:val="005515D8"/>
    <w:rsid w:val="00553A49"/>
    <w:rsid w:val="00553D57"/>
    <w:rsid w:val="0056209A"/>
    <w:rsid w:val="00562286"/>
    <w:rsid w:val="005628B6"/>
    <w:rsid w:val="005629A0"/>
    <w:rsid w:val="00571D37"/>
    <w:rsid w:val="00573ADF"/>
    <w:rsid w:val="005768FE"/>
    <w:rsid w:val="00590FBF"/>
    <w:rsid w:val="005941EC"/>
    <w:rsid w:val="0059724D"/>
    <w:rsid w:val="00597421"/>
    <w:rsid w:val="005A1C80"/>
    <w:rsid w:val="005A2440"/>
    <w:rsid w:val="005A6C50"/>
    <w:rsid w:val="005B143A"/>
    <w:rsid w:val="005B17DC"/>
    <w:rsid w:val="005B1AA1"/>
    <w:rsid w:val="005B320C"/>
    <w:rsid w:val="005B3DB3"/>
    <w:rsid w:val="005B44C4"/>
    <w:rsid w:val="005B4742"/>
    <w:rsid w:val="005B4E13"/>
    <w:rsid w:val="005B7C50"/>
    <w:rsid w:val="005C342F"/>
    <w:rsid w:val="005C6FD1"/>
    <w:rsid w:val="005C7D1E"/>
    <w:rsid w:val="005D66A8"/>
    <w:rsid w:val="005E4898"/>
    <w:rsid w:val="005E6FCD"/>
    <w:rsid w:val="005E7168"/>
    <w:rsid w:val="005E757D"/>
    <w:rsid w:val="005F4F38"/>
    <w:rsid w:val="005F7B75"/>
    <w:rsid w:val="006001EE"/>
    <w:rsid w:val="0060142C"/>
    <w:rsid w:val="00605042"/>
    <w:rsid w:val="0060530A"/>
    <w:rsid w:val="00606950"/>
    <w:rsid w:val="0061033F"/>
    <w:rsid w:val="00610872"/>
    <w:rsid w:val="00611FC4"/>
    <w:rsid w:val="006176FB"/>
    <w:rsid w:val="00625969"/>
    <w:rsid w:val="006401E2"/>
    <w:rsid w:val="00640B26"/>
    <w:rsid w:val="006412EB"/>
    <w:rsid w:val="00652D0A"/>
    <w:rsid w:val="0065770E"/>
    <w:rsid w:val="00660576"/>
    <w:rsid w:val="00662BB6"/>
    <w:rsid w:val="00666436"/>
    <w:rsid w:val="00671B51"/>
    <w:rsid w:val="0067362F"/>
    <w:rsid w:val="00676606"/>
    <w:rsid w:val="006823C3"/>
    <w:rsid w:val="00684C21"/>
    <w:rsid w:val="0068617D"/>
    <w:rsid w:val="0069082B"/>
    <w:rsid w:val="00695833"/>
    <w:rsid w:val="00695A92"/>
    <w:rsid w:val="006A0BA3"/>
    <w:rsid w:val="006A2530"/>
    <w:rsid w:val="006B54FC"/>
    <w:rsid w:val="006C3589"/>
    <w:rsid w:val="006C5959"/>
    <w:rsid w:val="006D21FB"/>
    <w:rsid w:val="006D37AF"/>
    <w:rsid w:val="006D51D0"/>
    <w:rsid w:val="006D5FB9"/>
    <w:rsid w:val="006D658E"/>
    <w:rsid w:val="006D7E68"/>
    <w:rsid w:val="006E03D6"/>
    <w:rsid w:val="006E4387"/>
    <w:rsid w:val="006E564B"/>
    <w:rsid w:val="006E7099"/>
    <w:rsid w:val="006E7191"/>
    <w:rsid w:val="006E7644"/>
    <w:rsid w:val="006E7654"/>
    <w:rsid w:val="006F30C7"/>
    <w:rsid w:val="00702037"/>
    <w:rsid w:val="00703577"/>
    <w:rsid w:val="00704147"/>
    <w:rsid w:val="00704490"/>
    <w:rsid w:val="00704F76"/>
    <w:rsid w:val="00705894"/>
    <w:rsid w:val="007077EA"/>
    <w:rsid w:val="00722108"/>
    <w:rsid w:val="0072632A"/>
    <w:rsid w:val="007327D5"/>
    <w:rsid w:val="00733FB7"/>
    <w:rsid w:val="00737B66"/>
    <w:rsid w:val="00740A9A"/>
    <w:rsid w:val="007436BD"/>
    <w:rsid w:val="007506B9"/>
    <w:rsid w:val="0075077A"/>
    <w:rsid w:val="00752E99"/>
    <w:rsid w:val="0075321C"/>
    <w:rsid w:val="00760BFB"/>
    <w:rsid w:val="007625AE"/>
    <w:rsid w:val="007629C8"/>
    <w:rsid w:val="0076402E"/>
    <w:rsid w:val="007664C4"/>
    <w:rsid w:val="0077047D"/>
    <w:rsid w:val="00772B02"/>
    <w:rsid w:val="00773190"/>
    <w:rsid w:val="007763E4"/>
    <w:rsid w:val="007773CC"/>
    <w:rsid w:val="007900CC"/>
    <w:rsid w:val="007935B7"/>
    <w:rsid w:val="007A6DA0"/>
    <w:rsid w:val="007B32AB"/>
    <w:rsid w:val="007B3BDE"/>
    <w:rsid w:val="007B68E9"/>
    <w:rsid w:val="007B6BA5"/>
    <w:rsid w:val="007B6CCE"/>
    <w:rsid w:val="007C3390"/>
    <w:rsid w:val="007C482C"/>
    <w:rsid w:val="007C4F4B"/>
    <w:rsid w:val="007C5091"/>
    <w:rsid w:val="007C6AB6"/>
    <w:rsid w:val="007D00C5"/>
    <w:rsid w:val="007D6741"/>
    <w:rsid w:val="007E01E9"/>
    <w:rsid w:val="007E1088"/>
    <w:rsid w:val="007E4A9D"/>
    <w:rsid w:val="007E61DF"/>
    <w:rsid w:val="007E63F3"/>
    <w:rsid w:val="007F2313"/>
    <w:rsid w:val="007F6611"/>
    <w:rsid w:val="00805831"/>
    <w:rsid w:val="008113D4"/>
    <w:rsid w:val="00811920"/>
    <w:rsid w:val="00815AD0"/>
    <w:rsid w:val="00815EDB"/>
    <w:rsid w:val="008242D7"/>
    <w:rsid w:val="008255E2"/>
    <w:rsid w:val="008257B1"/>
    <w:rsid w:val="00832334"/>
    <w:rsid w:val="008352B4"/>
    <w:rsid w:val="00836213"/>
    <w:rsid w:val="0083628C"/>
    <w:rsid w:val="008408D1"/>
    <w:rsid w:val="00841FC7"/>
    <w:rsid w:val="00842CD9"/>
    <w:rsid w:val="00843191"/>
    <w:rsid w:val="008435F9"/>
    <w:rsid w:val="00843767"/>
    <w:rsid w:val="00843A04"/>
    <w:rsid w:val="00844BB6"/>
    <w:rsid w:val="00853662"/>
    <w:rsid w:val="00854847"/>
    <w:rsid w:val="00863894"/>
    <w:rsid w:val="00864579"/>
    <w:rsid w:val="00866153"/>
    <w:rsid w:val="008679D9"/>
    <w:rsid w:val="00870F7F"/>
    <w:rsid w:val="008725AE"/>
    <w:rsid w:val="008734C6"/>
    <w:rsid w:val="00873723"/>
    <w:rsid w:val="008749F7"/>
    <w:rsid w:val="00881350"/>
    <w:rsid w:val="008823EA"/>
    <w:rsid w:val="00882EF3"/>
    <w:rsid w:val="008841F1"/>
    <w:rsid w:val="008878DE"/>
    <w:rsid w:val="00890CB0"/>
    <w:rsid w:val="008916DB"/>
    <w:rsid w:val="0089226F"/>
    <w:rsid w:val="008926F2"/>
    <w:rsid w:val="008979B1"/>
    <w:rsid w:val="008A04A3"/>
    <w:rsid w:val="008A1ED5"/>
    <w:rsid w:val="008A20ED"/>
    <w:rsid w:val="008A4D2C"/>
    <w:rsid w:val="008A6B25"/>
    <w:rsid w:val="008A6C4F"/>
    <w:rsid w:val="008B1F64"/>
    <w:rsid w:val="008B2335"/>
    <w:rsid w:val="008B2E36"/>
    <w:rsid w:val="008D2A0A"/>
    <w:rsid w:val="008D3927"/>
    <w:rsid w:val="008E0678"/>
    <w:rsid w:val="008E15D4"/>
    <w:rsid w:val="008F0BD7"/>
    <w:rsid w:val="008F16F0"/>
    <w:rsid w:val="008F31D2"/>
    <w:rsid w:val="008F3FEC"/>
    <w:rsid w:val="009006F8"/>
    <w:rsid w:val="00900DFA"/>
    <w:rsid w:val="00900E23"/>
    <w:rsid w:val="00902ED9"/>
    <w:rsid w:val="00906436"/>
    <w:rsid w:val="00907673"/>
    <w:rsid w:val="00913D72"/>
    <w:rsid w:val="009143FA"/>
    <w:rsid w:val="00915EF6"/>
    <w:rsid w:val="009223CA"/>
    <w:rsid w:val="00933EAD"/>
    <w:rsid w:val="009351E5"/>
    <w:rsid w:val="00940F93"/>
    <w:rsid w:val="00941609"/>
    <w:rsid w:val="009448C3"/>
    <w:rsid w:val="00947AC2"/>
    <w:rsid w:val="00950224"/>
    <w:rsid w:val="009562A2"/>
    <w:rsid w:val="009562AA"/>
    <w:rsid w:val="00961DCD"/>
    <w:rsid w:val="00961E9C"/>
    <w:rsid w:val="00965B01"/>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A737A"/>
    <w:rsid w:val="009B1B82"/>
    <w:rsid w:val="009B24E3"/>
    <w:rsid w:val="009B26E7"/>
    <w:rsid w:val="009B441F"/>
    <w:rsid w:val="009B64BB"/>
    <w:rsid w:val="009C053D"/>
    <w:rsid w:val="009C4D3E"/>
    <w:rsid w:val="009C580F"/>
    <w:rsid w:val="009D1C1F"/>
    <w:rsid w:val="009D6657"/>
    <w:rsid w:val="009E1235"/>
    <w:rsid w:val="009E6465"/>
    <w:rsid w:val="009E6F9C"/>
    <w:rsid w:val="009F064D"/>
    <w:rsid w:val="009F09BC"/>
    <w:rsid w:val="009F1A57"/>
    <w:rsid w:val="00A00697"/>
    <w:rsid w:val="00A00A3F"/>
    <w:rsid w:val="00A01489"/>
    <w:rsid w:val="00A03CD2"/>
    <w:rsid w:val="00A060BE"/>
    <w:rsid w:val="00A147C8"/>
    <w:rsid w:val="00A23E2F"/>
    <w:rsid w:val="00A3026E"/>
    <w:rsid w:val="00A338F1"/>
    <w:rsid w:val="00A35BE0"/>
    <w:rsid w:val="00A375F4"/>
    <w:rsid w:val="00A46F00"/>
    <w:rsid w:val="00A6129C"/>
    <w:rsid w:val="00A62664"/>
    <w:rsid w:val="00A72F22"/>
    <w:rsid w:val="00A7360F"/>
    <w:rsid w:val="00A748A6"/>
    <w:rsid w:val="00A761D2"/>
    <w:rsid w:val="00A769F4"/>
    <w:rsid w:val="00A76E34"/>
    <w:rsid w:val="00A776B4"/>
    <w:rsid w:val="00A82FC3"/>
    <w:rsid w:val="00A90569"/>
    <w:rsid w:val="00A91698"/>
    <w:rsid w:val="00A92CEA"/>
    <w:rsid w:val="00A94361"/>
    <w:rsid w:val="00A94DA1"/>
    <w:rsid w:val="00A95552"/>
    <w:rsid w:val="00AA17DA"/>
    <w:rsid w:val="00AA291F"/>
    <w:rsid w:val="00AA293C"/>
    <w:rsid w:val="00AA4342"/>
    <w:rsid w:val="00AA5BA8"/>
    <w:rsid w:val="00AB18C2"/>
    <w:rsid w:val="00AB667F"/>
    <w:rsid w:val="00AC0EFB"/>
    <w:rsid w:val="00AC763B"/>
    <w:rsid w:val="00AD18A9"/>
    <w:rsid w:val="00AE1E19"/>
    <w:rsid w:val="00B06031"/>
    <w:rsid w:val="00B120EB"/>
    <w:rsid w:val="00B144C2"/>
    <w:rsid w:val="00B15F7C"/>
    <w:rsid w:val="00B17155"/>
    <w:rsid w:val="00B17729"/>
    <w:rsid w:val="00B21341"/>
    <w:rsid w:val="00B30179"/>
    <w:rsid w:val="00B3069B"/>
    <w:rsid w:val="00B3452C"/>
    <w:rsid w:val="00B41EC5"/>
    <w:rsid w:val="00B421C1"/>
    <w:rsid w:val="00B42AC0"/>
    <w:rsid w:val="00B4375E"/>
    <w:rsid w:val="00B50044"/>
    <w:rsid w:val="00B5083C"/>
    <w:rsid w:val="00B52AB2"/>
    <w:rsid w:val="00B534AF"/>
    <w:rsid w:val="00B53C21"/>
    <w:rsid w:val="00B55C71"/>
    <w:rsid w:val="00B56B11"/>
    <w:rsid w:val="00B56E4A"/>
    <w:rsid w:val="00B56E9C"/>
    <w:rsid w:val="00B572FB"/>
    <w:rsid w:val="00B64B1F"/>
    <w:rsid w:val="00B6553F"/>
    <w:rsid w:val="00B65BDE"/>
    <w:rsid w:val="00B65D86"/>
    <w:rsid w:val="00B67275"/>
    <w:rsid w:val="00B71B39"/>
    <w:rsid w:val="00B72DCE"/>
    <w:rsid w:val="00B77D05"/>
    <w:rsid w:val="00B81206"/>
    <w:rsid w:val="00B81E12"/>
    <w:rsid w:val="00B82BA7"/>
    <w:rsid w:val="00B83062"/>
    <w:rsid w:val="00B900BC"/>
    <w:rsid w:val="00BA056D"/>
    <w:rsid w:val="00BA7F87"/>
    <w:rsid w:val="00BB4732"/>
    <w:rsid w:val="00BB6CB6"/>
    <w:rsid w:val="00BC3035"/>
    <w:rsid w:val="00BC3FA0"/>
    <w:rsid w:val="00BC4822"/>
    <w:rsid w:val="00BC74E9"/>
    <w:rsid w:val="00BD45F0"/>
    <w:rsid w:val="00BE7A67"/>
    <w:rsid w:val="00BF30B3"/>
    <w:rsid w:val="00BF3C46"/>
    <w:rsid w:val="00BF476F"/>
    <w:rsid w:val="00BF68A8"/>
    <w:rsid w:val="00C01D9D"/>
    <w:rsid w:val="00C0219A"/>
    <w:rsid w:val="00C11A03"/>
    <w:rsid w:val="00C139C5"/>
    <w:rsid w:val="00C14B9E"/>
    <w:rsid w:val="00C2071E"/>
    <w:rsid w:val="00C22C0C"/>
    <w:rsid w:val="00C25C5A"/>
    <w:rsid w:val="00C315D6"/>
    <w:rsid w:val="00C31C1C"/>
    <w:rsid w:val="00C3699D"/>
    <w:rsid w:val="00C42C37"/>
    <w:rsid w:val="00C4354F"/>
    <w:rsid w:val="00C451CD"/>
    <w:rsid w:val="00C4523D"/>
    <w:rsid w:val="00C4527F"/>
    <w:rsid w:val="00C463DD"/>
    <w:rsid w:val="00C4724C"/>
    <w:rsid w:val="00C50EAD"/>
    <w:rsid w:val="00C51A41"/>
    <w:rsid w:val="00C629A0"/>
    <w:rsid w:val="00C640D9"/>
    <w:rsid w:val="00C64629"/>
    <w:rsid w:val="00C64AC7"/>
    <w:rsid w:val="00C64DA6"/>
    <w:rsid w:val="00C745C3"/>
    <w:rsid w:val="00C82926"/>
    <w:rsid w:val="00C83FA0"/>
    <w:rsid w:val="00C84110"/>
    <w:rsid w:val="00C8722C"/>
    <w:rsid w:val="00C9142E"/>
    <w:rsid w:val="00C96DF2"/>
    <w:rsid w:val="00CA1858"/>
    <w:rsid w:val="00CA7F5A"/>
    <w:rsid w:val="00CB3E03"/>
    <w:rsid w:val="00CD4AA6"/>
    <w:rsid w:val="00CE4A8F"/>
    <w:rsid w:val="00CE4B26"/>
    <w:rsid w:val="00CF2076"/>
    <w:rsid w:val="00D044C8"/>
    <w:rsid w:val="00D135F9"/>
    <w:rsid w:val="00D15453"/>
    <w:rsid w:val="00D2031B"/>
    <w:rsid w:val="00D213A9"/>
    <w:rsid w:val="00D23ADB"/>
    <w:rsid w:val="00D248B6"/>
    <w:rsid w:val="00D25FE2"/>
    <w:rsid w:val="00D266E1"/>
    <w:rsid w:val="00D26E07"/>
    <w:rsid w:val="00D306B7"/>
    <w:rsid w:val="00D315B7"/>
    <w:rsid w:val="00D35773"/>
    <w:rsid w:val="00D406A6"/>
    <w:rsid w:val="00D43252"/>
    <w:rsid w:val="00D47EEA"/>
    <w:rsid w:val="00D537C0"/>
    <w:rsid w:val="00D602CC"/>
    <w:rsid w:val="00D7042D"/>
    <w:rsid w:val="00D70976"/>
    <w:rsid w:val="00D73D28"/>
    <w:rsid w:val="00D773DF"/>
    <w:rsid w:val="00D8005A"/>
    <w:rsid w:val="00D8243F"/>
    <w:rsid w:val="00D86655"/>
    <w:rsid w:val="00D87977"/>
    <w:rsid w:val="00D9097A"/>
    <w:rsid w:val="00D95303"/>
    <w:rsid w:val="00D978C6"/>
    <w:rsid w:val="00D979F4"/>
    <w:rsid w:val="00D97AF8"/>
    <w:rsid w:val="00DA1544"/>
    <w:rsid w:val="00DA3C1C"/>
    <w:rsid w:val="00DA3E77"/>
    <w:rsid w:val="00DA6404"/>
    <w:rsid w:val="00DB10DA"/>
    <w:rsid w:val="00DB111C"/>
    <w:rsid w:val="00DB19B7"/>
    <w:rsid w:val="00DB29A4"/>
    <w:rsid w:val="00DB4BC4"/>
    <w:rsid w:val="00DB4BD5"/>
    <w:rsid w:val="00DC6D39"/>
    <w:rsid w:val="00DD7AD9"/>
    <w:rsid w:val="00DE5234"/>
    <w:rsid w:val="00DE726B"/>
    <w:rsid w:val="00DF620F"/>
    <w:rsid w:val="00E046DF"/>
    <w:rsid w:val="00E17AB7"/>
    <w:rsid w:val="00E211AD"/>
    <w:rsid w:val="00E22B0C"/>
    <w:rsid w:val="00E23189"/>
    <w:rsid w:val="00E24189"/>
    <w:rsid w:val="00E27346"/>
    <w:rsid w:val="00E40A45"/>
    <w:rsid w:val="00E46D35"/>
    <w:rsid w:val="00E545E1"/>
    <w:rsid w:val="00E560CA"/>
    <w:rsid w:val="00E56962"/>
    <w:rsid w:val="00E606A0"/>
    <w:rsid w:val="00E608A3"/>
    <w:rsid w:val="00E632F7"/>
    <w:rsid w:val="00E63E58"/>
    <w:rsid w:val="00E67EF8"/>
    <w:rsid w:val="00E70CDE"/>
    <w:rsid w:val="00E71BC8"/>
    <w:rsid w:val="00E7260F"/>
    <w:rsid w:val="00E73F5D"/>
    <w:rsid w:val="00E77E4E"/>
    <w:rsid w:val="00E87208"/>
    <w:rsid w:val="00E91F91"/>
    <w:rsid w:val="00E94196"/>
    <w:rsid w:val="00E942AE"/>
    <w:rsid w:val="00E95BB6"/>
    <w:rsid w:val="00E96630"/>
    <w:rsid w:val="00EA02D8"/>
    <w:rsid w:val="00EA0621"/>
    <w:rsid w:val="00EA2A77"/>
    <w:rsid w:val="00EC0A7C"/>
    <w:rsid w:val="00ED7A2A"/>
    <w:rsid w:val="00ED7DD3"/>
    <w:rsid w:val="00EE1476"/>
    <w:rsid w:val="00EE7C3E"/>
    <w:rsid w:val="00EF1D7F"/>
    <w:rsid w:val="00EF77F1"/>
    <w:rsid w:val="00F02D17"/>
    <w:rsid w:val="00F12D2F"/>
    <w:rsid w:val="00F159A8"/>
    <w:rsid w:val="00F21D14"/>
    <w:rsid w:val="00F22DCB"/>
    <w:rsid w:val="00F23ABD"/>
    <w:rsid w:val="00F25177"/>
    <w:rsid w:val="00F30509"/>
    <w:rsid w:val="00F31E5F"/>
    <w:rsid w:val="00F34C8F"/>
    <w:rsid w:val="00F528C1"/>
    <w:rsid w:val="00F6100A"/>
    <w:rsid w:val="00F65036"/>
    <w:rsid w:val="00F70CDF"/>
    <w:rsid w:val="00F80BC8"/>
    <w:rsid w:val="00F843E9"/>
    <w:rsid w:val="00F8604A"/>
    <w:rsid w:val="00F93781"/>
    <w:rsid w:val="00F94B1C"/>
    <w:rsid w:val="00F94E82"/>
    <w:rsid w:val="00F9635E"/>
    <w:rsid w:val="00F97CBB"/>
    <w:rsid w:val="00FA1145"/>
    <w:rsid w:val="00FA2E0D"/>
    <w:rsid w:val="00FB0D60"/>
    <w:rsid w:val="00FB0FDF"/>
    <w:rsid w:val="00FB5C24"/>
    <w:rsid w:val="00FB613B"/>
    <w:rsid w:val="00FC4523"/>
    <w:rsid w:val="00FC68B7"/>
    <w:rsid w:val="00FC7C7E"/>
    <w:rsid w:val="00FD0044"/>
    <w:rsid w:val="00FD3D0B"/>
    <w:rsid w:val="00FD3F98"/>
    <w:rsid w:val="00FD62C5"/>
    <w:rsid w:val="00FD7D49"/>
    <w:rsid w:val="00FE106A"/>
    <w:rsid w:val="00FE1284"/>
    <w:rsid w:val="00FE6203"/>
    <w:rsid w:val="00FE6B20"/>
    <w:rsid w:val="00FE7450"/>
    <w:rsid w:val="00FF0FE1"/>
    <w:rsid w:val="00FF145D"/>
    <w:rsid w:val="00FF1488"/>
    <w:rsid w:val="00FF374A"/>
    <w:rsid w:val="00FF3E9D"/>
    <w:rsid w:val="00FF58C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7BA939"/>
  <w15:docId w15:val="{0278FB36-42C9-46A6-A099-038B9FC1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1476"/>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
    <w:link w:val="FootnoteTex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styleId="Revision">
    <w:name w:val="Revision"/>
    <w:hidden/>
    <w:uiPriority w:val="99"/>
    <w:semiHidden/>
    <w:rsid w:val="00704F76"/>
    <w:rPr>
      <w:lang w:eastAsia="en-US"/>
    </w:rPr>
  </w:style>
  <w:style w:type="table" w:customStyle="1" w:styleId="TableGrid10">
    <w:name w:val="Table Grid1"/>
    <w:basedOn w:val="TableNormal"/>
    <w:next w:val="TableGrid"/>
    <w:rsid w:val="002F1476"/>
    <w:rPr>
      <w:rFonts w:ascii="Calibri" w:eastAsia="Calibri"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6_G Char"/>
    <w:basedOn w:val="DefaultParagraphFont"/>
    <w:link w:val="Header"/>
    <w:rsid w:val="002F1476"/>
    <w:rPr>
      <w:b/>
      <w:sz w:val="18"/>
      <w:lang w:eastAsia="en-US"/>
    </w:rPr>
  </w:style>
  <w:style w:type="table" w:customStyle="1" w:styleId="TableGrid20">
    <w:name w:val="Table Grid2"/>
    <w:basedOn w:val="TableNormal"/>
    <w:next w:val="TableGrid"/>
    <w:rsid w:val="002F1476"/>
    <w:rPr>
      <w:rFonts w:ascii="Calibri" w:eastAsia="Calibri"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CE4"/>
    <w:pPr>
      <w:ind w:left="720"/>
      <w:contextualSpacing/>
    </w:pPr>
  </w:style>
  <w:style w:type="paragraph" w:customStyle="1" w:styleId="Default">
    <w:name w:val="Default"/>
    <w:rsid w:val="0022623C"/>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505365375">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763460548">
      <w:bodyDiv w:val="1"/>
      <w:marLeft w:val="0"/>
      <w:marRight w:val="0"/>
      <w:marTop w:val="0"/>
      <w:marBottom w:val="0"/>
      <w:divBdr>
        <w:top w:val="none" w:sz="0" w:space="0" w:color="auto"/>
        <w:left w:val="none" w:sz="0" w:space="0" w:color="auto"/>
        <w:bottom w:val="none" w:sz="0" w:space="0" w:color="auto"/>
        <w:right w:val="none" w:sz="0" w:space="0" w:color="auto"/>
      </w:divBdr>
    </w:div>
    <w:div w:id="1199659225">
      <w:bodyDiv w:val="1"/>
      <w:marLeft w:val="0"/>
      <w:marRight w:val="0"/>
      <w:marTop w:val="0"/>
      <w:marBottom w:val="0"/>
      <w:divBdr>
        <w:top w:val="none" w:sz="0" w:space="0" w:color="auto"/>
        <w:left w:val="none" w:sz="0" w:space="0" w:color="auto"/>
        <w:bottom w:val="none" w:sz="0" w:space="0" w:color="auto"/>
        <w:right w:val="none" w:sz="0" w:space="0" w:color="auto"/>
      </w:divBdr>
    </w:div>
    <w:div w:id="1565799996">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FF0AE-7F7B-4C8C-A5D8-22A08428D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3</TotalTime>
  <Pages>4</Pages>
  <Words>973</Words>
  <Characters>5552</Characters>
  <Application>Microsoft Office Word</Application>
  <DocSecurity>0</DocSecurity>
  <Lines>46</Lines>
  <Paragraphs>13</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ECE/TRANS/WP.29/GRVA/2019/23</vt:lpstr>
      <vt:lpstr>ECE/TRANS/WP.29/GRVA/2019/23</vt:lpstr>
      <vt:lpstr>United Nations</vt:lpstr>
    </vt:vector>
  </TitlesOfParts>
  <Company>CSD</Company>
  <LinksUpToDate>false</LinksUpToDate>
  <CharactersWithSpaces>6512</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ECE/TRANS/WP.29/GRVA/2019/23</dc:title>
  <dc:subject>1911716</dc:subject>
  <dc:creator>Francois Guichard</dc:creator>
  <cp:lastModifiedBy>Francois E. Guichard</cp:lastModifiedBy>
  <cp:revision>4</cp:revision>
  <cp:lastPrinted>2019-07-10T09:31:00Z</cp:lastPrinted>
  <dcterms:created xsi:type="dcterms:W3CDTF">2019-09-12T16:49:00Z</dcterms:created>
  <dcterms:modified xsi:type="dcterms:W3CDTF">2019-09-26T17:10:00Z</dcterms:modified>
</cp:coreProperties>
</file>