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F47215" w14:textId="77777777" w:rsidTr="00B20551">
        <w:trPr>
          <w:cantSplit/>
          <w:trHeight w:hRule="exact" w:val="851"/>
        </w:trPr>
        <w:tc>
          <w:tcPr>
            <w:tcW w:w="1276" w:type="dxa"/>
            <w:tcBorders>
              <w:bottom w:val="single" w:sz="4" w:space="0" w:color="auto"/>
            </w:tcBorders>
            <w:vAlign w:val="bottom"/>
          </w:tcPr>
          <w:p w14:paraId="6D17C43E" w14:textId="77777777" w:rsidR="009E6CB7" w:rsidRDefault="009E6CB7" w:rsidP="00B20551">
            <w:pPr>
              <w:spacing w:after="80"/>
            </w:pPr>
          </w:p>
        </w:tc>
        <w:tc>
          <w:tcPr>
            <w:tcW w:w="2268" w:type="dxa"/>
            <w:tcBorders>
              <w:bottom w:val="single" w:sz="4" w:space="0" w:color="auto"/>
            </w:tcBorders>
            <w:vAlign w:val="bottom"/>
          </w:tcPr>
          <w:p w14:paraId="43D061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282A88" w14:textId="77777777" w:rsidR="009E6CB7" w:rsidRPr="00D47EEA" w:rsidRDefault="00BC3022" w:rsidP="00BC3022">
            <w:pPr>
              <w:jc w:val="right"/>
            </w:pPr>
            <w:r w:rsidRPr="00BC3022">
              <w:rPr>
                <w:sz w:val="40"/>
              </w:rPr>
              <w:t>ECE</w:t>
            </w:r>
            <w:r>
              <w:t>/TRANS/WP.15/249/Add.1</w:t>
            </w:r>
          </w:p>
        </w:tc>
      </w:tr>
      <w:tr w:rsidR="009E6CB7" w14:paraId="1E053F09" w14:textId="77777777" w:rsidTr="00B20551">
        <w:trPr>
          <w:cantSplit/>
          <w:trHeight w:hRule="exact" w:val="2835"/>
        </w:trPr>
        <w:tc>
          <w:tcPr>
            <w:tcW w:w="1276" w:type="dxa"/>
            <w:tcBorders>
              <w:top w:val="single" w:sz="4" w:space="0" w:color="auto"/>
              <w:bottom w:val="single" w:sz="12" w:space="0" w:color="auto"/>
            </w:tcBorders>
          </w:tcPr>
          <w:p w14:paraId="0BC95ED5" w14:textId="77777777" w:rsidR="009E6CB7" w:rsidRDefault="00686A48" w:rsidP="00B20551">
            <w:pPr>
              <w:spacing w:before="120"/>
            </w:pPr>
            <w:r>
              <w:rPr>
                <w:noProof/>
                <w:lang w:val="fr-CH" w:eastAsia="fr-CH"/>
              </w:rPr>
              <w:drawing>
                <wp:inline distT="0" distB="0" distL="0" distR="0" wp14:anchorId="69461604" wp14:editId="40C792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47C4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4F379F" w14:textId="77777777" w:rsidR="009E6CB7" w:rsidRDefault="00BC3022" w:rsidP="00BC3022">
            <w:pPr>
              <w:spacing w:before="240" w:line="240" w:lineRule="exact"/>
            </w:pPr>
            <w:r>
              <w:t>Distr.: General</w:t>
            </w:r>
          </w:p>
          <w:p w14:paraId="25158E27" w14:textId="078DA34B" w:rsidR="00BC3022" w:rsidRDefault="00E137F0" w:rsidP="00BC3022">
            <w:pPr>
              <w:spacing w:line="240" w:lineRule="exact"/>
            </w:pPr>
            <w:r>
              <w:t>2 June</w:t>
            </w:r>
            <w:r w:rsidR="00BC3022">
              <w:t xml:space="preserve"> 2020</w:t>
            </w:r>
          </w:p>
          <w:p w14:paraId="46FB3B45" w14:textId="2CE3BF8C" w:rsidR="00BC3022" w:rsidRDefault="00442D66" w:rsidP="00BC3022">
            <w:pPr>
              <w:spacing w:line="240" w:lineRule="exact"/>
            </w:pPr>
            <w:r>
              <w:t>English</w:t>
            </w:r>
          </w:p>
          <w:p w14:paraId="2F1D9C63" w14:textId="1BF5A22B" w:rsidR="00087953" w:rsidRPr="00E137F0" w:rsidRDefault="00BC3022" w:rsidP="00E137F0">
            <w:pPr>
              <w:spacing w:line="240" w:lineRule="exact"/>
            </w:pPr>
            <w:r>
              <w:t>Original: English</w:t>
            </w:r>
            <w:r w:rsidR="00442D66">
              <w:t xml:space="preserve"> and French</w:t>
            </w:r>
          </w:p>
        </w:tc>
      </w:tr>
    </w:tbl>
    <w:p w14:paraId="4A4FF12B" w14:textId="77777777" w:rsidR="00BC3022" w:rsidRDefault="00BC3022" w:rsidP="00C411EB">
      <w:pPr>
        <w:spacing w:before="120"/>
        <w:rPr>
          <w:b/>
          <w:sz w:val="28"/>
          <w:szCs w:val="28"/>
        </w:rPr>
      </w:pPr>
      <w:r>
        <w:rPr>
          <w:b/>
          <w:sz w:val="28"/>
          <w:szCs w:val="28"/>
        </w:rPr>
        <w:t>Economic Commission for Europe</w:t>
      </w:r>
    </w:p>
    <w:p w14:paraId="77E3E199" w14:textId="5793F925" w:rsidR="00BC3022" w:rsidRDefault="00BC3022" w:rsidP="00F634CC">
      <w:pPr>
        <w:spacing w:before="120"/>
        <w:rPr>
          <w:sz w:val="28"/>
          <w:szCs w:val="28"/>
        </w:rPr>
      </w:pPr>
      <w:r>
        <w:rPr>
          <w:sz w:val="28"/>
          <w:szCs w:val="28"/>
        </w:rPr>
        <w:t>Inland Transport Committee</w:t>
      </w:r>
    </w:p>
    <w:p w14:paraId="7C52A8C2" w14:textId="77777777" w:rsidR="00BC3022" w:rsidRPr="001330DE" w:rsidRDefault="00BC3022" w:rsidP="00C411EB">
      <w:pPr>
        <w:spacing w:before="120"/>
        <w:rPr>
          <w:b/>
          <w:sz w:val="24"/>
          <w:szCs w:val="24"/>
        </w:rPr>
      </w:pPr>
      <w:r>
        <w:rPr>
          <w:b/>
          <w:sz w:val="24"/>
          <w:szCs w:val="24"/>
        </w:rPr>
        <w:t xml:space="preserve">Working Party on the Transport </w:t>
      </w:r>
      <w:r w:rsidRPr="001330DE">
        <w:rPr>
          <w:b/>
          <w:sz w:val="24"/>
          <w:szCs w:val="24"/>
        </w:rPr>
        <w:t>of Dangerous Goods</w:t>
      </w:r>
    </w:p>
    <w:p w14:paraId="0A211630" w14:textId="77777777" w:rsidR="00155706" w:rsidRPr="00BD6C80" w:rsidRDefault="00155706" w:rsidP="00155706">
      <w:pPr>
        <w:pStyle w:val="HChG"/>
        <w:rPr>
          <w:bCs/>
        </w:rPr>
      </w:pPr>
      <w:r w:rsidRPr="00BD6C80">
        <w:tab/>
      </w:r>
      <w:r w:rsidRPr="00BD6C80">
        <w:tab/>
      </w:r>
      <w:r w:rsidRPr="00BD6C80">
        <w:rPr>
          <w:bCs/>
        </w:rPr>
        <w:t>European Agreement concerning the International Carriage of Dangerous Goods by Road (ADR)</w:t>
      </w:r>
    </w:p>
    <w:p w14:paraId="325CDEB8" w14:textId="77777777" w:rsidR="00155706" w:rsidRPr="00BD6C80" w:rsidRDefault="00155706" w:rsidP="00155706">
      <w:pPr>
        <w:pStyle w:val="H1G"/>
      </w:pPr>
      <w:r w:rsidRPr="00BD6C80">
        <w:tab/>
      </w:r>
      <w:r w:rsidRPr="00BD6C80">
        <w:tab/>
        <w:t>Draft amendments to annexes A and B of ADR</w:t>
      </w:r>
    </w:p>
    <w:p w14:paraId="2FD903EC" w14:textId="77777777" w:rsidR="00155706" w:rsidRPr="00BD6C80" w:rsidRDefault="00155706" w:rsidP="00155706">
      <w:pPr>
        <w:pStyle w:val="H23G"/>
      </w:pPr>
      <w:r w:rsidRPr="00BD6C80">
        <w:tab/>
      </w:r>
      <w:r w:rsidRPr="00BD6C80">
        <w:tab/>
        <w:t>Addendum</w:t>
      </w:r>
    </w:p>
    <w:p w14:paraId="33784EB9" w14:textId="7543DC88" w:rsidR="00155706" w:rsidRDefault="00155706" w:rsidP="00055C36">
      <w:pPr>
        <w:pStyle w:val="SingleTxtG"/>
        <w:ind w:firstLine="567"/>
      </w:pPr>
      <w:r>
        <w:t xml:space="preserve">The Chair and Vice-Chair of </w:t>
      </w:r>
      <w:r w:rsidRPr="00064A5E">
        <w:t xml:space="preserve">the Working Party on the Transport of Dangerous Goods requested the secretariat to circulate an additional list of amendments for which the entry into force is scheduled for 1 January </w:t>
      </w:r>
      <w:r>
        <w:t>2021</w:t>
      </w:r>
      <w:r w:rsidRPr="00064A5E">
        <w:t xml:space="preserve"> in the form of an addendum to document ECE/TRANS/WP.15/</w:t>
      </w:r>
      <w:r>
        <w:t>249</w:t>
      </w:r>
      <w:r w:rsidRPr="00064A5E">
        <w:t>, which the Chair will transmit to Contracting Parties through his Government for acceptance in accordance with the procedure set out in article 14 of ADR (</w:t>
      </w:r>
      <w:r w:rsidRPr="008F7821">
        <w:t>see ECE/TRANS/WP.15/248, paragraph 80</w:t>
      </w:r>
      <w:r w:rsidRPr="00064A5E">
        <w:t>)</w:t>
      </w:r>
      <w:r w:rsidR="00EE7207">
        <w:t xml:space="preserve"> provided these amendments are also adopted by the RID Contracting States</w:t>
      </w:r>
      <w:r w:rsidRPr="00064A5E">
        <w:t>.</w:t>
      </w:r>
    </w:p>
    <w:p w14:paraId="2970EED1" w14:textId="01E59341" w:rsidR="00964D5E" w:rsidRDefault="00055C36" w:rsidP="00055C36">
      <w:pPr>
        <w:pStyle w:val="SingleTxtG"/>
      </w:pPr>
      <w:r>
        <w:tab/>
      </w:r>
      <w:r w:rsidRPr="00064A5E">
        <w:tab/>
      </w:r>
      <w:r>
        <w:t xml:space="preserve">Owing to the coronavirus pandemic (COVID-19), the 108th session of the Working Party was postponed to 9-13 November 2020. Therefore, these amendments were circulated to the Working Party participants in writing and the Working Party participants did not raise objection. </w:t>
      </w:r>
      <w:r w:rsidRPr="00064A5E">
        <w:t xml:space="preserve">This document contains </w:t>
      </w:r>
      <w:r w:rsidR="00606FE8">
        <w:t xml:space="preserve">in Annex </w:t>
      </w:r>
      <w:r w:rsidRPr="00064A5E">
        <w:t>the requested additional list of amendments</w:t>
      </w:r>
      <w:r w:rsidR="00805467">
        <w:t>:</w:t>
      </w:r>
    </w:p>
    <w:p w14:paraId="6C869912" w14:textId="0CCA4D56" w:rsidR="00964D5E" w:rsidRDefault="00964D5E" w:rsidP="00662F88">
      <w:pPr>
        <w:pStyle w:val="Bullet1G"/>
      </w:pPr>
      <w:r>
        <w:tab/>
      </w:r>
      <w:r w:rsidR="00055C36">
        <w:t xml:space="preserve">Part I lists amendments </w:t>
      </w:r>
      <w:r>
        <w:t xml:space="preserve">necessary to ensure harmonisation </w:t>
      </w:r>
      <w:r w:rsidRPr="00964D5E">
        <w:t xml:space="preserve">of </w:t>
      </w:r>
      <w:r>
        <w:t>ADR</w:t>
      </w:r>
      <w:r w:rsidRPr="00964D5E">
        <w:t xml:space="preserve"> with the United Nations Recommendations on the Transport of Dangerous Goods</w:t>
      </w:r>
      <w:r>
        <w:t xml:space="preserve"> or needed as </w:t>
      </w:r>
      <w:r>
        <w:tab/>
        <w:t>consequential amendments or to update some transitional measures.</w:t>
      </w:r>
    </w:p>
    <w:p w14:paraId="51BF976C" w14:textId="6DAC2057" w:rsidR="003D1531" w:rsidRDefault="003D1531" w:rsidP="00662F88">
      <w:pPr>
        <w:pStyle w:val="Bullet1G"/>
      </w:pPr>
      <w:r>
        <w:tab/>
        <w:t xml:space="preserve">Part II lists additional amendments adopted by the Working Group </w:t>
      </w:r>
      <w:r w:rsidR="00401961">
        <w:t xml:space="preserve">on Tanks </w:t>
      </w:r>
      <w:r>
        <w:t>of the Joint Meeting.</w:t>
      </w:r>
    </w:p>
    <w:p w14:paraId="02AB3CE1" w14:textId="7F75AADB" w:rsidR="00055C36" w:rsidRDefault="00964D5E" w:rsidP="00662F88">
      <w:pPr>
        <w:pStyle w:val="Bullet1G"/>
      </w:pPr>
      <w:r>
        <w:tab/>
        <w:t>Part I</w:t>
      </w:r>
      <w:r w:rsidR="003D1531">
        <w:t>I</w:t>
      </w:r>
      <w:r>
        <w:t xml:space="preserve">I lists additional amendments to </w:t>
      </w:r>
      <w:r w:rsidR="00401961">
        <w:t>consider</w:t>
      </w:r>
      <w:r>
        <w:t xml:space="preserve"> the updating of some standards referenced in RID and ADR adopted by the Working Group </w:t>
      </w:r>
      <w:r w:rsidR="00401961">
        <w:t xml:space="preserve">on Standards </w:t>
      </w:r>
      <w:r>
        <w:t>of the Joint Meeting.</w:t>
      </w:r>
    </w:p>
    <w:p w14:paraId="3B7F8FC5" w14:textId="77777777" w:rsidR="00EE7207" w:rsidRDefault="00EE7207">
      <w:pPr>
        <w:suppressAutoHyphens w:val="0"/>
        <w:spacing w:line="240" w:lineRule="auto"/>
      </w:pPr>
      <w:r>
        <w:br w:type="page"/>
      </w:r>
    </w:p>
    <w:p w14:paraId="364A1577" w14:textId="033F857A" w:rsidR="008A2178" w:rsidRDefault="008A2178" w:rsidP="00EE7207">
      <w:pPr>
        <w:pStyle w:val="HChG"/>
      </w:pPr>
      <w:r>
        <w:lastRenderedPageBreak/>
        <w:t>Annex</w:t>
      </w:r>
    </w:p>
    <w:p w14:paraId="1B0AF605" w14:textId="77777777" w:rsidR="008A2178" w:rsidRPr="001F0B16" w:rsidRDefault="008A2178" w:rsidP="008A2178">
      <w:pPr>
        <w:jc w:val="right"/>
        <w:rPr>
          <w:lang w:val="en-US" w:eastAsia="ru-RU"/>
        </w:rPr>
      </w:pPr>
      <w:r>
        <w:rPr>
          <w:lang w:val="en-US" w:eastAsia="ru-RU"/>
        </w:rPr>
        <w:t>[Original: English, French and Russian]</w:t>
      </w:r>
    </w:p>
    <w:p w14:paraId="27BB4EE3" w14:textId="2E776AD4" w:rsidR="00964D5E" w:rsidRDefault="00EE7207" w:rsidP="008A2178">
      <w:pPr>
        <w:pStyle w:val="H1G"/>
      </w:pPr>
      <w:r>
        <w:tab/>
        <w:t>I.</w:t>
      </w:r>
      <w:r>
        <w:tab/>
      </w:r>
      <w:r w:rsidR="00962868">
        <w:t>Draft a</w:t>
      </w:r>
      <w:r>
        <w:t xml:space="preserve">mendments for harmonisation </w:t>
      </w:r>
      <w:r w:rsidRPr="00964D5E">
        <w:t xml:space="preserve">of </w:t>
      </w:r>
      <w:r>
        <w:t>ADR</w:t>
      </w:r>
      <w:r w:rsidRPr="00964D5E">
        <w:t xml:space="preserve"> with the United Nations Recommendations on the Transport of Dangerous Goods</w:t>
      </w:r>
      <w:r>
        <w:t>, consequential amendments</w:t>
      </w:r>
      <w:r w:rsidR="004F0C05">
        <w:t>, corrections</w:t>
      </w:r>
      <w:r>
        <w:t xml:space="preserve"> and updates</w:t>
      </w:r>
    </w:p>
    <w:p w14:paraId="57CE1788" w14:textId="77777777" w:rsidR="00FA02DF" w:rsidRDefault="00FA02DF" w:rsidP="008A2178">
      <w:pPr>
        <w:pStyle w:val="H23G"/>
        <w:rPr>
          <w:rFonts w:eastAsia="MS Mincho"/>
        </w:rPr>
      </w:pPr>
      <w:r>
        <w:rPr>
          <w:rFonts w:eastAsia="MS Mincho"/>
        </w:rPr>
        <w:tab/>
      </w:r>
      <w:r>
        <w:rPr>
          <w:rFonts w:eastAsia="MS Mincho"/>
        </w:rPr>
        <w:tab/>
      </w:r>
      <w:r w:rsidRPr="000D646E">
        <w:rPr>
          <w:rFonts w:eastAsia="MS Mincho"/>
        </w:rPr>
        <w:t xml:space="preserve">Chapter </w:t>
      </w:r>
      <w:r>
        <w:rPr>
          <w:rFonts w:eastAsia="MS Mincho"/>
        </w:rPr>
        <w:t>1.6</w:t>
      </w:r>
    </w:p>
    <w:p w14:paraId="186997AC" w14:textId="77777777" w:rsidR="00FA02DF" w:rsidRPr="008F7821" w:rsidRDefault="00FA02DF" w:rsidP="00FA02DF">
      <w:pPr>
        <w:pStyle w:val="SingleTxtG"/>
      </w:pPr>
      <w:r>
        <w:t>1.6.1</w:t>
      </w:r>
      <w:r w:rsidRPr="008F7821">
        <w:tab/>
        <w:t xml:space="preserve">Add the following new </w:t>
      </w:r>
      <w:r>
        <w:t>1.6.1.48</w:t>
      </w:r>
      <w:r w:rsidRPr="008F7821">
        <w:t>:</w:t>
      </w:r>
    </w:p>
    <w:p w14:paraId="25EC5E1A" w14:textId="77777777" w:rsidR="00D41516" w:rsidRDefault="00D41516" w:rsidP="00442D66">
      <w:pPr>
        <w:pStyle w:val="SingleTxtG"/>
        <w:ind w:left="2268" w:hanging="1134"/>
      </w:pPr>
      <w:r>
        <w:t>“1.6.1.48</w:t>
      </w:r>
      <w:r>
        <w:tab/>
        <w:t>C</w:t>
      </w:r>
      <w:r w:rsidRPr="007D5C9A">
        <w:t>ertificates</w:t>
      </w:r>
      <w:r>
        <w:t xml:space="preserve"> </w:t>
      </w:r>
      <w:r w:rsidRPr="004E1588">
        <w:t>of approval for vehicles</w:t>
      </w:r>
      <w:r>
        <w:t xml:space="preserve"> </w:t>
      </w:r>
      <w:r w:rsidRPr="004E1588">
        <w:t>carrying certain dangerous goods</w:t>
      </w:r>
      <w:r w:rsidRPr="007D5C9A">
        <w:t xml:space="preserve"> </w:t>
      </w:r>
      <w:r w:rsidRPr="004C7E29">
        <w:t xml:space="preserve">conforming to the model </w:t>
      </w:r>
      <w:r>
        <w:t xml:space="preserve">in 9.1.3.5 </w:t>
      </w:r>
      <w:r w:rsidRPr="004C7E29">
        <w:t>applicable until 31 December 20</w:t>
      </w:r>
      <w:r>
        <w:t xml:space="preserve">20, </w:t>
      </w:r>
      <w:r w:rsidRPr="007D5C9A">
        <w:t xml:space="preserve">issued before 1 </w:t>
      </w:r>
      <w:r>
        <w:t>July</w:t>
      </w:r>
      <w:r w:rsidRPr="007D5C9A">
        <w:t xml:space="preserve"> 20</w:t>
      </w:r>
      <w:r>
        <w:t>21</w:t>
      </w:r>
      <w:r w:rsidRPr="007D5C9A">
        <w:t xml:space="preserve">, may </w:t>
      </w:r>
      <w:r>
        <w:t>still</w:t>
      </w:r>
      <w:r w:rsidRPr="007D5C9A">
        <w:t xml:space="preserve"> be used.</w:t>
      </w:r>
      <w:r>
        <w:t>”</w:t>
      </w:r>
    </w:p>
    <w:p w14:paraId="381C6658" w14:textId="327903C9" w:rsidR="00556AFE" w:rsidRPr="00A16239" w:rsidRDefault="00556AFE" w:rsidP="00556AFE">
      <w:pPr>
        <w:pStyle w:val="SingleTxtG"/>
        <w:rPr>
          <w:rFonts w:eastAsia="MS Mincho"/>
        </w:rPr>
      </w:pPr>
      <w:r w:rsidRPr="00A16239">
        <w:rPr>
          <w:rFonts w:eastAsia="MS Mincho"/>
        </w:rPr>
        <w:t>1.6.5.4</w:t>
      </w:r>
      <w:r>
        <w:rPr>
          <w:rFonts w:eastAsia="MS Mincho"/>
        </w:rPr>
        <w:tab/>
      </w:r>
      <w:r>
        <w:rPr>
          <w:rFonts w:eastAsia="MS Mincho"/>
        </w:rPr>
        <w:tab/>
      </w:r>
      <w:r w:rsidRPr="00A16239">
        <w:rPr>
          <w:rFonts w:eastAsia="MS Mincho"/>
        </w:rPr>
        <w:t>Replace the text by “</w:t>
      </w:r>
      <w:r w:rsidR="003721C0">
        <w:rPr>
          <w:rFonts w:eastAsia="MS Mincho"/>
          <w:i/>
          <w:iCs/>
        </w:rPr>
        <w:t>(</w:t>
      </w:r>
      <w:r w:rsidRPr="00556AFE">
        <w:rPr>
          <w:rFonts w:eastAsia="MS Mincho"/>
          <w:i/>
          <w:iCs/>
        </w:rPr>
        <w:t>Reserved</w:t>
      </w:r>
      <w:r w:rsidR="003721C0">
        <w:rPr>
          <w:rFonts w:eastAsia="MS Mincho"/>
          <w:i/>
          <w:iCs/>
        </w:rPr>
        <w:t>)</w:t>
      </w:r>
      <w:r w:rsidRPr="00A16239">
        <w:rPr>
          <w:rFonts w:eastAsia="MS Mincho"/>
        </w:rPr>
        <w:t>”.</w:t>
      </w:r>
    </w:p>
    <w:p w14:paraId="2D348C8F" w14:textId="45292D88" w:rsidR="004F0C05" w:rsidRDefault="004F0C05" w:rsidP="008A2178">
      <w:pPr>
        <w:pStyle w:val="H23G"/>
        <w:rPr>
          <w:rFonts w:eastAsia="MS Mincho"/>
        </w:rPr>
      </w:pPr>
      <w:r>
        <w:rPr>
          <w:rFonts w:eastAsia="MS Mincho"/>
        </w:rPr>
        <w:tab/>
      </w:r>
      <w:r>
        <w:rPr>
          <w:rFonts w:eastAsia="MS Mincho"/>
        </w:rPr>
        <w:tab/>
      </w:r>
      <w:r w:rsidRPr="000D646E">
        <w:rPr>
          <w:rFonts w:eastAsia="MS Mincho"/>
        </w:rPr>
        <w:t xml:space="preserve">Chapter </w:t>
      </w:r>
      <w:r>
        <w:rPr>
          <w:rFonts w:eastAsia="MS Mincho"/>
        </w:rPr>
        <w:t>2.2</w:t>
      </w:r>
    </w:p>
    <w:p w14:paraId="2BFF207B" w14:textId="5FE79067" w:rsidR="004F0C05" w:rsidRDefault="004F0C05" w:rsidP="004F0C05">
      <w:pPr>
        <w:pStyle w:val="SingleTxtG"/>
      </w:pPr>
      <w:r>
        <w:rPr>
          <w:rFonts w:eastAsia="MS Mincho"/>
        </w:rPr>
        <w:t>2.2.41.1.10</w:t>
      </w:r>
      <w:r w:rsidRPr="00AE4EDD">
        <w:rPr>
          <w:rFonts w:eastAsia="SimSun"/>
          <w:lang w:val="fr-FR" w:eastAsia="zh-CN"/>
        </w:rPr>
        <w:tab/>
      </w:r>
      <w:r>
        <w:t xml:space="preserve">The amendment applies only to the French text. </w:t>
      </w:r>
    </w:p>
    <w:p w14:paraId="563556AF" w14:textId="77777777" w:rsidR="000D646E" w:rsidRDefault="000D646E" w:rsidP="008A2178">
      <w:pPr>
        <w:pStyle w:val="H23G"/>
        <w:rPr>
          <w:rFonts w:eastAsia="MS Mincho"/>
        </w:rPr>
      </w:pPr>
      <w:r>
        <w:rPr>
          <w:rFonts w:eastAsia="MS Mincho"/>
        </w:rPr>
        <w:tab/>
      </w:r>
      <w:r>
        <w:rPr>
          <w:rFonts w:eastAsia="MS Mincho"/>
        </w:rPr>
        <w:tab/>
      </w:r>
      <w:r w:rsidRPr="000D646E">
        <w:rPr>
          <w:rFonts w:eastAsia="MS Mincho"/>
        </w:rPr>
        <w:t xml:space="preserve">Chapter </w:t>
      </w:r>
      <w:r>
        <w:rPr>
          <w:rFonts w:eastAsia="MS Mincho"/>
        </w:rPr>
        <w:t>3</w:t>
      </w:r>
      <w:r w:rsidRPr="000D646E">
        <w:rPr>
          <w:rFonts w:eastAsia="MS Mincho"/>
        </w:rPr>
        <w:t>.3</w:t>
      </w:r>
    </w:p>
    <w:p w14:paraId="4BEBFDD0" w14:textId="77777777" w:rsidR="00442D66" w:rsidRDefault="000D646E" w:rsidP="000D646E">
      <w:pPr>
        <w:pStyle w:val="SingleTxtG"/>
        <w:rPr>
          <w:rFonts w:eastAsia="SimSun"/>
          <w:lang w:val="fr-FR" w:eastAsia="zh-CN"/>
        </w:rPr>
      </w:pPr>
      <w:r>
        <w:rPr>
          <w:rFonts w:eastAsia="MS Mincho"/>
        </w:rPr>
        <w:t>Special provision</w:t>
      </w:r>
      <w:r w:rsidRPr="000D646E">
        <w:rPr>
          <w:rFonts w:eastAsia="MS Mincho"/>
        </w:rPr>
        <w:t xml:space="preserve"> </w:t>
      </w:r>
      <w:r w:rsidRPr="00AE4EDD">
        <w:rPr>
          <w:rFonts w:eastAsia="SimSun"/>
          <w:lang w:val="fr-FR" w:eastAsia="zh-CN"/>
        </w:rPr>
        <w:t>241</w:t>
      </w:r>
    </w:p>
    <w:p w14:paraId="1D302980" w14:textId="1D656394" w:rsidR="007D5761" w:rsidRPr="000D646E" w:rsidRDefault="000D646E" w:rsidP="007D5761">
      <w:pPr>
        <w:pStyle w:val="SingleTxtG"/>
        <w:ind w:left="2268"/>
        <w:rPr>
          <w:rFonts w:eastAsia="MS Mincho"/>
        </w:rPr>
      </w:pPr>
      <w:r w:rsidRPr="00AE4EDD">
        <w:rPr>
          <w:rFonts w:eastAsia="SimSun"/>
          <w:lang w:val="fr-FR" w:eastAsia="zh-CN"/>
        </w:rPr>
        <w:tab/>
      </w:r>
      <w:r w:rsidR="00F0122F">
        <w:rPr>
          <w:rFonts w:eastAsia="SimSun"/>
          <w:lang w:val="fr-FR" w:eastAsia="zh-CN"/>
        </w:rPr>
        <w:t>In the second sentence, r</w:t>
      </w:r>
      <w:proofErr w:type="spellStart"/>
      <w:r w:rsidR="007D5761">
        <w:t>eplace</w:t>
      </w:r>
      <w:proofErr w:type="spellEnd"/>
      <w:r w:rsidR="007D5761">
        <w:t xml:space="preserve"> “test No. 1” by “test N.1”.</w:t>
      </w:r>
    </w:p>
    <w:p w14:paraId="4DB18A3E" w14:textId="77777777" w:rsidR="00442D66" w:rsidRDefault="000D646E" w:rsidP="000D646E">
      <w:pPr>
        <w:pStyle w:val="SingleTxtG"/>
        <w:rPr>
          <w:rFonts w:eastAsia="MS Mincho"/>
        </w:rPr>
      </w:pPr>
      <w:r>
        <w:rPr>
          <w:rFonts w:eastAsia="MS Mincho"/>
        </w:rPr>
        <w:t>Special provision</w:t>
      </w:r>
      <w:r w:rsidRPr="000D646E">
        <w:rPr>
          <w:rFonts w:eastAsia="MS Mincho"/>
        </w:rPr>
        <w:t xml:space="preserve"> 310</w:t>
      </w:r>
    </w:p>
    <w:p w14:paraId="2BC1913A" w14:textId="1B8EBB3B" w:rsidR="000D646E" w:rsidRPr="000D646E" w:rsidRDefault="000D646E" w:rsidP="00442D66">
      <w:pPr>
        <w:pStyle w:val="SingleTxtG"/>
        <w:ind w:left="2268"/>
        <w:rPr>
          <w:rFonts w:eastAsia="MS Mincho"/>
        </w:rPr>
      </w:pPr>
      <w:r w:rsidRPr="000D646E">
        <w:rPr>
          <w:rFonts w:eastAsia="MS Mincho"/>
        </w:rPr>
        <w:t>In the last but one paragraph, delete “and packaged in accordance with packing instructions P908 of 4.1.4.1 or LP904 of 4.1.4.3, as applicable”.</w:t>
      </w:r>
    </w:p>
    <w:p w14:paraId="37E9F15B" w14:textId="77777777" w:rsidR="00442D66" w:rsidRDefault="000D646E" w:rsidP="000D646E">
      <w:pPr>
        <w:pStyle w:val="SingleTxtG"/>
        <w:rPr>
          <w:rFonts w:eastAsia="MS Mincho"/>
        </w:rPr>
      </w:pPr>
      <w:r>
        <w:rPr>
          <w:rFonts w:eastAsia="MS Mincho"/>
        </w:rPr>
        <w:t>Special provision</w:t>
      </w:r>
      <w:r w:rsidRPr="000D646E">
        <w:rPr>
          <w:rFonts w:eastAsia="MS Mincho"/>
        </w:rPr>
        <w:t xml:space="preserve"> 377</w:t>
      </w:r>
    </w:p>
    <w:p w14:paraId="3BED1764" w14:textId="46FB75FB" w:rsidR="000D646E" w:rsidRPr="000D646E" w:rsidRDefault="000D646E" w:rsidP="00442D66">
      <w:pPr>
        <w:pStyle w:val="SingleTxtG"/>
        <w:ind w:left="2268"/>
        <w:rPr>
          <w:rFonts w:eastAsia="MS Mincho"/>
        </w:rPr>
      </w:pPr>
      <w:r w:rsidRPr="000D646E">
        <w:rPr>
          <w:rFonts w:eastAsia="MS Mincho"/>
        </w:rPr>
        <w:t>In the last paragraph, delete “and packaged in accordance with packing instruction P908 of 4.1.4.1 or packing instruction LP904 of 4.1.4.3, as applicable”.</w:t>
      </w:r>
    </w:p>
    <w:p w14:paraId="03EFEC64" w14:textId="1C91B430" w:rsidR="000C07E7" w:rsidRDefault="000C07E7" w:rsidP="000C07E7">
      <w:pPr>
        <w:pStyle w:val="SingleTxtG"/>
        <w:rPr>
          <w:rFonts w:eastAsia="MS Mincho"/>
        </w:rPr>
      </w:pPr>
      <w:r>
        <w:rPr>
          <w:rFonts w:eastAsia="MS Mincho"/>
        </w:rPr>
        <w:t>Special provision</w:t>
      </w:r>
      <w:r w:rsidRPr="000D646E">
        <w:rPr>
          <w:rFonts w:eastAsia="MS Mincho"/>
        </w:rPr>
        <w:t xml:space="preserve"> </w:t>
      </w:r>
      <w:r>
        <w:rPr>
          <w:rFonts w:eastAsia="MS Mincho"/>
        </w:rPr>
        <w:t>672</w:t>
      </w:r>
    </w:p>
    <w:p w14:paraId="264C5F84" w14:textId="70DF7F5D" w:rsidR="000C07E7" w:rsidRDefault="000C07E7" w:rsidP="000C07E7">
      <w:pPr>
        <w:pStyle w:val="SingleTxtG"/>
        <w:ind w:left="2268"/>
        <w:rPr>
          <w:rFonts w:eastAsia="MS Mincho"/>
        </w:rPr>
      </w:pPr>
      <w:r>
        <w:rPr>
          <w:rFonts w:eastAsia="MS Mincho"/>
        </w:rPr>
        <w:t>At the beginning, replace “Machinery and apparatus” by “</w:t>
      </w:r>
      <w:r>
        <w:t>Articles, such as m</w:t>
      </w:r>
      <w:r w:rsidRPr="0026018C">
        <w:t>achinery</w:t>
      </w:r>
      <w:r>
        <w:t>,</w:t>
      </w:r>
      <w:r w:rsidRPr="0026018C">
        <w:t xml:space="preserve"> apparatus </w:t>
      </w:r>
      <w:r>
        <w:t>or devices”. In the second indent, replace “machinery or apparatus” by “article”.</w:t>
      </w:r>
    </w:p>
    <w:p w14:paraId="05FD757B" w14:textId="77777777" w:rsidR="006B7CC0" w:rsidRDefault="006B7CC0" w:rsidP="008A2178">
      <w:pPr>
        <w:pStyle w:val="H23G"/>
        <w:rPr>
          <w:rFonts w:eastAsia="MS Mincho"/>
        </w:rPr>
      </w:pPr>
      <w:r>
        <w:rPr>
          <w:rFonts w:eastAsia="MS Mincho"/>
        </w:rPr>
        <w:tab/>
      </w:r>
      <w:r>
        <w:rPr>
          <w:rFonts w:eastAsia="MS Mincho"/>
        </w:rPr>
        <w:tab/>
      </w:r>
      <w:r w:rsidRPr="000D646E">
        <w:rPr>
          <w:rFonts w:eastAsia="MS Mincho"/>
        </w:rPr>
        <w:t xml:space="preserve">Chapter </w:t>
      </w:r>
      <w:r>
        <w:rPr>
          <w:rFonts w:eastAsia="MS Mincho"/>
        </w:rPr>
        <w:t>4.3</w:t>
      </w:r>
    </w:p>
    <w:p w14:paraId="6790A3FB" w14:textId="45B037AB" w:rsidR="006B7CC0" w:rsidRPr="008F7821" w:rsidRDefault="006B7CC0" w:rsidP="006B7CC0">
      <w:pPr>
        <w:pStyle w:val="SingleTxtG"/>
        <w:ind w:left="2268" w:hanging="1134"/>
      </w:pPr>
      <w:r>
        <w:t>4.3.4.2.2</w:t>
      </w:r>
      <w:r>
        <w:tab/>
        <w:t>In the second sentence, replace “shells” by “tank”.</w:t>
      </w:r>
    </w:p>
    <w:p w14:paraId="524A0AF7" w14:textId="77777777" w:rsidR="000D646E" w:rsidRDefault="000D646E" w:rsidP="008A2178">
      <w:pPr>
        <w:pStyle w:val="H23G"/>
        <w:rPr>
          <w:rFonts w:eastAsia="MS Mincho"/>
        </w:rPr>
      </w:pPr>
      <w:r>
        <w:rPr>
          <w:rFonts w:eastAsia="MS Mincho"/>
        </w:rPr>
        <w:tab/>
      </w:r>
      <w:r>
        <w:rPr>
          <w:rFonts w:eastAsia="MS Mincho"/>
        </w:rPr>
        <w:tab/>
      </w:r>
      <w:r w:rsidRPr="000D646E">
        <w:rPr>
          <w:rFonts w:eastAsia="MS Mincho"/>
        </w:rPr>
        <w:t>Chapter 6.3</w:t>
      </w:r>
    </w:p>
    <w:p w14:paraId="500D35AD" w14:textId="427F381A" w:rsidR="00564F2E" w:rsidRDefault="00564F2E" w:rsidP="00442D66">
      <w:pPr>
        <w:pStyle w:val="SingleTxtG"/>
        <w:ind w:left="2268" w:hanging="1134"/>
        <w:rPr>
          <w:rFonts w:eastAsia="MS Mincho"/>
        </w:rPr>
      </w:pPr>
      <w:r>
        <w:rPr>
          <w:rFonts w:eastAsia="MS Mincho"/>
        </w:rPr>
        <w:t>6.3.5.3.3 (</w:t>
      </w:r>
      <w:r w:rsidR="00FF3ADB">
        <w:rPr>
          <w:rFonts w:eastAsia="MS Mincho"/>
        </w:rPr>
        <w:t>renumbered</w:t>
      </w:r>
      <w:r>
        <w:rPr>
          <w:rFonts w:eastAsia="MS Mincho"/>
        </w:rPr>
        <w:t xml:space="preserve"> </w:t>
      </w:r>
      <w:r w:rsidR="000D646E" w:rsidRPr="000D646E">
        <w:rPr>
          <w:rFonts w:eastAsia="MS Mincho"/>
        </w:rPr>
        <w:t>6.3.5.3.2.2</w:t>
      </w:r>
      <w:r w:rsidR="00F0122F">
        <w:rPr>
          <w:rFonts w:eastAsia="MS Mincho"/>
        </w:rPr>
        <w:t>)</w:t>
      </w:r>
    </w:p>
    <w:p w14:paraId="7D9381F7" w14:textId="194D9300" w:rsidR="000D646E" w:rsidRDefault="000D646E" w:rsidP="00442D66">
      <w:pPr>
        <w:pStyle w:val="SingleTxtG"/>
        <w:ind w:left="2268" w:hanging="1134"/>
        <w:rPr>
          <w:rFonts w:eastAsia="MS Mincho"/>
        </w:rPr>
      </w:pPr>
      <w:r w:rsidRPr="000D646E">
        <w:rPr>
          <w:rFonts w:eastAsia="MS Mincho"/>
        </w:rPr>
        <w:tab/>
        <w:t>In the introductory sentence after “in the shape of a drum”, insert “or a jerrican”. In sub-paragraphs (a) and (b), replace “chime” by “edge”. In sub-paragraph (c), replace “side” by “body or side”.</w:t>
      </w:r>
    </w:p>
    <w:p w14:paraId="248DBD29" w14:textId="77777777" w:rsidR="00D41516" w:rsidRDefault="00D41516" w:rsidP="008A2178">
      <w:pPr>
        <w:pStyle w:val="H23G"/>
        <w:rPr>
          <w:rFonts w:eastAsia="MS Mincho"/>
        </w:rPr>
      </w:pPr>
      <w:r>
        <w:rPr>
          <w:rFonts w:eastAsia="MS Mincho"/>
        </w:rPr>
        <w:tab/>
      </w:r>
      <w:r>
        <w:rPr>
          <w:rFonts w:eastAsia="MS Mincho"/>
        </w:rPr>
        <w:tab/>
      </w:r>
      <w:r w:rsidRPr="000D646E">
        <w:rPr>
          <w:rFonts w:eastAsia="MS Mincho"/>
        </w:rPr>
        <w:t>Chapter 6.</w:t>
      </w:r>
      <w:r>
        <w:rPr>
          <w:rFonts w:eastAsia="MS Mincho"/>
        </w:rPr>
        <w:t>4</w:t>
      </w:r>
    </w:p>
    <w:p w14:paraId="6C9E8FAE" w14:textId="77777777" w:rsidR="00D41516" w:rsidRPr="00D41516" w:rsidRDefault="00D41516" w:rsidP="00442D66">
      <w:pPr>
        <w:pStyle w:val="SingleTxtG"/>
        <w:ind w:left="2268" w:hanging="1134"/>
      </w:pPr>
      <w:r w:rsidRPr="00D41516">
        <w:t>6.4.23.12 (a)</w:t>
      </w:r>
      <w:r w:rsidRPr="00D41516">
        <w:tab/>
        <w:t xml:space="preserve">Replace “A/132/B(M)F-96” by “A/132/B(M)F”. Replace “A/132/B(M)F-96T” by “A/132/B(M)FT”. Replace “A/139/IF-96” by “A/139/IF”. Replace “A/145/H(U)-96” by “A/145/H(U)”. </w:t>
      </w:r>
    </w:p>
    <w:p w14:paraId="19FAF27C" w14:textId="77777777" w:rsidR="00D41516" w:rsidRPr="00D41516" w:rsidRDefault="00D41516" w:rsidP="00442D66">
      <w:pPr>
        <w:pStyle w:val="SingleTxtG"/>
        <w:ind w:left="2268" w:hanging="1134"/>
      </w:pPr>
      <w:r w:rsidRPr="00D41516">
        <w:t>6.4.23.12 (b)</w:t>
      </w:r>
      <w:r w:rsidRPr="00D41516">
        <w:tab/>
        <w:t>Replace “A/132/B(M)F-96” by “A/132/B(M)F” and replace “CH/28/B(M)F-96” by “CH/28/B(M)F”.</w:t>
      </w:r>
    </w:p>
    <w:p w14:paraId="4B3544A8" w14:textId="77777777" w:rsidR="00D41516" w:rsidRPr="00D41516" w:rsidRDefault="00D41516" w:rsidP="00442D66">
      <w:pPr>
        <w:pStyle w:val="SingleTxtG"/>
        <w:ind w:left="2268" w:hanging="1134"/>
      </w:pPr>
      <w:r w:rsidRPr="00D41516">
        <w:lastRenderedPageBreak/>
        <w:t>6.4.23.12 (c)</w:t>
      </w:r>
      <w:r w:rsidRPr="00D41516">
        <w:tab/>
        <w:t>Replace “A/132/B(M)F-96 (Rev.2)” by “A/132/B(M)F (Rev.2)” and replace “A/132/B(M)F-96(Rev.0)” by “A/132/B(M)F (Rev.0)”.</w:t>
      </w:r>
    </w:p>
    <w:p w14:paraId="5597B10E" w14:textId="77777777" w:rsidR="00D41516" w:rsidRPr="00D41516" w:rsidRDefault="00D41516" w:rsidP="00D41516">
      <w:pPr>
        <w:pStyle w:val="SingleTxtG"/>
      </w:pPr>
      <w:r w:rsidRPr="00D41516">
        <w:t>6.4.23.12 (d)</w:t>
      </w:r>
      <w:r w:rsidRPr="00D41516">
        <w:tab/>
        <w:t>Replace “A/132/B(M)F-96(SP503)” by “A/132/B(M)F (SP503)”.</w:t>
      </w:r>
    </w:p>
    <w:p w14:paraId="6845B949" w14:textId="77777777" w:rsidR="00D41516" w:rsidRDefault="00D41516" w:rsidP="008A2178">
      <w:pPr>
        <w:pStyle w:val="H23G"/>
        <w:rPr>
          <w:rFonts w:eastAsia="MS Mincho"/>
        </w:rPr>
      </w:pPr>
      <w:r>
        <w:rPr>
          <w:rFonts w:eastAsia="MS Mincho"/>
        </w:rPr>
        <w:tab/>
      </w:r>
      <w:r>
        <w:rPr>
          <w:rFonts w:eastAsia="MS Mincho"/>
        </w:rPr>
        <w:tab/>
      </w:r>
      <w:r w:rsidRPr="000D646E">
        <w:rPr>
          <w:rFonts w:eastAsia="MS Mincho"/>
        </w:rPr>
        <w:t xml:space="preserve">Chapter </w:t>
      </w:r>
      <w:r>
        <w:rPr>
          <w:rFonts w:eastAsia="MS Mincho"/>
        </w:rPr>
        <w:t>9.1</w:t>
      </w:r>
    </w:p>
    <w:p w14:paraId="55E20F64" w14:textId="77777777" w:rsidR="00D41516" w:rsidRPr="00072165" w:rsidRDefault="00D41516" w:rsidP="00442D66">
      <w:pPr>
        <w:pStyle w:val="SingleTxtG"/>
        <w:ind w:left="2268" w:hanging="1134"/>
        <w:rPr>
          <w:rFonts w:asciiTheme="majorBidi" w:eastAsia="BatangChe" w:hAnsiTheme="majorBidi" w:cstheme="majorBidi"/>
        </w:rPr>
      </w:pPr>
      <w:r>
        <w:rPr>
          <w:rFonts w:eastAsia="MS Mincho"/>
        </w:rPr>
        <w:t>9.1.3.4</w:t>
      </w:r>
      <w:r>
        <w:rPr>
          <w:rFonts w:eastAsia="MS Mincho"/>
        </w:rPr>
        <w:tab/>
      </w:r>
      <w:r>
        <w:rPr>
          <w:rFonts w:eastAsia="MS Mincho"/>
        </w:rPr>
        <w:tab/>
        <w:t xml:space="preserve">In the last paragraph, replace </w:t>
      </w:r>
      <w:r w:rsidRPr="00072165">
        <w:rPr>
          <w:rFonts w:asciiTheme="majorBidi" w:eastAsia="BatangChe" w:hAnsiTheme="majorBidi" w:cstheme="majorBidi"/>
        </w:rPr>
        <w:t xml:space="preserve">“this provision shall not” </w:t>
      </w:r>
      <w:r>
        <w:rPr>
          <w:rFonts w:asciiTheme="majorBidi" w:eastAsia="BatangChe" w:hAnsiTheme="majorBidi" w:cstheme="majorBidi"/>
        </w:rPr>
        <w:t>by</w:t>
      </w:r>
      <w:r w:rsidRPr="00072165">
        <w:rPr>
          <w:rFonts w:asciiTheme="majorBidi" w:eastAsia="BatangChe" w:hAnsiTheme="majorBidi" w:cstheme="majorBidi"/>
        </w:rPr>
        <w:t xml:space="preserve"> “these provisions shall not”.</w:t>
      </w:r>
    </w:p>
    <w:p w14:paraId="28F5C38A" w14:textId="53B14CC9" w:rsidR="009A7331" w:rsidRPr="008A2178" w:rsidRDefault="009A7331" w:rsidP="008A2178">
      <w:pPr>
        <w:pStyle w:val="SingleTxtG"/>
        <w:ind w:left="2268" w:hanging="1134"/>
        <w:rPr>
          <w:rFonts w:eastAsia="MS Mincho"/>
        </w:rPr>
      </w:pPr>
      <w:r w:rsidRPr="008A2178">
        <w:rPr>
          <w:rFonts w:eastAsia="MS Mincho"/>
        </w:rPr>
        <w:t>9.1.3.5</w:t>
      </w:r>
      <w:r w:rsidRPr="008A2178">
        <w:rPr>
          <w:rFonts w:eastAsia="MS Mincho"/>
        </w:rPr>
        <w:tab/>
        <w:t>In the Model for certificate of approval for vehicles carrying certain dangerous goods, in the sentence under the heading of the certificate, delete “European”.</w:t>
      </w:r>
    </w:p>
    <w:p w14:paraId="1ED5D7DA" w14:textId="343B6956" w:rsidR="00547C1D" w:rsidRPr="008A2178" w:rsidRDefault="00547C1D" w:rsidP="008A2178">
      <w:pPr>
        <w:pStyle w:val="H1G"/>
        <w:rPr>
          <w:rFonts w:eastAsia="MS Mincho"/>
        </w:rPr>
      </w:pPr>
      <w:r w:rsidRPr="008A2178">
        <w:rPr>
          <w:rFonts w:eastAsia="MS Mincho"/>
        </w:rPr>
        <w:tab/>
        <w:t>II.</w:t>
      </w:r>
      <w:r w:rsidRPr="008A2178">
        <w:rPr>
          <w:rFonts w:eastAsia="MS Mincho"/>
        </w:rPr>
        <w:tab/>
        <w:t>Draft amendments proposed by the Working group on tanks</w:t>
      </w:r>
    </w:p>
    <w:p w14:paraId="0CC690FA" w14:textId="3DBD4391" w:rsidR="00547C1D" w:rsidRPr="008A2178" w:rsidRDefault="008A2178" w:rsidP="008A2178">
      <w:pPr>
        <w:pStyle w:val="H23G"/>
        <w:rPr>
          <w:rFonts w:eastAsia="MS Mincho"/>
        </w:rPr>
      </w:pPr>
      <w:r>
        <w:rPr>
          <w:rFonts w:eastAsia="MS Mincho"/>
        </w:rPr>
        <w:tab/>
      </w:r>
      <w:r>
        <w:rPr>
          <w:rFonts w:eastAsia="MS Mincho"/>
        </w:rPr>
        <w:tab/>
      </w:r>
      <w:r w:rsidR="00547C1D" w:rsidRPr="008A2178">
        <w:rPr>
          <w:rFonts w:eastAsia="MS Mincho"/>
        </w:rPr>
        <w:t>Chapter 1.4</w:t>
      </w:r>
    </w:p>
    <w:p w14:paraId="38B484F0" w14:textId="77777777" w:rsidR="00547C1D" w:rsidRPr="002347D6" w:rsidRDefault="00547C1D" w:rsidP="00547C1D">
      <w:pPr>
        <w:snapToGrid w:val="0"/>
        <w:spacing w:after="120"/>
        <w:ind w:left="2268" w:right="561" w:hanging="1134"/>
        <w:jc w:val="both"/>
        <w:rPr>
          <w:lang w:val="en-US"/>
        </w:rPr>
      </w:pPr>
      <w:r>
        <w:rPr>
          <w:lang w:val="en-US"/>
        </w:rPr>
        <w:t xml:space="preserve">1.4.2.2.1 (d) </w:t>
      </w:r>
      <w:r>
        <w:rPr>
          <w:lang w:val="en-US"/>
        </w:rPr>
        <w:tab/>
      </w:r>
      <w:r w:rsidRPr="002347D6">
        <w:rPr>
          <w:lang w:val="en-US"/>
        </w:rPr>
        <w:t xml:space="preserve">Replace “test” by “inspection”. </w:t>
      </w:r>
    </w:p>
    <w:p w14:paraId="005CB4EC" w14:textId="77777777" w:rsidR="00547C1D" w:rsidRPr="002347D6" w:rsidRDefault="00547C1D" w:rsidP="00547C1D">
      <w:pPr>
        <w:snapToGrid w:val="0"/>
        <w:spacing w:after="120"/>
        <w:ind w:left="2268" w:right="561" w:hanging="1134"/>
        <w:jc w:val="both"/>
        <w:rPr>
          <w:lang w:val="en-US"/>
        </w:rPr>
      </w:pPr>
      <w:r w:rsidRPr="002347D6">
        <w:rPr>
          <w:lang w:val="en-US"/>
        </w:rPr>
        <w:t xml:space="preserve">1.4.3.3 (b) </w:t>
      </w:r>
      <w:r w:rsidRPr="002347D6">
        <w:rPr>
          <w:lang w:val="en-US"/>
        </w:rPr>
        <w:tab/>
        <w:t>Replace “test” by “inspection”.</w:t>
      </w:r>
    </w:p>
    <w:p w14:paraId="7F956B04" w14:textId="77777777" w:rsidR="00547C1D" w:rsidRPr="002347D6" w:rsidRDefault="00547C1D" w:rsidP="00547C1D">
      <w:pPr>
        <w:snapToGrid w:val="0"/>
        <w:spacing w:after="120"/>
        <w:ind w:left="2268" w:right="561" w:hanging="1134"/>
        <w:jc w:val="both"/>
        <w:rPr>
          <w:lang w:val="en-US"/>
        </w:rPr>
      </w:pPr>
      <w:r w:rsidRPr="002347D6">
        <w:rPr>
          <w:lang w:val="en-US"/>
        </w:rPr>
        <w:t xml:space="preserve">1.4.3.4 (a) </w:t>
      </w:r>
      <w:r w:rsidRPr="002347D6">
        <w:rPr>
          <w:lang w:val="en-US"/>
        </w:rPr>
        <w:tab/>
        <w:t xml:space="preserve">Replace “tests” by “inspections and tests”. </w:t>
      </w:r>
    </w:p>
    <w:p w14:paraId="22377BE2" w14:textId="477032A2" w:rsidR="00547C1D" w:rsidRPr="002347D6" w:rsidRDefault="00547C1D" w:rsidP="00547C1D">
      <w:pPr>
        <w:snapToGrid w:val="0"/>
        <w:spacing w:after="120"/>
        <w:ind w:left="2268" w:right="561" w:hanging="1134"/>
        <w:jc w:val="both"/>
        <w:rPr>
          <w:lang w:val="en-US"/>
        </w:rPr>
      </w:pPr>
      <w:r w:rsidRPr="002347D6">
        <w:rPr>
          <w:lang w:val="en-US"/>
        </w:rPr>
        <w:t xml:space="preserve">1.4.3.4 (b) </w:t>
      </w:r>
      <w:r w:rsidRPr="002347D6">
        <w:rPr>
          <w:lang w:val="en-US"/>
        </w:rPr>
        <w:tab/>
        <w:t>The amendment appl</w:t>
      </w:r>
      <w:r>
        <w:rPr>
          <w:lang w:val="en-US"/>
        </w:rPr>
        <w:t>ies onl</w:t>
      </w:r>
      <w:r w:rsidRPr="002347D6">
        <w:rPr>
          <w:lang w:val="en-US"/>
        </w:rPr>
        <w:t xml:space="preserve">y to the </w:t>
      </w:r>
      <w:r>
        <w:rPr>
          <w:lang w:val="en-US"/>
        </w:rPr>
        <w:t>French</w:t>
      </w:r>
      <w:r w:rsidRPr="002347D6">
        <w:rPr>
          <w:lang w:val="en-US"/>
        </w:rPr>
        <w:t xml:space="preserve"> text.</w:t>
      </w:r>
    </w:p>
    <w:p w14:paraId="2069BBBB" w14:textId="4837C9F4" w:rsidR="00547C1D" w:rsidRPr="008A2178" w:rsidRDefault="008A2178" w:rsidP="008A2178">
      <w:pPr>
        <w:pStyle w:val="H23G"/>
        <w:rPr>
          <w:rFonts w:eastAsia="MS Mincho"/>
        </w:rPr>
      </w:pPr>
      <w:r>
        <w:rPr>
          <w:rFonts w:eastAsia="MS Mincho"/>
        </w:rPr>
        <w:tab/>
      </w:r>
      <w:r>
        <w:rPr>
          <w:rFonts w:eastAsia="MS Mincho"/>
        </w:rPr>
        <w:tab/>
      </w:r>
      <w:r w:rsidR="00547C1D" w:rsidRPr="008A2178">
        <w:rPr>
          <w:rFonts w:eastAsia="MS Mincho"/>
        </w:rPr>
        <w:t>Chapter 1.6</w:t>
      </w:r>
    </w:p>
    <w:p w14:paraId="0C060F18" w14:textId="77777777" w:rsidR="00547C1D" w:rsidRPr="005419AF" w:rsidRDefault="00547C1D" w:rsidP="00547C1D">
      <w:pPr>
        <w:snapToGrid w:val="0"/>
        <w:spacing w:after="120"/>
        <w:ind w:left="2268" w:right="561" w:hanging="1134"/>
        <w:jc w:val="both"/>
        <w:rPr>
          <w:lang w:val="en-US"/>
        </w:rPr>
      </w:pPr>
      <w:r w:rsidRPr="005419AF">
        <w:rPr>
          <w:lang w:val="en-US"/>
        </w:rPr>
        <w:t>1.6.3.2</w:t>
      </w:r>
      <w:r>
        <w:rPr>
          <w:lang w:val="en-US"/>
        </w:rPr>
        <w:tab/>
      </w:r>
      <w:r w:rsidRPr="005419AF">
        <w:rPr>
          <w:lang w:val="en-US"/>
        </w:rPr>
        <w:t>Replace “tests” by “inspections”.</w:t>
      </w:r>
    </w:p>
    <w:p w14:paraId="5F7DCEA1" w14:textId="1CD84346" w:rsidR="00547C1D" w:rsidRPr="005419AF" w:rsidRDefault="00547C1D" w:rsidP="00547C1D">
      <w:pPr>
        <w:snapToGrid w:val="0"/>
        <w:spacing w:after="120"/>
        <w:ind w:left="2268" w:right="561" w:hanging="1134"/>
        <w:jc w:val="both"/>
        <w:rPr>
          <w:lang w:val="en-US"/>
        </w:rPr>
      </w:pPr>
      <w:r w:rsidRPr="005419AF">
        <w:rPr>
          <w:lang w:val="en-US"/>
        </w:rPr>
        <w:t>1.6.3.8</w:t>
      </w:r>
      <w:r w:rsidRPr="005419AF">
        <w:rPr>
          <w:lang w:val="en-US"/>
        </w:rPr>
        <w:tab/>
        <w:t>Replace “test” by “inspection”.</w:t>
      </w:r>
    </w:p>
    <w:p w14:paraId="786CD831" w14:textId="77777777" w:rsidR="00547C1D" w:rsidRPr="005419AF" w:rsidRDefault="00547C1D" w:rsidP="00547C1D">
      <w:pPr>
        <w:snapToGrid w:val="0"/>
        <w:spacing w:after="120"/>
        <w:ind w:left="2268" w:right="561" w:hanging="1134"/>
        <w:jc w:val="both"/>
        <w:rPr>
          <w:lang w:val="en-US"/>
        </w:rPr>
      </w:pPr>
      <w:r w:rsidRPr="005419AF">
        <w:rPr>
          <w:lang w:val="en-US"/>
        </w:rPr>
        <w:t>1.6.3.16</w:t>
      </w:r>
      <w:r w:rsidRPr="005419AF">
        <w:rPr>
          <w:lang w:val="en-US"/>
        </w:rPr>
        <w:tab/>
        <w:t>Amend to read as follows:</w:t>
      </w:r>
    </w:p>
    <w:p w14:paraId="02AECA9D" w14:textId="24E85A97" w:rsidR="00547C1D" w:rsidRPr="009579D6" w:rsidRDefault="00547C1D" w:rsidP="00547C1D">
      <w:pPr>
        <w:pStyle w:val="SingleTxtG"/>
        <w:tabs>
          <w:tab w:val="left" w:pos="3119"/>
        </w:tabs>
        <w:ind w:left="2268" w:right="561"/>
        <w:rPr>
          <w:sz w:val="24"/>
          <w:szCs w:val="24"/>
          <w:lang w:val="en-US"/>
        </w:rPr>
      </w:pPr>
      <w:r>
        <w:rPr>
          <w:lang w:val="en-US"/>
        </w:rPr>
        <w:t>“1.6.3.16</w:t>
      </w:r>
      <w:r>
        <w:rPr>
          <w:lang w:val="en-US"/>
        </w:rPr>
        <w:tab/>
      </w:r>
      <w:r w:rsidRPr="009579D6">
        <w:rPr>
          <w:lang w:val="en-US"/>
        </w:rPr>
        <w:t xml:space="preserve">For fixed tanks (tank-vehicles), demountable tanks and battery-vehicles constructed before 1 January 2007 which do not conform to the requirements of 4.3.2, 6.8.2.3, 6.8.2.4 and 6.8.3.4 concerning the tank record, the retention of files for the tank record shall start at the latest at the first periodic inspection after </w:t>
      </w:r>
      <w:r>
        <w:rPr>
          <w:lang w:val="en-US"/>
        </w:rPr>
        <w:t>30 June</w:t>
      </w:r>
      <w:r w:rsidRPr="009579D6">
        <w:rPr>
          <w:lang w:val="en-US"/>
        </w:rPr>
        <w:t xml:space="preserve"> 2007.</w:t>
      </w:r>
      <w:r>
        <w:rPr>
          <w:lang w:val="en-US"/>
        </w:rPr>
        <w:t>”</w:t>
      </w:r>
    </w:p>
    <w:p w14:paraId="329AB268" w14:textId="77777777" w:rsidR="00547C1D" w:rsidRPr="002347D6" w:rsidRDefault="00547C1D" w:rsidP="00547C1D">
      <w:pPr>
        <w:snapToGrid w:val="0"/>
        <w:spacing w:after="120"/>
        <w:ind w:left="2268" w:right="561" w:hanging="1134"/>
        <w:jc w:val="both"/>
        <w:rPr>
          <w:lang w:val="en-US"/>
        </w:rPr>
      </w:pPr>
      <w:r w:rsidRPr="002347D6">
        <w:rPr>
          <w:lang w:val="en-US"/>
        </w:rPr>
        <w:t>1.6.3.33</w:t>
      </w:r>
      <w:r w:rsidRPr="002347D6">
        <w:rPr>
          <w:lang w:val="en-US"/>
        </w:rPr>
        <w:tab/>
        <w:t>The amendment appl</w:t>
      </w:r>
      <w:r>
        <w:rPr>
          <w:lang w:val="en-US"/>
        </w:rPr>
        <w:t>ies onl</w:t>
      </w:r>
      <w:r w:rsidRPr="002347D6">
        <w:rPr>
          <w:lang w:val="en-US"/>
        </w:rPr>
        <w:t xml:space="preserve">y to the </w:t>
      </w:r>
      <w:r>
        <w:rPr>
          <w:lang w:val="en-US"/>
        </w:rPr>
        <w:t>French</w:t>
      </w:r>
      <w:r w:rsidRPr="002347D6">
        <w:rPr>
          <w:lang w:val="en-US"/>
        </w:rPr>
        <w:t xml:space="preserve"> text.</w:t>
      </w:r>
    </w:p>
    <w:p w14:paraId="73BB05E7" w14:textId="7AD6A651" w:rsidR="00547C1D" w:rsidRDefault="00547C1D" w:rsidP="00547C1D">
      <w:pPr>
        <w:snapToGrid w:val="0"/>
        <w:spacing w:after="120"/>
        <w:ind w:left="2268" w:right="561" w:hanging="1134"/>
        <w:jc w:val="both"/>
        <w:rPr>
          <w:lang w:val="en-US"/>
        </w:rPr>
      </w:pPr>
      <w:r w:rsidRPr="002347D6">
        <w:rPr>
          <w:lang w:val="en-US"/>
        </w:rPr>
        <w:t>1.6.4.5</w:t>
      </w:r>
      <w:r>
        <w:rPr>
          <w:lang w:val="en-US"/>
        </w:rPr>
        <w:tab/>
      </w:r>
      <w:r w:rsidRPr="002347D6">
        <w:rPr>
          <w:lang w:val="en-US"/>
        </w:rPr>
        <w:t>Replace “test” by “inspection”.</w:t>
      </w:r>
    </w:p>
    <w:p w14:paraId="68DE6078" w14:textId="77777777" w:rsidR="00547C1D" w:rsidRPr="005419AF" w:rsidRDefault="00547C1D" w:rsidP="00547C1D">
      <w:pPr>
        <w:snapToGrid w:val="0"/>
        <w:spacing w:after="120"/>
        <w:ind w:left="2268" w:right="561" w:hanging="1134"/>
        <w:jc w:val="both"/>
        <w:rPr>
          <w:lang w:val="en-US"/>
        </w:rPr>
      </w:pPr>
      <w:r w:rsidRPr="005419AF">
        <w:rPr>
          <w:lang w:val="en-US"/>
        </w:rPr>
        <w:t>1.6.4.18</w:t>
      </w:r>
      <w:r w:rsidRPr="005419AF">
        <w:rPr>
          <w:lang w:val="en-US"/>
        </w:rPr>
        <w:tab/>
        <w:t>Amend to read as follows:</w:t>
      </w:r>
    </w:p>
    <w:p w14:paraId="3627D341" w14:textId="702F5921" w:rsidR="00547C1D" w:rsidRPr="009579D6" w:rsidRDefault="00547C1D" w:rsidP="00547C1D">
      <w:pPr>
        <w:pStyle w:val="SingleTxtG"/>
        <w:tabs>
          <w:tab w:val="left" w:pos="3119"/>
        </w:tabs>
        <w:ind w:left="2268" w:right="561"/>
        <w:rPr>
          <w:lang w:val="en-US"/>
        </w:rPr>
      </w:pPr>
      <w:r>
        <w:rPr>
          <w:lang w:val="en-US"/>
        </w:rPr>
        <w:t>“</w:t>
      </w:r>
      <w:r w:rsidRPr="009579D6">
        <w:rPr>
          <w:lang w:val="en-US"/>
        </w:rPr>
        <w:t>1.6.4.18</w:t>
      </w:r>
      <w:r>
        <w:rPr>
          <w:lang w:val="en-US"/>
        </w:rPr>
        <w:tab/>
        <w:t>For tank-</w:t>
      </w:r>
      <w:r w:rsidRPr="009579D6">
        <w:rPr>
          <w:lang w:val="en-US"/>
        </w:rPr>
        <w:t xml:space="preserve">containers and MECGs constructed before 1 January 2007 which do not conform to the requirements of 4.3.2, 6.8.2.3, 6.8.2.4 and 6.8.3.4 concerning the tank record, the retention of files for the tank record shall start at the latest at the first periodic inspection after </w:t>
      </w:r>
      <w:r>
        <w:rPr>
          <w:lang w:val="en-US"/>
        </w:rPr>
        <w:t>30 June 2007.”</w:t>
      </w:r>
    </w:p>
    <w:p w14:paraId="30E04187" w14:textId="0654A48C" w:rsidR="00547C1D" w:rsidRDefault="00547C1D" w:rsidP="00547C1D">
      <w:pPr>
        <w:snapToGrid w:val="0"/>
        <w:spacing w:after="120"/>
        <w:ind w:left="2268" w:right="561" w:hanging="1134"/>
        <w:jc w:val="both"/>
        <w:rPr>
          <w:lang w:val="en-US"/>
        </w:rPr>
      </w:pPr>
      <w:r w:rsidRPr="002347D6">
        <w:rPr>
          <w:lang w:val="en-US"/>
        </w:rPr>
        <w:t>1.6.4.32</w:t>
      </w:r>
      <w:r w:rsidRPr="002347D6">
        <w:rPr>
          <w:lang w:val="en-US"/>
        </w:rPr>
        <w:tab/>
        <w:t>The amendment appl</w:t>
      </w:r>
      <w:r>
        <w:rPr>
          <w:lang w:val="en-US"/>
        </w:rPr>
        <w:t>ies onl</w:t>
      </w:r>
      <w:r w:rsidRPr="002347D6">
        <w:rPr>
          <w:lang w:val="en-US"/>
        </w:rPr>
        <w:t xml:space="preserve">y to the </w:t>
      </w:r>
      <w:r>
        <w:rPr>
          <w:lang w:val="en-US"/>
        </w:rPr>
        <w:t>French</w:t>
      </w:r>
      <w:r w:rsidRPr="002347D6">
        <w:rPr>
          <w:lang w:val="en-US"/>
        </w:rPr>
        <w:t xml:space="preserve"> text.</w:t>
      </w:r>
    </w:p>
    <w:p w14:paraId="49D42F78" w14:textId="64B72977" w:rsidR="00547C1D" w:rsidRPr="008A2178" w:rsidRDefault="008A2178" w:rsidP="008A2178">
      <w:pPr>
        <w:pStyle w:val="H23G"/>
        <w:rPr>
          <w:rFonts w:eastAsia="MS Mincho"/>
        </w:rPr>
      </w:pPr>
      <w:r>
        <w:rPr>
          <w:rFonts w:eastAsia="MS Mincho"/>
        </w:rPr>
        <w:tab/>
      </w:r>
      <w:r>
        <w:rPr>
          <w:rFonts w:eastAsia="MS Mincho"/>
        </w:rPr>
        <w:tab/>
      </w:r>
      <w:r w:rsidR="00547C1D" w:rsidRPr="008A2178">
        <w:rPr>
          <w:rFonts w:eastAsia="MS Mincho"/>
        </w:rPr>
        <w:t>Chapter 4.3</w:t>
      </w:r>
    </w:p>
    <w:p w14:paraId="6C2DEC2D" w14:textId="3C2B78A9" w:rsidR="00547C1D" w:rsidRPr="002347D6" w:rsidRDefault="00547C1D" w:rsidP="00547C1D">
      <w:pPr>
        <w:snapToGrid w:val="0"/>
        <w:spacing w:after="120"/>
        <w:ind w:left="2268" w:right="561" w:hanging="1134"/>
        <w:jc w:val="both"/>
        <w:rPr>
          <w:lang w:val="en-US"/>
        </w:rPr>
      </w:pPr>
      <w:r w:rsidRPr="002347D6">
        <w:rPr>
          <w:lang w:val="en-US"/>
        </w:rPr>
        <w:t>4.3.1.4</w:t>
      </w:r>
      <w:r w:rsidRPr="002347D6">
        <w:rPr>
          <w:lang w:val="en-US"/>
        </w:rPr>
        <w:tab/>
        <w:t>Replace “tests” by “inspections and tests”.</w:t>
      </w:r>
    </w:p>
    <w:p w14:paraId="4A0BAD8F" w14:textId="6A768ED1" w:rsidR="00547C1D" w:rsidRPr="008A2178" w:rsidRDefault="008A2178" w:rsidP="008A2178">
      <w:pPr>
        <w:pStyle w:val="H23G"/>
        <w:rPr>
          <w:rFonts w:eastAsia="MS Mincho"/>
        </w:rPr>
      </w:pPr>
      <w:r>
        <w:rPr>
          <w:rFonts w:eastAsia="MS Mincho"/>
        </w:rPr>
        <w:tab/>
      </w:r>
      <w:r>
        <w:rPr>
          <w:rFonts w:eastAsia="MS Mincho"/>
        </w:rPr>
        <w:tab/>
      </w:r>
      <w:r w:rsidR="00547C1D" w:rsidRPr="008A2178">
        <w:rPr>
          <w:rFonts w:eastAsia="MS Mincho"/>
        </w:rPr>
        <w:t>Chapter 4.7</w:t>
      </w:r>
    </w:p>
    <w:p w14:paraId="631DCAC4" w14:textId="08FAB2D7" w:rsidR="00547C1D" w:rsidRDefault="00547C1D" w:rsidP="00547C1D">
      <w:pPr>
        <w:snapToGrid w:val="0"/>
        <w:spacing w:after="120"/>
        <w:ind w:left="2268" w:right="561" w:hanging="1134"/>
        <w:jc w:val="both"/>
        <w:rPr>
          <w:lang w:val="en-US"/>
        </w:rPr>
      </w:pPr>
      <w:r w:rsidRPr="002347D6">
        <w:rPr>
          <w:b/>
          <w:i/>
          <w:lang w:val="en-US"/>
        </w:rPr>
        <w:t>NOTE 2</w:t>
      </w:r>
      <w:r w:rsidRPr="002347D6">
        <w:rPr>
          <w:b/>
          <w:i/>
          <w:lang w:val="en-US"/>
        </w:rPr>
        <w:tab/>
      </w:r>
      <w:r w:rsidRPr="002347D6">
        <w:rPr>
          <w:lang w:val="en-US"/>
        </w:rPr>
        <w:t>Replace “tests” by “inspections and tests”.</w:t>
      </w:r>
    </w:p>
    <w:p w14:paraId="48E172CF" w14:textId="1974C304" w:rsidR="00547C1D" w:rsidRPr="008A2178" w:rsidRDefault="008A2178" w:rsidP="008A2178">
      <w:pPr>
        <w:pStyle w:val="H23G"/>
        <w:rPr>
          <w:rFonts w:eastAsia="MS Mincho"/>
        </w:rPr>
      </w:pPr>
      <w:r>
        <w:rPr>
          <w:rFonts w:eastAsia="MS Mincho"/>
        </w:rPr>
        <w:tab/>
      </w:r>
      <w:r>
        <w:rPr>
          <w:rFonts w:eastAsia="MS Mincho"/>
        </w:rPr>
        <w:tab/>
      </w:r>
      <w:r w:rsidR="00547C1D" w:rsidRPr="008A2178">
        <w:rPr>
          <w:rFonts w:eastAsia="MS Mincho"/>
        </w:rPr>
        <w:t>Chapter 6.8</w:t>
      </w:r>
    </w:p>
    <w:p w14:paraId="0BFE45AC" w14:textId="77777777" w:rsidR="00547C1D" w:rsidRPr="007A0883" w:rsidRDefault="00547C1D" w:rsidP="00547C1D">
      <w:pPr>
        <w:snapToGrid w:val="0"/>
        <w:spacing w:after="120"/>
        <w:ind w:left="2268" w:right="561" w:hanging="1134"/>
        <w:jc w:val="both"/>
        <w:rPr>
          <w:lang w:val="en-US"/>
        </w:rPr>
      </w:pPr>
      <w:r w:rsidRPr="007A0883">
        <w:rPr>
          <w:lang w:val="en-US"/>
        </w:rPr>
        <w:t>6.8.2.1.23</w:t>
      </w:r>
      <w:r w:rsidRPr="007A0883">
        <w:rPr>
          <w:lang w:val="en-US"/>
        </w:rPr>
        <w:tab/>
        <w:t>Amend the first three sentences to read as follows:</w:t>
      </w:r>
    </w:p>
    <w:p w14:paraId="34C37C20" w14:textId="737952F9" w:rsidR="00547C1D" w:rsidRDefault="00547C1D" w:rsidP="00547C1D">
      <w:pPr>
        <w:pStyle w:val="SingleTxtG"/>
        <w:ind w:left="2268" w:right="561"/>
        <w:rPr>
          <w:lang w:val="en-US"/>
        </w:rPr>
      </w:pPr>
      <w:r>
        <w:rPr>
          <w:lang w:val="en-US"/>
        </w:rPr>
        <w:t xml:space="preserve">“The </w:t>
      </w:r>
      <w:r w:rsidRPr="00101DA9">
        <w:t>inspection</w:t>
      </w:r>
      <w:r>
        <w:rPr>
          <w:lang w:val="en-US"/>
        </w:rPr>
        <w:t xml:space="preserve"> body </w:t>
      </w:r>
      <w:r w:rsidRPr="00E36337">
        <w:rPr>
          <w:lang w:val="en-US"/>
        </w:rPr>
        <w:t>performing inspections</w:t>
      </w:r>
      <w:r>
        <w:rPr>
          <w:lang w:val="en-US"/>
        </w:rPr>
        <w:t xml:space="preserve"> in accordance with 6.8.2.4.1 or 6.8.2.4.4, shall verify and confirm the ability of </w:t>
      </w:r>
      <w:r w:rsidRPr="00101DA9">
        <w:rPr>
          <w:lang w:val="en-US"/>
        </w:rPr>
        <w:t>the manufacturer or the maintenance or repair</w:t>
      </w:r>
      <w:r>
        <w:rPr>
          <w:lang w:val="en-US"/>
        </w:rPr>
        <w:t xml:space="preserve"> shop to </w:t>
      </w:r>
      <w:r w:rsidRPr="00101DA9">
        <w:rPr>
          <w:lang w:val="en-US"/>
        </w:rPr>
        <w:t>perform</w:t>
      </w:r>
      <w:r>
        <w:rPr>
          <w:lang w:val="en-US"/>
        </w:rPr>
        <w:t xml:space="preserve"> welding operations and the operation of a</w:t>
      </w:r>
      <w:r w:rsidRPr="00FB3D75">
        <w:t xml:space="preserve"> weld quality assurance system.”</w:t>
      </w:r>
    </w:p>
    <w:p w14:paraId="4A7DAAA5" w14:textId="77777777" w:rsidR="00547C1D" w:rsidRDefault="00547C1D" w:rsidP="00547C1D">
      <w:pPr>
        <w:pStyle w:val="SingleTxtG"/>
        <w:ind w:left="2268" w:right="561"/>
        <w:rPr>
          <w:lang w:val="en-US"/>
        </w:rPr>
      </w:pPr>
      <w:r w:rsidRPr="00353E79">
        <w:rPr>
          <w:lang w:val="en-US"/>
        </w:rPr>
        <w:t>Amend</w:t>
      </w:r>
      <w:r>
        <w:rPr>
          <w:lang w:val="en-US"/>
        </w:rPr>
        <w:t xml:space="preserve"> the last paragraph to read as follows:</w:t>
      </w:r>
    </w:p>
    <w:p w14:paraId="52085FAC" w14:textId="77777777" w:rsidR="00547C1D" w:rsidRPr="00753457" w:rsidRDefault="00547C1D" w:rsidP="00547C1D">
      <w:pPr>
        <w:pStyle w:val="SingleTxtG"/>
        <w:ind w:left="2268" w:right="561"/>
        <w:rPr>
          <w:lang w:val="en-US"/>
        </w:rPr>
      </w:pPr>
      <w:r>
        <w:rPr>
          <w:lang w:val="en-US"/>
        </w:rPr>
        <w:lastRenderedPageBreak/>
        <w:t xml:space="preserve">“Where there are doubts regarding the quality of welds, including the welds </w:t>
      </w:r>
      <w:r w:rsidRPr="00753457">
        <w:rPr>
          <w:lang w:val="en-US"/>
        </w:rPr>
        <w:t xml:space="preserve">made to repair any </w:t>
      </w:r>
      <w:r w:rsidRPr="00753457">
        <w:t>defects</w:t>
      </w:r>
      <w:r w:rsidRPr="00753457">
        <w:rPr>
          <w:lang w:val="en-US"/>
        </w:rPr>
        <w:t xml:space="preserve"> revealed by the non-destructive checks, additional checks of the welds may be required.”</w:t>
      </w:r>
    </w:p>
    <w:p w14:paraId="264B1A42" w14:textId="6D95E953" w:rsidR="00547C1D" w:rsidRDefault="00547C1D" w:rsidP="00547C1D">
      <w:pPr>
        <w:snapToGrid w:val="0"/>
        <w:spacing w:after="120"/>
        <w:ind w:left="2268" w:right="561" w:hanging="1134"/>
        <w:jc w:val="both"/>
      </w:pPr>
      <w:r w:rsidRPr="00753457">
        <w:rPr>
          <w:lang w:val="en-US"/>
        </w:rPr>
        <w:t>6.8.2.3.1</w:t>
      </w:r>
      <w:r w:rsidRPr="00753457">
        <w:rPr>
          <w:lang w:val="en-US"/>
        </w:rPr>
        <w:tab/>
        <w:t>In the last paragraph, replace in the first sentence “valves and other service equipment” by “service equipment”, and replace in the second sentence “</w:t>
      </w:r>
      <w:r w:rsidRPr="00753457">
        <w:t>the valves and other service equipment are fit for the intended use” by “the service equipment is fit for the intended use”.</w:t>
      </w:r>
    </w:p>
    <w:p w14:paraId="2A3B2879" w14:textId="269E0B42" w:rsidR="00547C1D" w:rsidRPr="002347D6" w:rsidRDefault="00547C1D" w:rsidP="00547C1D">
      <w:pPr>
        <w:snapToGrid w:val="0"/>
        <w:spacing w:after="120"/>
        <w:ind w:left="2268" w:right="561" w:hanging="1134"/>
        <w:jc w:val="both"/>
        <w:rPr>
          <w:lang w:val="en-US"/>
        </w:rPr>
      </w:pPr>
      <w:r>
        <w:rPr>
          <w:lang w:val="en-US"/>
        </w:rPr>
        <w:t>6.8.2.4.1</w:t>
      </w:r>
      <w:r>
        <w:rPr>
          <w:lang w:val="en-US"/>
        </w:rPr>
        <w:tab/>
      </w:r>
      <w:r w:rsidRPr="002347D6">
        <w:rPr>
          <w:lang w:val="en-US"/>
        </w:rPr>
        <w:t>The amendment appl</w:t>
      </w:r>
      <w:r>
        <w:rPr>
          <w:lang w:val="en-US"/>
        </w:rPr>
        <w:t>ies onl</w:t>
      </w:r>
      <w:r w:rsidRPr="002347D6">
        <w:rPr>
          <w:lang w:val="en-US"/>
        </w:rPr>
        <w:t xml:space="preserve">y to the </w:t>
      </w:r>
      <w:r>
        <w:rPr>
          <w:lang w:val="en-US"/>
        </w:rPr>
        <w:t>French</w:t>
      </w:r>
      <w:r w:rsidRPr="002347D6">
        <w:rPr>
          <w:lang w:val="en-US"/>
        </w:rPr>
        <w:t xml:space="preserve"> text.</w:t>
      </w:r>
    </w:p>
    <w:p w14:paraId="3A8C8346" w14:textId="77777777" w:rsidR="00547C1D" w:rsidRDefault="00547C1D" w:rsidP="00547C1D">
      <w:pPr>
        <w:pStyle w:val="SingleTxtG"/>
        <w:ind w:left="2268" w:right="561" w:hanging="1134"/>
      </w:pPr>
      <w:r w:rsidRPr="005C7E66">
        <w:t>6.8.2.</w:t>
      </w:r>
      <w:r>
        <w:t xml:space="preserve">5.1 </w:t>
      </w:r>
      <w:r>
        <w:tab/>
        <w:t>In the ninth indent, delete “</w:t>
      </w:r>
      <w:proofErr w:type="spellStart"/>
      <w:r>
        <w:t>leakproofness</w:t>
      </w:r>
      <w:proofErr w:type="spellEnd"/>
      <w:r>
        <w:t>”.</w:t>
      </w:r>
    </w:p>
    <w:p w14:paraId="3B94DBB0" w14:textId="77777777" w:rsidR="00547C1D" w:rsidRDefault="00547C1D" w:rsidP="00547C1D">
      <w:pPr>
        <w:pStyle w:val="SingleTxtG"/>
        <w:ind w:left="2268" w:right="561" w:hanging="1134"/>
      </w:pPr>
      <w:r>
        <w:t>6.8.2.6</w:t>
      </w:r>
      <w:r>
        <w:tab/>
        <w:t>In the heading, replace “and tested” by “, inspected and tested”.</w:t>
      </w:r>
    </w:p>
    <w:p w14:paraId="58BCBECF" w14:textId="77777777" w:rsidR="00547C1D" w:rsidRDefault="00547C1D" w:rsidP="00547C1D">
      <w:pPr>
        <w:pStyle w:val="SingleTxtG"/>
        <w:ind w:left="2268" w:right="561" w:hanging="1134"/>
      </w:pPr>
      <w:r>
        <w:t>6.8.2.7</w:t>
      </w:r>
      <w:r>
        <w:tab/>
        <w:t>In the heading, replace “and tested” by “, inspected and tested”.</w:t>
      </w:r>
      <w:r w:rsidRPr="00437575">
        <w:t xml:space="preserve"> </w:t>
      </w:r>
    </w:p>
    <w:p w14:paraId="5BF0FD2A" w14:textId="77777777" w:rsidR="00547C1D" w:rsidRDefault="00547C1D" w:rsidP="00547C1D">
      <w:pPr>
        <w:pStyle w:val="SingleTxtG"/>
        <w:ind w:left="2268" w:right="561" w:hanging="1134"/>
      </w:pPr>
      <w:r>
        <w:t>6.8.3.6</w:t>
      </w:r>
      <w:r>
        <w:tab/>
        <w:t>In the heading, replace “and tested” by “, inspected and tested”.</w:t>
      </w:r>
    </w:p>
    <w:p w14:paraId="472D18A9" w14:textId="4C1C4469" w:rsidR="00547C1D" w:rsidRDefault="00547C1D" w:rsidP="00547C1D">
      <w:pPr>
        <w:pStyle w:val="SingleTxtG"/>
        <w:ind w:left="2268" w:right="561" w:hanging="1134"/>
      </w:pPr>
      <w:r>
        <w:t>6.8.3.7</w:t>
      </w:r>
      <w:r>
        <w:tab/>
        <w:t>In the heading, replace “and tested” by “, inspected and tested”.</w:t>
      </w:r>
    </w:p>
    <w:p w14:paraId="4A44EF46" w14:textId="5ADD97A9" w:rsidR="00ED653F" w:rsidRPr="00547C1D" w:rsidRDefault="00ED653F" w:rsidP="008A2178">
      <w:pPr>
        <w:pStyle w:val="H1G"/>
      </w:pPr>
      <w:r>
        <w:tab/>
        <w:t>III.</w:t>
      </w:r>
      <w:r>
        <w:tab/>
      </w:r>
      <w:r w:rsidRPr="00547C1D">
        <w:t xml:space="preserve">Draft amendments proposed by the Working group on </w:t>
      </w:r>
      <w:r>
        <w:t>standards</w:t>
      </w:r>
    </w:p>
    <w:p w14:paraId="639DC3FE" w14:textId="77777777" w:rsidR="00ED653F" w:rsidRPr="008A2178" w:rsidRDefault="00ED653F" w:rsidP="008A2178">
      <w:pPr>
        <w:pStyle w:val="H23G"/>
        <w:rPr>
          <w:rFonts w:eastAsia="MS Mincho"/>
        </w:rPr>
      </w:pPr>
      <w:bookmarkStart w:id="0" w:name="_Hlk38358140"/>
      <w:r w:rsidRPr="008A2178">
        <w:rPr>
          <w:rFonts w:eastAsia="MS Mincho"/>
        </w:rPr>
        <w:tab/>
      </w:r>
      <w:r w:rsidRPr="008A2178">
        <w:rPr>
          <w:rFonts w:eastAsia="MS Mincho"/>
        </w:rPr>
        <w:tab/>
        <w:t>Chapter 3.3</w:t>
      </w:r>
    </w:p>
    <w:p w14:paraId="3674C7DB" w14:textId="4CE40E60" w:rsidR="00ED653F" w:rsidRDefault="0037615E" w:rsidP="00ED653F">
      <w:pPr>
        <w:pStyle w:val="SingleTxtG"/>
        <w:ind w:left="2259" w:hanging="1125"/>
        <w:rPr>
          <w:bCs/>
        </w:rPr>
      </w:pPr>
      <w:r>
        <w:rPr>
          <w:bCs/>
        </w:rPr>
        <w:t>Special Provision</w:t>
      </w:r>
      <w:r w:rsidR="00ED653F" w:rsidRPr="003B758F">
        <w:rPr>
          <w:bCs/>
        </w:rPr>
        <w:t xml:space="preserve"> </w:t>
      </w:r>
      <w:r w:rsidR="00ED653F">
        <w:rPr>
          <w:bCs/>
        </w:rPr>
        <w:t>658</w:t>
      </w:r>
    </w:p>
    <w:p w14:paraId="3923FB92" w14:textId="77777777" w:rsidR="00ED653F" w:rsidRDefault="00ED653F" w:rsidP="00ED653F">
      <w:pPr>
        <w:pStyle w:val="SingleTxtG"/>
        <w:ind w:left="2259" w:hanging="1125"/>
        <w:rPr>
          <w:bCs/>
        </w:rPr>
      </w:pPr>
      <w:r w:rsidRPr="003B758F">
        <w:rPr>
          <w:bCs/>
        </w:rPr>
        <w:tab/>
      </w:r>
      <w:r w:rsidRPr="003B758F">
        <w:t>Replace “</w:t>
      </w:r>
      <w:r>
        <w:t xml:space="preserve">EN </w:t>
      </w:r>
      <w:r w:rsidRPr="003B758F">
        <w:t xml:space="preserve">ISO </w:t>
      </w:r>
      <w:r>
        <w:t>9994</w:t>
      </w:r>
      <w:r w:rsidRPr="003B758F">
        <w:t>:20</w:t>
      </w:r>
      <w:r>
        <w:t xml:space="preserve">06 </w:t>
      </w:r>
      <w:r w:rsidRPr="003B758F">
        <w:t>+ A1:20</w:t>
      </w:r>
      <w:r>
        <w:t>08</w:t>
      </w:r>
      <w:r w:rsidRPr="003B758F">
        <w:t>” by “</w:t>
      </w:r>
      <w:r>
        <w:t xml:space="preserve">EN </w:t>
      </w:r>
      <w:r w:rsidRPr="003B758F">
        <w:t xml:space="preserve">ISO </w:t>
      </w:r>
      <w:r>
        <w:t>9994</w:t>
      </w:r>
      <w:r w:rsidRPr="003B758F">
        <w:t>:20</w:t>
      </w:r>
      <w:r>
        <w:t>19</w:t>
      </w:r>
      <w:r w:rsidRPr="003B758F">
        <w:t>”.</w:t>
      </w:r>
    </w:p>
    <w:p w14:paraId="3476CFCE" w14:textId="77777777" w:rsidR="00ED653F" w:rsidRPr="008A2178" w:rsidRDefault="00ED653F" w:rsidP="008A2178">
      <w:pPr>
        <w:pStyle w:val="H23G"/>
        <w:rPr>
          <w:rFonts w:eastAsia="MS Mincho"/>
        </w:rPr>
      </w:pPr>
      <w:r w:rsidRPr="008A2178">
        <w:rPr>
          <w:rFonts w:eastAsia="MS Mincho"/>
        </w:rPr>
        <w:tab/>
      </w:r>
      <w:r w:rsidRPr="008A2178">
        <w:rPr>
          <w:rFonts w:eastAsia="MS Mincho"/>
        </w:rPr>
        <w:tab/>
        <w:t>Chapter 4.1</w:t>
      </w:r>
    </w:p>
    <w:p w14:paraId="4D0EDB6A" w14:textId="77777777" w:rsidR="00ED653F" w:rsidRDefault="00ED653F" w:rsidP="00ED653F">
      <w:pPr>
        <w:pStyle w:val="SingleTxtG"/>
        <w:ind w:left="2268" w:hanging="1134"/>
      </w:pPr>
      <w:r>
        <w:t>4.1.4.1</w:t>
      </w:r>
      <w:r w:rsidRPr="003B758F">
        <w:t xml:space="preserve">, </w:t>
      </w:r>
      <w:r w:rsidRPr="00A11E49">
        <w:t>P200 (11)</w:t>
      </w:r>
    </w:p>
    <w:p w14:paraId="4E045995" w14:textId="77777777" w:rsidR="00ED653F" w:rsidRPr="00A11E49" w:rsidRDefault="00ED653F" w:rsidP="00ED653F">
      <w:pPr>
        <w:pStyle w:val="Bullet1G"/>
        <w:numPr>
          <w:ilvl w:val="0"/>
          <w:numId w:val="22"/>
        </w:numPr>
        <w:tabs>
          <w:tab w:val="clear" w:pos="1701"/>
        </w:tabs>
        <w:kinsoku w:val="0"/>
        <w:overflowPunct w:val="0"/>
        <w:autoSpaceDE w:val="0"/>
        <w:autoSpaceDN w:val="0"/>
        <w:adjustRightInd w:val="0"/>
        <w:snapToGrid w:val="0"/>
        <w:ind w:left="2268"/>
      </w:pPr>
      <w:r w:rsidRPr="00A11E49">
        <w:tab/>
      </w:r>
      <w:r>
        <w:t xml:space="preserve">In the line for “(7) (a) and (10) (p) </w:t>
      </w:r>
      <w:r w:rsidRPr="00A11E49">
        <w:t xml:space="preserve">ISO </w:t>
      </w:r>
      <w:r>
        <w:t>11372</w:t>
      </w:r>
      <w:r w:rsidRPr="00A11E49">
        <w:t>:201</w:t>
      </w:r>
      <w:r>
        <w:t>1</w:t>
      </w:r>
      <w:r w:rsidRPr="00A11E49">
        <w:t xml:space="preserve">”, replace “ISO </w:t>
      </w:r>
      <w:r>
        <w:t>11372</w:t>
      </w:r>
      <w:r w:rsidRPr="00A11E49">
        <w:t>:201</w:t>
      </w:r>
      <w:r>
        <w:t>1</w:t>
      </w:r>
      <w:r w:rsidRPr="00A11E49">
        <w:t>” by “</w:t>
      </w:r>
      <w:r>
        <w:t xml:space="preserve">EN </w:t>
      </w:r>
      <w:r w:rsidRPr="00A11E49">
        <w:t xml:space="preserve">ISO </w:t>
      </w:r>
      <w:r>
        <w:t>11372</w:t>
      </w:r>
      <w:r w:rsidRPr="00A11E49">
        <w:t>:201</w:t>
      </w:r>
      <w:r>
        <w:t>1</w:t>
      </w:r>
      <w:r w:rsidRPr="00A11E49">
        <w:t xml:space="preserve">” and </w:t>
      </w:r>
      <w:r>
        <w:t>delete</w:t>
      </w:r>
      <w:r w:rsidRPr="00A11E49">
        <w:t xml:space="preserve"> </w:t>
      </w:r>
      <w:r>
        <w:t xml:space="preserve">the </w:t>
      </w:r>
      <w:r w:rsidRPr="00A11E49">
        <w:t xml:space="preserve">Note in column </w:t>
      </w:r>
      <w:r>
        <w:t>“Title of document”</w:t>
      </w:r>
      <w:r w:rsidRPr="00A11E49">
        <w:rPr>
          <w:i/>
          <w:iCs/>
        </w:rPr>
        <w:t>.</w:t>
      </w:r>
    </w:p>
    <w:p w14:paraId="17ED8E6F" w14:textId="77777777" w:rsidR="00ED653F" w:rsidRPr="00A11E49" w:rsidRDefault="00ED653F" w:rsidP="00ED653F">
      <w:pPr>
        <w:pStyle w:val="Bullet1G"/>
        <w:numPr>
          <w:ilvl w:val="0"/>
          <w:numId w:val="22"/>
        </w:numPr>
        <w:tabs>
          <w:tab w:val="clear" w:pos="1701"/>
        </w:tabs>
        <w:kinsoku w:val="0"/>
        <w:overflowPunct w:val="0"/>
        <w:autoSpaceDE w:val="0"/>
        <w:autoSpaceDN w:val="0"/>
        <w:adjustRightInd w:val="0"/>
        <w:snapToGrid w:val="0"/>
        <w:ind w:left="2268"/>
      </w:pPr>
      <w:r w:rsidRPr="00A11E49">
        <w:tab/>
      </w:r>
      <w:r>
        <w:t xml:space="preserve">In the line for “(7) (a) and (10) (p) </w:t>
      </w:r>
      <w:r w:rsidRPr="00A11E49">
        <w:t xml:space="preserve">ISO </w:t>
      </w:r>
      <w:r>
        <w:t>13088</w:t>
      </w:r>
      <w:r w:rsidRPr="00A11E49">
        <w:t>:201</w:t>
      </w:r>
      <w:r>
        <w:t>1</w:t>
      </w:r>
      <w:r w:rsidRPr="00A11E49">
        <w:t xml:space="preserve">”, replace “ISO </w:t>
      </w:r>
      <w:r>
        <w:t>13088</w:t>
      </w:r>
      <w:r w:rsidRPr="00A11E49">
        <w:t>:201</w:t>
      </w:r>
      <w:r>
        <w:t>1</w:t>
      </w:r>
      <w:r w:rsidRPr="00A11E49">
        <w:t>” by “</w:t>
      </w:r>
      <w:r>
        <w:t xml:space="preserve">EN </w:t>
      </w:r>
      <w:r w:rsidRPr="00A11E49">
        <w:t xml:space="preserve">ISO </w:t>
      </w:r>
      <w:r>
        <w:t>13088</w:t>
      </w:r>
      <w:r w:rsidRPr="00A11E49">
        <w:t>:201</w:t>
      </w:r>
      <w:r>
        <w:t>1</w:t>
      </w:r>
      <w:r w:rsidRPr="00A11E49">
        <w:t xml:space="preserve">” and </w:t>
      </w:r>
      <w:r>
        <w:t>delete</w:t>
      </w:r>
      <w:r w:rsidRPr="00A11E49">
        <w:t xml:space="preserve"> </w:t>
      </w:r>
      <w:r>
        <w:t xml:space="preserve">the </w:t>
      </w:r>
      <w:r w:rsidRPr="00A11E49">
        <w:t xml:space="preserve">Note in column </w:t>
      </w:r>
      <w:r>
        <w:t>“Title of document”</w:t>
      </w:r>
      <w:r w:rsidRPr="00A11E49">
        <w:rPr>
          <w:i/>
          <w:iCs/>
        </w:rPr>
        <w:t>.</w:t>
      </w:r>
    </w:p>
    <w:p w14:paraId="0F7E01FB" w14:textId="77777777" w:rsidR="00ED653F" w:rsidRPr="002C2498" w:rsidRDefault="00ED653F" w:rsidP="00ED653F">
      <w:pPr>
        <w:pStyle w:val="SingleTxtG"/>
        <w:ind w:left="2268" w:hanging="1134"/>
      </w:pPr>
      <w:r w:rsidRPr="002C2498">
        <w:t>4.1.4.1, P200 (12) 3.4</w:t>
      </w:r>
    </w:p>
    <w:p w14:paraId="701EC2DD" w14:textId="77777777" w:rsidR="00ED653F" w:rsidRPr="002C2498" w:rsidRDefault="00ED653F" w:rsidP="00ED653F">
      <w:pPr>
        <w:pStyle w:val="SingleTxtG"/>
        <w:ind w:left="2268" w:hanging="852"/>
      </w:pPr>
      <w:r w:rsidRPr="002C2498">
        <w:tab/>
        <w:t>Replace “EN ISO 14245:2010 or EN ISO 15995:2010” by “EN ISO 14245:2010, EN ISO 14245:2019, EN ISO 15995:2010 or EN ISO 15995:2019”.</w:t>
      </w:r>
    </w:p>
    <w:p w14:paraId="67267977" w14:textId="77777777" w:rsidR="00ED653F" w:rsidRPr="00177194" w:rsidRDefault="00ED653F" w:rsidP="00ED653F">
      <w:pPr>
        <w:pStyle w:val="SingleTxtG"/>
        <w:spacing w:before="120"/>
      </w:pPr>
      <w:r>
        <w:t xml:space="preserve">4.1.6.15, </w:t>
      </w:r>
      <w:r w:rsidRPr="00177194">
        <w:t>in the table</w:t>
      </w:r>
      <w:r>
        <w:t>, f</w:t>
      </w:r>
      <w:r w:rsidRPr="00177194">
        <w:t>or “4.1.6.8 Valves with inherent protection”:</w:t>
      </w:r>
    </w:p>
    <w:p w14:paraId="4A0EBAB3" w14:textId="77777777" w:rsidR="00ED653F" w:rsidRDefault="00ED653F" w:rsidP="00ED653F">
      <w:pPr>
        <w:pStyle w:val="Bullet1G"/>
        <w:numPr>
          <w:ilvl w:val="0"/>
          <w:numId w:val="22"/>
        </w:numPr>
        <w:tabs>
          <w:tab w:val="clear" w:pos="1701"/>
        </w:tabs>
        <w:kinsoku w:val="0"/>
        <w:overflowPunct w:val="0"/>
        <w:autoSpaceDE w:val="0"/>
        <w:autoSpaceDN w:val="0"/>
        <w:adjustRightInd w:val="0"/>
        <w:snapToGrid w:val="0"/>
        <w:ind w:left="2268"/>
      </w:pPr>
      <w:r w:rsidRPr="00177194">
        <w:t>In the f</w:t>
      </w:r>
      <w:r>
        <w:t>ourth</w:t>
      </w:r>
      <w:r w:rsidRPr="00177194">
        <w:t xml:space="preserve"> row, second column, replace </w:t>
      </w:r>
      <w:r w:rsidRPr="00A11E49">
        <w:t>“</w:t>
      </w:r>
      <w:r>
        <w:t xml:space="preserve">EN </w:t>
      </w:r>
      <w:r w:rsidRPr="00A11E49">
        <w:t xml:space="preserve">ISO </w:t>
      </w:r>
      <w:r>
        <w:t>14245</w:t>
      </w:r>
      <w:r w:rsidRPr="00A11E49">
        <w:t>:201</w:t>
      </w:r>
      <w:r>
        <w:t>0</w:t>
      </w:r>
      <w:r w:rsidRPr="00A11E49">
        <w:t>” by “</w:t>
      </w:r>
      <w:r>
        <w:t xml:space="preserve">EN </w:t>
      </w:r>
      <w:r w:rsidRPr="00A11E49">
        <w:t xml:space="preserve">ISO </w:t>
      </w:r>
      <w:r>
        <w:t>14245</w:t>
      </w:r>
      <w:r w:rsidRPr="00A11E49">
        <w:t>:201</w:t>
      </w:r>
      <w:r>
        <w:t xml:space="preserve">0 or EN </w:t>
      </w:r>
      <w:r w:rsidRPr="00A11E49">
        <w:t xml:space="preserve">ISO </w:t>
      </w:r>
      <w:r>
        <w:t>14245</w:t>
      </w:r>
      <w:r w:rsidRPr="00A11E49">
        <w:t>:201</w:t>
      </w:r>
      <w:r>
        <w:t>9</w:t>
      </w:r>
      <w:r w:rsidRPr="00177194">
        <w:t>”.</w:t>
      </w:r>
      <w:r w:rsidRPr="00A97186">
        <w:t xml:space="preserve"> </w:t>
      </w:r>
      <w:r w:rsidRPr="00177194">
        <w:t xml:space="preserve">Delete </w:t>
      </w:r>
      <w:r w:rsidRPr="00A11E49">
        <w:t>“</w:t>
      </w:r>
      <w:r>
        <w:t>(</w:t>
      </w:r>
      <w:r w:rsidRPr="00A11E49">
        <w:t xml:space="preserve">ISO </w:t>
      </w:r>
      <w:r>
        <w:t>14245</w:t>
      </w:r>
      <w:r w:rsidRPr="00A11E49">
        <w:t>:20</w:t>
      </w:r>
      <w:r>
        <w:t>06)</w:t>
      </w:r>
      <w:r w:rsidRPr="00A11E49">
        <w:t xml:space="preserve">” </w:t>
      </w:r>
      <w:r w:rsidRPr="00177194">
        <w:t>in the third column</w:t>
      </w:r>
      <w:r>
        <w:t>.</w:t>
      </w:r>
    </w:p>
    <w:p w14:paraId="321D3128" w14:textId="77777777" w:rsidR="00ED653F" w:rsidRPr="00177194" w:rsidRDefault="00ED653F" w:rsidP="00ED653F">
      <w:pPr>
        <w:pStyle w:val="Bullet1G"/>
        <w:numPr>
          <w:ilvl w:val="0"/>
          <w:numId w:val="22"/>
        </w:numPr>
        <w:tabs>
          <w:tab w:val="clear" w:pos="1701"/>
        </w:tabs>
        <w:kinsoku w:val="0"/>
        <w:overflowPunct w:val="0"/>
        <w:autoSpaceDE w:val="0"/>
        <w:autoSpaceDN w:val="0"/>
        <w:adjustRightInd w:val="0"/>
        <w:snapToGrid w:val="0"/>
        <w:ind w:left="2268"/>
      </w:pPr>
      <w:r w:rsidRPr="00177194">
        <w:t>In the f</w:t>
      </w:r>
      <w:r>
        <w:t>ifth</w:t>
      </w:r>
      <w:r w:rsidRPr="00177194">
        <w:t xml:space="preserve"> row, second column, replace </w:t>
      </w:r>
      <w:r w:rsidRPr="00A11E49">
        <w:t>“</w:t>
      </w:r>
      <w:r>
        <w:t>EN ISO 15995:2010</w:t>
      </w:r>
      <w:r w:rsidRPr="00A11E49">
        <w:t xml:space="preserve">” by </w:t>
      </w:r>
      <w:r w:rsidRPr="00177194">
        <w:t>“</w:t>
      </w:r>
      <w:r>
        <w:t>EN ISO 15995:2010 or EN ISO 15995:2019</w:t>
      </w:r>
      <w:r w:rsidRPr="00177194">
        <w:t>”.</w:t>
      </w:r>
      <w:r w:rsidRPr="00A97186">
        <w:t xml:space="preserve"> </w:t>
      </w:r>
      <w:r w:rsidRPr="00177194">
        <w:t xml:space="preserve">Delete </w:t>
      </w:r>
      <w:r w:rsidRPr="00A11E49">
        <w:t>“</w:t>
      </w:r>
      <w:r>
        <w:t>(</w:t>
      </w:r>
      <w:r w:rsidRPr="00A11E49">
        <w:t xml:space="preserve">ISO </w:t>
      </w:r>
      <w:r>
        <w:t>15995</w:t>
      </w:r>
      <w:r w:rsidRPr="00A11E49">
        <w:t>:20</w:t>
      </w:r>
      <w:r>
        <w:t>06)</w:t>
      </w:r>
      <w:r w:rsidRPr="00A11E49">
        <w:t xml:space="preserve">” </w:t>
      </w:r>
      <w:r w:rsidRPr="00177194">
        <w:t>in the third column</w:t>
      </w:r>
      <w:r>
        <w:t>.</w:t>
      </w:r>
    </w:p>
    <w:p w14:paraId="24F393FD" w14:textId="77777777" w:rsidR="00ED653F" w:rsidRPr="008A2178" w:rsidRDefault="00ED653F" w:rsidP="008A2178">
      <w:pPr>
        <w:pStyle w:val="H23G"/>
        <w:rPr>
          <w:rFonts w:eastAsia="MS Mincho"/>
        </w:rPr>
      </w:pPr>
      <w:r w:rsidRPr="008A2178">
        <w:rPr>
          <w:rFonts w:eastAsia="MS Mincho"/>
        </w:rPr>
        <w:tab/>
      </w:r>
      <w:r w:rsidRPr="008A2178">
        <w:rPr>
          <w:rFonts w:eastAsia="MS Mincho"/>
        </w:rPr>
        <w:tab/>
        <w:t>Chapter 6.2</w:t>
      </w:r>
    </w:p>
    <w:p w14:paraId="074990D5" w14:textId="4F74BA63" w:rsidR="00ED653F" w:rsidRPr="00917A82" w:rsidRDefault="00ED653F" w:rsidP="00ED653F">
      <w:pPr>
        <w:pStyle w:val="SingleTxtG"/>
        <w:tabs>
          <w:tab w:val="left" w:pos="2268"/>
        </w:tabs>
      </w:pPr>
      <w:r w:rsidRPr="00917A82">
        <w:t>6.2.4.1</w:t>
      </w:r>
      <w:r w:rsidRPr="00917A82">
        <w:tab/>
        <w:t>In the table, under “for design and construction”:</w:t>
      </w:r>
    </w:p>
    <w:p w14:paraId="2C45FF6A" w14:textId="77777777" w:rsidR="00ED653F" w:rsidRDefault="00ED653F" w:rsidP="00ED653F">
      <w:pPr>
        <w:pStyle w:val="Bullet1G"/>
        <w:numPr>
          <w:ilvl w:val="0"/>
          <w:numId w:val="22"/>
        </w:numPr>
        <w:tabs>
          <w:tab w:val="clear" w:pos="1701"/>
        </w:tabs>
        <w:kinsoku w:val="0"/>
        <w:overflowPunct w:val="0"/>
        <w:autoSpaceDE w:val="0"/>
        <w:autoSpaceDN w:val="0"/>
        <w:adjustRightInd w:val="0"/>
        <w:snapToGrid w:val="0"/>
        <w:ind w:left="2268"/>
      </w:pPr>
      <w:r w:rsidRPr="00917A82">
        <w:t>For “</w:t>
      </w:r>
      <w:r w:rsidRPr="00917A82">
        <w:rPr>
          <w:bCs/>
        </w:rPr>
        <w:t xml:space="preserve">EN ISO </w:t>
      </w:r>
      <w:r>
        <w:rPr>
          <w:bCs/>
        </w:rPr>
        <w:t>10961</w:t>
      </w:r>
      <w:r w:rsidRPr="00917A82">
        <w:rPr>
          <w:bCs/>
        </w:rPr>
        <w:t>:201</w:t>
      </w:r>
      <w:r>
        <w:rPr>
          <w:bCs/>
        </w:rPr>
        <w:t>2</w:t>
      </w:r>
      <w:r w:rsidRPr="00917A82">
        <w:t>”, in column (4), replace “Until further notice” by “Between 1 January 2013 and 31 December 2022”. After the row for “</w:t>
      </w:r>
      <w:r w:rsidRPr="00917A82">
        <w:rPr>
          <w:bCs/>
        </w:rPr>
        <w:t xml:space="preserve">EN ISO </w:t>
      </w:r>
      <w:r>
        <w:rPr>
          <w:bCs/>
        </w:rPr>
        <w:t>10961</w:t>
      </w:r>
      <w:r w:rsidRPr="00917A82">
        <w:rPr>
          <w:bCs/>
        </w:rPr>
        <w:t>:201</w:t>
      </w:r>
      <w:r>
        <w:rPr>
          <w:bCs/>
        </w:rPr>
        <w:t>2</w:t>
      </w:r>
      <w:r w:rsidRPr="00917A82">
        <w:t>”, insert the following row:</w:t>
      </w:r>
    </w:p>
    <w:tbl>
      <w:tblPr>
        <w:tblW w:w="832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859"/>
        <w:gridCol w:w="1276"/>
        <w:gridCol w:w="1276"/>
        <w:gridCol w:w="567"/>
      </w:tblGrid>
      <w:tr w:rsidR="00ED653F" w:rsidRPr="00564F4E" w14:paraId="2D6A2DD8" w14:textId="77777777" w:rsidTr="008E3F9C">
        <w:tc>
          <w:tcPr>
            <w:tcW w:w="1350" w:type="dxa"/>
            <w:vAlign w:val="center"/>
          </w:tcPr>
          <w:p w14:paraId="14645CA7" w14:textId="77777777" w:rsidR="00ED653F" w:rsidRPr="00564F4E" w:rsidRDefault="00ED653F" w:rsidP="008E3F9C">
            <w:pPr>
              <w:widowControl w:val="0"/>
              <w:spacing w:before="60" w:after="60"/>
            </w:pPr>
            <w:r w:rsidRPr="00F01354">
              <w:rPr>
                <w:bCs/>
              </w:rPr>
              <w:t>EN ISO 10961:2019</w:t>
            </w:r>
          </w:p>
        </w:tc>
        <w:tc>
          <w:tcPr>
            <w:tcW w:w="3859" w:type="dxa"/>
          </w:tcPr>
          <w:p w14:paraId="69432FA8" w14:textId="77777777" w:rsidR="00ED653F" w:rsidRPr="00564F4E" w:rsidRDefault="00ED653F" w:rsidP="008E3F9C">
            <w:pPr>
              <w:widowControl w:val="0"/>
              <w:spacing w:before="60" w:after="120"/>
            </w:pPr>
            <w:r w:rsidRPr="00F01354">
              <w:rPr>
                <w:bCs/>
              </w:rPr>
              <w:t xml:space="preserve">Gas cylinders </w:t>
            </w:r>
            <w:r w:rsidRPr="00F01354">
              <w:t>–</w:t>
            </w:r>
            <w:r w:rsidRPr="00F01354">
              <w:rPr>
                <w:bCs/>
              </w:rPr>
              <w:t xml:space="preserve"> Cylinder bundles </w:t>
            </w:r>
            <w:r w:rsidRPr="00F01354">
              <w:t>–</w:t>
            </w:r>
            <w:r w:rsidRPr="00F01354">
              <w:rPr>
                <w:bCs/>
              </w:rPr>
              <w:t xml:space="preserve"> Design, manufacture, testing and inspection</w:t>
            </w:r>
          </w:p>
        </w:tc>
        <w:tc>
          <w:tcPr>
            <w:tcW w:w="1276" w:type="dxa"/>
            <w:vAlign w:val="center"/>
          </w:tcPr>
          <w:p w14:paraId="51883AB0" w14:textId="77777777" w:rsidR="00ED653F" w:rsidRPr="00564F4E" w:rsidRDefault="00ED653F" w:rsidP="008E3F9C">
            <w:pPr>
              <w:widowControl w:val="0"/>
              <w:spacing w:before="60" w:after="60"/>
            </w:pPr>
            <w:r>
              <w:t>6.2.3.1</w:t>
            </w:r>
            <w:r w:rsidRPr="00564F4E">
              <w:t xml:space="preserve"> and 6.2.3.</w:t>
            </w:r>
            <w:r>
              <w:t>4</w:t>
            </w:r>
          </w:p>
        </w:tc>
        <w:tc>
          <w:tcPr>
            <w:tcW w:w="1276" w:type="dxa"/>
            <w:vAlign w:val="center"/>
          </w:tcPr>
          <w:p w14:paraId="72405909" w14:textId="77777777" w:rsidR="00ED653F" w:rsidRPr="00564F4E" w:rsidRDefault="00ED653F" w:rsidP="008E3F9C">
            <w:pPr>
              <w:widowControl w:val="0"/>
              <w:spacing w:before="60" w:after="60"/>
            </w:pPr>
            <w:r w:rsidRPr="00564F4E">
              <w:t>Until further notice</w:t>
            </w:r>
          </w:p>
        </w:tc>
        <w:tc>
          <w:tcPr>
            <w:tcW w:w="567" w:type="dxa"/>
            <w:vAlign w:val="center"/>
          </w:tcPr>
          <w:p w14:paraId="29A4AC13" w14:textId="77777777" w:rsidR="00ED653F" w:rsidRPr="00564F4E" w:rsidRDefault="00ED653F" w:rsidP="008E3F9C">
            <w:pPr>
              <w:widowControl w:val="0"/>
              <w:spacing w:before="60" w:after="60"/>
            </w:pPr>
          </w:p>
        </w:tc>
      </w:tr>
    </w:tbl>
    <w:p w14:paraId="5D6D823F" w14:textId="77777777" w:rsidR="00ED653F" w:rsidRDefault="00ED653F" w:rsidP="00ED653F">
      <w:pPr>
        <w:pStyle w:val="Bullet1G"/>
        <w:numPr>
          <w:ilvl w:val="0"/>
          <w:numId w:val="22"/>
        </w:numPr>
        <w:tabs>
          <w:tab w:val="clear" w:pos="1701"/>
        </w:tabs>
        <w:kinsoku w:val="0"/>
        <w:overflowPunct w:val="0"/>
        <w:autoSpaceDE w:val="0"/>
        <w:autoSpaceDN w:val="0"/>
        <w:adjustRightInd w:val="0"/>
        <w:snapToGrid w:val="0"/>
        <w:spacing w:before="120"/>
        <w:ind w:left="2268"/>
      </w:pPr>
      <w:r>
        <w:lastRenderedPageBreak/>
        <w:t>For “EN ISO 7866:2012 + AC:2014”, “EN ISO 9809-1:2010”, “EN ISO 9809-2:2010”,</w:t>
      </w:r>
      <w:r w:rsidRPr="00372ACA">
        <w:t xml:space="preserve"> </w:t>
      </w:r>
      <w:r>
        <w:t>“EN ISO 9809-3:2010”, delete the reference to the ISO standard in column (2).</w:t>
      </w:r>
    </w:p>
    <w:p w14:paraId="4D2A8F5D" w14:textId="77777777" w:rsidR="00ED653F" w:rsidRPr="00917A82" w:rsidRDefault="00ED653F" w:rsidP="00ED653F">
      <w:pPr>
        <w:pStyle w:val="SingleTxtG"/>
        <w:keepNext/>
        <w:tabs>
          <w:tab w:val="left" w:pos="2268"/>
        </w:tabs>
        <w:spacing w:before="120"/>
      </w:pPr>
      <w:r w:rsidRPr="00917A82">
        <w:t>6.2.4.1</w:t>
      </w:r>
      <w:r w:rsidRPr="00917A82">
        <w:tab/>
        <w:t xml:space="preserve">In the table, under “for </w:t>
      </w:r>
      <w:r>
        <w:t>closures</w:t>
      </w:r>
      <w:r w:rsidRPr="00917A82">
        <w:t>”:</w:t>
      </w:r>
    </w:p>
    <w:p w14:paraId="74CAD2E0" w14:textId="77777777" w:rsidR="00ED653F" w:rsidRPr="00F01354" w:rsidRDefault="00ED653F" w:rsidP="00ED653F">
      <w:pPr>
        <w:pStyle w:val="Bullet1G"/>
        <w:numPr>
          <w:ilvl w:val="0"/>
          <w:numId w:val="22"/>
        </w:numPr>
        <w:tabs>
          <w:tab w:val="clear" w:pos="1701"/>
        </w:tabs>
        <w:kinsoku w:val="0"/>
        <w:overflowPunct w:val="0"/>
        <w:autoSpaceDE w:val="0"/>
        <w:autoSpaceDN w:val="0"/>
        <w:adjustRightInd w:val="0"/>
        <w:snapToGrid w:val="0"/>
        <w:ind w:left="2268"/>
      </w:pPr>
      <w:r w:rsidRPr="00F01354">
        <w:t>For “EN ISO 1</w:t>
      </w:r>
      <w:r>
        <w:t>4245</w:t>
      </w:r>
      <w:r w:rsidRPr="00F01354">
        <w:t>:201</w:t>
      </w:r>
      <w:r>
        <w:t>0</w:t>
      </w:r>
      <w:r w:rsidRPr="00F01354">
        <w:t xml:space="preserve">”, </w:t>
      </w:r>
      <w:r>
        <w:t xml:space="preserve">in column (2), delete “(ISO 14245:2006)” and </w:t>
      </w:r>
      <w:r w:rsidRPr="00F01354">
        <w:t xml:space="preserve">in column (4), replace </w:t>
      </w:r>
      <w:r w:rsidRPr="00917A82">
        <w:t xml:space="preserve">“Until further notice” by </w:t>
      </w:r>
      <w:r w:rsidRPr="00F01354">
        <w:t>“Between 1 January 201</w:t>
      </w:r>
      <w:r>
        <w:t>3</w:t>
      </w:r>
      <w:r w:rsidRPr="00F01354">
        <w:t xml:space="preserve"> and 31 December 202</w:t>
      </w:r>
      <w:r>
        <w:t>2</w:t>
      </w:r>
      <w:r w:rsidRPr="00F01354">
        <w:t>”. After the row for “EN ISO 1</w:t>
      </w:r>
      <w:r>
        <w:t>4245</w:t>
      </w:r>
      <w:r w:rsidRPr="00F01354">
        <w:t>:201</w:t>
      </w:r>
      <w:r>
        <w:t>0</w:t>
      </w:r>
      <w:r w:rsidRPr="00F01354">
        <w:t>”</w:t>
      </w:r>
      <w:r>
        <w:t>,</w:t>
      </w:r>
      <w:r w:rsidRPr="00F01354">
        <w:t xml:space="preserve"> </w:t>
      </w:r>
      <w:r w:rsidRPr="00917A82">
        <w:t>insert the following row</w:t>
      </w:r>
      <w:r w:rsidRPr="00F01354">
        <w:t>:</w:t>
      </w:r>
    </w:p>
    <w:tbl>
      <w:tblPr>
        <w:tblW w:w="832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276"/>
        <w:gridCol w:w="1275"/>
        <w:gridCol w:w="426"/>
      </w:tblGrid>
      <w:tr w:rsidR="00ED653F" w:rsidRPr="00564F4E" w14:paraId="1F6D0554" w14:textId="77777777" w:rsidTr="008E3F9C">
        <w:tc>
          <w:tcPr>
            <w:tcW w:w="1350" w:type="dxa"/>
            <w:vAlign w:val="center"/>
          </w:tcPr>
          <w:p w14:paraId="2408D164" w14:textId="77777777" w:rsidR="00ED653F" w:rsidRPr="00564F4E" w:rsidRDefault="00ED653F" w:rsidP="008E3F9C">
            <w:pPr>
              <w:widowControl w:val="0"/>
              <w:spacing w:before="60" w:after="60"/>
            </w:pPr>
            <w:r w:rsidRPr="00564F4E">
              <w:t>EN ISO 14245:2019</w:t>
            </w:r>
          </w:p>
        </w:tc>
        <w:tc>
          <w:tcPr>
            <w:tcW w:w="4001" w:type="dxa"/>
          </w:tcPr>
          <w:p w14:paraId="0155A01B" w14:textId="77777777" w:rsidR="00ED653F" w:rsidRPr="00564F4E" w:rsidRDefault="00ED653F" w:rsidP="008E3F9C">
            <w:pPr>
              <w:widowControl w:val="0"/>
              <w:spacing w:before="60" w:after="120"/>
            </w:pPr>
            <w:r w:rsidRPr="00564F4E">
              <w:t xml:space="preserve">Gas cylinders – Specifications and testing of LPG </w:t>
            </w:r>
            <w:r w:rsidRPr="00564F4E">
              <w:rPr>
                <w:bCs/>
              </w:rPr>
              <w:t>cylinder</w:t>
            </w:r>
            <w:r w:rsidRPr="00564F4E">
              <w:t xml:space="preserve"> valves – Self-closing</w:t>
            </w:r>
          </w:p>
        </w:tc>
        <w:tc>
          <w:tcPr>
            <w:tcW w:w="1276" w:type="dxa"/>
            <w:vAlign w:val="center"/>
          </w:tcPr>
          <w:p w14:paraId="4CEBD6D1" w14:textId="77777777" w:rsidR="00ED653F" w:rsidRPr="00564F4E" w:rsidRDefault="00ED653F" w:rsidP="008E3F9C">
            <w:pPr>
              <w:widowControl w:val="0"/>
              <w:spacing w:before="60" w:after="60"/>
            </w:pPr>
            <w:r>
              <w:t>6.2.3.1</w:t>
            </w:r>
            <w:r w:rsidRPr="00564F4E">
              <w:t xml:space="preserve"> and 6.2.3.</w:t>
            </w:r>
            <w:r>
              <w:t>3</w:t>
            </w:r>
          </w:p>
        </w:tc>
        <w:tc>
          <w:tcPr>
            <w:tcW w:w="1275" w:type="dxa"/>
            <w:vAlign w:val="center"/>
          </w:tcPr>
          <w:p w14:paraId="0E9CF3CF" w14:textId="77777777" w:rsidR="00ED653F" w:rsidRPr="00564F4E" w:rsidRDefault="00ED653F" w:rsidP="008E3F9C">
            <w:pPr>
              <w:widowControl w:val="0"/>
              <w:spacing w:before="60" w:after="60"/>
            </w:pPr>
            <w:r w:rsidRPr="00564F4E">
              <w:t>Until further notice</w:t>
            </w:r>
          </w:p>
        </w:tc>
        <w:tc>
          <w:tcPr>
            <w:tcW w:w="426" w:type="dxa"/>
            <w:vAlign w:val="center"/>
          </w:tcPr>
          <w:p w14:paraId="36421003" w14:textId="77777777" w:rsidR="00ED653F" w:rsidRPr="00564F4E" w:rsidRDefault="00ED653F" w:rsidP="008E3F9C">
            <w:pPr>
              <w:widowControl w:val="0"/>
              <w:spacing w:before="60" w:after="60"/>
            </w:pPr>
          </w:p>
        </w:tc>
      </w:tr>
    </w:tbl>
    <w:p w14:paraId="347230DF" w14:textId="77777777" w:rsidR="00ED653F" w:rsidRPr="00F01354" w:rsidRDefault="00ED653F" w:rsidP="00ED653F">
      <w:pPr>
        <w:pStyle w:val="Bullet1G"/>
        <w:numPr>
          <w:ilvl w:val="0"/>
          <w:numId w:val="22"/>
        </w:numPr>
        <w:tabs>
          <w:tab w:val="clear" w:pos="1701"/>
        </w:tabs>
        <w:kinsoku w:val="0"/>
        <w:overflowPunct w:val="0"/>
        <w:autoSpaceDE w:val="0"/>
        <w:autoSpaceDN w:val="0"/>
        <w:adjustRightInd w:val="0"/>
        <w:snapToGrid w:val="0"/>
        <w:spacing w:before="120"/>
        <w:ind w:left="2268"/>
      </w:pPr>
      <w:r w:rsidRPr="00F01354">
        <w:t>For “EN ISO 1</w:t>
      </w:r>
      <w:r>
        <w:t>5995</w:t>
      </w:r>
      <w:r w:rsidRPr="00F01354">
        <w:t>:201</w:t>
      </w:r>
      <w:r>
        <w:t>0</w:t>
      </w:r>
      <w:r w:rsidRPr="00F01354">
        <w:t xml:space="preserve">”, </w:t>
      </w:r>
      <w:r>
        <w:t>in column (2), delete “(ISO 15995:2006)” and</w:t>
      </w:r>
      <w:r w:rsidRPr="00F01354">
        <w:t xml:space="preserve"> in column (4), replace </w:t>
      </w:r>
      <w:r w:rsidRPr="00917A82">
        <w:t xml:space="preserve">“Until further notice” by </w:t>
      </w:r>
      <w:r w:rsidRPr="00F01354">
        <w:t>“Between 1 January 201</w:t>
      </w:r>
      <w:r>
        <w:t>3</w:t>
      </w:r>
      <w:r w:rsidRPr="00F01354">
        <w:t xml:space="preserve"> and 31 December 202</w:t>
      </w:r>
      <w:r>
        <w:t>2</w:t>
      </w:r>
      <w:r w:rsidRPr="00F01354">
        <w:t>”. After the row for “EN ISO 1</w:t>
      </w:r>
      <w:r>
        <w:t>5995</w:t>
      </w:r>
      <w:r w:rsidRPr="00F01354">
        <w:t>:201</w:t>
      </w:r>
      <w:r>
        <w:t>0</w:t>
      </w:r>
      <w:r w:rsidRPr="00F01354">
        <w:t>”</w:t>
      </w:r>
      <w:r>
        <w:t>,</w:t>
      </w:r>
      <w:r w:rsidRPr="00F01354">
        <w:t xml:space="preserve"> </w:t>
      </w:r>
      <w:r w:rsidRPr="00917A82">
        <w:t>insert the following row</w:t>
      </w:r>
      <w:r w:rsidRPr="00F01354">
        <w:t>:</w:t>
      </w:r>
    </w:p>
    <w:tbl>
      <w:tblPr>
        <w:tblW w:w="832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276"/>
        <w:gridCol w:w="1275"/>
        <w:gridCol w:w="426"/>
      </w:tblGrid>
      <w:tr w:rsidR="00ED653F" w:rsidRPr="00564F4E" w14:paraId="528A1806" w14:textId="77777777" w:rsidTr="008E3F9C">
        <w:tc>
          <w:tcPr>
            <w:tcW w:w="1350" w:type="dxa"/>
            <w:vAlign w:val="center"/>
          </w:tcPr>
          <w:p w14:paraId="1BC9AE2F" w14:textId="77777777" w:rsidR="00ED653F" w:rsidRPr="00564F4E" w:rsidRDefault="00ED653F" w:rsidP="008E3F9C">
            <w:pPr>
              <w:widowControl w:val="0"/>
              <w:spacing w:before="60" w:after="60"/>
            </w:pPr>
            <w:r w:rsidRPr="00564F4E">
              <w:t>EN ISO 1</w:t>
            </w:r>
            <w:r>
              <w:t>5995</w:t>
            </w:r>
            <w:r w:rsidRPr="00564F4E">
              <w:t>:2019</w:t>
            </w:r>
          </w:p>
        </w:tc>
        <w:tc>
          <w:tcPr>
            <w:tcW w:w="4001" w:type="dxa"/>
          </w:tcPr>
          <w:p w14:paraId="232C0C61" w14:textId="77777777" w:rsidR="00ED653F" w:rsidRPr="00564F4E" w:rsidRDefault="00ED653F" w:rsidP="008E3F9C">
            <w:pPr>
              <w:widowControl w:val="0"/>
              <w:spacing w:before="60" w:after="120"/>
            </w:pPr>
            <w:r w:rsidRPr="00564F4E">
              <w:t xml:space="preserve">Gas cylinders – Specifications and testing of LPG </w:t>
            </w:r>
            <w:r w:rsidRPr="00564F4E">
              <w:rPr>
                <w:bCs/>
              </w:rPr>
              <w:t>cylinder</w:t>
            </w:r>
            <w:r w:rsidRPr="00564F4E">
              <w:t xml:space="preserve"> valves – </w:t>
            </w:r>
            <w:r>
              <w:t>Manually operated</w:t>
            </w:r>
          </w:p>
        </w:tc>
        <w:tc>
          <w:tcPr>
            <w:tcW w:w="1276" w:type="dxa"/>
            <w:vAlign w:val="center"/>
          </w:tcPr>
          <w:p w14:paraId="6BE3ADC4" w14:textId="77777777" w:rsidR="00ED653F" w:rsidRPr="00564F4E" w:rsidRDefault="00ED653F" w:rsidP="008E3F9C">
            <w:pPr>
              <w:widowControl w:val="0"/>
              <w:spacing w:before="60" w:after="60"/>
            </w:pPr>
            <w:r>
              <w:t>6.2.3.1</w:t>
            </w:r>
            <w:r w:rsidRPr="00564F4E">
              <w:t xml:space="preserve"> and 6.2.3.</w:t>
            </w:r>
            <w:r>
              <w:t>3</w:t>
            </w:r>
          </w:p>
        </w:tc>
        <w:tc>
          <w:tcPr>
            <w:tcW w:w="1275" w:type="dxa"/>
            <w:vAlign w:val="center"/>
          </w:tcPr>
          <w:p w14:paraId="188E31D1" w14:textId="77777777" w:rsidR="00ED653F" w:rsidRPr="00564F4E" w:rsidRDefault="00ED653F" w:rsidP="008E3F9C">
            <w:pPr>
              <w:widowControl w:val="0"/>
              <w:spacing w:before="60" w:after="60"/>
            </w:pPr>
            <w:r w:rsidRPr="00564F4E">
              <w:t>Until further notice</w:t>
            </w:r>
          </w:p>
        </w:tc>
        <w:tc>
          <w:tcPr>
            <w:tcW w:w="426" w:type="dxa"/>
            <w:vAlign w:val="center"/>
          </w:tcPr>
          <w:p w14:paraId="2219CAE9" w14:textId="77777777" w:rsidR="00ED653F" w:rsidRPr="00564F4E" w:rsidRDefault="00ED653F" w:rsidP="008E3F9C">
            <w:pPr>
              <w:widowControl w:val="0"/>
              <w:spacing w:before="60" w:after="60"/>
            </w:pPr>
          </w:p>
        </w:tc>
      </w:tr>
    </w:tbl>
    <w:p w14:paraId="16C86DAE" w14:textId="77777777" w:rsidR="00ED653F" w:rsidRPr="00F01354" w:rsidRDefault="00ED653F" w:rsidP="00ED653F">
      <w:pPr>
        <w:pStyle w:val="Bullet1G"/>
        <w:numPr>
          <w:ilvl w:val="0"/>
          <w:numId w:val="22"/>
        </w:numPr>
        <w:tabs>
          <w:tab w:val="clear" w:pos="1701"/>
        </w:tabs>
        <w:kinsoku w:val="0"/>
        <w:overflowPunct w:val="0"/>
        <w:autoSpaceDE w:val="0"/>
        <w:autoSpaceDN w:val="0"/>
        <w:adjustRightInd w:val="0"/>
        <w:snapToGrid w:val="0"/>
        <w:spacing w:before="120"/>
        <w:ind w:left="2268"/>
      </w:pPr>
      <w:r>
        <w:t xml:space="preserve">For “EN </w:t>
      </w:r>
      <w:r w:rsidRPr="00F01354">
        <w:t>1</w:t>
      </w:r>
      <w:r>
        <w:t>3175</w:t>
      </w:r>
      <w:r w:rsidRPr="00F01354">
        <w:t>:201</w:t>
      </w:r>
      <w:r>
        <w:t>4</w:t>
      </w:r>
      <w:r w:rsidRPr="00F01354">
        <w:t xml:space="preserve">”, in column (4), replace </w:t>
      </w:r>
      <w:r w:rsidRPr="00917A82">
        <w:t xml:space="preserve">“Until further notice” by </w:t>
      </w:r>
      <w:r w:rsidRPr="00F01354">
        <w:t>“Between 1 January 201</w:t>
      </w:r>
      <w:r>
        <w:t>7</w:t>
      </w:r>
      <w:r w:rsidRPr="00F01354">
        <w:t xml:space="preserve"> and 31 December 202</w:t>
      </w:r>
      <w:r>
        <w:t>2</w:t>
      </w:r>
      <w:r w:rsidRPr="00F01354">
        <w:t xml:space="preserve">”. After the </w:t>
      </w:r>
      <w:r>
        <w:t xml:space="preserve">row for “EN </w:t>
      </w:r>
      <w:r w:rsidRPr="00F01354">
        <w:t>1</w:t>
      </w:r>
      <w:r>
        <w:t>3175</w:t>
      </w:r>
      <w:r w:rsidRPr="00F01354">
        <w:t>:201</w:t>
      </w:r>
      <w:r>
        <w:t>4</w:t>
      </w:r>
      <w:r w:rsidRPr="00F01354">
        <w:t>”</w:t>
      </w:r>
      <w:r>
        <w:t>,</w:t>
      </w:r>
      <w:r w:rsidRPr="00F01354">
        <w:t xml:space="preserve"> </w:t>
      </w:r>
      <w:r w:rsidRPr="00917A82">
        <w:t>insert the following row</w:t>
      </w:r>
      <w:r w:rsidRPr="00F01354">
        <w:t>:</w:t>
      </w:r>
    </w:p>
    <w:tbl>
      <w:tblPr>
        <w:tblW w:w="832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402"/>
        <w:gridCol w:w="1276"/>
        <w:gridCol w:w="1275"/>
        <w:gridCol w:w="426"/>
      </w:tblGrid>
      <w:tr w:rsidR="00ED653F" w:rsidRPr="002E3365" w14:paraId="7510F9E8" w14:textId="77777777" w:rsidTr="008E3F9C">
        <w:tc>
          <w:tcPr>
            <w:tcW w:w="1949" w:type="dxa"/>
            <w:vAlign w:val="center"/>
          </w:tcPr>
          <w:p w14:paraId="6C9C64E3" w14:textId="5007EDEB" w:rsidR="00ED653F" w:rsidRPr="002E3365" w:rsidRDefault="00ED653F">
            <w:pPr>
              <w:widowControl w:val="0"/>
              <w:spacing w:before="60" w:after="60"/>
            </w:pPr>
            <w:r w:rsidRPr="002E3365">
              <w:t>EN 13175:2019 (except clause 6.1.6</w:t>
            </w:r>
            <w:r>
              <w:t>)</w:t>
            </w:r>
          </w:p>
        </w:tc>
        <w:tc>
          <w:tcPr>
            <w:tcW w:w="3402" w:type="dxa"/>
          </w:tcPr>
          <w:p w14:paraId="46D73FB7" w14:textId="77777777" w:rsidR="00ED653F" w:rsidRPr="002E3365" w:rsidRDefault="00ED653F" w:rsidP="008E3F9C">
            <w:pPr>
              <w:widowControl w:val="0"/>
              <w:spacing w:before="60" w:after="120"/>
            </w:pPr>
            <w:r w:rsidRPr="002E3365">
              <w:t>LPG Equipment and accessories – Specification and testing for Liquefied Petroleum Gas (LPG) pressure vessel valves and fittings</w:t>
            </w:r>
          </w:p>
        </w:tc>
        <w:tc>
          <w:tcPr>
            <w:tcW w:w="1276" w:type="dxa"/>
            <w:vAlign w:val="center"/>
          </w:tcPr>
          <w:p w14:paraId="4AB43502" w14:textId="77777777" w:rsidR="00ED653F" w:rsidRPr="002E3365" w:rsidRDefault="00ED653F" w:rsidP="008E3F9C">
            <w:pPr>
              <w:widowControl w:val="0"/>
              <w:spacing w:before="60" w:after="60"/>
            </w:pPr>
            <w:r w:rsidRPr="002E3365">
              <w:t>6.2.3.1 and 6.2.3.3</w:t>
            </w:r>
          </w:p>
        </w:tc>
        <w:tc>
          <w:tcPr>
            <w:tcW w:w="1275" w:type="dxa"/>
            <w:vAlign w:val="center"/>
          </w:tcPr>
          <w:p w14:paraId="7E626C48" w14:textId="77777777" w:rsidR="00ED653F" w:rsidRPr="002E3365" w:rsidRDefault="00ED653F" w:rsidP="008E3F9C">
            <w:pPr>
              <w:widowControl w:val="0"/>
              <w:spacing w:before="60" w:after="60"/>
            </w:pPr>
            <w:r w:rsidRPr="002E3365">
              <w:t>Until further notice</w:t>
            </w:r>
          </w:p>
        </w:tc>
        <w:tc>
          <w:tcPr>
            <w:tcW w:w="426" w:type="dxa"/>
            <w:vAlign w:val="center"/>
          </w:tcPr>
          <w:p w14:paraId="20E10F34" w14:textId="77777777" w:rsidR="00ED653F" w:rsidRPr="002E3365" w:rsidRDefault="00ED653F" w:rsidP="008E3F9C">
            <w:pPr>
              <w:widowControl w:val="0"/>
              <w:spacing w:before="60" w:after="60"/>
            </w:pPr>
          </w:p>
        </w:tc>
      </w:tr>
    </w:tbl>
    <w:p w14:paraId="27502614" w14:textId="57F79214" w:rsidR="00ED653F" w:rsidRDefault="00ED653F" w:rsidP="00ED653F">
      <w:pPr>
        <w:pStyle w:val="Bullet1G"/>
        <w:numPr>
          <w:ilvl w:val="0"/>
          <w:numId w:val="22"/>
        </w:numPr>
        <w:tabs>
          <w:tab w:val="clear" w:pos="1701"/>
        </w:tabs>
        <w:kinsoku w:val="0"/>
        <w:overflowPunct w:val="0"/>
        <w:autoSpaceDE w:val="0"/>
        <w:autoSpaceDN w:val="0"/>
        <w:adjustRightInd w:val="0"/>
        <w:snapToGrid w:val="0"/>
        <w:spacing w:before="120"/>
        <w:ind w:left="2268"/>
      </w:pPr>
      <w:r>
        <w:t>For “EN ISO 17871:2015”, in column (2), delete “(ISO 17871:2015)”.</w:t>
      </w:r>
    </w:p>
    <w:p w14:paraId="48D19D37" w14:textId="77777777" w:rsidR="00ED653F" w:rsidRDefault="00ED653F" w:rsidP="00ED653F">
      <w:pPr>
        <w:pStyle w:val="Bullet1G"/>
        <w:numPr>
          <w:ilvl w:val="0"/>
          <w:numId w:val="22"/>
        </w:numPr>
        <w:tabs>
          <w:tab w:val="clear" w:pos="1701"/>
        </w:tabs>
        <w:kinsoku w:val="0"/>
        <w:overflowPunct w:val="0"/>
        <w:autoSpaceDE w:val="0"/>
        <w:autoSpaceDN w:val="0"/>
        <w:adjustRightInd w:val="0"/>
        <w:snapToGrid w:val="0"/>
        <w:ind w:left="2268"/>
      </w:pPr>
      <w:r>
        <w:t>For “EN ISO 14246:2014”, in column (2), delete “(ISO 14246:2014)”.</w:t>
      </w:r>
    </w:p>
    <w:p w14:paraId="2C89198E" w14:textId="77777777" w:rsidR="00ED653F" w:rsidRDefault="00ED653F" w:rsidP="00ED653F">
      <w:pPr>
        <w:pStyle w:val="Bullet1G"/>
        <w:numPr>
          <w:ilvl w:val="0"/>
          <w:numId w:val="22"/>
        </w:numPr>
        <w:tabs>
          <w:tab w:val="clear" w:pos="1701"/>
        </w:tabs>
        <w:kinsoku w:val="0"/>
        <w:overflowPunct w:val="0"/>
        <w:autoSpaceDE w:val="0"/>
        <w:autoSpaceDN w:val="0"/>
        <w:adjustRightInd w:val="0"/>
        <w:snapToGrid w:val="0"/>
        <w:ind w:left="2268"/>
      </w:pPr>
      <w:r>
        <w:t>At the end add the following new row:</w:t>
      </w:r>
    </w:p>
    <w:tbl>
      <w:tblPr>
        <w:tblW w:w="8364" w:type="dxa"/>
        <w:tblInd w:w="1129" w:type="dxa"/>
        <w:tblBorders>
          <w:top w:val="nil"/>
          <w:left w:val="nil"/>
          <w:bottom w:val="nil"/>
          <w:right w:val="nil"/>
        </w:tblBorders>
        <w:tblLayout w:type="fixed"/>
        <w:tblLook w:val="0000" w:firstRow="0" w:lastRow="0" w:firstColumn="0" w:lastColumn="0" w:noHBand="0" w:noVBand="0"/>
      </w:tblPr>
      <w:tblGrid>
        <w:gridCol w:w="1560"/>
        <w:gridCol w:w="3827"/>
        <w:gridCol w:w="1276"/>
        <w:gridCol w:w="1275"/>
        <w:gridCol w:w="426"/>
      </w:tblGrid>
      <w:tr w:rsidR="00ED653F" w:rsidRPr="00ED7C8C" w14:paraId="48ECFB06" w14:textId="77777777" w:rsidTr="008E3F9C">
        <w:trPr>
          <w:trHeight w:val="84"/>
        </w:trPr>
        <w:tc>
          <w:tcPr>
            <w:tcW w:w="1560" w:type="dxa"/>
            <w:tcBorders>
              <w:top w:val="single" w:sz="4" w:space="0" w:color="auto"/>
              <w:left w:val="single" w:sz="4" w:space="0" w:color="auto"/>
              <w:bottom w:val="single" w:sz="4" w:space="0" w:color="auto"/>
              <w:right w:val="single" w:sz="4" w:space="0" w:color="auto"/>
            </w:tcBorders>
          </w:tcPr>
          <w:p w14:paraId="22A61682" w14:textId="77777777" w:rsidR="00ED653F" w:rsidRPr="008153BB" w:rsidRDefault="00ED653F" w:rsidP="008E3F9C">
            <w:pPr>
              <w:pStyle w:val="Default"/>
              <w:snapToGrid w:val="0"/>
              <w:spacing w:before="60" w:after="60"/>
              <w:rPr>
                <w:sz w:val="20"/>
                <w:szCs w:val="18"/>
                <w:lang w:val="en-GB"/>
              </w:rPr>
            </w:pPr>
            <w:r w:rsidRPr="008153BB">
              <w:rPr>
                <w:sz w:val="20"/>
                <w:szCs w:val="18"/>
                <w:lang w:val="en-GB"/>
              </w:rPr>
              <w:t>EN 14129:2014</w:t>
            </w:r>
            <w:r>
              <w:rPr>
                <w:sz w:val="20"/>
                <w:szCs w:val="18"/>
                <w:lang w:val="en-GB"/>
              </w:rPr>
              <w:t xml:space="preserve"> (except the note in clause 3.11)</w:t>
            </w:r>
          </w:p>
        </w:tc>
        <w:tc>
          <w:tcPr>
            <w:tcW w:w="3827" w:type="dxa"/>
            <w:tcBorders>
              <w:top w:val="single" w:sz="4" w:space="0" w:color="auto"/>
              <w:left w:val="single" w:sz="4" w:space="0" w:color="auto"/>
              <w:bottom w:val="single" w:sz="4" w:space="0" w:color="auto"/>
              <w:right w:val="single" w:sz="4" w:space="0" w:color="auto"/>
            </w:tcBorders>
          </w:tcPr>
          <w:p w14:paraId="58BA3C5C" w14:textId="77777777" w:rsidR="00ED653F" w:rsidRPr="008153BB" w:rsidRDefault="00ED653F" w:rsidP="008E3F9C">
            <w:pPr>
              <w:pStyle w:val="Default"/>
              <w:snapToGrid w:val="0"/>
              <w:spacing w:before="60" w:after="60"/>
              <w:rPr>
                <w:sz w:val="20"/>
                <w:szCs w:val="18"/>
                <w:lang w:val="en-GB"/>
              </w:rPr>
            </w:pPr>
            <w:r w:rsidRPr="008153BB">
              <w:rPr>
                <w:sz w:val="20"/>
                <w:szCs w:val="18"/>
                <w:lang w:val="en-GB"/>
              </w:rPr>
              <w:t xml:space="preserve">LPG Equipment and accessories </w:t>
            </w:r>
            <w:r>
              <w:rPr>
                <w:sz w:val="20"/>
                <w:szCs w:val="18"/>
                <w:lang w:val="en-GB"/>
              </w:rPr>
              <w:t>–</w:t>
            </w:r>
            <w:r w:rsidRPr="008153BB">
              <w:rPr>
                <w:sz w:val="20"/>
                <w:szCs w:val="18"/>
                <w:lang w:val="en-GB"/>
              </w:rPr>
              <w:t xml:space="preserve"> Pressure relief valves for LPG pressure vessels </w:t>
            </w:r>
          </w:p>
          <w:p w14:paraId="7BAA8C08" w14:textId="77777777" w:rsidR="00ED653F" w:rsidRPr="008153BB" w:rsidRDefault="00ED653F" w:rsidP="008E3F9C">
            <w:pPr>
              <w:pStyle w:val="Default"/>
              <w:snapToGrid w:val="0"/>
              <w:spacing w:before="60" w:after="60"/>
              <w:rPr>
                <w:i/>
                <w:sz w:val="20"/>
                <w:szCs w:val="18"/>
                <w:lang w:val="en-GB"/>
              </w:rPr>
            </w:pPr>
            <w:r w:rsidRPr="008153BB">
              <w:rPr>
                <w:b/>
                <w:bCs/>
                <w:i/>
                <w:iCs/>
                <w:sz w:val="20"/>
                <w:szCs w:val="18"/>
                <w:lang w:val="en-GB"/>
              </w:rPr>
              <w:t>NOTE</w:t>
            </w:r>
            <w:r w:rsidRPr="008153BB">
              <w:rPr>
                <w:bCs/>
                <w:i/>
                <w:iCs/>
                <w:sz w:val="20"/>
                <w:szCs w:val="18"/>
                <w:lang w:val="en-GB"/>
              </w:rPr>
              <w:t xml:space="preserve">: </w:t>
            </w:r>
            <w:r>
              <w:rPr>
                <w:bCs/>
                <w:i/>
                <w:iCs/>
                <w:sz w:val="20"/>
                <w:szCs w:val="18"/>
                <w:lang w:val="en-GB"/>
              </w:rPr>
              <w:t xml:space="preserve">This standard </w:t>
            </w:r>
            <w:r w:rsidRPr="008153BB">
              <w:rPr>
                <w:i/>
                <w:iCs/>
                <w:sz w:val="20"/>
                <w:szCs w:val="18"/>
                <w:lang w:val="en-GB"/>
              </w:rPr>
              <w:t xml:space="preserve">is </w:t>
            </w:r>
            <w:r>
              <w:rPr>
                <w:i/>
                <w:iCs/>
                <w:sz w:val="20"/>
                <w:szCs w:val="18"/>
                <w:lang w:val="en-GB"/>
              </w:rPr>
              <w:t xml:space="preserve">applicable to </w:t>
            </w:r>
            <w:r w:rsidRPr="008153BB">
              <w:rPr>
                <w:i/>
                <w:iCs/>
                <w:sz w:val="20"/>
                <w:szCs w:val="18"/>
                <w:lang w:val="en-GB"/>
              </w:rPr>
              <w:t>pressure drums</w:t>
            </w:r>
            <w:r>
              <w:rPr>
                <w:i/>
                <w:iCs/>
                <w:sz w:val="20"/>
                <w:szCs w:val="18"/>
                <w:lang w:val="en-GB"/>
              </w:rPr>
              <w:t>.</w:t>
            </w:r>
          </w:p>
        </w:tc>
        <w:tc>
          <w:tcPr>
            <w:tcW w:w="1276" w:type="dxa"/>
            <w:tcBorders>
              <w:top w:val="single" w:sz="4" w:space="0" w:color="auto"/>
              <w:left w:val="single" w:sz="4" w:space="0" w:color="auto"/>
              <w:bottom w:val="single" w:sz="4" w:space="0" w:color="auto"/>
              <w:right w:val="single" w:sz="4" w:space="0" w:color="auto"/>
            </w:tcBorders>
          </w:tcPr>
          <w:p w14:paraId="58CAFD59" w14:textId="77777777" w:rsidR="00ED653F" w:rsidRPr="008153BB" w:rsidRDefault="00ED653F" w:rsidP="008E3F9C">
            <w:pPr>
              <w:pStyle w:val="Default"/>
              <w:snapToGrid w:val="0"/>
              <w:spacing w:before="60" w:after="60"/>
              <w:rPr>
                <w:sz w:val="20"/>
                <w:szCs w:val="18"/>
                <w:lang w:val="en-GB"/>
              </w:rPr>
            </w:pPr>
            <w:r w:rsidRPr="008153BB">
              <w:rPr>
                <w:sz w:val="20"/>
                <w:szCs w:val="18"/>
                <w:lang w:val="en-GB"/>
              </w:rPr>
              <w:t>6.2.3.1, 6.2.3.3 and 6.2.3.4</w:t>
            </w:r>
          </w:p>
        </w:tc>
        <w:tc>
          <w:tcPr>
            <w:tcW w:w="1275" w:type="dxa"/>
            <w:tcBorders>
              <w:top w:val="single" w:sz="4" w:space="0" w:color="auto"/>
              <w:left w:val="single" w:sz="4" w:space="0" w:color="auto"/>
              <w:bottom w:val="single" w:sz="4" w:space="0" w:color="auto"/>
              <w:right w:val="single" w:sz="4" w:space="0" w:color="auto"/>
            </w:tcBorders>
          </w:tcPr>
          <w:p w14:paraId="7E6635A4" w14:textId="77777777" w:rsidR="00ED653F" w:rsidRPr="008153BB" w:rsidRDefault="00ED653F" w:rsidP="008E3F9C">
            <w:pPr>
              <w:pStyle w:val="Default"/>
              <w:snapToGrid w:val="0"/>
              <w:spacing w:before="60" w:after="60"/>
              <w:rPr>
                <w:sz w:val="20"/>
                <w:szCs w:val="18"/>
                <w:lang w:val="en-GB"/>
              </w:rPr>
            </w:pPr>
            <w:r w:rsidRPr="008153BB">
              <w:rPr>
                <w:sz w:val="20"/>
                <w:szCs w:val="18"/>
                <w:lang w:val="en-GB"/>
              </w:rPr>
              <w:t>Until further notice</w:t>
            </w:r>
          </w:p>
        </w:tc>
        <w:tc>
          <w:tcPr>
            <w:tcW w:w="426" w:type="dxa"/>
            <w:tcBorders>
              <w:top w:val="single" w:sz="4" w:space="0" w:color="auto"/>
              <w:left w:val="single" w:sz="4" w:space="0" w:color="auto"/>
              <w:bottom w:val="single" w:sz="4" w:space="0" w:color="auto"/>
              <w:right w:val="single" w:sz="4" w:space="0" w:color="auto"/>
            </w:tcBorders>
          </w:tcPr>
          <w:p w14:paraId="3224CD83" w14:textId="77777777" w:rsidR="00ED653F" w:rsidRPr="008153BB" w:rsidRDefault="00ED653F" w:rsidP="008E3F9C">
            <w:pPr>
              <w:pStyle w:val="Default"/>
              <w:snapToGrid w:val="0"/>
              <w:spacing w:before="60" w:after="60"/>
              <w:rPr>
                <w:sz w:val="20"/>
                <w:szCs w:val="18"/>
                <w:lang w:val="en-GB"/>
              </w:rPr>
            </w:pPr>
          </w:p>
        </w:tc>
      </w:tr>
    </w:tbl>
    <w:p w14:paraId="4666E641" w14:textId="77777777" w:rsidR="00ED653F" w:rsidRDefault="00ED653F" w:rsidP="00ED653F">
      <w:pPr>
        <w:pStyle w:val="SingleTxtG"/>
        <w:ind w:left="2259" w:hanging="1125"/>
      </w:pPr>
    </w:p>
    <w:p w14:paraId="749C139E" w14:textId="77777777" w:rsidR="00ED653F" w:rsidRDefault="00ED653F" w:rsidP="00ED653F">
      <w:pPr>
        <w:pStyle w:val="SingleTxtG"/>
        <w:ind w:left="2259" w:hanging="1125"/>
      </w:pPr>
      <w:r w:rsidRPr="00917A82">
        <w:t>6.2.4.</w:t>
      </w:r>
      <w:r>
        <w:t>2</w:t>
      </w:r>
      <w:r w:rsidRPr="00917A82">
        <w:tab/>
        <w:t xml:space="preserve">In </w:t>
      </w:r>
      <w:r>
        <w:t xml:space="preserve">column (2) of </w:t>
      </w:r>
      <w:r w:rsidRPr="00917A82">
        <w:t>the table</w:t>
      </w:r>
      <w:r>
        <w:t>, delete “(ISO 10462:2013)” and “(ISO 22434:2006)”.</w:t>
      </w:r>
    </w:p>
    <w:p w14:paraId="22A98398" w14:textId="77777777" w:rsidR="00ED653F" w:rsidRPr="008A2178" w:rsidRDefault="00ED653F" w:rsidP="008A2178">
      <w:pPr>
        <w:pStyle w:val="H23G"/>
        <w:rPr>
          <w:rFonts w:eastAsia="MS Mincho"/>
        </w:rPr>
      </w:pPr>
      <w:r w:rsidRPr="008A2178">
        <w:rPr>
          <w:rFonts w:eastAsia="MS Mincho"/>
        </w:rPr>
        <w:tab/>
      </w:r>
      <w:r w:rsidRPr="008A2178">
        <w:rPr>
          <w:rFonts w:eastAsia="MS Mincho"/>
        </w:rPr>
        <w:tab/>
        <w:t>Chapter 6.8</w:t>
      </w:r>
    </w:p>
    <w:p w14:paraId="5C2A26F9" w14:textId="77777777" w:rsidR="00ED653F" w:rsidRPr="004307C3" w:rsidRDefault="00ED653F" w:rsidP="00ED653F">
      <w:pPr>
        <w:pStyle w:val="SingleTxtG"/>
        <w:spacing w:before="120"/>
      </w:pPr>
      <w:r w:rsidRPr="004307C3">
        <w:t>6.8.2.6.1</w:t>
      </w:r>
      <w:r w:rsidRPr="004307C3">
        <w:tab/>
        <w:t>Amend the table as follows:</w:t>
      </w:r>
    </w:p>
    <w:p w14:paraId="5826069B" w14:textId="483D58C6" w:rsidR="00ED653F" w:rsidRPr="004307C3" w:rsidRDefault="00442D66" w:rsidP="00ED653F">
      <w:pPr>
        <w:pStyle w:val="SingleTxtG"/>
        <w:spacing w:before="120"/>
        <w:ind w:firstLine="567"/>
      </w:pPr>
      <w:r>
        <w:tab/>
      </w:r>
      <w:r w:rsidR="00ED653F" w:rsidRPr="004307C3">
        <w:tab/>
        <w:t>Under “</w:t>
      </w:r>
      <w:r w:rsidR="00ED653F" w:rsidRPr="004307C3">
        <w:rPr>
          <w:b/>
          <w:bCs/>
        </w:rPr>
        <w:t>For equipment</w:t>
      </w:r>
      <w:r w:rsidR="00ED653F" w:rsidRPr="004307C3">
        <w:t xml:space="preserve">”: </w:t>
      </w:r>
    </w:p>
    <w:p w14:paraId="45D85494" w14:textId="77777777" w:rsidR="00ED653F" w:rsidRPr="00F01354" w:rsidRDefault="00ED653F" w:rsidP="00ED653F">
      <w:pPr>
        <w:pStyle w:val="Bullet1G"/>
        <w:numPr>
          <w:ilvl w:val="0"/>
          <w:numId w:val="22"/>
        </w:numPr>
        <w:tabs>
          <w:tab w:val="clear" w:pos="1701"/>
        </w:tabs>
        <w:kinsoku w:val="0"/>
        <w:overflowPunct w:val="0"/>
        <w:autoSpaceDE w:val="0"/>
        <w:autoSpaceDN w:val="0"/>
        <w:adjustRightInd w:val="0"/>
        <w:snapToGrid w:val="0"/>
        <w:ind w:left="2268"/>
      </w:pPr>
      <w:r>
        <w:t xml:space="preserve">For “EN </w:t>
      </w:r>
      <w:r w:rsidRPr="00F01354">
        <w:t>1</w:t>
      </w:r>
      <w:r>
        <w:t>3175</w:t>
      </w:r>
      <w:r w:rsidRPr="00F01354">
        <w:t>:201</w:t>
      </w:r>
      <w:r>
        <w:t>4</w:t>
      </w:r>
      <w:r w:rsidRPr="00F01354">
        <w:t xml:space="preserve">”, in column (4), replace </w:t>
      </w:r>
      <w:r w:rsidRPr="00917A82">
        <w:t xml:space="preserve">“Until further notice” by </w:t>
      </w:r>
      <w:r w:rsidRPr="00F01354">
        <w:t>“Between 1 January 201</w:t>
      </w:r>
      <w:r>
        <w:t>7</w:t>
      </w:r>
      <w:r w:rsidRPr="00F01354">
        <w:t xml:space="preserve"> and 31 December 202</w:t>
      </w:r>
      <w:r>
        <w:t>2</w:t>
      </w:r>
      <w:r w:rsidRPr="00F01354">
        <w:t>”. After the row for “EN ISO 1</w:t>
      </w:r>
      <w:r>
        <w:t>3175</w:t>
      </w:r>
      <w:r w:rsidRPr="00F01354">
        <w:t>:201</w:t>
      </w:r>
      <w:r>
        <w:t>4</w:t>
      </w:r>
      <w:r w:rsidRPr="00F01354">
        <w:t>”</w:t>
      </w:r>
      <w:r>
        <w:t>,</w:t>
      </w:r>
      <w:r w:rsidRPr="00F01354">
        <w:t xml:space="preserve"> </w:t>
      </w:r>
      <w:r w:rsidRPr="00917A82">
        <w:t>insert the following row</w:t>
      </w:r>
      <w:r w:rsidRPr="00F01354">
        <w:t>:</w:t>
      </w:r>
    </w:p>
    <w:tbl>
      <w:tblPr>
        <w:tblW w:w="832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402"/>
        <w:gridCol w:w="1276"/>
        <w:gridCol w:w="1275"/>
        <w:gridCol w:w="426"/>
      </w:tblGrid>
      <w:tr w:rsidR="00ED653F" w:rsidRPr="002E3365" w14:paraId="1B277F9C" w14:textId="77777777" w:rsidTr="008A2178">
        <w:trPr>
          <w:cantSplit/>
        </w:trPr>
        <w:tc>
          <w:tcPr>
            <w:tcW w:w="1949" w:type="dxa"/>
            <w:vAlign w:val="center"/>
          </w:tcPr>
          <w:p w14:paraId="657A4BD0" w14:textId="47AAC7D2" w:rsidR="00ED653F" w:rsidRPr="00F04571" w:rsidRDefault="00ED653F">
            <w:pPr>
              <w:widowControl w:val="0"/>
              <w:spacing w:before="60" w:after="60"/>
              <w:rPr>
                <w:lang w:val="fr-FR"/>
              </w:rPr>
            </w:pPr>
            <w:r w:rsidRPr="00F04571">
              <w:rPr>
                <w:lang w:val="fr-FR"/>
              </w:rPr>
              <w:t>EN 13175:2019 (</w:t>
            </w:r>
            <w:proofErr w:type="spellStart"/>
            <w:r w:rsidRPr="00F04571">
              <w:rPr>
                <w:lang w:val="fr-FR"/>
              </w:rPr>
              <w:t>except</w:t>
            </w:r>
            <w:proofErr w:type="spellEnd"/>
            <w:r w:rsidRPr="00F04571">
              <w:rPr>
                <w:lang w:val="fr-FR"/>
              </w:rPr>
              <w:t xml:space="preserve"> clause 6.1.6)</w:t>
            </w:r>
          </w:p>
        </w:tc>
        <w:tc>
          <w:tcPr>
            <w:tcW w:w="3402" w:type="dxa"/>
          </w:tcPr>
          <w:p w14:paraId="1FBB483A" w14:textId="77777777" w:rsidR="00ED653F" w:rsidRPr="002E3365" w:rsidRDefault="00ED653F" w:rsidP="008E3F9C">
            <w:pPr>
              <w:widowControl w:val="0"/>
              <w:spacing w:before="60" w:after="120"/>
            </w:pPr>
            <w:r w:rsidRPr="002E3365">
              <w:t>LPG Equipment and accessories – Specification and testing for Liquefied Petroleum Gas (LPG) pressure vessel valves and fittings</w:t>
            </w:r>
          </w:p>
        </w:tc>
        <w:tc>
          <w:tcPr>
            <w:tcW w:w="1276" w:type="dxa"/>
            <w:vAlign w:val="center"/>
          </w:tcPr>
          <w:p w14:paraId="6ECE8E7E" w14:textId="77777777" w:rsidR="00ED653F" w:rsidRPr="002E3365" w:rsidRDefault="00ED653F" w:rsidP="008E3F9C">
            <w:pPr>
              <w:widowControl w:val="0"/>
              <w:spacing w:before="60" w:after="60"/>
            </w:pPr>
            <w:r w:rsidRPr="002E3365">
              <w:t>6.8.2.1.1, 6.8.2.2, 6.8.2.4.1 and 6.8.3.2.3</w:t>
            </w:r>
          </w:p>
        </w:tc>
        <w:tc>
          <w:tcPr>
            <w:tcW w:w="1275" w:type="dxa"/>
            <w:vAlign w:val="center"/>
          </w:tcPr>
          <w:p w14:paraId="053D652C" w14:textId="77777777" w:rsidR="00ED653F" w:rsidRPr="002E3365" w:rsidRDefault="00ED653F" w:rsidP="008E3F9C">
            <w:pPr>
              <w:widowControl w:val="0"/>
              <w:spacing w:before="60" w:after="60"/>
            </w:pPr>
            <w:r w:rsidRPr="002E3365">
              <w:t>Until further notice</w:t>
            </w:r>
          </w:p>
        </w:tc>
        <w:tc>
          <w:tcPr>
            <w:tcW w:w="426" w:type="dxa"/>
            <w:vAlign w:val="center"/>
          </w:tcPr>
          <w:p w14:paraId="1F5F03F5" w14:textId="77777777" w:rsidR="00ED653F" w:rsidRPr="002E3365" w:rsidRDefault="00ED653F" w:rsidP="008E3F9C">
            <w:pPr>
              <w:widowControl w:val="0"/>
              <w:spacing w:before="60" w:after="60"/>
            </w:pPr>
          </w:p>
        </w:tc>
      </w:tr>
    </w:tbl>
    <w:bookmarkEnd w:id="0"/>
    <w:p w14:paraId="6F87D5C5" w14:textId="7DE79B0C" w:rsidR="00EE7207" w:rsidRPr="00FA02DF" w:rsidRDefault="00FA02DF" w:rsidP="00FA02DF">
      <w:pPr>
        <w:spacing w:before="240"/>
        <w:jc w:val="center"/>
        <w:rPr>
          <w:u w:val="single"/>
        </w:rPr>
      </w:pPr>
      <w:r>
        <w:rPr>
          <w:u w:val="single"/>
        </w:rPr>
        <w:tab/>
      </w:r>
      <w:r>
        <w:rPr>
          <w:u w:val="single"/>
        </w:rPr>
        <w:tab/>
      </w:r>
      <w:r>
        <w:rPr>
          <w:u w:val="single"/>
        </w:rPr>
        <w:tab/>
      </w:r>
    </w:p>
    <w:p w14:paraId="4920DB28" w14:textId="77777777" w:rsidR="00155706" w:rsidRDefault="00155706" w:rsidP="00155706">
      <w:pPr>
        <w:spacing w:before="120"/>
        <w:rPr>
          <w:b/>
          <w:sz w:val="24"/>
          <w:szCs w:val="24"/>
          <w:highlight w:val="yellow"/>
        </w:rPr>
      </w:pPr>
    </w:p>
    <w:p w14:paraId="0C84594A" w14:textId="77777777" w:rsidR="00155706" w:rsidRDefault="00155706" w:rsidP="00155706">
      <w:pPr>
        <w:spacing w:before="120"/>
        <w:rPr>
          <w:b/>
          <w:sz w:val="24"/>
          <w:szCs w:val="24"/>
          <w:highlight w:val="yellow"/>
        </w:rPr>
      </w:pPr>
    </w:p>
    <w:p w14:paraId="4C62117F" w14:textId="77777777" w:rsidR="001C6663" w:rsidRPr="00BC3022" w:rsidRDefault="001C6663" w:rsidP="00155706">
      <w:pPr>
        <w:spacing w:before="120"/>
      </w:pPr>
    </w:p>
    <w:sectPr w:rsidR="001C6663" w:rsidRPr="00BC3022" w:rsidSect="00BC302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CB09" w14:textId="77777777" w:rsidR="00BC3022" w:rsidRDefault="00BC3022"/>
  </w:endnote>
  <w:endnote w:type="continuationSeparator" w:id="0">
    <w:p w14:paraId="66F04D40" w14:textId="77777777" w:rsidR="00BC3022" w:rsidRDefault="00BC3022"/>
  </w:endnote>
  <w:endnote w:type="continuationNotice" w:id="1">
    <w:p w14:paraId="7ACF88FB" w14:textId="77777777" w:rsidR="00BC3022" w:rsidRDefault="00BC3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853C" w14:textId="77777777" w:rsidR="00BC3022" w:rsidRPr="00BC3022" w:rsidRDefault="00BC3022" w:rsidP="00BC3022">
    <w:pPr>
      <w:pStyle w:val="Footer"/>
      <w:tabs>
        <w:tab w:val="right" w:pos="9638"/>
      </w:tabs>
      <w:rPr>
        <w:sz w:val="18"/>
      </w:rPr>
    </w:pPr>
    <w:r w:rsidRPr="00BC3022">
      <w:rPr>
        <w:b/>
        <w:sz w:val="18"/>
      </w:rPr>
      <w:fldChar w:fldCharType="begin"/>
    </w:r>
    <w:r w:rsidRPr="00BC3022">
      <w:rPr>
        <w:b/>
        <w:sz w:val="18"/>
      </w:rPr>
      <w:instrText xml:space="preserve"> PAGE  \* MERGEFORMAT </w:instrText>
    </w:r>
    <w:r w:rsidRPr="00BC3022">
      <w:rPr>
        <w:b/>
        <w:sz w:val="18"/>
      </w:rPr>
      <w:fldChar w:fldCharType="separate"/>
    </w:r>
    <w:r w:rsidRPr="00BC3022">
      <w:rPr>
        <w:b/>
        <w:noProof/>
        <w:sz w:val="18"/>
      </w:rPr>
      <w:t>2</w:t>
    </w:r>
    <w:r w:rsidRPr="00BC30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DAA9" w14:textId="77777777" w:rsidR="00BC3022" w:rsidRPr="00BC3022" w:rsidRDefault="00BC3022" w:rsidP="00BC3022">
    <w:pPr>
      <w:pStyle w:val="Footer"/>
      <w:tabs>
        <w:tab w:val="right" w:pos="9638"/>
      </w:tabs>
      <w:rPr>
        <w:b/>
        <w:sz w:val="18"/>
      </w:rPr>
    </w:pPr>
    <w:r>
      <w:tab/>
    </w:r>
    <w:r w:rsidRPr="00BC3022">
      <w:rPr>
        <w:b/>
        <w:sz w:val="18"/>
      </w:rPr>
      <w:fldChar w:fldCharType="begin"/>
    </w:r>
    <w:r w:rsidRPr="00BC3022">
      <w:rPr>
        <w:b/>
        <w:sz w:val="18"/>
      </w:rPr>
      <w:instrText xml:space="preserve"> PAGE  \* MERGEFORMAT </w:instrText>
    </w:r>
    <w:r w:rsidRPr="00BC3022">
      <w:rPr>
        <w:b/>
        <w:sz w:val="18"/>
      </w:rPr>
      <w:fldChar w:fldCharType="separate"/>
    </w:r>
    <w:r w:rsidRPr="00BC3022">
      <w:rPr>
        <w:b/>
        <w:noProof/>
        <w:sz w:val="18"/>
      </w:rPr>
      <w:t>3</w:t>
    </w:r>
    <w:r w:rsidRPr="00BC30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8421" w14:textId="2E5B2D42" w:rsidR="0035223F" w:rsidRPr="00BC3022" w:rsidRDefault="0035223F">
    <w:pPr>
      <w:pStyle w:val="Footer"/>
      <w:rPr>
        <w:sz w:val="20"/>
      </w:rP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98C6" w14:textId="77777777" w:rsidR="00BC3022" w:rsidRPr="000B175B" w:rsidRDefault="00BC3022" w:rsidP="000B175B">
      <w:pPr>
        <w:tabs>
          <w:tab w:val="right" w:pos="2155"/>
        </w:tabs>
        <w:spacing w:after="80"/>
        <w:ind w:left="680"/>
        <w:rPr>
          <w:u w:val="single"/>
        </w:rPr>
      </w:pPr>
      <w:r>
        <w:rPr>
          <w:u w:val="single"/>
        </w:rPr>
        <w:tab/>
      </w:r>
    </w:p>
  </w:footnote>
  <w:footnote w:type="continuationSeparator" w:id="0">
    <w:p w14:paraId="345C5742" w14:textId="77777777" w:rsidR="00BC3022" w:rsidRPr="00FC68B7" w:rsidRDefault="00BC3022" w:rsidP="00FC68B7">
      <w:pPr>
        <w:tabs>
          <w:tab w:val="left" w:pos="2155"/>
        </w:tabs>
        <w:spacing w:after="80"/>
        <w:ind w:left="680"/>
        <w:rPr>
          <w:u w:val="single"/>
        </w:rPr>
      </w:pPr>
      <w:r>
        <w:rPr>
          <w:u w:val="single"/>
        </w:rPr>
        <w:tab/>
      </w:r>
    </w:p>
  </w:footnote>
  <w:footnote w:type="continuationNotice" w:id="1">
    <w:p w14:paraId="04D9145C" w14:textId="77777777" w:rsidR="00BC3022" w:rsidRDefault="00BC3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25D5" w14:textId="328D46C3" w:rsidR="00BC3022" w:rsidRPr="00BC3022" w:rsidRDefault="00F27ADB">
    <w:pPr>
      <w:pStyle w:val="Header"/>
    </w:pPr>
    <w:r>
      <w:fldChar w:fldCharType="begin"/>
    </w:r>
    <w:r>
      <w:instrText xml:space="preserve"> TITLE  \* MERGEFORMAT </w:instrText>
    </w:r>
    <w:r>
      <w:fldChar w:fldCharType="separate"/>
    </w:r>
    <w:r w:rsidR="00087953">
      <w:t>ECE/TRANS/WP.15/249/Add.1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D607" w14:textId="6C096F2C" w:rsidR="00BC3022" w:rsidRPr="00BC3022" w:rsidRDefault="00F27ADB" w:rsidP="00BC3022">
    <w:pPr>
      <w:pStyle w:val="Header"/>
      <w:jc w:val="right"/>
    </w:pPr>
    <w:r>
      <w:fldChar w:fldCharType="begin"/>
    </w:r>
    <w:r>
      <w:instrText xml:space="preserve"> TITLE  \* MERGEFORMAT </w:instrText>
    </w:r>
    <w:r>
      <w:fldChar w:fldCharType="separate"/>
    </w:r>
    <w:r w:rsidR="00087953">
      <w:t>ECE/TRANS/WP.15/249/Add.1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D402" w14:textId="77777777" w:rsidR="00F27ADB" w:rsidRDefault="00F2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3174D0"/>
    <w:multiLevelType w:val="hybridMultilevel"/>
    <w:tmpl w:val="60D0A9E4"/>
    <w:lvl w:ilvl="0" w:tplc="EFD68C7E">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1"/>
  </w:num>
  <w:num w:numId="21">
    <w:abstractNumId w:val="17"/>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22"/>
    <w:rsid w:val="00002A7D"/>
    <w:rsid w:val="000038A8"/>
    <w:rsid w:val="00006790"/>
    <w:rsid w:val="00016CBA"/>
    <w:rsid w:val="00027624"/>
    <w:rsid w:val="00050F6B"/>
    <w:rsid w:val="00055C36"/>
    <w:rsid w:val="000678CD"/>
    <w:rsid w:val="00072C8C"/>
    <w:rsid w:val="00081CE0"/>
    <w:rsid w:val="00084D30"/>
    <w:rsid w:val="00087953"/>
    <w:rsid w:val="00090320"/>
    <w:rsid w:val="000931C0"/>
    <w:rsid w:val="0009732C"/>
    <w:rsid w:val="000A01F9"/>
    <w:rsid w:val="000A2E09"/>
    <w:rsid w:val="000B175B"/>
    <w:rsid w:val="000B3A0F"/>
    <w:rsid w:val="000C07E7"/>
    <w:rsid w:val="000D646E"/>
    <w:rsid w:val="000E0415"/>
    <w:rsid w:val="000F7715"/>
    <w:rsid w:val="00103A59"/>
    <w:rsid w:val="00155706"/>
    <w:rsid w:val="00156B99"/>
    <w:rsid w:val="00166124"/>
    <w:rsid w:val="00184DDA"/>
    <w:rsid w:val="001900CD"/>
    <w:rsid w:val="001A0452"/>
    <w:rsid w:val="001B4B04"/>
    <w:rsid w:val="001B5875"/>
    <w:rsid w:val="001C143B"/>
    <w:rsid w:val="001C4B9C"/>
    <w:rsid w:val="001C6663"/>
    <w:rsid w:val="001C7895"/>
    <w:rsid w:val="001D26DF"/>
    <w:rsid w:val="001F1599"/>
    <w:rsid w:val="001F19C4"/>
    <w:rsid w:val="002043F0"/>
    <w:rsid w:val="00211E0B"/>
    <w:rsid w:val="002124D5"/>
    <w:rsid w:val="00232575"/>
    <w:rsid w:val="00247258"/>
    <w:rsid w:val="00257CAC"/>
    <w:rsid w:val="00264441"/>
    <w:rsid w:val="0027237A"/>
    <w:rsid w:val="002974E9"/>
    <w:rsid w:val="002A7F94"/>
    <w:rsid w:val="002B109A"/>
    <w:rsid w:val="002B456A"/>
    <w:rsid w:val="002C6D45"/>
    <w:rsid w:val="002D6E53"/>
    <w:rsid w:val="002F046D"/>
    <w:rsid w:val="002F3023"/>
    <w:rsid w:val="00301764"/>
    <w:rsid w:val="003108AE"/>
    <w:rsid w:val="003229D8"/>
    <w:rsid w:val="00336C97"/>
    <w:rsid w:val="00337F88"/>
    <w:rsid w:val="00342432"/>
    <w:rsid w:val="0035223F"/>
    <w:rsid w:val="00352D4B"/>
    <w:rsid w:val="0035638C"/>
    <w:rsid w:val="003721C0"/>
    <w:rsid w:val="0037615E"/>
    <w:rsid w:val="00383B21"/>
    <w:rsid w:val="00393916"/>
    <w:rsid w:val="003A46BB"/>
    <w:rsid w:val="003A4EC7"/>
    <w:rsid w:val="003A7295"/>
    <w:rsid w:val="003B1F60"/>
    <w:rsid w:val="003C2CC4"/>
    <w:rsid w:val="003D1531"/>
    <w:rsid w:val="003D4B23"/>
    <w:rsid w:val="003E278A"/>
    <w:rsid w:val="00401961"/>
    <w:rsid w:val="00413520"/>
    <w:rsid w:val="004325CB"/>
    <w:rsid w:val="00440A07"/>
    <w:rsid w:val="00442D66"/>
    <w:rsid w:val="00462880"/>
    <w:rsid w:val="00466B2A"/>
    <w:rsid w:val="00476F24"/>
    <w:rsid w:val="004A0A35"/>
    <w:rsid w:val="004C55B0"/>
    <w:rsid w:val="004F0C05"/>
    <w:rsid w:val="004F6BA0"/>
    <w:rsid w:val="00503BEA"/>
    <w:rsid w:val="00533616"/>
    <w:rsid w:val="00535ABA"/>
    <w:rsid w:val="0053768B"/>
    <w:rsid w:val="005420F2"/>
    <w:rsid w:val="0054285C"/>
    <w:rsid w:val="00547C1D"/>
    <w:rsid w:val="00556AFE"/>
    <w:rsid w:val="00564F2E"/>
    <w:rsid w:val="00584173"/>
    <w:rsid w:val="00595520"/>
    <w:rsid w:val="005A44B9"/>
    <w:rsid w:val="005B1BA0"/>
    <w:rsid w:val="005B3DB3"/>
    <w:rsid w:val="005D15CA"/>
    <w:rsid w:val="005D7969"/>
    <w:rsid w:val="005F08DF"/>
    <w:rsid w:val="005F3066"/>
    <w:rsid w:val="005F3E61"/>
    <w:rsid w:val="00604DDD"/>
    <w:rsid w:val="00606FE8"/>
    <w:rsid w:val="006115CC"/>
    <w:rsid w:val="00611FC4"/>
    <w:rsid w:val="006176FB"/>
    <w:rsid w:val="00630FCB"/>
    <w:rsid w:val="00640B26"/>
    <w:rsid w:val="00654E24"/>
    <w:rsid w:val="0065766B"/>
    <w:rsid w:val="00662F88"/>
    <w:rsid w:val="00674412"/>
    <w:rsid w:val="006770B2"/>
    <w:rsid w:val="00686A48"/>
    <w:rsid w:val="006940E1"/>
    <w:rsid w:val="006A3C72"/>
    <w:rsid w:val="006A7392"/>
    <w:rsid w:val="006B03A1"/>
    <w:rsid w:val="006B67D9"/>
    <w:rsid w:val="006B7CC0"/>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5761"/>
    <w:rsid w:val="007D7362"/>
    <w:rsid w:val="007F5CE2"/>
    <w:rsid w:val="007F6611"/>
    <w:rsid w:val="00800522"/>
    <w:rsid w:val="00805467"/>
    <w:rsid w:val="00810BAC"/>
    <w:rsid w:val="008175E9"/>
    <w:rsid w:val="008242D7"/>
    <w:rsid w:val="0082577B"/>
    <w:rsid w:val="008272DD"/>
    <w:rsid w:val="00837EE8"/>
    <w:rsid w:val="00866893"/>
    <w:rsid w:val="00866F02"/>
    <w:rsid w:val="00867D18"/>
    <w:rsid w:val="00871F9A"/>
    <w:rsid w:val="00871FD5"/>
    <w:rsid w:val="0088172E"/>
    <w:rsid w:val="00881EFA"/>
    <w:rsid w:val="008879CB"/>
    <w:rsid w:val="008979B1"/>
    <w:rsid w:val="008A2178"/>
    <w:rsid w:val="008A6B25"/>
    <w:rsid w:val="008A6C4F"/>
    <w:rsid w:val="008A77AE"/>
    <w:rsid w:val="008B389E"/>
    <w:rsid w:val="008D045E"/>
    <w:rsid w:val="008D3F25"/>
    <w:rsid w:val="008D4D82"/>
    <w:rsid w:val="008E0E46"/>
    <w:rsid w:val="008E7116"/>
    <w:rsid w:val="008F143B"/>
    <w:rsid w:val="008F3882"/>
    <w:rsid w:val="008F4B7C"/>
    <w:rsid w:val="00926E47"/>
    <w:rsid w:val="00941DC6"/>
    <w:rsid w:val="00947162"/>
    <w:rsid w:val="009610D0"/>
    <w:rsid w:val="00962868"/>
    <w:rsid w:val="0096375C"/>
    <w:rsid w:val="00964D5E"/>
    <w:rsid w:val="009662E6"/>
    <w:rsid w:val="0097095E"/>
    <w:rsid w:val="0098592B"/>
    <w:rsid w:val="00985FC4"/>
    <w:rsid w:val="00990766"/>
    <w:rsid w:val="00991261"/>
    <w:rsid w:val="009964C4"/>
    <w:rsid w:val="009A7331"/>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073D1"/>
    <w:rsid w:val="00B15055"/>
    <w:rsid w:val="00B20551"/>
    <w:rsid w:val="00B30179"/>
    <w:rsid w:val="00B33FC7"/>
    <w:rsid w:val="00B37B15"/>
    <w:rsid w:val="00B45C02"/>
    <w:rsid w:val="00B70B63"/>
    <w:rsid w:val="00B72A1E"/>
    <w:rsid w:val="00B81E12"/>
    <w:rsid w:val="00BA339B"/>
    <w:rsid w:val="00BB23CC"/>
    <w:rsid w:val="00BC1E7E"/>
    <w:rsid w:val="00BC3022"/>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1516"/>
    <w:rsid w:val="00D43252"/>
    <w:rsid w:val="00D44D86"/>
    <w:rsid w:val="00D50B7D"/>
    <w:rsid w:val="00D52012"/>
    <w:rsid w:val="00D704E5"/>
    <w:rsid w:val="00D72727"/>
    <w:rsid w:val="00D978C6"/>
    <w:rsid w:val="00DA0956"/>
    <w:rsid w:val="00DA357F"/>
    <w:rsid w:val="00DA3E12"/>
    <w:rsid w:val="00DC18AD"/>
    <w:rsid w:val="00DF7CAE"/>
    <w:rsid w:val="00E137F0"/>
    <w:rsid w:val="00E303A4"/>
    <w:rsid w:val="00E423C0"/>
    <w:rsid w:val="00E6414C"/>
    <w:rsid w:val="00E7260F"/>
    <w:rsid w:val="00E8702D"/>
    <w:rsid w:val="00E905F4"/>
    <w:rsid w:val="00E916A9"/>
    <w:rsid w:val="00E916DE"/>
    <w:rsid w:val="00E925AD"/>
    <w:rsid w:val="00E96630"/>
    <w:rsid w:val="00ED18DC"/>
    <w:rsid w:val="00ED6201"/>
    <w:rsid w:val="00ED653F"/>
    <w:rsid w:val="00ED7A2A"/>
    <w:rsid w:val="00EE4529"/>
    <w:rsid w:val="00EE7207"/>
    <w:rsid w:val="00EF1D7F"/>
    <w:rsid w:val="00F0122F"/>
    <w:rsid w:val="00F0137E"/>
    <w:rsid w:val="00F21786"/>
    <w:rsid w:val="00F27ADB"/>
    <w:rsid w:val="00F3742B"/>
    <w:rsid w:val="00F41FDB"/>
    <w:rsid w:val="00F50596"/>
    <w:rsid w:val="00F56D63"/>
    <w:rsid w:val="00F609A9"/>
    <w:rsid w:val="00F634CC"/>
    <w:rsid w:val="00F80C99"/>
    <w:rsid w:val="00F867EC"/>
    <w:rsid w:val="00F91B2B"/>
    <w:rsid w:val="00FA02DF"/>
    <w:rsid w:val="00FC03CD"/>
    <w:rsid w:val="00FC0646"/>
    <w:rsid w:val="00FC68B7"/>
    <w:rsid w:val="00FE6985"/>
    <w:rsid w:val="00FF3A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43E117"/>
  <w15:docId w15:val="{601EE05F-A358-475B-9085-E304C5F9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155706"/>
    <w:rPr>
      <w:b/>
      <w:sz w:val="24"/>
      <w:lang w:val="en-GB"/>
    </w:rPr>
  </w:style>
  <w:style w:type="character" w:customStyle="1" w:styleId="H23GChar">
    <w:name w:val="_ H_2/3_G Char"/>
    <w:link w:val="H23G"/>
    <w:locked/>
    <w:rsid w:val="00155706"/>
    <w:rPr>
      <w:b/>
      <w:lang w:val="en-GB"/>
    </w:rPr>
  </w:style>
  <w:style w:type="character" w:customStyle="1" w:styleId="HChGChar">
    <w:name w:val="_ H _Ch_G Char"/>
    <w:link w:val="HChG"/>
    <w:locked/>
    <w:rsid w:val="00155706"/>
    <w:rPr>
      <w:b/>
      <w:sz w:val="28"/>
      <w:lang w:val="en-GB"/>
    </w:rPr>
  </w:style>
  <w:style w:type="character" w:styleId="CommentReference">
    <w:name w:val="annotation reference"/>
    <w:basedOn w:val="DefaultParagraphFont"/>
    <w:semiHidden/>
    <w:unhideWhenUsed/>
    <w:rsid w:val="00155706"/>
    <w:rPr>
      <w:sz w:val="16"/>
      <w:szCs w:val="16"/>
    </w:rPr>
  </w:style>
  <w:style w:type="paragraph" w:styleId="CommentText">
    <w:name w:val="annotation text"/>
    <w:basedOn w:val="Normal"/>
    <w:link w:val="CommentTextChar"/>
    <w:semiHidden/>
    <w:unhideWhenUsed/>
    <w:rsid w:val="00155706"/>
    <w:pPr>
      <w:spacing w:line="240" w:lineRule="auto"/>
    </w:pPr>
  </w:style>
  <w:style w:type="character" w:customStyle="1" w:styleId="CommentTextChar">
    <w:name w:val="Comment Text Char"/>
    <w:basedOn w:val="DefaultParagraphFont"/>
    <w:link w:val="CommentText"/>
    <w:semiHidden/>
    <w:rsid w:val="00155706"/>
    <w:rPr>
      <w:lang w:val="en-GB"/>
    </w:rPr>
  </w:style>
  <w:style w:type="paragraph" w:styleId="CommentSubject">
    <w:name w:val="annotation subject"/>
    <w:basedOn w:val="CommentText"/>
    <w:next w:val="CommentText"/>
    <w:link w:val="CommentSubjectChar"/>
    <w:semiHidden/>
    <w:unhideWhenUsed/>
    <w:rsid w:val="00155706"/>
    <w:rPr>
      <w:b/>
      <w:bCs/>
    </w:rPr>
  </w:style>
  <w:style w:type="character" w:customStyle="1" w:styleId="CommentSubjectChar">
    <w:name w:val="Comment Subject Char"/>
    <w:basedOn w:val="CommentTextChar"/>
    <w:link w:val="CommentSubject"/>
    <w:semiHidden/>
    <w:rsid w:val="00155706"/>
    <w:rPr>
      <w:b/>
      <w:bCs/>
      <w:lang w:val="en-GB"/>
    </w:rPr>
  </w:style>
  <w:style w:type="paragraph" w:styleId="Revision">
    <w:name w:val="Revision"/>
    <w:hidden/>
    <w:uiPriority w:val="99"/>
    <w:semiHidden/>
    <w:rsid w:val="00155706"/>
    <w:rPr>
      <w:lang w:val="en-GB"/>
    </w:rPr>
  </w:style>
  <w:style w:type="paragraph" w:styleId="ListParagraph">
    <w:name w:val="List Paragraph"/>
    <w:basedOn w:val="Normal"/>
    <w:uiPriority w:val="34"/>
    <w:qFormat/>
    <w:rsid w:val="00EE7207"/>
    <w:pPr>
      <w:suppressAutoHyphens w:val="0"/>
      <w:spacing w:line="240" w:lineRule="auto"/>
      <w:ind w:left="720"/>
    </w:pPr>
    <w:rPr>
      <w:rFonts w:ascii="Calibri" w:eastAsiaTheme="minorEastAsia" w:hAnsi="Calibri" w:cs="Calibri"/>
      <w:sz w:val="22"/>
      <w:szCs w:val="22"/>
      <w:lang w:eastAsia="zh-CN"/>
    </w:rPr>
  </w:style>
  <w:style w:type="character" w:customStyle="1" w:styleId="SingleTxtGCar">
    <w:name w:val="_ Single Txt_G Car"/>
    <w:rsid w:val="00ED653F"/>
    <w:rPr>
      <w:lang w:val="en-GB" w:eastAsia="en-US"/>
    </w:rPr>
  </w:style>
  <w:style w:type="paragraph" w:customStyle="1" w:styleId="Default">
    <w:name w:val="Default"/>
    <w:rsid w:val="00ED65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7174">
      <w:bodyDiv w:val="1"/>
      <w:marLeft w:val="0"/>
      <w:marRight w:val="0"/>
      <w:marTop w:val="0"/>
      <w:marBottom w:val="0"/>
      <w:divBdr>
        <w:top w:val="none" w:sz="0" w:space="0" w:color="auto"/>
        <w:left w:val="none" w:sz="0" w:space="0" w:color="auto"/>
        <w:bottom w:val="none" w:sz="0" w:space="0" w:color="auto"/>
        <w:right w:val="none" w:sz="0" w:space="0" w:color="auto"/>
      </w:divBdr>
    </w:div>
    <w:div w:id="11754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D111-A674-40AC-903A-E57D196E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610</TotalTime>
  <Pages>6</Pages>
  <Words>1573</Words>
  <Characters>8971</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ECE/TRANS/WP.15/249/Add.1</vt:lpstr>
      <vt:lpstr>United Nations</vt:lpstr>
    </vt:vector>
  </TitlesOfParts>
  <Company>CSD</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ECE/TRANS/WP.15/249/Add.1</dc:title>
  <dc:creator>Editorial</dc:creator>
  <cp:lastModifiedBy>Christine Barrio-Champeau</cp:lastModifiedBy>
  <cp:revision>38</cp:revision>
  <cp:lastPrinted>2020-04-28T11:53:00Z</cp:lastPrinted>
  <dcterms:created xsi:type="dcterms:W3CDTF">2020-04-14T12:46:00Z</dcterms:created>
  <dcterms:modified xsi:type="dcterms:W3CDTF">2020-06-02T14:12:00Z</dcterms:modified>
</cp:coreProperties>
</file>