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CE70CB"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CE70CB" w:rsidRDefault="001433FD" w:rsidP="00267DA7">
            <w:pPr>
              <w:spacing w:after="80" w:line="300" w:lineRule="exact"/>
              <w:rPr>
                <w:sz w:val="28"/>
              </w:rPr>
            </w:pPr>
            <w:r w:rsidRPr="00CE70CB">
              <w:rPr>
                <w:sz w:val="28"/>
              </w:rPr>
              <w:t>Nations Unies</w:t>
            </w:r>
          </w:p>
        </w:tc>
        <w:tc>
          <w:tcPr>
            <w:tcW w:w="6095" w:type="dxa"/>
            <w:gridSpan w:val="2"/>
            <w:tcBorders>
              <w:bottom w:val="single" w:sz="4" w:space="0" w:color="auto"/>
            </w:tcBorders>
            <w:vAlign w:val="bottom"/>
          </w:tcPr>
          <w:p w:rsidR="001433FD" w:rsidRPr="00CE70CB" w:rsidRDefault="00FF3C2F" w:rsidP="00FF3C2F">
            <w:pPr>
              <w:jc w:val="right"/>
            </w:pPr>
            <w:r w:rsidRPr="00CE70CB">
              <w:rPr>
                <w:sz w:val="40"/>
              </w:rPr>
              <w:t>ECE</w:t>
            </w:r>
            <w:r w:rsidRPr="00CE70CB">
              <w:t>/TRANS/WP.15/249</w:t>
            </w:r>
          </w:p>
        </w:tc>
      </w:tr>
      <w:tr w:rsidR="001433FD" w:rsidRPr="00CE70CB" w:rsidTr="00267DA7">
        <w:trPr>
          <w:trHeight w:hRule="exact" w:val="2835"/>
        </w:trPr>
        <w:tc>
          <w:tcPr>
            <w:tcW w:w="1276" w:type="dxa"/>
            <w:tcBorders>
              <w:top w:val="single" w:sz="4" w:space="0" w:color="auto"/>
              <w:bottom w:val="single" w:sz="12" w:space="0" w:color="auto"/>
            </w:tcBorders>
          </w:tcPr>
          <w:p w:rsidR="001433FD" w:rsidRPr="00CE70CB" w:rsidRDefault="001433FD" w:rsidP="00267DA7">
            <w:pPr>
              <w:spacing w:before="120"/>
              <w:jc w:val="center"/>
            </w:pPr>
            <w:r w:rsidRPr="00CE70CB">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CE70CB" w:rsidRDefault="001433FD" w:rsidP="00267DA7">
            <w:pPr>
              <w:spacing w:before="120" w:line="420" w:lineRule="exact"/>
              <w:rPr>
                <w:b/>
                <w:sz w:val="40"/>
                <w:szCs w:val="40"/>
              </w:rPr>
            </w:pPr>
            <w:r w:rsidRPr="00CE70CB">
              <w:rPr>
                <w:b/>
                <w:sz w:val="40"/>
                <w:szCs w:val="40"/>
              </w:rPr>
              <w:t>Conseil économique et social</w:t>
            </w:r>
          </w:p>
        </w:tc>
        <w:tc>
          <w:tcPr>
            <w:tcW w:w="2835" w:type="dxa"/>
            <w:tcBorders>
              <w:top w:val="single" w:sz="4" w:space="0" w:color="auto"/>
              <w:bottom w:val="single" w:sz="12" w:space="0" w:color="auto"/>
            </w:tcBorders>
          </w:tcPr>
          <w:p w:rsidR="0001207F" w:rsidRPr="00CE70CB" w:rsidRDefault="00FF3C2F" w:rsidP="00FF3C2F">
            <w:pPr>
              <w:spacing w:before="240" w:line="240" w:lineRule="exact"/>
            </w:pPr>
            <w:proofErr w:type="spellStart"/>
            <w:r w:rsidRPr="00CE70CB">
              <w:t>Distr</w:t>
            </w:r>
            <w:proofErr w:type="spellEnd"/>
            <w:r w:rsidRPr="00CE70CB">
              <w:t>. générale</w:t>
            </w:r>
          </w:p>
          <w:p w:rsidR="00FF3C2F" w:rsidRPr="00CE70CB" w:rsidRDefault="009D743D" w:rsidP="00FF3C2F">
            <w:pPr>
              <w:spacing w:line="240" w:lineRule="exact"/>
            </w:pPr>
            <w:r>
              <w:t>18</w:t>
            </w:r>
            <w:r w:rsidR="0004733B" w:rsidRPr="00CE70CB">
              <w:t xml:space="preserve"> </w:t>
            </w:r>
            <w:r w:rsidR="00FF3C2F" w:rsidRPr="00CE70CB">
              <w:t>février 2020</w:t>
            </w:r>
          </w:p>
          <w:p w:rsidR="00FF3C2F" w:rsidRPr="00CE70CB" w:rsidRDefault="00FF3C2F" w:rsidP="00FF3C2F">
            <w:pPr>
              <w:spacing w:line="240" w:lineRule="exact"/>
            </w:pPr>
            <w:r w:rsidRPr="00CE70CB">
              <w:t>Français</w:t>
            </w:r>
          </w:p>
          <w:p w:rsidR="00FF3C2F" w:rsidRPr="00CE70CB" w:rsidRDefault="00FF3C2F" w:rsidP="00FF3C2F">
            <w:pPr>
              <w:spacing w:line="240" w:lineRule="exact"/>
            </w:pPr>
            <w:r w:rsidRPr="00CE70CB">
              <w:t>Original : anglais et français</w:t>
            </w:r>
          </w:p>
        </w:tc>
      </w:tr>
    </w:tbl>
    <w:p w:rsidR="00FF3C2F" w:rsidRPr="00CE70CB" w:rsidRDefault="00FF3C2F" w:rsidP="00FD1581">
      <w:pPr>
        <w:spacing w:before="120"/>
        <w:rPr>
          <w:b/>
          <w:sz w:val="28"/>
          <w:szCs w:val="28"/>
        </w:rPr>
      </w:pPr>
      <w:r w:rsidRPr="00CE70CB">
        <w:rPr>
          <w:b/>
          <w:sz w:val="28"/>
          <w:szCs w:val="28"/>
        </w:rPr>
        <w:t>Commission économique pour l’Europe</w:t>
      </w:r>
    </w:p>
    <w:p w:rsidR="00FF3C2F" w:rsidRPr="00CE70CB" w:rsidRDefault="00FF3C2F" w:rsidP="00FD1581">
      <w:pPr>
        <w:spacing w:before="120"/>
        <w:rPr>
          <w:sz w:val="28"/>
          <w:szCs w:val="28"/>
        </w:rPr>
      </w:pPr>
      <w:r w:rsidRPr="00CE70CB">
        <w:rPr>
          <w:sz w:val="28"/>
          <w:szCs w:val="28"/>
        </w:rPr>
        <w:t>Comité des transports intérieurs</w:t>
      </w:r>
    </w:p>
    <w:p w:rsidR="00FF3C2F" w:rsidRPr="00CE70CB" w:rsidRDefault="00FF3C2F" w:rsidP="00FD1581">
      <w:pPr>
        <w:spacing w:before="120"/>
        <w:rPr>
          <w:b/>
          <w:sz w:val="24"/>
          <w:szCs w:val="24"/>
        </w:rPr>
      </w:pPr>
      <w:r w:rsidRPr="00CE70CB">
        <w:rPr>
          <w:b/>
          <w:sz w:val="24"/>
          <w:szCs w:val="24"/>
        </w:rPr>
        <w:t xml:space="preserve">Groupe de travail des transports </w:t>
      </w:r>
      <w:r w:rsidRPr="00CE70CB">
        <w:rPr>
          <w:b/>
          <w:sz w:val="24"/>
          <w:szCs w:val="24"/>
        </w:rPr>
        <w:br/>
        <w:t>de marchandises dangereuses</w:t>
      </w:r>
    </w:p>
    <w:p w:rsidR="00267DA7" w:rsidRPr="00CE70CB" w:rsidRDefault="00267DA7" w:rsidP="00267DA7">
      <w:pPr>
        <w:pStyle w:val="HChG"/>
        <w:rPr>
          <w:lang w:val="fr-FR"/>
        </w:rPr>
      </w:pPr>
      <w:r w:rsidRPr="00CE70CB">
        <w:rPr>
          <w:lang w:val="fr-FR"/>
        </w:rPr>
        <w:tab/>
      </w:r>
      <w:r w:rsidRPr="00CE70CB">
        <w:rPr>
          <w:lang w:val="fr-FR"/>
        </w:rPr>
        <w:tab/>
        <w:t>Accord européen relatif au transport international des marchandises dangereuses par route (ADR)</w:t>
      </w:r>
      <w:r w:rsidRPr="00CE70CB">
        <w:rPr>
          <w:rStyle w:val="FootnoteReference"/>
          <w:sz w:val="20"/>
        </w:rPr>
        <w:footnoteReference w:customMarkFollows="1" w:id="2"/>
        <w:t>*</w:t>
      </w:r>
    </w:p>
    <w:p w:rsidR="00267DA7" w:rsidRPr="00CE70CB" w:rsidRDefault="00267DA7" w:rsidP="00267DA7">
      <w:pPr>
        <w:pStyle w:val="H1G"/>
        <w:outlineLvl w:val="0"/>
        <w:rPr>
          <w:lang w:val="fr-FR"/>
        </w:rPr>
      </w:pPr>
      <w:r w:rsidRPr="00CE70CB">
        <w:rPr>
          <w:lang w:val="fr-FR"/>
        </w:rPr>
        <w:tab/>
      </w:r>
      <w:r w:rsidRPr="00CE70CB">
        <w:rPr>
          <w:lang w:val="fr-FR"/>
        </w:rPr>
        <w:tab/>
        <w:t>Projet d'amendements aux annexes A et B de l'ADR</w:t>
      </w:r>
    </w:p>
    <w:p w:rsidR="00267DA7" w:rsidRPr="00CE70CB" w:rsidRDefault="00267DA7" w:rsidP="00267DA7">
      <w:pPr>
        <w:pStyle w:val="SingleTxtG"/>
        <w:rPr>
          <w:lang w:val="fr-FR"/>
        </w:rPr>
      </w:pPr>
      <w:r w:rsidRPr="00CE70CB">
        <w:rPr>
          <w:lang w:val="fr-FR"/>
        </w:rPr>
        <w:tab/>
      </w:r>
      <w:r w:rsidRPr="00CE70CB">
        <w:rPr>
          <w:lang w:val="fr-FR"/>
        </w:rPr>
        <w:tab/>
        <w:t xml:space="preserve">À sa 107e session, le Groupe de travail des transports de marchandises dangereuses a prié le secrétariat de préparer une liste récapitulative de tous les amendements qu'il a adoptés pour </w:t>
      </w:r>
      <w:proofErr w:type="spellStart"/>
      <w:r w:rsidRPr="00CE70CB">
        <w:rPr>
          <w:lang w:val="fr-FR"/>
        </w:rPr>
        <w:t>entrée</w:t>
      </w:r>
      <w:proofErr w:type="spellEnd"/>
      <w:r w:rsidRPr="00CE70CB">
        <w:rPr>
          <w:lang w:val="fr-FR"/>
        </w:rPr>
        <w:t xml:space="preserve"> en vigueur le 1er janvier 2021 afin qu'ils puissent faire l'objet d'une proposition officielle conformément à la procédure de l'article 14 de l'ADR que, selon l'usage, l</w:t>
      </w:r>
      <w:r w:rsidR="00A83F34" w:rsidRPr="00CE70CB">
        <w:rPr>
          <w:lang w:val="fr-FR"/>
        </w:rPr>
        <w:t>a</w:t>
      </w:r>
      <w:r w:rsidRPr="00CE70CB">
        <w:rPr>
          <w:lang w:val="fr-FR"/>
        </w:rPr>
        <w:t xml:space="preserve"> Président</w:t>
      </w:r>
      <w:r w:rsidR="00A83F34" w:rsidRPr="00CE70CB">
        <w:rPr>
          <w:lang w:val="fr-FR"/>
        </w:rPr>
        <w:t>e</w:t>
      </w:r>
      <w:r w:rsidRPr="00CE70CB">
        <w:rPr>
          <w:lang w:val="fr-FR"/>
        </w:rPr>
        <w:t xml:space="preserve"> se chargera de transmettre au dépositaire par l'entremise de son Gouvernement. La notification devra être diffusée au plus tard le 1er juillet 2020 en mentionnant la date prévue d'entrée en vigueur du 1er janvier 2021 (voir ECE/TRANS/WP.15/248, paragraphe</w:t>
      </w:r>
      <w:r w:rsidR="00A83F34" w:rsidRPr="00CE70CB">
        <w:rPr>
          <w:lang w:val="fr-FR"/>
        </w:rPr>
        <w:t> </w:t>
      </w:r>
      <w:r w:rsidRPr="00CE70CB">
        <w:rPr>
          <w:lang w:val="fr-FR"/>
        </w:rPr>
        <w:t xml:space="preserve">80). </w:t>
      </w:r>
    </w:p>
    <w:p w:rsidR="00267DA7" w:rsidRPr="00CE70CB" w:rsidRDefault="00267DA7" w:rsidP="00267DA7">
      <w:pPr>
        <w:pStyle w:val="SingleTxtG"/>
        <w:rPr>
          <w:bCs/>
          <w:lang w:val="fr-FR"/>
        </w:rPr>
      </w:pPr>
      <w:r w:rsidRPr="00CE70CB">
        <w:rPr>
          <w:bCs/>
          <w:lang w:val="fr-FR"/>
        </w:rPr>
        <w:tab/>
      </w:r>
      <w:r w:rsidRPr="00CE70CB">
        <w:rPr>
          <w:bCs/>
          <w:lang w:val="fr-FR"/>
        </w:rPr>
        <w:tab/>
        <w:t xml:space="preserve">Le présent document contient la liste requise des amendements adoptés par le Groupe de travail à ses 105e, 106e et 107e sessions (voir </w:t>
      </w:r>
      <w:r w:rsidRPr="00CE70CB">
        <w:rPr>
          <w:lang w:val="fr-FR"/>
        </w:rPr>
        <w:t>ECE/TRANS/WP.15/244, annexe I, ECE/TRANS/WP.15/246, annexe et ECE/TRANS/WP.15/248, annexe I</w:t>
      </w:r>
      <w:r w:rsidRPr="00CE70CB">
        <w:rPr>
          <w:bCs/>
          <w:lang w:val="fr-FR"/>
        </w:rPr>
        <w:t>).</w:t>
      </w:r>
    </w:p>
    <w:p w:rsidR="00267DA7" w:rsidRPr="00CE70CB" w:rsidRDefault="00267DA7">
      <w:pPr>
        <w:suppressAutoHyphens w:val="0"/>
        <w:kinsoku/>
        <w:overflowPunct/>
        <w:autoSpaceDE/>
        <w:autoSpaceDN/>
        <w:adjustRightInd/>
        <w:snapToGrid/>
        <w:spacing w:after="200" w:line="276" w:lineRule="auto"/>
        <w:rPr>
          <w:bCs/>
          <w:lang w:val="fr-FR"/>
        </w:rPr>
      </w:pPr>
      <w:r w:rsidRPr="00CE70CB">
        <w:rPr>
          <w:bCs/>
          <w:lang w:val="fr-FR"/>
        </w:rPr>
        <w:br w:type="page"/>
      </w:r>
    </w:p>
    <w:p w:rsidR="00267DA7" w:rsidRPr="00CE70CB" w:rsidRDefault="00267DA7" w:rsidP="00267DA7">
      <w:pPr>
        <w:pStyle w:val="H1G"/>
        <w:rPr>
          <w:lang w:val="fr-FR"/>
        </w:rPr>
      </w:pPr>
      <w:r w:rsidRPr="00CE70CB">
        <w:rPr>
          <w:lang w:val="fr-FR"/>
        </w:rPr>
        <w:lastRenderedPageBreak/>
        <w:tab/>
      </w:r>
      <w:r w:rsidRPr="00CE70CB">
        <w:rPr>
          <w:lang w:val="fr-FR"/>
        </w:rPr>
        <w:tab/>
        <w:t>Chapitre 1.1</w:t>
      </w:r>
    </w:p>
    <w:p w:rsidR="00267DA7" w:rsidRPr="00CE70CB" w:rsidRDefault="00267DA7" w:rsidP="00267DA7">
      <w:pPr>
        <w:pStyle w:val="SingleTxtG"/>
        <w:ind w:left="2268" w:hanging="1134"/>
        <w:rPr>
          <w:lang w:val="fr-FR"/>
        </w:rPr>
      </w:pPr>
      <w:r w:rsidRPr="00CE70CB">
        <w:rPr>
          <w:lang w:val="fr-FR"/>
        </w:rPr>
        <w:t>1.1.3.2</w:t>
      </w:r>
      <w:r w:rsidRPr="00CE70CB">
        <w:rPr>
          <w:lang w:val="fr-FR"/>
        </w:rPr>
        <w:tab/>
      </w:r>
      <w:r w:rsidRPr="00CE70CB">
        <w:rPr>
          <w:lang w:val="fr-FR"/>
        </w:rPr>
        <w:tab/>
        <w:t>À l’alinéa a), dans le tableau du Nota 1, ajouter un appel à la note de bas de tableau « </w:t>
      </w:r>
      <w:r w:rsidRPr="00CE70CB">
        <w:rPr>
          <w:vertAlign w:val="superscript"/>
          <w:lang w:val="fr-FR"/>
        </w:rPr>
        <w:t>a</w:t>
      </w:r>
      <w:r w:rsidRPr="00CE70CB">
        <w:rPr>
          <w:lang w:val="fr-FR"/>
        </w:rPr>
        <w:t> » après « Nm</w:t>
      </w:r>
      <w:r w:rsidRPr="00CE70CB">
        <w:rPr>
          <w:vertAlign w:val="superscript"/>
          <w:lang w:val="fr-FR"/>
        </w:rPr>
        <w:t>3</w:t>
      </w:r>
      <w:r w:rsidRPr="00CE70CB">
        <w:rPr>
          <w:lang w:val="fr-FR"/>
        </w:rPr>
        <w:t> » (deux fois). Ajouter la note de bas de tableau suivante :</w:t>
      </w:r>
    </w:p>
    <w:p w:rsidR="00267DA7" w:rsidRPr="00CE70CB" w:rsidRDefault="00267DA7" w:rsidP="007A78AB">
      <w:pPr>
        <w:pStyle w:val="SingleTxtG"/>
        <w:ind w:left="2268"/>
        <w:rPr>
          <w:lang w:val="fr-FR"/>
        </w:rPr>
      </w:pPr>
      <w:r w:rsidRPr="00CE70CB">
        <w:rPr>
          <w:lang w:val="fr-FR"/>
        </w:rPr>
        <w:t>« </w:t>
      </w:r>
      <w:r w:rsidRPr="00CE70CB">
        <w:rPr>
          <w:vertAlign w:val="superscript"/>
          <w:lang w:val="fr-FR"/>
        </w:rPr>
        <w:t>a</w:t>
      </w:r>
      <w:r w:rsidRPr="00CE70CB">
        <w:rPr>
          <w:lang w:val="fr-FR"/>
        </w:rPr>
        <w:t xml:space="preserve"> </w:t>
      </w:r>
      <w:r w:rsidRPr="00CE70CB">
        <w:rPr>
          <w:lang w:val="fr-FR"/>
        </w:rPr>
        <w:tab/>
      </w:r>
      <w:r w:rsidRPr="00CE70CB">
        <w:rPr>
          <w:i/>
          <w:iCs/>
          <w:lang w:val="fr-FR"/>
        </w:rPr>
        <w:t>1 Nm</w:t>
      </w:r>
      <w:r w:rsidRPr="00CE70CB">
        <w:rPr>
          <w:i/>
          <w:iCs/>
          <w:vertAlign w:val="superscript"/>
          <w:lang w:val="fr-FR"/>
        </w:rPr>
        <w:t>3</w:t>
      </w:r>
      <w:r w:rsidRPr="00CE70CB">
        <w:rPr>
          <w:i/>
          <w:iCs/>
          <w:lang w:val="fr-FR"/>
        </w:rPr>
        <w:t xml:space="preserve"> désigne un normo mètre cube, soit la quantité de gaz occupant 1</w:t>
      </w:r>
      <w:r w:rsidR="007A78AB" w:rsidRPr="00CE70CB">
        <w:rPr>
          <w:i/>
          <w:iCs/>
          <w:lang w:val="fr-FR"/>
        </w:rPr>
        <w:t> </w:t>
      </w:r>
      <w:r w:rsidRPr="00CE70CB">
        <w:rPr>
          <w:i/>
          <w:iCs/>
          <w:lang w:val="fr-FR"/>
        </w:rPr>
        <w:t>m</w:t>
      </w:r>
      <w:r w:rsidRPr="00CE70CB">
        <w:rPr>
          <w:i/>
          <w:iCs/>
          <w:vertAlign w:val="superscript"/>
          <w:lang w:val="fr-FR"/>
        </w:rPr>
        <w:t>3</w:t>
      </w:r>
      <w:r w:rsidRPr="00CE70CB">
        <w:rPr>
          <w:i/>
          <w:iCs/>
          <w:lang w:val="fr-FR"/>
        </w:rPr>
        <w:t xml:space="preserve"> dans les conditions de température et de pression suivantes : 0</w:t>
      </w:r>
      <w:r w:rsidR="007A78AB" w:rsidRPr="00CE70CB">
        <w:rPr>
          <w:i/>
          <w:iCs/>
          <w:lang w:val="fr-FR"/>
        </w:rPr>
        <w:t> </w:t>
      </w:r>
      <w:r w:rsidRPr="00CE70CB">
        <w:rPr>
          <w:i/>
          <w:iCs/>
          <w:lang w:val="fr-FR"/>
        </w:rPr>
        <w:t>°C et 1,01325 bar (0,101325 MPa).</w:t>
      </w:r>
      <w:r w:rsidRPr="00CE70CB">
        <w:rPr>
          <w:lang w:val="fr-FR"/>
        </w:rPr>
        <w:t xml:space="preserve"> »</w:t>
      </w:r>
    </w:p>
    <w:p w:rsidR="00267DA7" w:rsidRPr="00CE70CB" w:rsidRDefault="00267DA7" w:rsidP="00267DA7">
      <w:pPr>
        <w:pStyle w:val="SingleTxtG"/>
        <w:rPr>
          <w:lang w:val="fr-FR"/>
        </w:rPr>
      </w:pPr>
      <w:r w:rsidRPr="00CE70CB">
        <w:rPr>
          <w:lang w:val="fr-FR"/>
        </w:rPr>
        <w:t>1.1.3.6.2</w:t>
      </w:r>
      <w:r w:rsidRPr="00CE70CB">
        <w:rPr>
          <w:lang w:val="fr-FR"/>
        </w:rPr>
        <w:tab/>
        <w:t>Au premier tiret, remplacer « et 0500 » par « , 0500, 0512 et 0513 ».</w:t>
      </w:r>
    </w:p>
    <w:p w:rsidR="00267DA7" w:rsidRPr="00CE70CB" w:rsidRDefault="00267DA7" w:rsidP="00267DA7">
      <w:pPr>
        <w:pStyle w:val="SingleTxtG"/>
        <w:tabs>
          <w:tab w:val="left" w:pos="2268"/>
        </w:tabs>
        <w:ind w:left="2259" w:hanging="1125"/>
        <w:rPr>
          <w:lang w:val="fr-FR"/>
        </w:rPr>
      </w:pPr>
      <w:r w:rsidRPr="00CE70CB">
        <w:rPr>
          <w:lang w:val="fr-FR"/>
        </w:rPr>
        <w:t>1.1.3.6.3</w:t>
      </w:r>
      <w:r w:rsidRPr="00CE70CB">
        <w:rPr>
          <w:lang w:val="fr-FR"/>
        </w:rPr>
        <w:tab/>
        <w:t>Dans le tableau, pour la catégorie de transport 0, classe 6.2, remplacer « Nos ONU 2814 et 2900 » par « No ONU 2814, 2900 et 3549 ».</w:t>
      </w:r>
    </w:p>
    <w:p w:rsidR="00267DA7" w:rsidRPr="00CE70CB" w:rsidRDefault="00267DA7" w:rsidP="00267DA7">
      <w:pPr>
        <w:pStyle w:val="SingleTxtG"/>
        <w:rPr>
          <w:lang w:val="fr-FR"/>
        </w:rPr>
      </w:pPr>
      <w:r w:rsidRPr="00CE70CB">
        <w:rPr>
          <w:lang w:val="fr-FR"/>
        </w:rPr>
        <w:t>1.1.3.6.5</w:t>
      </w:r>
      <w:r w:rsidRPr="00CE70CB">
        <w:rPr>
          <w:lang w:val="fr-FR"/>
        </w:rPr>
        <w:tab/>
        <w:t>Remplacer « 1.1.3.1 a), b) et d) » par « 1.1.3.1 a) et d) ».</w:t>
      </w:r>
    </w:p>
    <w:p w:rsidR="00267DA7" w:rsidRPr="00CE70CB" w:rsidRDefault="00267DA7" w:rsidP="00267DA7">
      <w:pPr>
        <w:pStyle w:val="SingleTxtG"/>
        <w:tabs>
          <w:tab w:val="left" w:pos="2268"/>
        </w:tabs>
        <w:ind w:left="2259" w:hanging="1125"/>
        <w:rPr>
          <w:lang w:val="fr-FR"/>
        </w:rPr>
      </w:pPr>
      <w:r w:rsidRPr="00CE70CB">
        <w:rPr>
          <w:lang w:val="fr-FR"/>
        </w:rPr>
        <w:t>1.1.3.7 b)</w:t>
      </w:r>
      <w:r w:rsidRPr="00CE70CB">
        <w:rPr>
          <w:lang w:val="fr-FR"/>
        </w:rPr>
        <w:tab/>
        <w:t>À la fin, ajouter « </w:t>
      </w:r>
      <w:r w:rsidR="001B70A5" w:rsidRPr="00CE70CB">
        <w:rPr>
          <w:lang w:val="fr-FR"/>
        </w:rPr>
        <w:t xml:space="preserve">, </w:t>
      </w:r>
      <w:r w:rsidRPr="00CE70CB">
        <w:rPr>
          <w:lang w:val="fr-FR"/>
        </w:rPr>
        <w:t>à l’exception des équipements tels que les enregistreurs de données et les dispositifs de suivi des cargaisons, qui sont attachés ou placés dans des colis, des suremballages ou des conteneurs ou compartiments de charge pour lesquels seules les prescriptions du 5.5.4 s’appliquent ».</w:t>
      </w:r>
    </w:p>
    <w:p w:rsidR="00267DA7" w:rsidRPr="00CE70CB" w:rsidRDefault="00267DA7" w:rsidP="00267DA7">
      <w:pPr>
        <w:pStyle w:val="H1G"/>
        <w:rPr>
          <w:lang w:val="fr-FR"/>
        </w:rPr>
      </w:pPr>
      <w:r w:rsidRPr="00CE70CB">
        <w:rPr>
          <w:lang w:val="fr-FR"/>
        </w:rPr>
        <w:tab/>
      </w:r>
      <w:r w:rsidRPr="00CE70CB">
        <w:rPr>
          <w:lang w:val="fr-FR"/>
        </w:rPr>
        <w:tab/>
        <w:t>Chapitre 1.2</w:t>
      </w:r>
    </w:p>
    <w:p w:rsidR="00267DA7" w:rsidRPr="00CE70CB" w:rsidRDefault="00267DA7" w:rsidP="00267DA7">
      <w:pPr>
        <w:pStyle w:val="SingleTxtG"/>
        <w:tabs>
          <w:tab w:val="left" w:pos="2268"/>
        </w:tabs>
        <w:ind w:left="2259" w:hanging="1125"/>
        <w:rPr>
          <w:szCs w:val="24"/>
          <w:lang w:val="fr-FR"/>
        </w:rPr>
      </w:pPr>
      <w:r w:rsidRPr="00CE70CB">
        <w:rPr>
          <w:szCs w:val="24"/>
          <w:lang w:val="fr-FR"/>
        </w:rPr>
        <w:t>1.2.1</w:t>
      </w:r>
      <w:r w:rsidRPr="00CE70CB">
        <w:rPr>
          <w:szCs w:val="24"/>
          <w:lang w:val="fr-FR"/>
        </w:rPr>
        <w:tab/>
        <w:t>Insérer les nouvelles définitions suivantes, selon l’ordre alphabétique :</w:t>
      </w:r>
    </w:p>
    <w:p w:rsidR="00267DA7" w:rsidRPr="00CE70CB" w:rsidRDefault="00267DA7" w:rsidP="00267DA7">
      <w:pPr>
        <w:pStyle w:val="SingleTxtG"/>
        <w:tabs>
          <w:tab w:val="left" w:pos="2268"/>
        </w:tabs>
        <w:ind w:left="2259" w:hanging="1125"/>
        <w:rPr>
          <w:szCs w:val="24"/>
          <w:lang w:val="fr-FR"/>
        </w:rPr>
      </w:pPr>
      <w:r w:rsidRPr="00CE70CB">
        <w:rPr>
          <w:i/>
          <w:iCs/>
          <w:szCs w:val="24"/>
          <w:lang w:val="fr-FR"/>
        </w:rPr>
        <w:tab/>
        <w:t>« </w:t>
      </w:r>
      <w:bookmarkStart w:id="0" w:name="_Hlk2237740"/>
      <w:r w:rsidR="00AF1EC7" w:rsidRPr="00CE70CB">
        <w:rPr>
          <w:i/>
          <w:iCs/>
          <w:lang w:val="fr-FR"/>
        </w:rPr>
        <w:t>"</w:t>
      </w:r>
      <w:r w:rsidRPr="00CE70CB">
        <w:rPr>
          <w:i/>
          <w:iCs/>
          <w:szCs w:val="24"/>
          <w:lang w:val="fr-FR"/>
        </w:rPr>
        <w:t>Débit de dose</w:t>
      </w:r>
      <w:r w:rsidR="00AF1EC7" w:rsidRPr="00CE70CB">
        <w:rPr>
          <w:i/>
          <w:iCs/>
          <w:lang w:val="fr-FR"/>
        </w:rPr>
        <w:t>"</w:t>
      </w:r>
      <w:r w:rsidRPr="00CE70CB">
        <w:rPr>
          <w:szCs w:val="24"/>
          <w:lang w:val="fr-FR"/>
        </w:rPr>
        <w:t>, l’équivalent de dose ambiant ou l’équivalent de dose directionnel, suivant le cas, par unité de temps, mesuré au point d’intérêt ;</w:t>
      </w:r>
      <w:r w:rsidR="007A78AB" w:rsidRPr="00CE70CB">
        <w:rPr>
          <w:szCs w:val="24"/>
          <w:lang w:val="fr-FR"/>
        </w:rPr>
        <w:t> »</w:t>
      </w:r>
    </w:p>
    <w:bookmarkEnd w:id="0"/>
    <w:p w:rsidR="00267DA7" w:rsidRPr="00CE70CB" w:rsidRDefault="00267DA7" w:rsidP="00267DA7">
      <w:pPr>
        <w:pStyle w:val="SingleTxtG"/>
        <w:ind w:left="2259"/>
        <w:rPr>
          <w:lang w:val="fr-FR"/>
        </w:rPr>
      </w:pPr>
      <w:r w:rsidRPr="00CE70CB">
        <w:rPr>
          <w:lang w:val="fr-FR"/>
        </w:rPr>
        <w:t>« </w:t>
      </w:r>
      <w:r w:rsidR="00AF1EC7" w:rsidRPr="00CE70CB">
        <w:rPr>
          <w:i/>
          <w:iCs/>
          <w:lang w:val="fr-FR"/>
        </w:rPr>
        <w:t>"</w:t>
      </w:r>
      <w:r w:rsidRPr="00CE70CB">
        <w:rPr>
          <w:i/>
          <w:iCs/>
          <w:lang w:val="fr-FR"/>
        </w:rPr>
        <w:t>Règlement de transport des matières radioactives de l’AIEA</w:t>
      </w:r>
      <w:r w:rsidR="00AF1EC7" w:rsidRPr="00CE70CB">
        <w:rPr>
          <w:i/>
          <w:iCs/>
          <w:lang w:val="fr-FR"/>
        </w:rPr>
        <w:t>"</w:t>
      </w:r>
      <w:r w:rsidRPr="00CE70CB">
        <w:rPr>
          <w:i/>
          <w:iCs/>
          <w:lang w:val="fr-FR"/>
        </w:rPr>
        <w:t xml:space="preserve">, </w:t>
      </w:r>
      <w:r w:rsidRPr="00CE70CB">
        <w:rPr>
          <w:lang w:val="fr-FR"/>
        </w:rPr>
        <w:t xml:space="preserve">l’une des éditions de ce Règlement, comme suit : </w:t>
      </w:r>
    </w:p>
    <w:p w:rsidR="00267DA7" w:rsidRPr="00CE70CB" w:rsidRDefault="00267DA7" w:rsidP="00267DA7">
      <w:pPr>
        <w:pStyle w:val="SingleTxtG"/>
        <w:ind w:left="3393" w:hanging="567"/>
        <w:rPr>
          <w:lang w:val="fr-FR"/>
        </w:rPr>
      </w:pPr>
      <w:r w:rsidRPr="00CE70CB">
        <w:rPr>
          <w:lang w:val="fr-FR"/>
        </w:rPr>
        <w:t>a)</w:t>
      </w:r>
      <w:r w:rsidRPr="00CE70CB">
        <w:rPr>
          <w:lang w:val="fr-FR"/>
        </w:rPr>
        <w:tab/>
        <w:t>Pour les éditions de 1985 et de 1985 (</w:t>
      </w:r>
      <w:r w:rsidRPr="00CE70CB">
        <w:rPr>
          <w:szCs w:val="24"/>
          <w:lang w:val="fr-FR"/>
        </w:rPr>
        <w:t>telle que modifiée en 1990</w:t>
      </w:r>
      <w:r w:rsidRPr="00CE70CB">
        <w:rPr>
          <w:lang w:val="fr-FR"/>
        </w:rPr>
        <w:t xml:space="preserve">) : </w:t>
      </w:r>
      <w:r w:rsidRPr="00CE70CB">
        <w:rPr>
          <w:szCs w:val="24"/>
          <w:lang w:val="fr-FR"/>
        </w:rPr>
        <w:t>No 6 de la Collection Sécurité de l'AIEA ;</w:t>
      </w:r>
    </w:p>
    <w:p w:rsidR="00267DA7" w:rsidRPr="00CE70CB" w:rsidRDefault="00267DA7" w:rsidP="00267DA7">
      <w:pPr>
        <w:pStyle w:val="SingleTxtG"/>
        <w:ind w:left="3393" w:hanging="567"/>
        <w:rPr>
          <w:lang w:val="fr-FR"/>
        </w:rPr>
      </w:pPr>
      <w:r w:rsidRPr="00CE70CB">
        <w:rPr>
          <w:lang w:val="fr-FR"/>
        </w:rPr>
        <w:t>b)</w:t>
      </w:r>
      <w:r w:rsidRPr="00CE70CB">
        <w:rPr>
          <w:lang w:val="fr-FR"/>
        </w:rPr>
        <w:tab/>
        <w:t>Pour l’édition de 1996 :  No. ST-1 de la Collection des Normes de Sûreté de l’AIEA ;</w:t>
      </w:r>
    </w:p>
    <w:p w:rsidR="00267DA7" w:rsidRPr="00CE70CB" w:rsidRDefault="00267DA7" w:rsidP="00267DA7">
      <w:pPr>
        <w:pStyle w:val="SingleTxtG"/>
        <w:ind w:left="3393" w:hanging="567"/>
        <w:rPr>
          <w:lang w:val="fr-FR"/>
        </w:rPr>
      </w:pPr>
      <w:r w:rsidRPr="00CE70CB">
        <w:rPr>
          <w:lang w:val="fr-FR"/>
        </w:rPr>
        <w:t>c)</w:t>
      </w:r>
      <w:r w:rsidRPr="00CE70CB">
        <w:rPr>
          <w:lang w:val="fr-FR"/>
        </w:rPr>
        <w:tab/>
        <w:t>Pour l’édition de 1996 (révisée) : No. TS-R-1 (ST-1, révisée) de la Collection des Normes de Sûreté de l’AIEA ;</w:t>
      </w:r>
    </w:p>
    <w:p w:rsidR="00267DA7" w:rsidRPr="00CE70CB" w:rsidRDefault="00267DA7" w:rsidP="00267DA7">
      <w:pPr>
        <w:pStyle w:val="SingleTxtG"/>
        <w:ind w:left="3393" w:hanging="567"/>
        <w:rPr>
          <w:lang w:val="fr-FR"/>
        </w:rPr>
      </w:pPr>
      <w:r w:rsidRPr="00CE70CB">
        <w:rPr>
          <w:lang w:val="fr-FR"/>
        </w:rPr>
        <w:t>d)</w:t>
      </w:r>
      <w:r w:rsidRPr="00CE70CB">
        <w:rPr>
          <w:lang w:val="fr-FR"/>
        </w:rPr>
        <w:tab/>
        <w:t xml:space="preserve">Pour les éditions de </w:t>
      </w:r>
      <w:r w:rsidRPr="00CE70CB">
        <w:rPr>
          <w:szCs w:val="24"/>
          <w:lang w:val="fr-FR"/>
        </w:rPr>
        <w:t>1996 (telle que modifiée en 2003),</w:t>
      </w:r>
      <w:r w:rsidRPr="00CE70CB">
        <w:rPr>
          <w:lang w:val="fr-FR"/>
        </w:rPr>
        <w:t xml:space="preserve"> 2005 et 2009 : No. TS-R-1 (ST-1, révisée) de la Collection des Normes de Sûreté de l’AIEA ; </w:t>
      </w:r>
    </w:p>
    <w:p w:rsidR="00267DA7" w:rsidRPr="00CE70CB" w:rsidRDefault="00267DA7" w:rsidP="00267DA7">
      <w:pPr>
        <w:pStyle w:val="SingleTxtG"/>
        <w:ind w:left="3393" w:hanging="567"/>
        <w:rPr>
          <w:lang w:val="fr-FR"/>
        </w:rPr>
      </w:pPr>
      <w:r w:rsidRPr="00CE70CB">
        <w:rPr>
          <w:lang w:val="fr-FR"/>
        </w:rPr>
        <w:t>e)</w:t>
      </w:r>
      <w:r w:rsidRPr="00CE70CB">
        <w:rPr>
          <w:lang w:val="fr-FR"/>
        </w:rPr>
        <w:tab/>
        <w:t>Pour l’édition de 2012 : No. SSR-6 de la Collection des Normes de Sûreté de l’AIEA ;</w:t>
      </w:r>
    </w:p>
    <w:p w:rsidR="00267DA7" w:rsidRPr="00CE70CB" w:rsidRDefault="00267DA7" w:rsidP="00267DA7">
      <w:pPr>
        <w:pStyle w:val="SingleTxtG"/>
        <w:ind w:left="3393" w:hanging="567"/>
        <w:rPr>
          <w:lang w:val="fr-FR"/>
        </w:rPr>
      </w:pPr>
      <w:r w:rsidRPr="00CE70CB">
        <w:rPr>
          <w:lang w:val="fr-FR"/>
        </w:rPr>
        <w:t>f)</w:t>
      </w:r>
      <w:r w:rsidRPr="00CE70CB">
        <w:rPr>
          <w:lang w:val="fr-FR"/>
        </w:rPr>
        <w:tab/>
        <w:t>Pour l’édition de 2018 : No. SSR–6 (Rev.1) de la Collection des Normes de Sûreté de l’AIEA</w:t>
      </w:r>
      <w:r w:rsidR="00440AE1" w:rsidRPr="00CE70CB">
        <w:rPr>
          <w:lang w:val="fr-FR"/>
        </w:rPr>
        <w:t> ;</w:t>
      </w:r>
      <w:r w:rsidRPr="00CE70CB">
        <w:rPr>
          <w:lang w:val="fr-FR"/>
        </w:rPr>
        <w:t> »</w:t>
      </w:r>
    </w:p>
    <w:p w:rsidR="00267DA7" w:rsidRPr="00CE70CB" w:rsidRDefault="00267DA7" w:rsidP="00267DA7">
      <w:pPr>
        <w:pStyle w:val="SingleTxtG"/>
        <w:tabs>
          <w:tab w:val="left" w:pos="2268"/>
        </w:tabs>
        <w:ind w:left="2259" w:hanging="1125"/>
        <w:rPr>
          <w:szCs w:val="24"/>
          <w:lang w:val="fr-FR"/>
        </w:rPr>
      </w:pPr>
      <w:r w:rsidRPr="00CE70CB">
        <w:rPr>
          <w:szCs w:val="24"/>
          <w:lang w:val="fr-FR"/>
        </w:rPr>
        <w:t>1.2.1</w:t>
      </w:r>
      <w:r w:rsidRPr="00CE70CB">
        <w:rPr>
          <w:szCs w:val="24"/>
          <w:lang w:val="fr-FR"/>
        </w:rPr>
        <w:tab/>
        <w:t>Modifier la définition de « </w:t>
      </w:r>
      <w:r w:rsidRPr="00CE70CB">
        <w:rPr>
          <w:i/>
          <w:iCs/>
          <w:szCs w:val="24"/>
          <w:lang w:val="fr-FR"/>
        </w:rPr>
        <w:t>Température de décomposition auto-accélérée</w:t>
      </w:r>
      <w:r w:rsidRPr="00CE70CB">
        <w:rPr>
          <w:szCs w:val="24"/>
          <w:lang w:val="fr-FR"/>
        </w:rPr>
        <w:t> » pour lire comme suit :</w:t>
      </w:r>
    </w:p>
    <w:p w:rsidR="00267DA7" w:rsidRPr="00CE70CB" w:rsidRDefault="00267DA7" w:rsidP="00267DA7">
      <w:pPr>
        <w:pStyle w:val="SingleTxtG"/>
        <w:tabs>
          <w:tab w:val="left" w:pos="2268"/>
        </w:tabs>
        <w:ind w:left="2259" w:hanging="1125"/>
        <w:rPr>
          <w:lang w:val="fr-FR"/>
        </w:rPr>
      </w:pPr>
      <w:r w:rsidRPr="00CE70CB">
        <w:rPr>
          <w:lang w:val="fr-FR"/>
        </w:rPr>
        <w:tab/>
        <w:t>« </w:t>
      </w:r>
      <w:bookmarkStart w:id="1" w:name="_Hlk10038968"/>
      <w:r w:rsidR="00AF1EC7" w:rsidRPr="00CE70CB">
        <w:rPr>
          <w:i/>
          <w:iCs/>
          <w:lang w:val="fr-FR"/>
        </w:rPr>
        <w:t>"</w:t>
      </w:r>
      <w:r w:rsidRPr="00CE70CB">
        <w:rPr>
          <w:i/>
          <w:iCs/>
          <w:lang w:val="fr-FR"/>
        </w:rPr>
        <w:t>Température de décomposition auto-accélérée (TDAA)</w:t>
      </w:r>
      <w:bookmarkEnd w:id="1"/>
      <w:r w:rsidR="00AF1EC7" w:rsidRPr="00CE70CB">
        <w:rPr>
          <w:i/>
          <w:iCs/>
          <w:lang w:val="fr-FR"/>
        </w:rPr>
        <w:t>"</w:t>
      </w:r>
      <w:r w:rsidRPr="00CE70CB">
        <w:rPr>
          <w:i/>
          <w:iCs/>
          <w:lang w:val="fr-FR"/>
        </w:rPr>
        <w:t xml:space="preserve">, </w:t>
      </w:r>
      <w:r w:rsidRPr="00CE70CB">
        <w:rPr>
          <w:iCs/>
          <w:lang w:val="fr-FR"/>
        </w:rPr>
        <w:t>la température la plus basse à laquelle une décomposition auto-accélérée peut se produire dans une matière dans l’emballage</w:t>
      </w:r>
      <w:r w:rsidRPr="00CE70CB">
        <w:rPr>
          <w:lang w:val="fr-FR"/>
        </w:rPr>
        <w:t xml:space="preserve">, le GRV ou la citerne </w:t>
      </w:r>
      <w:r w:rsidRPr="00CE70CB">
        <w:rPr>
          <w:iCs/>
          <w:lang w:val="fr-FR"/>
        </w:rPr>
        <w:t>servant au transport</w:t>
      </w:r>
      <w:r w:rsidRPr="00CE70CB">
        <w:rPr>
          <w:lang w:val="fr-FR"/>
        </w:rPr>
        <w:t xml:space="preserve">. Elle </w:t>
      </w:r>
      <w:r w:rsidRPr="00CE70CB">
        <w:rPr>
          <w:iCs/>
          <w:lang w:val="fr-FR"/>
        </w:rPr>
        <w:t xml:space="preserve">s’obtient en appliquant les procédures d’épreuve </w:t>
      </w:r>
      <w:r w:rsidRPr="00CE70CB">
        <w:rPr>
          <w:lang w:val="fr-FR"/>
        </w:rPr>
        <w:t xml:space="preserve">indiquées </w:t>
      </w:r>
      <w:r w:rsidRPr="00CE70CB">
        <w:rPr>
          <w:iCs/>
          <w:lang w:val="fr-FR"/>
        </w:rPr>
        <w:t>à la section 28 de la deuxième partie du Manuel d’épreuves et de critères </w:t>
      </w:r>
      <w:r w:rsidRPr="00CE70CB">
        <w:rPr>
          <w:lang w:val="fr-FR"/>
        </w:rPr>
        <w:t>; »</w:t>
      </w:r>
    </w:p>
    <w:p w:rsidR="00267DA7" w:rsidRPr="00CE70CB" w:rsidRDefault="00267DA7" w:rsidP="00267DA7">
      <w:pPr>
        <w:pStyle w:val="SingleTxtG"/>
        <w:tabs>
          <w:tab w:val="left" w:pos="2268"/>
        </w:tabs>
        <w:ind w:left="2259" w:hanging="1125"/>
        <w:rPr>
          <w:szCs w:val="24"/>
          <w:lang w:val="fr-FR"/>
        </w:rPr>
      </w:pPr>
      <w:r w:rsidRPr="00CE70CB">
        <w:rPr>
          <w:szCs w:val="24"/>
          <w:lang w:val="fr-FR"/>
        </w:rPr>
        <w:t>1.2.1</w:t>
      </w:r>
      <w:r w:rsidRPr="00CE70CB">
        <w:rPr>
          <w:szCs w:val="24"/>
          <w:lang w:val="fr-FR"/>
        </w:rPr>
        <w:tab/>
        <w:t>Supprimer la définition de « </w:t>
      </w:r>
      <w:r w:rsidRPr="00CE70CB">
        <w:rPr>
          <w:i/>
          <w:iCs/>
          <w:szCs w:val="24"/>
          <w:lang w:val="fr-FR"/>
        </w:rPr>
        <w:t>Intensité de rayonnement</w:t>
      </w:r>
      <w:r w:rsidRPr="00CE70CB">
        <w:rPr>
          <w:szCs w:val="24"/>
          <w:lang w:val="fr-FR"/>
        </w:rPr>
        <w:t> ».</w:t>
      </w:r>
    </w:p>
    <w:p w:rsidR="00267DA7" w:rsidRPr="00CE70CB" w:rsidRDefault="00267DA7" w:rsidP="00267DA7">
      <w:pPr>
        <w:pStyle w:val="SingleTxtG"/>
        <w:tabs>
          <w:tab w:val="left" w:pos="2268"/>
        </w:tabs>
        <w:ind w:left="2259" w:hanging="1125"/>
        <w:rPr>
          <w:lang w:val="fr-FR"/>
        </w:rPr>
      </w:pPr>
      <w:r w:rsidRPr="00CE70CB">
        <w:rPr>
          <w:lang w:val="fr-FR"/>
        </w:rPr>
        <w:t>1.2.1</w:t>
      </w:r>
      <w:r w:rsidRPr="00CE70CB">
        <w:rPr>
          <w:lang w:val="fr-FR"/>
        </w:rPr>
        <w:tab/>
        <w:t>Dans la définition de « </w:t>
      </w:r>
      <w:r w:rsidRPr="00CE70CB">
        <w:rPr>
          <w:i/>
          <w:iCs/>
          <w:lang w:val="fr-FR"/>
        </w:rPr>
        <w:t>Température de polymérisation auto-accélérée (TPAA)</w:t>
      </w:r>
      <w:r w:rsidRPr="00CE70CB">
        <w:rPr>
          <w:lang w:val="fr-FR"/>
        </w:rPr>
        <w:t> », dans la première phrase, remplacer « une matière peut commencer à polymériser » par « </w:t>
      </w:r>
      <w:bookmarkStart w:id="2" w:name="_Hlk2238008"/>
      <w:r w:rsidRPr="00CE70CB">
        <w:rPr>
          <w:lang w:val="fr-FR"/>
        </w:rPr>
        <w:t>une polymérisation auto-accélérée peut se produire pour une matière </w:t>
      </w:r>
      <w:bookmarkEnd w:id="2"/>
      <w:r w:rsidRPr="00CE70CB">
        <w:rPr>
          <w:lang w:val="fr-FR"/>
        </w:rPr>
        <w:t>».</w:t>
      </w:r>
    </w:p>
    <w:p w:rsidR="005B1FBF" w:rsidRPr="00CE70CB" w:rsidRDefault="005B1FBF" w:rsidP="005B1FBF">
      <w:pPr>
        <w:pStyle w:val="SingleTxtG"/>
        <w:tabs>
          <w:tab w:val="left" w:pos="2268"/>
        </w:tabs>
        <w:ind w:left="2259" w:hanging="1125"/>
        <w:rPr>
          <w:szCs w:val="24"/>
          <w:lang w:val="fr-FR"/>
        </w:rPr>
      </w:pPr>
      <w:r w:rsidRPr="00CE70CB">
        <w:rPr>
          <w:szCs w:val="24"/>
          <w:lang w:val="fr-FR"/>
        </w:rPr>
        <w:lastRenderedPageBreak/>
        <w:t>1.2.1</w:t>
      </w:r>
      <w:r w:rsidRPr="00CE70CB">
        <w:rPr>
          <w:szCs w:val="24"/>
          <w:lang w:val="fr-FR"/>
        </w:rPr>
        <w:tab/>
        <w:t>Modifier la définition de « </w:t>
      </w:r>
      <w:r w:rsidRPr="00CE70CB">
        <w:rPr>
          <w:i/>
          <w:iCs/>
          <w:szCs w:val="24"/>
          <w:lang w:val="fr-FR"/>
        </w:rPr>
        <w:t>Indice de transport</w:t>
      </w:r>
      <w:r w:rsidRPr="00CE70CB">
        <w:rPr>
          <w:szCs w:val="24"/>
          <w:lang w:val="fr-FR"/>
        </w:rPr>
        <w:t> » pour lire :</w:t>
      </w:r>
    </w:p>
    <w:p w:rsidR="005B1FBF" w:rsidRPr="00CE70CB" w:rsidRDefault="005B1FBF" w:rsidP="00B77344">
      <w:pPr>
        <w:pStyle w:val="SingleTxtG"/>
        <w:tabs>
          <w:tab w:val="left" w:pos="2268"/>
        </w:tabs>
        <w:ind w:left="2259" w:hanging="1125"/>
        <w:rPr>
          <w:lang w:val="fr-FR"/>
        </w:rPr>
      </w:pPr>
      <w:r w:rsidRPr="00CE70CB">
        <w:rPr>
          <w:szCs w:val="24"/>
          <w:lang w:val="fr-FR"/>
        </w:rPr>
        <w:tab/>
        <w:t>« </w:t>
      </w:r>
      <w:r w:rsidRPr="00CE70CB">
        <w:rPr>
          <w:i/>
          <w:iCs/>
          <w:lang w:val="fr-FR"/>
        </w:rPr>
        <w:t>"</w:t>
      </w:r>
      <w:r w:rsidRPr="00CE70CB">
        <w:rPr>
          <w:i/>
          <w:lang w:val="fr-FR"/>
        </w:rPr>
        <w:t>Indice de transport (TI</w:t>
      </w:r>
      <w:r w:rsidRPr="00CE70CB">
        <w:rPr>
          <w:b/>
          <w:vertAlign w:val="superscript"/>
          <w:lang w:val="fr-FR"/>
        </w:rPr>
        <w:footnoteReference w:customMarkFollows="1" w:id="3"/>
        <w:t>**</w:t>
      </w:r>
      <w:r w:rsidRPr="00CE70CB">
        <w:rPr>
          <w:i/>
          <w:lang w:val="fr-FR"/>
        </w:rPr>
        <w:t xml:space="preserve">)" </w:t>
      </w:r>
      <w:r w:rsidRPr="00CE70CB">
        <w:rPr>
          <w:iCs/>
          <w:lang w:val="fr-FR"/>
        </w:rPr>
        <w:t>d'un colis, d'un suremballage ou d'un conteneur, ou d'une matière LSA-I, d'un SCO-I ou d’un SCO-III non emballé</w:t>
      </w:r>
      <w:r w:rsidRPr="00CE70CB">
        <w:rPr>
          <w:lang w:val="fr-FR"/>
        </w:rPr>
        <w:t>, pour le transport des matières radioactives</w:t>
      </w:r>
      <w:r w:rsidRPr="00CE70CB">
        <w:rPr>
          <w:iCs/>
          <w:lang w:val="fr-FR"/>
        </w:rPr>
        <w:t>,</w:t>
      </w:r>
      <w:r w:rsidRPr="00CE70CB">
        <w:rPr>
          <w:lang w:val="fr-FR"/>
        </w:rPr>
        <w:t xml:space="preserve"> un nombre qui sert à limiter l'exposition aux rayonnements ; »</w:t>
      </w:r>
    </w:p>
    <w:p w:rsidR="00267DA7" w:rsidRPr="00CE70CB" w:rsidRDefault="00267DA7" w:rsidP="00B77344">
      <w:pPr>
        <w:pStyle w:val="SingleTxtG"/>
        <w:tabs>
          <w:tab w:val="left" w:pos="2268"/>
        </w:tabs>
        <w:ind w:left="2259" w:hanging="1125"/>
        <w:rPr>
          <w:lang w:val="fr-FR"/>
        </w:rPr>
      </w:pPr>
      <w:r w:rsidRPr="00CE70CB">
        <w:rPr>
          <w:lang w:val="fr-FR"/>
        </w:rPr>
        <w:t>1.2.1</w:t>
      </w:r>
      <w:r w:rsidRPr="00CE70CB">
        <w:rPr>
          <w:lang w:val="fr-FR"/>
        </w:rPr>
        <w:tab/>
        <w:t>Dans la définition de « </w:t>
      </w:r>
      <w:r w:rsidRPr="00CE70CB">
        <w:rPr>
          <w:i/>
          <w:lang w:val="fr-FR"/>
        </w:rPr>
        <w:t>SGH </w:t>
      </w:r>
      <w:r w:rsidRPr="00CE70CB">
        <w:rPr>
          <w:lang w:val="fr-FR"/>
        </w:rPr>
        <w:t>», remplacer « septième » par « huitième » et remplacer « ST/SG/AC.10/30/Rev.7 » par « ST/SG/AC.10/30/Rev.8 ».</w:t>
      </w:r>
    </w:p>
    <w:p w:rsidR="00267DA7" w:rsidRPr="00CE70CB" w:rsidRDefault="00267DA7" w:rsidP="00267DA7">
      <w:pPr>
        <w:pStyle w:val="SingleTxtG"/>
        <w:tabs>
          <w:tab w:val="left" w:pos="2268"/>
        </w:tabs>
        <w:ind w:left="2259" w:hanging="1125"/>
        <w:rPr>
          <w:lang w:val="fr-FR"/>
        </w:rPr>
      </w:pPr>
      <w:r w:rsidRPr="00CE70CB">
        <w:rPr>
          <w:lang w:val="fr-FR"/>
        </w:rPr>
        <w:t>1.2.1</w:t>
      </w:r>
      <w:r w:rsidRPr="00CE70CB">
        <w:rPr>
          <w:lang w:val="fr-FR"/>
        </w:rPr>
        <w:tab/>
        <w:t>Dans la définition de « </w:t>
      </w:r>
      <w:r w:rsidRPr="00CE70CB">
        <w:rPr>
          <w:i/>
          <w:lang w:val="fr-FR"/>
        </w:rPr>
        <w:t>Manuel d’épreuves et de critères</w:t>
      </w:r>
      <w:r w:rsidRPr="00CE70CB">
        <w:rPr>
          <w:lang w:val="fr-FR"/>
        </w:rPr>
        <w:t> », remplacer « sixième » par « septième »</w:t>
      </w:r>
      <w:r w:rsidR="00440AE1" w:rsidRPr="00CE70CB">
        <w:rPr>
          <w:lang w:val="fr-FR"/>
        </w:rPr>
        <w:t>, supprimer « </w:t>
      </w:r>
      <w:r w:rsidR="00440AE1" w:rsidRPr="00CE70CB">
        <w:rPr>
          <w:i/>
          <w:iCs/>
          <w:lang w:val="fr-FR"/>
        </w:rPr>
        <w:t>Recommandations relatives au transport des marchandises dangereuses,</w:t>
      </w:r>
      <w:r w:rsidR="00440AE1" w:rsidRPr="00CE70CB">
        <w:rPr>
          <w:lang w:val="fr-FR"/>
        </w:rPr>
        <w:t xml:space="preserve"> » </w:t>
      </w:r>
      <w:r w:rsidRPr="00CE70CB">
        <w:rPr>
          <w:lang w:val="fr-FR"/>
        </w:rPr>
        <w:t xml:space="preserve">et </w:t>
      </w:r>
      <w:r w:rsidR="00440AE1" w:rsidRPr="00CE70CB">
        <w:rPr>
          <w:lang w:val="fr-FR"/>
        </w:rPr>
        <w:t xml:space="preserve">remplacer </w:t>
      </w:r>
      <w:r w:rsidRPr="00CE70CB">
        <w:rPr>
          <w:lang w:val="fr-FR"/>
        </w:rPr>
        <w:t xml:space="preserve">« ST/SG/AC.10/11/Rev.6 et Amend.1 » par « ST/SG/AC.10/11/Rev.7 ». </w:t>
      </w:r>
    </w:p>
    <w:p w:rsidR="00267DA7" w:rsidRPr="00CE70CB" w:rsidRDefault="00267DA7" w:rsidP="00267DA7">
      <w:pPr>
        <w:pStyle w:val="SingleTxtG"/>
        <w:tabs>
          <w:tab w:val="left" w:pos="2268"/>
        </w:tabs>
        <w:ind w:left="2259" w:hanging="1125"/>
        <w:rPr>
          <w:lang w:val="fr-FR"/>
        </w:rPr>
      </w:pPr>
      <w:r w:rsidRPr="00CE70CB">
        <w:rPr>
          <w:lang w:val="fr-FR"/>
        </w:rPr>
        <w:t>1.2.1</w:t>
      </w:r>
      <w:r w:rsidRPr="00CE70CB">
        <w:rPr>
          <w:lang w:val="fr-FR"/>
        </w:rPr>
        <w:tab/>
        <w:t>Dans la définition de « </w:t>
      </w:r>
      <w:r w:rsidRPr="00CE70CB">
        <w:rPr>
          <w:i/>
          <w:lang w:val="fr-FR"/>
        </w:rPr>
        <w:t>Règlement type de l'ONU</w:t>
      </w:r>
      <w:r w:rsidRPr="00CE70CB">
        <w:rPr>
          <w:lang w:val="fr-FR"/>
        </w:rPr>
        <w:t xml:space="preserve"> », remplacer « vingtième » par « vingt et unième » et remplacer « (ST/SG/AC.10/1/Rev.20) » par « (ST/SG/AC.10/1/Rev.21) ». </w:t>
      </w:r>
    </w:p>
    <w:p w:rsidR="00267DA7" w:rsidRPr="00CE70CB" w:rsidRDefault="00267DA7" w:rsidP="00267DA7">
      <w:pPr>
        <w:pStyle w:val="SingleTxtG"/>
        <w:tabs>
          <w:tab w:val="left" w:pos="2268"/>
        </w:tabs>
        <w:ind w:left="2259" w:hanging="1125"/>
        <w:rPr>
          <w:lang w:val="fr-FR"/>
        </w:rPr>
      </w:pPr>
      <w:r w:rsidRPr="00CE70CB">
        <w:rPr>
          <w:lang w:val="fr-FR"/>
        </w:rPr>
        <w:t>1.2.1</w:t>
      </w:r>
      <w:r w:rsidRPr="00CE70CB">
        <w:rPr>
          <w:lang w:val="fr-FR"/>
        </w:rPr>
        <w:tab/>
        <w:t>Modifier la définition de « </w:t>
      </w:r>
      <w:r w:rsidRPr="00CE70CB">
        <w:rPr>
          <w:i/>
          <w:iCs/>
          <w:lang w:val="fr-FR"/>
        </w:rPr>
        <w:t>Exploitant d'un conteneur-citerne ou d'une citerne mobile</w:t>
      </w:r>
      <w:r w:rsidRPr="00CE70CB">
        <w:rPr>
          <w:lang w:val="fr-FR"/>
        </w:rPr>
        <w:t> » pour lire :</w:t>
      </w:r>
    </w:p>
    <w:p w:rsidR="00267DA7" w:rsidRPr="00CE70CB" w:rsidRDefault="00267DA7" w:rsidP="00267DA7">
      <w:pPr>
        <w:pStyle w:val="SingleTxtG"/>
        <w:tabs>
          <w:tab w:val="left" w:pos="2268"/>
        </w:tabs>
        <w:ind w:left="2259" w:hanging="1125"/>
        <w:rPr>
          <w:lang w:val="fr-FR"/>
        </w:rPr>
      </w:pPr>
      <w:r w:rsidRPr="00CE70CB">
        <w:rPr>
          <w:lang w:val="fr-FR"/>
        </w:rPr>
        <w:tab/>
        <w:t>« </w:t>
      </w:r>
      <w:r w:rsidR="00AF1EC7" w:rsidRPr="00CE70CB">
        <w:rPr>
          <w:i/>
          <w:iCs/>
          <w:lang w:val="fr-FR"/>
        </w:rPr>
        <w:t>"</w:t>
      </w:r>
      <w:r w:rsidRPr="00CE70CB">
        <w:rPr>
          <w:i/>
          <w:iCs/>
          <w:lang w:val="fr-FR"/>
        </w:rPr>
        <w:t>Exploitant d’un conteneur-citerne ou d’une citerne mobile</w:t>
      </w:r>
      <w:r w:rsidR="00AF1EC7" w:rsidRPr="00CE70CB">
        <w:rPr>
          <w:i/>
          <w:iCs/>
          <w:lang w:val="fr-FR"/>
        </w:rPr>
        <w:t>"</w:t>
      </w:r>
      <w:r w:rsidRPr="00CE70CB">
        <w:rPr>
          <w:lang w:val="fr-FR"/>
        </w:rPr>
        <w:t>, toute entreprise au nom de laquelle le conteneur-citerne ou la citerne mobile sont exploités</w:t>
      </w:r>
      <w:r w:rsidR="00440AE1" w:rsidRPr="00CE70CB">
        <w:rPr>
          <w:lang w:val="fr-FR"/>
        </w:rPr>
        <w:t> ;</w:t>
      </w:r>
      <w:r w:rsidRPr="00CE70CB">
        <w:rPr>
          <w:lang w:val="fr-FR"/>
        </w:rPr>
        <w:t> »</w:t>
      </w:r>
    </w:p>
    <w:p w:rsidR="00267DA7" w:rsidRPr="00CE70CB" w:rsidRDefault="00267DA7" w:rsidP="00267DA7">
      <w:pPr>
        <w:pStyle w:val="H1G"/>
        <w:rPr>
          <w:lang w:val="fr-FR"/>
        </w:rPr>
      </w:pPr>
      <w:r w:rsidRPr="00CE70CB">
        <w:rPr>
          <w:lang w:val="fr-FR"/>
        </w:rPr>
        <w:tab/>
      </w:r>
      <w:r w:rsidRPr="00CE70CB">
        <w:rPr>
          <w:lang w:val="fr-FR"/>
        </w:rPr>
        <w:tab/>
        <w:t>Chapitre 1.4</w:t>
      </w:r>
    </w:p>
    <w:p w:rsidR="00267DA7" w:rsidRPr="00CE70CB" w:rsidRDefault="00267DA7" w:rsidP="00267DA7">
      <w:pPr>
        <w:pStyle w:val="SingleTxtG"/>
        <w:ind w:left="2268" w:hanging="1134"/>
        <w:rPr>
          <w:lang w:val="fr-FR"/>
        </w:rPr>
      </w:pPr>
      <w:bookmarkStart w:id="3" w:name="_Hlk525252460"/>
      <w:r w:rsidRPr="00CE70CB">
        <w:rPr>
          <w:lang w:val="fr-FR"/>
        </w:rPr>
        <w:t>1.4.3.3 e)</w:t>
      </w:r>
      <w:r w:rsidRPr="00CE70CB">
        <w:rPr>
          <w:lang w:val="fr-FR"/>
        </w:rPr>
        <w:tab/>
        <w:t>Supprimer « maximal » et « maximale ».</w:t>
      </w:r>
      <w:bookmarkEnd w:id="3"/>
    </w:p>
    <w:p w:rsidR="00267DA7" w:rsidRPr="00CE70CB" w:rsidRDefault="00267DA7" w:rsidP="00267DA7">
      <w:pPr>
        <w:pStyle w:val="H1G"/>
        <w:rPr>
          <w:lang w:val="fr-FR"/>
        </w:rPr>
      </w:pPr>
      <w:r w:rsidRPr="00CE70CB">
        <w:rPr>
          <w:lang w:val="fr-FR"/>
        </w:rPr>
        <w:tab/>
      </w:r>
      <w:r w:rsidRPr="00CE70CB">
        <w:rPr>
          <w:lang w:val="fr-FR"/>
        </w:rPr>
        <w:tab/>
        <w:t>Chapitre 1.6</w:t>
      </w:r>
    </w:p>
    <w:p w:rsidR="00267DA7" w:rsidRPr="00CE70CB" w:rsidRDefault="00267DA7" w:rsidP="00267DA7">
      <w:pPr>
        <w:pStyle w:val="SingleTxtG"/>
        <w:rPr>
          <w:lang w:val="fr-FR"/>
        </w:rPr>
      </w:pPr>
      <w:r w:rsidRPr="00CE70CB">
        <w:rPr>
          <w:lang w:val="fr-FR"/>
        </w:rPr>
        <w:t>1.6.1.1</w:t>
      </w:r>
      <w:r w:rsidRPr="00CE70CB">
        <w:rPr>
          <w:lang w:val="fr-FR"/>
        </w:rPr>
        <w:tab/>
      </w:r>
      <w:r w:rsidRPr="00CE70CB">
        <w:rPr>
          <w:lang w:val="fr-FR"/>
        </w:rPr>
        <w:tab/>
        <w:t>Remplacer « 2019 » par « 2021 » et « 2018 » par « 2020 ».</w:t>
      </w:r>
    </w:p>
    <w:p w:rsidR="00267DA7" w:rsidRPr="00CE70CB" w:rsidRDefault="00267DA7" w:rsidP="00267DA7">
      <w:pPr>
        <w:pStyle w:val="SingleTxtG"/>
        <w:rPr>
          <w:lang w:val="fr-FR"/>
        </w:rPr>
      </w:pPr>
      <w:r w:rsidRPr="00CE70CB">
        <w:rPr>
          <w:lang w:val="fr-FR"/>
        </w:rPr>
        <w:t>1.6.1.22</w:t>
      </w:r>
      <w:r w:rsidRPr="00CE70CB">
        <w:rPr>
          <w:lang w:val="fr-FR"/>
        </w:rPr>
        <w:tab/>
        <w:t>Supprimer et ajouter « </w:t>
      </w:r>
      <w:r w:rsidR="009D743D" w:rsidRPr="00CE70CB">
        <w:rPr>
          <w:lang w:val="fr-FR"/>
        </w:rPr>
        <w:t>1.6.1.22</w:t>
      </w:r>
      <w:r w:rsidR="009D743D" w:rsidRPr="00CE70CB">
        <w:rPr>
          <w:i/>
          <w:iCs/>
          <w:lang w:val="fr-FR"/>
        </w:rPr>
        <w:t xml:space="preserve"> </w:t>
      </w:r>
      <w:r w:rsidRPr="00CE70CB">
        <w:rPr>
          <w:i/>
          <w:iCs/>
          <w:lang w:val="fr-FR"/>
        </w:rPr>
        <w:t>(Supprimé)</w:t>
      </w:r>
      <w:r w:rsidRPr="00CE70CB">
        <w:rPr>
          <w:lang w:val="fr-FR"/>
        </w:rPr>
        <w:t> ».</w:t>
      </w:r>
    </w:p>
    <w:p w:rsidR="00267DA7" w:rsidRPr="00CE70CB" w:rsidRDefault="00267DA7" w:rsidP="00267DA7">
      <w:pPr>
        <w:pStyle w:val="SingleTxtG"/>
        <w:rPr>
          <w:lang w:val="fr-FR"/>
        </w:rPr>
      </w:pPr>
      <w:r w:rsidRPr="00CE70CB">
        <w:rPr>
          <w:lang w:val="fr-FR"/>
        </w:rPr>
        <w:t>1.6.1.30</w:t>
      </w:r>
      <w:r w:rsidRPr="00CE70CB">
        <w:rPr>
          <w:lang w:val="fr-FR"/>
        </w:rPr>
        <w:tab/>
        <w:t>Supprimer et ajouter « </w:t>
      </w:r>
      <w:r w:rsidR="009D743D" w:rsidRPr="00CE70CB">
        <w:rPr>
          <w:lang w:val="fr-FR"/>
        </w:rPr>
        <w:t>1.6.1.30</w:t>
      </w:r>
      <w:r w:rsidR="009D743D" w:rsidRPr="00CE70CB">
        <w:rPr>
          <w:i/>
          <w:iCs/>
          <w:lang w:val="fr-FR"/>
        </w:rPr>
        <w:t xml:space="preserve"> </w:t>
      </w:r>
      <w:r w:rsidRPr="00CE70CB">
        <w:rPr>
          <w:i/>
          <w:iCs/>
          <w:lang w:val="fr-FR"/>
        </w:rPr>
        <w:t>(Supprimé)</w:t>
      </w:r>
      <w:r w:rsidRPr="00CE70CB">
        <w:rPr>
          <w:lang w:val="fr-FR"/>
        </w:rPr>
        <w:t> ».</w:t>
      </w:r>
    </w:p>
    <w:p w:rsidR="00267DA7" w:rsidRPr="00CE70CB" w:rsidRDefault="00267DA7" w:rsidP="00267DA7">
      <w:pPr>
        <w:pStyle w:val="SingleTxtG"/>
        <w:rPr>
          <w:lang w:val="fr-FR"/>
        </w:rPr>
      </w:pPr>
      <w:r w:rsidRPr="00CE70CB">
        <w:rPr>
          <w:lang w:val="fr-FR"/>
        </w:rPr>
        <w:t>1.6.1.36</w:t>
      </w:r>
      <w:r w:rsidRPr="00CE70CB">
        <w:rPr>
          <w:lang w:val="fr-FR"/>
        </w:rPr>
        <w:tab/>
        <w:t>Supprimer et ajouter « </w:t>
      </w:r>
      <w:r w:rsidR="009D743D" w:rsidRPr="00CE70CB">
        <w:rPr>
          <w:lang w:val="fr-FR"/>
        </w:rPr>
        <w:t>1.6.1.36</w:t>
      </w:r>
      <w:r w:rsidR="009D743D" w:rsidRPr="00CE70CB">
        <w:rPr>
          <w:i/>
          <w:iCs/>
          <w:lang w:val="fr-FR"/>
        </w:rPr>
        <w:t xml:space="preserve"> </w:t>
      </w:r>
      <w:r w:rsidRPr="00CE70CB">
        <w:rPr>
          <w:i/>
          <w:iCs/>
          <w:lang w:val="fr-FR"/>
        </w:rPr>
        <w:t>(Supprimé)</w:t>
      </w:r>
      <w:r w:rsidRPr="00CE70CB">
        <w:rPr>
          <w:lang w:val="fr-FR"/>
        </w:rPr>
        <w:t> ».</w:t>
      </w:r>
    </w:p>
    <w:p w:rsidR="00267DA7" w:rsidRPr="00CE70CB" w:rsidRDefault="00267DA7" w:rsidP="00267DA7">
      <w:pPr>
        <w:pStyle w:val="SingleTxtG"/>
        <w:rPr>
          <w:lang w:val="fr-FR"/>
        </w:rPr>
      </w:pPr>
      <w:r w:rsidRPr="00CE70CB">
        <w:rPr>
          <w:lang w:val="fr-FR"/>
        </w:rPr>
        <w:t>1.6.1.47</w:t>
      </w:r>
      <w:r w:rsidRPr="00CE70CB">
        <w:rPr>
          <w:lang w:val="fr-FR"/>
        </w:rPr>
        <w:tab/>
        <w:t>Supprimer et ajouter « </w:t>
      </w:r>
      <w:r w:rsidR="009D743D" w:rsidRPr="00CE70CB">
        <w:rPr>
          <w:lang w:val="fr-FR"/>
        </w:rPr>
        <w:t>1.6.1.47</w:t>
      </w:r>
      <w:r w:rsidR="009D743D" w:rsidRPr="00CE70CB">
        <w:rPr>
          <w:i/>
          <w:iCs/>
          <w:lang w:val="fr-FR"/>
        </w:rPr>
        <w:t xml:space="preserve"> </w:t>
      </w:r>
      <w:r w:rsidRPr="00CE70CB">
        <w:rPr>
          <w:i/>
          <w:iCs/>
          <w:lang w:val="fr-FR"/>
        </w:rPr>
        <w:t>(Supprimé)</w:t>
      </w:r>
      <w:r w:rsidRPr="00CE70CB">
        <w:rPr>
          <w:lang w:val="fr-FR"/>
        </w:rPr>
        <w:t> ».</w:t>
      </w:r>
    </w:p>
    <w:p w:rsidR="00267DA7" w:rsidRPr="00CE70CB" w:rsidRDefault="00267DA7" w:rsidP="00267DA7">
      <w:pPr>
        <w:pStyle w:val="SingleTxtG"/>
        <w:ind w:left="2268" w:hanging="1134"/>
        <w:rPr>
          <w:lang w:val="fr-FR"/>
        </w:rPr>
      </w:pPr>
      <w:r w:rsidRPr="00CE70CB">
        <w:rPr>
          <w:lang w:val="fr-FR"/>
        </w:rPr>
        <w:t>1.6.2.16</w:t>
      </w:r>
      <w:r w:rsidRPr="00CE70CB">
        <w:rPr>
          <w:lang w:val="fr-FR"/>
        </w:rPr>
        <w:tab/>
        <w:t>Ajouter le nouveau paragraphe suivant :</w:t>
      </w:r>
    </w:p>
    <w:p w:rsidR="00267DA7" w:rsidRPr="00CE70CB" w:rsidRDefault="00A526E1" w:rsidP="00267DA7">
      <w:pPr>
        <w:pStyle w:val="SingleTxtG"/>
        <w:ind w:left="2268" w:hanging="1134"/>
        <w:rPr>
          <w:lang w:val="fr-FR"/>
        </w:rPr>
      </w:pPr>
      <w:r w:rsidRPr="00CE70CB">
        <w:rPr>
          <w:lang w:val="fr-FR"/>
        </w:rPr>
        <w:tab/>
      </w:r>
      <w:r w:rsidR="00267DA7" w:rsidRPr="00CE70CB">
        <w:rPr>
          <w:lang w:val="fr-FR"/>
        </w:rPr>
        <w:t>« 1.6.2.16</w:t>
      </w:r>
      <w:r w:rsidR="00267DA7" w:rsidRPr="00CE70CB">
        <w:rPr>
          <w:lang w:val="fr-FR"/>
        </w:rPr>
        <w:tab/>
        <w:t xml:space="preserve">Les dispositions </w:t>
      </w:r>
      <w:r w:rsidRPr="00CE70CB">
        <w:rPr>
          <w:lang w:val="fr-FR"/>
        </w:rPr>
        <w:t>du N</w:t>
      </w:r>
      <w:r w:rsidR="00FD4762" w:rsidRPr="00CE70CB">
        <w:rPr>
          <w:lang w:val="fr-FR"/>
        </w:rPr>
        <w:t>ota</w:t>
      </w:r>
      <w:r w:rsidR="00267DA7" w:rsidRPr="00CE70CB">
        <w:rPr>
          <w:lang w:val="fr-FR"/>
        </w:rPr>
        <w:t xml:space="preserve"> 3 du 6.2.3.5.1, applicables jusqu’au 31 décembre 2020, peuvent continuer à être appliquées jusqu’au 31 décembre 2022. »</w:t>
      </w:r>
    </w:p>
    <w:p w:rsidR="00267DA7" w:rsidRPr="00CE70CB" w:rsidRDefault="00267DA7" w:rsidP="00267DA7">
      <w:pPr>
        <w:pStyle w:val="SingleTxtG"/>
        <w:ind w:left="2268" w:hanging="1134"/>
        <w:rPr>
          <w:lang w:val="fr-FR"/>
        </w:rPr>
      </w:pPr>
      <w:r w:rsidRPr="00CE70CB">
        <w:rPr>
          <w:lang w:val="fr-FR"/>
        </w:rPr>
        <w:t>1.6.3.100</w:t>
      </w:r>
      <w:r w:rsidRPr="00CE70CB">
        <w:rPr>
          <w:lang w:val="fr-FR"/>
        </w:rPr>
        <w:tab/>
        <w:t>Combiner les deux paragraphes existants sous le titre, les numéroter en tant que 1.6.3.100.1 et ajouter le nouveau paragraphe 1.6.3.100.2 suivant :</w:t>
      </w:r>
    </w:p>
    <w:p w:rsidR="00267DA7" w:rsidRPr="00CE70CB" w:rsidRDefault="002C7D59" w:rsidP="00267DA7">
      <w:pPr>
        <w:pStyle w:val="SingleTxtG"/>
        <w:ind w:left="2268" w:hanging="1134"/>
        <w:rPr>
          <w:lang w:val="fr-FR"/>
        </w:rPr>
      </w:pPr>
      <w:r w:rsidRPr="00CE70CB">
        <w:rPr>
          <w:lang w:val="fr-FR"/>
        </w:rPr>
        <w:tab/>
      </w:r>
      <w:r w:rsidR="00267DA7" w:rsidRPr="00CE70CB">
        <w:rPr>
          <w:lang w:val="fr-FR"/>
        </w:rPr>
        <w:t>« 1.6.3.100.2</w:t>
      </w:r>
      <w:r w:rsidR="00267DA7" w:rsidRPr="00CE70CB">
        <w:rPr>
          <w:lang w:val="fr-FR"/>
        </w:rPr>
        <w:tab/>
        <w:t>Les citernes en matière plastique renforcée de fibres construites avant le 1er juillet 2021 conformément aux prescriptions applicables jusqu’au 31 décembre 2020 mais qui ne sont cependant pas conformes aux prescriptions de marquage du code-citerne du 6.9.6.1 applicables à compter du 1er janvier 2021 pourront continuer à porter le marquage conforme aux prescriptions en vigueur jusqu’au 31 décembre 2020 jusqu’au prochain contrôle périodique devant avoir lieu après le 1er juillet 2021. »</w:t>
      </w:r>
    </w:p>
    <w:p w:rsidR="00267DA7" w:rsidRPr="00CE70CB" w:rsidRDefault="00267DA7" w:rsidP="00267DA7">
      <w:pPr>
        <w:pStyle w:val="SingleTxtG"/>
        <w:rPr>
          <w:lang w:val="fr-FR"/>
        </w:rPr>
      </w:pPr>
      <w:r w:rsidRPr="00CE70CB">
        <w:rPr>
          <w:lang w:val="fr-FR"/>
        </w:rPr>
        <w:t>1.6.5.21</w:t>
      </w:r>
      <w:r w:rsidRPr="00CE70CB">
        <w:rPr>
          <w:lang w:val="fr-FR"/>
        </w:rPr>
        <w:tab/>
        <w:t>Supprimer et ajouter « </w:t>
      </w:r>
      <w:r w:rsidR="009D743D" w:rsidRPr="00CE70CB">
        <w:rPr>
          <w:lang w:val="fr-FR"/>
        </w:rPr>
        <w:t>1.6.5.21</w:t>
      </w:r>
      <w:r w:rsidR="009D743D" w:rsidRPr="00CE70CB">
        <w:rPr>
          <w:i/>
          <w:iCs/>
          <w:lang w:val="fr-FR"/>
        </w:rPr>
        <w:t xml:space="preserve"> </w:t>
      </w:r>
      <w:r w:rsidRPr="00CE70CB">
        <w:rPr>
          <w:i/>
          <w:iCs/>
          <w:lang w:val="fr-FR"/>
        </w:rPr>
        <w:t>(Supprimé)</w:t>
      </w:r>
      <w:r w:rsidRPr="00CE70CB">
        <w:rPr>
          <w:lang w:val="fr-FR"/>
        </w:rPr>
        <w:t> ».</w:t>
      </w:r>
    </w:p>
    <w:p w:rsidR="00267DA7" w:rsidRPr="00CE70CB" w:rsidRDefault="00267DA7" w:rsidP="00267DA7">
      <w:pPr>
        <w:pStyle w:val="SingleTxtG"/>
        <w:tabs>
          <w:tab w:val="left" w:pos="2268"/>
        </w:tabs>
        <w:ind w:left="2259" w:hanging="1125"/>
        <w:rPr>
          <w:szCs w:val="24"/>
          <w:lang w:val="fr-FR"/>
        </w:rPr>
      </w:pPr>
      <w:r w:rsidRPr="00CE70CB">
        <w:rPr>
          <w:szCs w:val="24"/>
          <w:lang w:val="fr-FR"/>
        </w:rPr>
        <w:t>1.6.6.1</w:t>
      </w:r>
      <w:r w:rsidRPr="00CE70CB">
        <w:rPr>
          <w:szCs w:val="24"/>
          <w:lang w:val="fr-FR"/>
        </w:rPr>
        <w:tab/>
      </w:r>
      <w:r w:rsidRPr="00CE70CB">
        <w:rPr>
          <w:szCs w:val="24"/>
          <w:lang w:val="fr-FR"/>
        </w:rPr>
        <w:tab/>
        <w:t xml:space="preserve">Modifier pour lire comme suit : </w:t>
      </w:r>
    </w:p>
    <w:p w:rsidR="00267DA7" w:rsidRPr="00CE70CB" w:rsidRDefault="00481649" w:rsidP="00267DA7">
      <w:pPr>
        <w:pStyle w:val="SingleTxtG"/>
        <w:tabs>
          <w:tab w:val="left" w:pos="2268"/>
        </w:tabs>
        <w:ind w:left="2259" w:hanging="1125"/>
        <w:rPr>
          <w:szCs w:val="24"/>
          <w:lang w:val="fr-FR"/>
        </w:rPr>
      </w:pPr>
      <w:r w:rsidRPr="00CE70CB">
        <w:rPr>
          <w:szCs w:val="24"/>
          <w:lang w:val="fr-FR"/>
        </w:rPr>
        <w:lastRenderedPageBreak/>
        <w:tab/>
      </w:r>
      <w:r w:rsidR="00267DA7" w:rsidRPr="00CE70CB">
        <w:rPr>
          <w:szCs w:val="24"/>
          <w:lang w:val="fr-FR"/>
        </w:rPr>
        <w:t>« </w:t>
      </w:r>
      <w:r w:rsidR="00267DA7" w:rsidRPr="00CE70CB">
        <w:rPr>
          <w:b/>
          <w:bCs/>
          <w:szCs w:val="24"/>
          <w:lang w:val="fr-FR"/>
        </w:rPr>
        <w:t>1.6.6.1</w:t>
      </w:r>
      <w:r w:rsidR="00267DA7" w:rsidRPr="00CE70CB">
        <w:rPr>
          <w:szCs w:val="24"/>
          <w:lang w:val="fr-FR"/>
        </w:rPr>
        <w:tab/>
      </w:r>
      <w:r w:rsidR="00267DA7" w:rsidRPr="00CE70CB">
        <w:rPr>
          <w:b/>
          <w:bCs/>
          <w:i/>
          <w:iCs/>
          <w:szCs w:val="24"/>
          <w:lang w:val="fr-FR"/>
        </w:rPr>
        <w:t>Colis dont le modèle n’a pas à être agréé par l’autorité compétente en vertu des éditions de 1985, de 1985 (telle que modifiée en 1990), de 1996, de 1996 (révisée), de 1996 (telle que modifiée en 2003), de 2005, de 2009 et de 2012 du Règlement de transport des matières radioactives de l’AIEA</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Les colis dont le modèle n’a pas à être agréé par l’autorité compétente (les colis exceptés, les colis du type IP-1, IP-2 et IP-3 et les colis du type A) doivent satisfaire intégralement aux prescriptions de l’ADR, mais :</w:t>
      </w:r>
    </w:p>
    <w:p w:rsidR="00267DA7" w:rsidRPr="00CE70CB" w:rsidRDefault="00267DA7" w:rsidP="00267DA7">
      <w:pPr>
        <w:pStyle w:val="SingleTxtG"/>
        <w:tabs>
          <w:tab w:val="left" w:pos="2835"/>
        </w:tabs>
        <w:ind w:left="2835" w:hanging="567"/>
        <w:rPr>
          <w:szCs w:val="24"/>
          <w:lang w:val="fr-FR"/>
        </w:rPr>
      </w:pPr>
      <w:r w:rsidRPr="00CE70CB">
        <w:rPr>
          <w:szCs w:val="24"/>
          <w:lang w:val="fr-FR"/>
        </w:rPr>
        <w:t>a)</w:t>
      </w:r>
      <w:r w:rsidRPr="00CE70CB">
        <w:rPr>
          <w:szCs w:val="24"/>
          <w:lang w:val="fr-FR"/>
        </w:rPr>
        <w:tab/>
      </w:r>
      <w:r w:rsidR="007F5C03" w:rsidRPr="00CE70CB">
        <w:rPr>
          <w:lang w:val="fr-FR"/>
        </w:rPr>
        <w:t>L</w:t>
      </w:r>
      <w:r w:rsidRPr="00CE70CB">
        <w:rPr>
          <w:lang w:val="fr-FR"/>
        </w:rPr>
        <w:t>es colis qui satisfont aux prescriptions des éditions de 1985 ou de 1985 (telle que modifiée en 1990) du Règlement de transport des matières radioactives de l’AIEA : </w:t>
      </w:r>
    </w:p>
    <w:p w:rsidR="00267DA7" w:rsidRPr="00CE70CB" w:rsidRDefault="00267DA7" w:rsidP="00267DA7">
      <w:pPr>
        <w:pStyle w:val="SingleTxtG"/>
        <w:tabs>
          <w:tab w:val="left" w:pos="2268"/>
        </w:tabs>
        <w:ind w:left="3402" w:hanging="567"/>
        <w:rPr>
          <w:szCs w:val="24"/>
          <w:lang w:val="fr-FR"/>
        </w:rPr>
      </w:pPr>
      <w:r w:rsidRPr="00CE70CB">
        <w:rPr>
          <w:szCs w:val="24"/>
          <w:lang w:val="fr-FR"/>
        </w:rPr>
        <w:t>i)</w:t>
      </w:r>
      <w:r w:rsidRPr="00CE70CB">
        <w:rPr>
          <w:szCs w:val="24"/>
          <w:lang w:val="fr-FR"/>
        </w:rPr>
        <w:tab/>
      </w:r>
      <w:r w:rsidR="007F5C03" w:rsidRPr="00CE70CB">
        <w:rPr>
          <w:szCs w:val="24"/>
          <w:lang w:val="fr-FR"/>
        </w:rPr>
        <w:t>P</w:t>
      </w:r>
      <w:r w:rsidRPr="00CE70CB">
        <w:rPr>
          <w:szCs w:val="24"/>
          <w:lang w:val="fr-FR"/>
        </w:rPr>
        <w:t>ourront encore être transportés à condition qu’ils aient été préparés pour le transport avant le 31 décembre 2003 et sous réserve des prescriptions du 1.6.6.2.3, le cas échéant ; ou</w:t>
      </w:r>
    </w:p>
    <w:p w:rsidR="00267DA7" w:rsidRPr="00CE70CB" w:rsidRDefault="00267DA7" w:rsidP="00267DA7">
      <w:pPr>
        <w:pStyle w:val="SingleTxtG"/>
        <w:tabs>
          <w:tab w:val="left" w:pos="2268"/>
        </w:tabs>
        <w:ind w:left="3402" w:hanging="567"/>
        <w:rPr>
          <w:szCs w:val="24"/>
          <w:lang w:val="fr-FR"/>
        </w:rPr>
      </w:pPr>
      <w:r w:rsidRPr="00CE70CB">
        <w:rPr>
          <w:szCs w:val="24"/>
          <w:lang w:val="fr-FR"/>
        </w:rPr>
        <w:t>ii)</w:t>
      </w:r>
      <w:r w:rsidRPr="00CE70CB">
        <w:rPr>
          <w:szCs w:val="24"/>
          <w:lang w:val="fr-FR"/>
        </w:rPr>
        <w:tab/>
      </w:r>
      <w:r w:rsidR="007F5C03" w:rsidRPr="00CE70CB">
        <w:rPr>
          <w:szCs w:val="24"/>
          <w:lang w:val="fr-FR"/>
        </w:rPr>
        <w:t>P</w:t>
      </w:r>
      <w:r w:rsidRPr="00CE70CB">
        <w:rPr>
          <w:szCs w:val="24"/>
          <w:lang w:val="fr-FR"/>
        </w:rPr>
        <w:t>ourront continuer à être utilisés à condition que toutes les conditions suivantes soient remplies :</w:t>
      </w:r>
    </w:p>
    <w:p w:rsidR="00267DA7" w:rsidRPr="00CE70CB" w:rsidRDefault="007F5C03" w:rsidP="0075570F">
      <w:pPr>
        <w:pStyle w:val="Bullet2G"/>
        <w:numPr>
          <w:ilvl w:val="0"/>
          <w:numId w:val="20"/>
        </w:numPr>
        <w:tabs>
          <w:tab w:val="clear" w:pos="2438"/>
          <w:tab w:val="num" w:pos="3005"/>
        </w:tabs>
        <w:ind w:left="3686" w:hanging="284"/>
        <w:rPr>
          <w:lang w:val="fr-FR"/>
        </w:rPr>
      </w:pPr>
      <w:r w:rsidRPr="00CE70CB">
        <w:rPr>
          <w:lang w:val="fr-FR"/>
        </w:rPr>
        <w:t>I</w:t>
      </w:r>
      <w:r w:rsidR="00267DA7" w:rsidRPr="00CE70CB">
        <w:rPr>
          <w:lang w:val="fr-FR"/>
        </w:rPr>
        <w:t>ls n’ont pas été conçus pour contenir de l’hexafluorure d’uranium ;</w:t>
      </w:r>
    </w:p>
    <w:p w:rsidR="00267DA7" w:rsidRPr="00CE70CB" w:rsidRDefault="007F5C03" w:rsidP="0075570F">
      <w:pPr>
        <w:pStyle w:val="Bullet2G"/>
        <w:numPr>
          <w:ilvl w:val="0"/>
          <w:numId w:val="20"/>
        </w:numPr>
        <w:tabs>
          <w:tab w:val="clear" w:pos="2438"/>
        </w:tabs>
        <w:ind w:left="3686" w:hanging="284"/>
        <w:rPr>
          <w:lang w:val="fr-FR"/>
        </w:rPr>
      </w:pPr>
      <w:r w:rsidRPr="00CE70CB">
        <w:rPr>
          <w:lang w:val="fr-FR"/>
        </w:rPr>
        <w:t>L</w:t>
      </w:r>
      <w:r w:rsidR="00267DA7" w:rsidRPr="00CE70CB">
        <w:rPr>
          <w:lang w:val="fr-FR"/>
        </w:rPr>
        <w:t>es prescriptions applicables énoncées au 1.7.3 sont appliquées ;</w:t>
      </w:r>
    </w:p>
    <w:p w:rsidR="00267DA7" w:rsidRPr="00CE70CB" w:rsidRDefault="007F5C03" w:rsidP="0075570F">
      <w:pPr>
        <w:pStyle w:val="Bullet2G"/>
        <w:numPr>
          <w:ilvl w:val="0"/>
          <w:numId w:val="20"/>
        </w:numPr>
        <w:tabs>
          <w:tab w:val="clear" w:pos="2438"/>
        </w:tabs>
        <w:ind w:left="3686" w:hanging="284"/>
        <w:rPr>
          <w:lang w:val="fr-FR"/>
        </w:rPr>
      </w:pPr>
      <w:r w:rsidRPr="00CE70CB">
        <w:rPr>
          <w:lang w:val="fr-FR"/>
        </w:rPr>
        <w:t>L</w:t>
      </w:r>
      <w:r w:rsidR="00267DA7" w:rsidRPr="00CE70CB">
        <w:rPr>
          <w:lang w:val="fr-FR"/>
        </w:rPr>
        <w:t>es limites d’activité et la classification énoncées au 2.2.7 sont appliquées ;</w:t>
      </w:r>
    </w:p>
    <w:p w:rsidR="00267DA7" w:rsidRPr="00CE70CB" w:rsidRDefault="007F5C03" w:rsidP="0075570F">
      <w:pPr>
        <w:pStyle w:val="Bullet2G"/>
        <w:numPr>
          <w:ilvl w:val="0"/>
          <w:numId w:val="20"/>
        </w:numPr>
        <w:tabs>
          <w:tab w:val="clear" w:pos="2438"/>
        </w:tabs>
        <w:ind w:left="3686" w:hanging="284"/>
        <w:rPr>
          <w:lang w:val="fr-FR"/>
        </w:rPr>
      </w:pPr>
      <w:r w:rsidRPr="00CE70CB">
        <w:rPr>
          <w:lang w:val="fr-FR"/>
        </w:rPr>
        <w:t>Les</w:t>
      </w:r>
      <w:r w:rsidR="00267DA7" w:rsidRPr="00CE70CB">
        <w:rPr>
          <w:lang w:val="fr-FR"/>
        </w:rPr>
        <w:t xml:space="preserve"> prescriptions et les contrôles pour le transport, énoncés dans les parties 1, 3, 4, 5 et 7 sont appliqués ; et</w:t>
      </w:r>
    </w:p>
    <w:p w:rsidR="00267DA7" w:rsidRPr="00CE70CB" w:rsidRDefault="007F5C03" w:rsidP="0075570F">
      <w:pPr>
        <w:pStyle w:val="Bullet2G"/>
        <w:numPr>
          <w:ilvl w:val="0"/>
          <w:numId w:val="20"/>
        </w:numPr>
        <w:tabs>
          <w:tab w:val="clear" w:pos="2438"/>
        </w:tabs>
        <w:ind w:left="3686" w:hanging="284"/>
        <w:rPr>
          <w:lang w:val="fr-FR"/>
        </w:rPr>
      </w:pPr>
      <w:r w:rsidRPr="00CE70CB">
        <w:rPr>
          <w:lang w:val="fr-FR"/>
        </w:rPr>
        <w:t>L’emballage</w:t>
      </w:r>
      <w:r w:rsidR="00267DA7" w:rsidRPr="00CE70CB">
        <w:rPr>
          <w:lang w:val="fr-FR"/>
        </w:rPr>
        <w:t xml:space="preserve"> n’a pas été fabriqué ou modifié après le 31 décembre 2003 ;</w:t>
      </w:r>
    </w:p>
    <w:p w:rsidR="00267DA7" w:rsidRPr="00CE70CB" w:rsidRDefault="00267DA7" w:rsidP="00267DA7">
      <w:pPr>
        <w:pStyle w:val="SingleTxtG"/>
        <w:tabs>
          <w:tab w:val="left" w:pos="2835"/>
        </w:tabs>
        <w:ind w:left="2835" w:hanging="567"/>
        <w:rPr>
          <w:szCs w:val="24"/>
          <w:lang w:val="fr-FR"/>
        </w:rPr>
      </w:pPr>
      <w:r w:rsidRPr="00CE70CB">
        <w:rPr>
          <w:szCs w:val="24"/>
          <w:lang w:val="fr-FR"/>
        </w:rPr>
        <w:t>b)</w:t>
      </w:r>
      <w:r w:rsidRPr="00CE70CB">
        <w:rPr>
          <w:szCs w:val="24"/>
          <w:lang w:val="fr-FR"/>
        </w:rPr>
        <w:tab/>
      </w:r>
      <w:r w:rsidR="007F5C03" w:rsidRPr="00CE70CB">
        <w:rPr>
          <w:lang w:val="fr-FR"/>
        </w:rPr>
        <w:t>L</w:t>
      </w:r>
      <w:r w:rsidRPr="00CE70CB">
        <w:rPr>
          <w:lang w:val="fr-FR"/>
        </w:rPr>
        <w:t>es colis qui satisfont aux dispositions des éditions de 1996, de 1996 (révisée), de 1996 (telle que modifiée en 2003), de 2005, de 2009 ou de 2012 du Règlement de transport des matières radioactives de l’AIEA :</w:t>
      </w:r>
    </w:p>
    <w:p w:rsidR="00267DA7" w:rsidRPr="00CE70CB" w:rsidRDefault="00267DA7" w:rsidP="00267DA7">
      <w:pPr>
        <w:pStyle w:val="SingleTxtG"/>
        <w:ind w:left="2835"/>
        <w:rPr>
          <w:szCs w:val="24"/>
          <w:lang w:val="fr-FR"/>
        </w:rPr>
      </w:pPr>
      <w:r w:rsidRPr="00CE70CB">
        <w:rPr>
          <w:szCs w:val="24"/>
          <w:lang w:val="fr-FR"/>
        </w:rPr>
        <w:t>i)</w:t>
      </w:r>
      <w:r w:rsidRPr="00CE70CB">
        <w:rPr>
          <w:szCs w:val="24"/>
          <w:lang w:val="fr-FR"/>
        </w:rPr>
        <w:tab/>
      </w:r>
      <w:r w:rsidR="007F5C03" w:rsidRPr="00CE70CB">
        <w:rPr>
          <w:szCs w:val="24"/>
          <w:lang w:val="fr-FR"/>
        </w:rPr>
        <w:t>P</w:t>
      </w:r>
      <w:r w:rsidRPr="00CE70CB">
        <w:rPr>
          <w:szCs w:val="24"/>
          <w:lang w:val="fr-FR"/>
        </w:rPr>
        <w:t>ourront encore être transportés à condition qu’ils aient été préparés pour le transport avant le 31 décembre 2025 et sous réserve des prescriptions du 1.6.6.2.3, le cas échéant ; ou</w:t>
      </w:r>
    </w:p>
    <w:p w:rsidR="00267DA7" w:rsidRPr="00CE70CB" w:rsidRDefault="00267DA7" w:rsidP="00267DA7">
      <w:pPr>
        <w:pStyle w:val="SingleTxtG"/>
        <w:keepNext/>
        <w:ind w:left="2835"/>
        <w:rPr>
          <w:szCs w:val="24"/>
          <w:lang w:val="fr-FR"/>
        </w:rPr>
      </w:pPr>
      <w:r w:rsidRPr="00CE70CB">
        <w:rPr>
          <w:szCs w:val="24"/>
          <w:lang w:val="fr-FR"/>
        </w:rPr>
        <w:t>ii)</w:t>
      </w:r>
      <w:r w:rsidRPr="00CE70CB">
        <w:rPr>
          <w:szCs w:val="24"/>
          <w:lang w:val="fr-FR"/>
        </w:rPr>
        <w:tab/>
      </w:r>
      <w:r w:rsidR="007F5C03" w:rsidRPr="00CE70CB">
        <w:rPr>
          <w:szCs w:val="24"/>
          <w:lang w:val="fr-FR"/>
        </w:rPr>
        <w:t>P</w:t>
      </w:r>
      <w:r w:rsidRPr="00CE70CB">
        <w:rPr>
          <w:szCs w:val="24"/>
          <w:lang w:val="fr-FR"/>
        </w:rPr>
        <w:t>ourront continuer à être utilisés à condition que toutes les conditions suivantes soient remplies :</w:t>
      </w:r>
    </w:p>
    <w:p w:rsidR="00267DA7" w:rsidRPr="00CE70CB" w:rsidRDefault="007F5C03" w:rsidP="0075570F">
      <w:pPr>
        <w:pStyle w:val="Bullet2G"/>
        <w:numPr>
          <w:ilvl w:val="0"/>
          <w:numId w:val="20"/>
        </w:numPr>
        <w:tabs>
          <w:tab w:val="clear" w:pos="2438"/>
          <w:tab w:val="num" w:pos="3005"/>
        </w:tabs>
        <w:ind w:left="3686" w:hanging="284"/>
        <w:rPr>
          <w:lang w:val="fr-FR"/>
        </w:rPr>
      </w:pPr>
      <w:r w:rsidRPr="00CE70CB">
        <w:rPr>
          <w:lang w:val="fr-FR"/>
        </w:rPr>
        <w:t>Les</w:t>
      </w:r>
      <w:r w:rsidR="00267DA7" w:rsidRPr="00CE70CB">
        <w:rPr>
          <w:lang w:val="fr-FR"/>
        </w:rPr>
        <w:t xml:space="preserve"> prescriptions applicables énoncées au 1.7.3 sont appliquées ;</w:t>
      </w:r>
    </w:p>
    <w:p w:rsidR="00267DA7" w:rsidRPr="00CE70CB" w:rsidRDefault="007F5C03" w:rsidP="0075570F">
      <w:pPr>
        <w:pStyle w:val="Bullet2G"/>
        <w:numPr>
          <w:ilvl w:val="0"/>
          <w:numId w:val="20"/>
        </w:numPr>
        <w:tabs>
          <w:tab w:val="clear" w:pos="2438"/>
          <w:tab w:val="num" w:pos="3005"/>
        </w:tabs>
        <w:ind w:left="3686" w:hanging="284"/>
        <w:rPr>
          <w:lang w:val="fr-FR"/>
        </w:rPr>
      </w:pPr>
      <w:r w:rsidRPr="00CE70CB">
        <w:rPr>
          <w:lang w:val="fr-FR"/>
        </w:rPr>
        <w:t>Les</w:t>
      </w:r>
      <w:r w:rsidR="00267DA7" w:rsidRPr="00CE70CB">
        <w:rPr>
          <w:lang w:val="fr-FR"/>
        </w:rPr>
        <w:t xml:space="preserve"> limites d’activité et la classification énoncées au 2.2.7 sont appliquées ;</w:t>
      </w:r>
    </w:p>
    <w:p w:rsidR="00267DA7" w:rsidRPr="00CE70CB" w:rsidRDefault="007F5C03" w:rsidP="0075570F">
      <w:pPr>
        <w:pStyle w:val="Bullet2G"/>
        <w:numPr>
          <w:ilvl w:val="0"/>
          <w:numId w:val="20"/>
        </w:numPr>
        <w:tabs>
          <w:tab w:val="clear" w:pos="2438"/>
          <w:tab w:val="num" w:pos="3005"/>
        </w:tabs>
        <w:ind w:left="3686" w:hanging="284"/>
        <w:rPr>
          <w:lang w:val="fr-FR"/>
        </w:rPr>
      </w:pPr>
      <w:r w:rsidRPr="00CE70CB">
        <w:rPr>
          <w:lang w:val="fr-FR"/>
        </w:rPr>
        <w:t>Les</w:t>
      </w:r>
      <w:r w:rsidR="00267DA7" w:rsidRPr="00CE70CB">
        <w:rPr>
          <w:lang w:val="fr-FR"/>
        </w:rPr>
        <w:t xml:space="preserve"> prescriptions et les contrôles pour le transport énoncés dans les parties 1, 3, 4, 5 et 7 sont appliqués ; et</w:t>
      </w:r>
    </w:p>
    <w:p w:rsidR="00267DA7" w:rsidRPr="00CE70CB" w:rsidRDefault="007F5C03" w:rsidP="0075570F">
      <w:pPr>
        <w:pStyle w:val="Bullet2G"/>
        <w:numPr>
          <w:ilvl w:val="0"/>
          <w:numId w:val="20"/>
        </w:numPr>
        <w:tabs>
          <w:tab w:val="clear" w:pos="2438"/>
          <w:tab w:val="num" w:pos="3005"/>
        </w:tabs>
        <w:ind w:left="3686" w:hanging="284"/>
        <w:rPr>
          <w:lang w:val="fr-FR"/>
        </w:rPr>
      </w:pPr>
      <w:r w:rsidRPr="00CE70CB">
        <w:rPr>
          <w:lang w:val="fr-FR"/>
        </w:rPr>
        <w:t>L’emballage</w:t>
      </w:r>
      <w:r w:rsidR="00267DA7" w:rsidRPr="00CE70CB">
        <w:rPr>
          <w:lang w:val="fr-FR"/>
        </w:rPr>
        <w:t xml:space="preserve"> n’a pas été fabriqué ou modifié après le 31 décembre 2025. »</w:t>
      </w:r>
    </w:p>
    <w:p w:rsidR="00481649" w:rsidRPr="00CE70CB" w:rsidRDefault="00481649" w:rsidP="00267DA7">
      <w:pPr>
        <w:pStyle w:val="SingleTxtG"/>
        <w:tabs>
          <w:tab w:val="left" w:pos="2268"/>
        </w:tabs>
        <w:ind w:left="2259" w:hanging="1125"/>
        <w:rPr>
          <w:szCs w:val="24"/>
          <w:lang w:val="fr-FR"/>
        </w:rPr>
      </w:pPr>
      <w:r w:rsidRPr="00CE70CB">
        <w:rPr>
          <w:szCs w:val="24"/>
          <w:lang w:val="fr-FR"/>
        </w:rPr>
        <w:t>1.6.6.2</w:t>
      </w:r>
      <w:r w:rsidR="00267DA7" w:rsidRPr="00CE70CB">
        <w:rPr>
          <w:szCs w:val="24"/>
          <w:lang w:val="fr-FR"/>
        </w:rPr>
        <w:tab/>
        <w:t xml:space="preserve">Modifier le titre pour lire : </w:t>
      </w:r>
    </w:p>
    <w:p w:rsidR="00267DA7" w:rsidRPr="00CE70CB" w:rsidRDefault="00481649" w:rsidP="00267DA7">
      <w:pPr>
        <w:pStyle w:val="SingleTxtG"/>
        <w:tabs>
          <w:tab w:val="left" w:pos="2268"/>
        </w:tabs>
        <w:ind w:left="2259" w:hanging="1125"/>
        <w:rPr>
          <w:szCs w:val="24"/>
          <w:lang w:val="fr-FR"/>
        </w:rPr>
      </w:pPr>
      <w:r w:rsidRPr="00CE70CB">
        <w:rPr>
          <w:szCs w:val="24"/>
          <w:lang w:val="fr-FR"/>
        </w:rPr>
        <w:tab/>
      </w:r>
      <w:r w:rsidR="00267DA7" w:rsidRPr="00CE70CB">
        <w:rPr>
          <w:szCs w:val="24"/>
          <w:lang w:val="fr-FR"/>
        </w:rPr>
        <w:t>« </w:t>
      </w:r>
      <w:r w:rsidRPr="00CE70CB">
        <w:rPr>
          <w:b/>
          <w:bCs/>
          <w:szCs w:val="24"/>
          <w:lang w:val="fr-FR"/>
        </w:rPr>
        <w:t>1.6.6.2</w:t>
      </w:r>
      <w:r w:rsidRPr="00CE70CB">
        <w:rPr>
          <w:b/>
          <w:bCs/>
          <w:szCs w:val="24"/>
          <w:lang w:val="fr-FR"/>
        </w:rPr>
        <w:tab/>
      </w:r>
      <w:r w:rsidR="00267DA7" w:rsidRPr="00CE70CB">
        <w:rPr>
          <w:b/>
          <w:bCs/>
          <w:i/>
          <w:iCs/>
          <w:lang w:val="fr-FR"/>
        </w:rPr>
        <w:t>Modèles de colis agréés par l’autorité compétente en vertu des éditions de 1985, de 1985 (telle que modifiée en 1990), de 1996, de 1996 (révisée), de 1996 (telle que modifiée en 2003), de 2005, de 2009 et de 2012 du Règlement de transport des matières radioactives de l’AIEA</w:t>
      </w:r>
      <w:r w:rsidR="00267DA7" w:rsidRPr="00CE70CB">
        <w:rPr>
          <w:szCs w:val="24"/>
          <w:lang w:val="fr-FR"/>
        </w:rPr>
        <w:t> »</w:t>
      </w:r>
    </w:p>
    <w:p w:rsidR="00267DA7" w:rsidRPr="00CE70CB" w:rsidRDefault="00267DA7" w:rsidP="00267DA7">
      <w:pPr>
        <w:pStyle w:val="SingleTxtG"/>
        <w:tabs>
          <w:tab w:val="left" w:pos="2268"/>
        </w:tabs>
        <w:ind w:left="2259" w:hanging="1125"/>
        <w:rPr>
          <w:szCs w:val="24"/>
          <w:lang w:val="fr-FR"/>
        </w:rPr>
      </w:pPr>
      <w:r w:rsidRPr="00CE70CB">
        <w:rPr>
          <w:szCs w:val="24"/>
          <w:lang w:val="fr-FR"/>
        </w:rPr>
        <w:t>1.6.6.2.1</w:t>
      </w:r>
      <w:r w:rsidRPr="00CE70CB">
        <w:rPr>
          <w:szCs w:val="24"/>
          <w:lang w:val="fr-FR"/>
        </w:rPr>
        <w:tab/>
        <w:t>Modifier pour lire comme suit :</w:t>
      </w:r>
    </w:p>
    <w:p w:rsidR="00267DA7" w:rsidRPr="00CE70CB" w:rsidRDefault="008C774D" w:rsidP="00267DA7">
      <w:pPr>
        <w:pStyle w:val="SingleTxtG"/>
        <w:tabs>
          <w:tab w:val="left" w:pos="2268"/>
        </w:tabs>
        <w:ind w:left="2259" w:hanging="1125"/>
        <w:rPr>
          <w:szCs w:val="24"/>
          <w:lang w:val="fr-FR"/>
        </w:rPr>
      </w:pPr>
      <w:r w:rsidRPr="00CE70CB">
        <w:rPr>
          <w:szCs w:val="24"/>
          <w:lang w:val="fr-FR"/>
        </w:rPr>
        <w:lastRenderedPageBreak/>
        <w:tab/>
      </w:r>
      <w:r w:rsidR="00267DA7" w:rsidRPr="00CE70CB">
        <w:rPr>
          <w:szCs w:val="24"/>
          <w:lang w:val="fr-FR"/>
        </w:rPr>
        <w:t>« 1.6.6.2.1</w:t>
      </w:r>
      <w:r w:rsidR="00267DA7" w:rsidRPr="00CE70CB">
        <w:rPr>
          <w:szCs w:val="24"/>
          <w:lang w:val="fr-FR"/>
        </w:rPr>
        <w:tab/>
        <w:t xml:space="preserve">Les colis dont le modèle doit être agréé par l’autorité compétente doivent satisfaire intégralement aux prescriptions de l’ADR, mais : </w:t>
      </w:r>
    </w:p>
    <w:p w:rsidR="00267DA7" w:rsidRPr="00CE70CB" w:rsidRDefault="00267DA7" w:rsidP="00267DA7">
      <w:pPr>
        <w:pStyle w:val="SingleTxtG"/>
        <w:tabs>
          <w:tab w:val="left" w:pos="2835"/>
        </w:tabs>
        <w:ind w:left="2835" w:hanging="567"/>
        <w:rPr>
          <w:szCs w:val="24"/>
          <w:lang w:val="fr-FR"/>
        </w:rPr>
      </w:pPr>
      <w:r w:rsidRPr="00CE70CB">
        <w:rPr>
          <w:szCs w:val="24"/>
          <w:lang w:val="fr-FR"/>
        </w:rPr>
        <w:t>a)</w:t>
      </w:r>
      <w:r w:rsidRPr="00CE70CB">
        <w:rPr>
          <w:szCs w:val="24"/>
          <w:lang w:val="fr-FR"/>
        </w:rPr>
        <w:tab/>
      </w:r>
      <w:r w:rsidRPr="00CE70CB">
        <w:rPr>
          <w:lang w:val="fr-FR"/>
        </w:rPr>
        <w:t>Les emballages qui ont été fabriqués suivant un modèle de colis agréé par l’autorité compétente en vertu des dispositions de l’édition de 1985 ou de l’édition de 1985 (telle que modifiée en 1990) du Règlement de transport des matières radioactives de l’AIEA peuvent encore être utilisés à condition que toutes les conditions suivantes sont réunies :</w:t>
      </w:r>
    </w:p>
    <w:p w:rsidR="00267DA7" w:rsidRPr="00CE70CB" w:rsidRDefault="00267DA7" w:rsidP="00267DA7">
      <w:pPr>
        <w:pStyle w:val="SingleTxtG"/>
        <w:tabs>
          <w:tab w:val="left" w:pos="2268"/>
        </w:tabs>
        <w:ind w:left="3402" w:hanging="567"/>
        <w:rPr>
          <w:szCs w:val="24"/>
          <w:lang w:val="fr-FR"/>
        </w:rPr>
      </w:pPr>
      <w:r w:rsidRPr="00CE70CB">
        <w:rPr>
          <w:szCs w:val="24"/>
          <w:lang w:val="fr-FR"/>
        </w:rPr>
        <w:t>i)</w:t>
      </w:r>
      <w:r w:rsidRPr="00CE70CB">
        <w:rPr>
          <w:szCs w:val="24"/>
          <w:lang w:val="fr-FR"/>
        </w:rPr>
        <w:tab/>
        <w:t>Le modèle de colis est soumis à un agrément multilatéral ;</w:t>
      </w:r>
    </w:p>
    <w:p w:rsidR="00267DA7" w:rsidRPr="00CE70CB" w:rsidRDefault="00267DA7" w:rsidP="00267DA7">
      <w:pPr>
        <w:pStyle w:val="SingleTxtG"/>
        <w:tabs>
          <w:tab w:val="left" w:pos="2268"/>
        </w:tabs>
        <w:ind w:left="3402" w:hanging="567"/>
        <w:rPr>
          <w:szCs w:val="24"/>
          <w:lang w:val="fr-FR"/>
        </w:rPr>
      </w:pPr>
      <w:r w:rsidRPr="00CE70CB">
        <w:rPr>
          <w:szCs w:val="24"/>
          <w:lang w:val="fr-FR"/>
        </w:rPr>
        <w:t>ii)</w:t>
      </w:r>
      <w:r w:rsidRPr="00CE70CB">
        <w:rPr>
          <w:szCs w:val="24"/>
          <w:lang w:val="fr-FR"/>
        </w:rPr>
        <w:tab/>
        <w:t>Les prescriptions applicables énoncées au 1.7.3</w:t>
      </w:r>
      <w:r w:rsidRPr="00CE70CB" w:rsidDel="00D0266F">
        <w:rPr>
          <w:szCs w:val="24"/>
          <w:lang w:val="fr-FR"/>
        </w:rPr>
        <w:t xml:space="preserve"> </w:t>
      </w:r>
      <w:r w:rsidRPr="00CE70CB">
        <w:rPr>
          <w:szCs w:val="24"/>
          <w:lang w:val="fr-FR"/>
        </w:rPr>
        <w:t>sont appliquées ;</w:t>
      </w:r>
    </w:p>
    <w:p w:rsidR="00267DA7" w:rsidRPr="00CE70CB" w:rsidRDefault="00267DA7" w:rsidP="00267DA7">
      <w:pPr>
        <w:pStyle w:val="SingleTxtG"/>
        <w:tabs>
          <w:tab w:val="left" w:pos="2268"/>
        </w:tabs>
        <w:ind w:left="3402" w:hanging="567"/>
        <w:rPr>
          <w:szCs w:val="24"/>
          <w:lang w:val="fr-FR"/>
        </w:rPr>
      </w:pPr>
      <w:r w:rsidRPr="00CE70CB">
        <w:rPr>
          <w:szCs w:val="24"/>
          <w:lang w:val="fr-FR"/>
        </w:rPr>
        <w:t>iii)</w:t>
      </w:r>
      <w:r w:rsidRPr="00CE70CB">
        <w:rPr>
          <w:szCs w:val="24"/>
          <w:lang w:val="fr-FR"/>
        </w:rPr>
        <w:tab/>
        <w:t>Les limites d’activité et la classification énoncées au 2.2.7</w:t>
      </w:r>
      <w:r w:rsidRPr="00CE70CB" w:rsidDel="00F90DEB">
        <w:rPr>
          <w:szCs w:val="24"/>
          <w:lang w:val="fr-FR"/>
        </w:rPr>
        <w:t xml:space="preserve"> </w:t>
      </w:r>
      <w:r w:rsidRPr="00CE70CB">
        <w:rPr>
          <w:szCs w:val="24"/>
          <w:lang w:val="fr-FR"/>
        </w:rPr>
        <w:t>sont appliquées ; et</w:t>
      </w:r>
    </w:p>
    <w:p w:rsidR="00267DA7" w:rsidRPr="00CE70CB" w:rsidRDefault="00267DA7" w:rsidP="00267DA7">
      <w:pPr>
        <w:pStyle w:val="SingleTxtG"/>
        <w:tabs>
          <w:tab w:val="left" w:pos="2268"/>
        </w:tabs>
        <w:ind w:left="3402" w:hanging="567"/>
        <w:rPr>
          <w:szCs w:val="24"/>
          <w:lang w:val="fr-FR"/>
        </w:rPr>
      </w:pPr>
      <w:r w:rsidRPr="00CE70CB">
        <w:rPr>
          <w:szCs w:val="24"/>
          <w:lang w:val="fr-FR"/>
        </w:rPr>
        <w:t>iv)</w:t>
      </w:r>
      <w:r w:rsidRPr="00CE70CB">
        <w:rPr>
          <w:szCs w:val="24"/>
          <w:lang w:val="fr-FR"/>
        </w:rPr>
        <w:tab/>
        <w:t xml:space="preserve">Les prescriptions et les contrôles pour le transport, énoncés dans les parties 1, 3, 4, 5 et 7, sont appliqués ; </w:t>
      </w:r>
    </w:p>
    <w:p w:rsidR="00267DA7" w:rsidRPr="00CE70CB" w:rsidRDefault="00267DA7" w:rsidP="00267DA7">
      <w:pPr>
        <w:pStyle w:val="SingleTxtG"/>
        <w:tabs>
          <w:tab w:val="left" w:pos="2268"/>
        </w:tabs>
        <w:ind w:left="3402" w:hanging="567"/>
        <w:rPr>
          <w:szCs w:val="24"/>
          <w:lang w:val="fr-FR"/>
        </w:rPr>
      </w:pPr>
      <w:r w:rsidRPr="00CE70CB">
        <w:rPr>
          <w:szCs w:val="24"/>
          <w:lang w:val="fr-FR"/>
        </w:rPr>
        <w:t>v)</w:t>
      </w:r>
      <w:r w:rsidRPr="00CE70CB">
        <w:rPr>
          <w:szCs w:val="24"/>
          <w:lang w:val="fr-FR"/>
        </w:rPr>
        <w:tab/>
      </w:r>
      <w:r w:rsidRPr="00CE70CB">
        <w:rPr>
          <w:i/>
          <w:iCs/>
          <w:szCs w:val="24"/>
          <w:lang w:val="fr-FR"/>
        </w:rPr>
        <w:t>(Réservé)</w:t>
      </w:r>
      <w:r w:rsidRPr="00CE70CB">
        <w:rPr>
          <w:szCs w:val="24"/>
          <w:lang w:val="fr-FR"/>
        </w:rPr>
        <w:t> ;</w:t>
      </w:r>
    </w:p>
    <w:p w:rsidR="00267DA7" w:rsidRPr="00CE70CB" w:rsidRDefault="00267DA7" w:rsidP="00267DA7">
      <w:pPr>
        <w:pStyle w:val="SingleTxtG"/>
        <w:tabs>
          <w:tab w:val="left" w:pos="2835"/>
        </w:tabs>
        <w:ind w:left="2835" w:hanging="567"/>
        <w:rPr>
          <w:szCs w:val="24"/>
          <w:lang w:val="fr-FR"/>
        </w:rPr>
      </w:pPr>
      <w:r w:rsidRPr="00CE70CB">
        <w:rPr>
          <w:szCs w:val="24"/>
          <w:lang w:val="fr-FR"/>
        </w:rPr>
        <w:t>b)</w:t>
      </w:r>
      <w:r w:rsidRPr="00CE70CB">
        <w:rPr>
          <w:szCs w:val="24"/>
          <w:lang w:val="fr-FR"/>
        </w:rPr>
        <w:tab/>
      </w:r>
      <w:r w:rsidRPr="00CE70CB">
        <w:rPr>
          <w:lang w:val="fr-FR"/>
        </w:rPr>
        <w:t>Les emballages qui ont été fabriqués suivant un modèle de colis agréé par l’autorité compétente en vertu des dispositions des éditions de 1996, de 1996 (révisée), de 1996 (telle que modifiée en 2003), de 2005, de 2009 et de 2012 du Règlement de transport des matières radioactives de l’AIEA, peuvent encore être utilisés à condition que toutes les conditions suivantes sont réunies :</w:t>
      </w:r>
    </w:p>
    <w:p w:rsidR="00267DA7" w:rsidRPr="00CE70CB" w:rsidRDefault="00267DA7" w:rsidP="00267DA7">
      <w:pPr>
        <w:pStyle w:val="SingleTxtG"/>
        <w:ind w:left="3402" w:hanging="567"/>
        <w:rPr>
          <w:szCs w:val="24"/>
          <w:lang w:val="fr-FR"/>
        </w:rPr>
      </w:pPr>
      <w:r w:rsidRPr="00CE70CB">
        <w:rPr>
          <w:szCs w:val="24"/>
          <w:lang w:val="fr-FR"/>
        </w:rPr>
        <w:t>i)</w:t>
      </w:r>
      <w:r w:rsidRPr="00CE70CB">
        <w:rPr>
          <w:szCs w:val="24"/>
          <w:lang w:val="fr-FR"/>
        </w:rPr>
        <w:tab/>
        <w:t>Le modèle de colis est soumis à un agrément multilatéral après le 31 décembre 2025 ;</w:t>
      </w:r>
    </w:p>
    <w:p w:rsidR="00267DA7" w:rsidRPr="00CE70CB" w:rsidRDefault="00267DA7" w:rsidP="00267DA7">
      <w:pPr>
        <w:pStyle w:val="SingleTxtG"/>
        <w:ind w:left="3402" w:hanging="567"/>
        <w:rPr>
          <w:szCs w:val="24"/>
          <w:lang w:val="fr-FR"/>
        </w:rPr>
      </w:pPr>
      <w:r w:rsidRPr="00CE70CB">
        <w:rPr>
          <w:szCs w:val="24"/>
          <w:lang w:val="fr-FR"/>
        </w:rPr>
        <w:t>ii)</w:t>
      </w:r>
      <w:r w:rsidRPr="00CE70CB">
        <w:rPr>
          <w:szCs w:val="24"/>
          <w:lang w:val="fr-FR"/>
        </w:rPr>
        <w:tab/>
        <w:t>Les prescriptions applicables énoncées au 1.7.3</w:t>
      </w:r>
      <w:r w:rsidRPr="00CE70CB" w:rsidDel="00692F26">
        <w:rPr>
          <w:szCs w:val="24"/>
          <w:lang w:val="fr-FR"/>
        </w:rPr>
        <w:t xml:space="preserve"> </w:t>
      </w:r>
      <w:r w:rsidRPr="00CE70CB">
        <w:rPr>
          <w:szCs w:val="24"/>
          <w:lang w:val="fr-FR"/>
        </w:rPr>
        <w:t>sont appliquées ;</w:t>
      </w:r>
    </w:p>
    <w:p w:rsidR="00267DA7" w:rsidRPr="00CE70CB" w:rsidRDefault="00267DA7" w:rsidP="00267DA7">
      <w:pPr>
        <w:pStyle w:val="SingleTxtG"/>
        <w:ind w:left="3402" w:hanging="567"/>
        <w:rPr>
          <w:szCs w:val="24"/>
          <w:lang w:val="fr-FR"/>
        </w:rPr>
      </w:pPr>
      <w:r w:rsidRPr="00CE70CB">
        <w:rPr>
          <w:szCs w:val="24"/>
          <w:lang w:val="fr-FR"/>
        </w:rPr>
        <w:t>iii)</w:t>
      </w:r>
      <w:r w:rsidRPr="00CE70CB">
        <w:rPr>
          <w:szCs w:val="24"/>
          <w:lang w:val="fr-FR"/>
        </w:rPr>
        <w:tab/>
        <w:t>Les limites d’activité et les restrictions concernant les matières énoncées au 2.2.7 sont appliquées ; et</w:t>
      </w:r>
    </w:p>
    <w:p w:rsidR="00267DA7" w:rsidRPr="00CE70CB" w:rsidRDefault="00267DA7" w:rsidP="00267DA7">
      <w:pPr>
        <w:pStyle w:val="SingleTxtG"/>
        <w:ind w:left="3402" w:hanging="567"/>
        <w:rPr>
          <w:szCs w:val="24"/>
          <w:lang w:val="fr-FR"/>
        </w:rPr>
      </w:pPr>
      <w:r w:rsidRPr="00CE70CB">
        <w:rPr>
          <w:szCs w:val="24"/>
          <w:lang w:val="fr-FR"/>
        </w:rPr>
        <w:t>iv)</w:t>
      </w:r>
      <w:r w:rsidRPr="00CE70CB">
        <w:rPr>
          <w:szCs w:val="24"/>
          <w:lang w:val="fr-FR"/>
        </w:rPr>
        <w:tab/>
        <w:t>Les prescriptions et les contrôles pour le transport, énoncés dans les parties 1, 3, 4, 5 et 7 sont appliqués. »</w:t>
      </w:r>
    </w:p>
    <w:p w:rsidR="00267DA7" w:rsidRPr="00CE70CB" w:rsidRDefault="00267DA7" w:rsidP="00267DA7">
      <w:pPr>
        <w:pStyle w:val="SingleTxtG"/>
        <w:tabs>
          <w:tab w:val="left" w:pos="2268"/>
        </w:tabs>
        <w:ind w:left="2259" w:hanging="1125"/>
        <w:rPr>
          <w:lang w:val="fr-FR"/>
        </w:rPr>
      </w:pPr>
      <w:r w:rsidRPr="00CE70CB">
        <w:rPr>
          <w:lang w:val="fr-FR"/>
        </w:rPr>
        <w:t>1.6.6.2.2</w:t>
      </w:r>
      <w:r w:rsidRPr="00CE70CB">
        <w:rPr>
          <w:lang w:val="fr-FR"/>
        </w:rPr>
        <w:tab/>
        <w:t xml:space="preserve">Modifier pour lire : </w:t>
      </w:r>
    </w:p>
    <w:p w:rsidR="00267DA7" w:rsidRPr="00CE70CB" w:rsidRDefault="00C85455" w:rsidP="00267DA7">
      <w:pPr>
        <w:pStyle w:val="SingleTxtG"/>
        <w:tabs>
          <w:tab w:val="left" w:pos="2268"/>
        </w:tabs>
        <w:ind w:left="2259" w:hanging="1125"/>
        <w:rPr>
          <w:lang w:val="fr-FR"/>
        </w:rPr>
      </w:pPr>
      <w:r w:rsidRPr="00CE70CB">
        <w:rPr>
          <w:lang w:val="fr-FR"/>
        </w:rPr>
        <w:tab/>
      </w:r>
      <w:r w:rsidR="00267DA7" w:rsidRPr="00CE70CB">
        <w:rPr>
          <w:lang w:val="fr-FR"/>
        </w:rPr>
        <w:t xml:space="preserve">« 1.6.6.2.2 </w:t>
      </w:r>
      <w:r w:rsidR="00267DA7" w:rsidRPr="00CE70CB">
        <w:rPr>
          <w:lang w:val="fr-FR"/>
        </w:rPr>
        <w:tab/>
        <w:t>Il n’est pas permis de commencer une nouvelle fabrication d’emballages suivant un modèle de colis satisfaisant aux dispositions des éditions de 1985 ou de 1985 (revue en 1990) du Règlement de transport des matières radioactives de l’AIEA. »</w:t>
      </w:r>
    </w:p>
    <w:p w:rsidR="00267DA7" w:rsidRPr="00CE70CB" w:rsidRDefault="00267DA7" w:rsidP="00267DA7">
      <w:pPr>
        <w:pStyle w:val="SingleTxtG"/>
        <w:tabs>
          <w:tab w:val="left" w:pos="2268"/>
        </w:tabs>
        <w:ind w:left="2259" w:hanging="1125"/>
        <w:rPr>
          <w:szCs w:val="24"/>
          <w:lang w:val="fr-FR"/>
        </w:rPr>
      </w:pPr>
      <w:r w:rsidRPr="00CE70CB">
        <w:rPr>
          <w:szCs w:val="24"/>
          <w:lang w:val="fr-FR"/>
        </w:rPr>
        <w:t>1.6.6.2.3</w:t>
      </w:r>
      <w:r w:rsidRPr="00CE70CB">
        <w:rPr>
          <w:szCs w:val="24"/>
          <w:lang w:val="fr-FR"/>
        </w:rPr>
        <w:tab/>
        <w:t>Ajouter un nouveau paragraphe 1.6.6.2.3 ainsi libellé :</w:t>
      </w:r>
    </w:p>
    <w:p w:rsidR="00267DA7" w:rsidRPr="00CE70CB" w:rsidRDefault="00C85455" w:rsidP="00267DA7">
      <w:pPr>
        <w:pStyle w:val="SingleTxtG"/>
        <w:tabs>
          <w:tab w:val="left" w:pos="2268"/>
        </w:tabs>
        <w:ind w:left="2259" w:hanging="1125"/>
        <w:rPr>
          <w:szCs w:val="24"/>
          <w:lang w:val="fr-FR"/>
        </w:rPr>
      </w:pPr>
      <w:r w:rsidRPr="00CE70CB">
        <w:rPr>
          <w:szCs w:val="24"/>
          <w:lang w:val="fr-FR"/>
        </w:rPr>
        <w:tab/>
      </w:r>
      <w:r w:rsidR="00267DA7" w:rsidRPr="00CE70CB">
        <w:rPr>
          <w:szCs w:val="24"/>
          <w:lang w:val="fr-FR"/>
        </w:rPr>
        <w:t>« 1.6.6.2.3</w:t>
      </w:r>
      <w:r w:rsidR="00267DA7" w:rsidRPr="00CE70CB">
        <w:rPr>
          <w:szCs w:val="24"/>
          <w:lang w:val="fr-FR"/>
        </w:rPr>
        <w:tab/>
      </w:r>
      <w:r w:rsidR="00267DA7" w:rsidRPr="00CE70CB">
        <w:rPr>
          <w:lang w:val="fr-FR"/>
        </w:rPr>
        <w:t>Il n’est pas permis de commencer après le 31 décembre 2028 une nouvelle fabrication d’emballages suivant un modèle de colis satisfaisant aux dispositions des éditions de 1996, de 1996 (révisée), de 1996 (telle que modifiée en 2003), de 2005, de 2009 et de 2012 du Règlement de transport des matières radioactives de l’AIEA.</w:t>
      </w:r>
      <w:r w:rsidR="00267DA7" w:rsidRPr="00CE70CB">
        <w:rPr>
          <w:szCs w:val="24"/>
          <w:lang w:val="fr-FR"/>
        </w:rPr>
        <w:t> »</w:t>
      </w:r>
    </w:p>
    <w:p w:rsidR="00EF6462" w:rsidRPr="00CE70CB" w:rsidRDefault="00267DA7" w:rsidP="00267DA7">
      <w:pPr>
        <w:pStyle w:val="SingleTxtG"/>
        <w:tabs>
          <w:tab w:val="left" w:pos="2268"/>
        </w:tabs>
        <w:ind w:left="2259" w:hanging="1125"/>
        <w:rPr>
          <w:lang w:val="fr-FR"/>
        </w:rPr>
      </w:pPr>
      <w:r w:rsidRPr="00CE70CB">
        <w:rPr>
          <w:lang w:val="fr-FR"/>
        </w:rPr>
        <w:t>1.6.6.3</w:t>
      </w:r>
      <w:r w:rsidRPr="00CE70CB">
        <w:rPr>
          <w:lang w:val="fr-FR"/>
        </w:rPr>
        <w:tab/>
      </w:r>
      <w:r w:rsidRPr="00CE70CB">
        <w:rPr>
          <w:lang w:val="fr-FR"/>
        </w:rPr>
        <w:tab/>
        <w:t xml:space="preserve">Modifier le titre pour lire : </w:t>
      </w:r>
    </w:p>
    <w:p w:rsidR="00267DA7" w:rsidRPr="00CE70CB" w:rsidRDefault="00EF6462" w:rsidP="00267DA7">
      <w:pPr>
        <w:pStyle w:val="SingleTxtG"/>
        <w:tabs>
          <w:tab w:val="left" w:pos="2268"/>
        </w:tabs>
        <w:ind w:left="2259" w:hanging="1125"/>
        <w:rPr>
          <w:lang w:val="fr-FR"/>
        </w:rPr>
      </w:pPr>
      <w:r w:rsidRPr="00CE70CB">
        <w:rPr>
          <w:lang w:val="fr-FR"/>
        </w:rPr>
        <w:tab/>
      </w:r>
      <w:r w:rsidR="00267DA7" w:rsidRPr="00CE70CB">
        <w:rPr>
          <w:lang w:val="fr-FR"/>
        </w:rPr>
        <w:t>« </w:t>
      </w:r>
      <w:r w:rsidRPr="00CE70CB">
        <w:rPr>
          <w:b/>
          <w:bCs/>
          <w:lang w:val="fr-FR"/>
        </w:rPr>
        <w:t>1.6.6.3</w:t>
      </w:r>
      <w:r w:rsidRPr="00CE70CB">
        <w:rPr>
          <w:b/>
          <w:bCs/>
          <w:i/>
          <w:iCs/>
          <w:lang w:val="fr-FR"/>
        </w:rPr>
        <w:tab/>
      </w:r>
      <w:r w:rsidR="00267DA7" w:rsidRPr="00CE70CB">
        <w:rPr>
          <w:b/>
          <w:bCs/>
          <w:i/>
          <w:iCs/>
          <w:lang w:val="fr-FR"/>
        </w:rPr>
        <w:t>Colis exceptés des prescriptions concernant les matières fissiles sous les éditions 2011 et 2013 de l’ADR (édition de 2009 du Règlement de transport des matières radioactives de l’AIEA)</w:t>
      </w:r>
      <w:r w:rsidR="00267DA7" w:rsidRPr="00CE70CB">
        <w:rPr>
          <w:lang w:val="fr-FR"/>
        </w:rPr>
        <w:t> »</w:t>
      </w:r>
    </w:p>
    <w:p w:rsidR="00EF6462" w:rsidRPr="00CE70CB" w:rsidRDefault="00267DA7" w:rsidP="00267DA7">
      <w:pPr>
        <w:pStyle w:val="SingleTxtG"/>
        <w:tabs>
          <w:tab w:val="left" w:pos="2268"/>
        </w:tabs>
        <w:ind w:left="2259" w:hanging="1125"/>
        <w:rPr>
          <w:szCs w:val="24"/>
          <w:lang w:val="fr-FR"/>
        </w:rPr>
      </w:pPr>
      <w:r w:rsidRPr="00CE70CB">
        <w:rPr>
          <w:szCs w:val="24"/>
          <w:lang w:val="fr-FR"/>
        </w:rPr>
        <w:t xml:space="preserve">1.6.6.4 </w:t>
      </w:r>
      <w:r w:rsidRPr="00CE70CB">
        <w:rPr>
          <w:szCs w:val="24"/>
          <w:lang w:val="fr-FR"/>
        </w:rPr>
        <w:tab/>
        <w:t xml:space="preserve">Modifier le titre pour lire : </w:t>
      </w:r>
    </w:p>
    <w:p w:rsidR="00267DA7" w:rsidRPr="00CE70CB" w:rsidRDefault="00EF6462" w:rsidP="00267DA7">
      <w:pPr>
        <w:pStyle w:val="SingleTxtG"/>
        <w:tabs>
          <w:tab w:val="left" w:pos="2268"/>
        </w:tabs>
        <w:ind w:left="2259" w:hanging="1125"/>
        <w:rPr>
          <w:szCs w:val="24"/>
          <w:lang w:val="fr-FR"/>
        </w:rPr>
      </w:pPr>
      <w:r w:rsidRPr="00CE70CB">
        <w:rPr>
          <w:szCs w:val="24"/>
          <w:lang w:val="fr-FR"/>
        </w:rPr>
        <w:tab/>
      </w:r>
      <w:r w:rsidR="00267DA7" w:rsidRPr="00CE70CB">
        <w:rPr>
          <w:szCs w:val="24"/>
          <w:lang w:val="fr-FR"/>
        </w:rPr>
        <w:t>« </w:t>
      </w:r>
      <w:r w:rsidRPr="00CE70CB">
        <w:rPr>
          <w:b/>
          <w:bCs/>
          <w:szCs w:val="24"/>
          <w:lang w:val="fr-FR"/>
        </w:rPr>
        <w:t>1.6.6.4</w:t>
      </w:r>
      <w:r w:rsidRPr="00CE70CB">
        <w:rPr>
          <w:b/>
          <w:bCs/>
          <w:szCs w:val="24"/>
          <w:lang w:val="fr-FR"/>
        </w:rPr>
        <w:tab/>
      </w:r>
      <w:r w:rsidR="00267DA7" w:rsidRPr="00CE70CB">
        <w:rPr>
          <w:b/>
          <w:bCs/>
          <w:i/>
          <w:iCs/>
          <w:lang w:val="fr-FR"/>
        </w:rPr>
        <w:t>Matières radioactives sous forme spéciale agréées en vertu des éditions de 1985, de 1985 (telle que modifiée en 1990), de 1996, de 1996 (révisée), de 1996 (telle que modifiée en 2003), de 2005, de 2009 et de 2012 du Règlement de transport des matières radioactives de l’AIEA</w:t>
      </w:r>
      <w:r w:rsidR="00267DA7" w:rsidRPr="00CE70CB">
        <w:rPr>
          <w:szCs w:val="24"/>
          <w:lang w:val="fr-FR"/>
        </w:rPr>
        <w:t> »</w:t>
      </w:r>
    </w:p>
    <w:p w:rsidR="00267DA7" w:rsidRPr="00CE70CB" w:rsidRDefault="00267DA7" w:rsidP="00267DA7">
      <w:pPr>
        <w:pStyle w:val="SingleTxtG"/>
        <w:tabs>
          <w:tab w:val="left" w:pos="2268"/>
        </w:tabs>
        <w:ind w:left="2259" w:hanging="1125"/>
        <w:rPr>
          <w:szCs w:val="24"/>
          <w:lang w:val="fr-FR"/>
        </w:rPr>
      </w:pPr>
      <w:r w:rsidRPr="00CE70CB">
        <w:rPr>
          <w:szCs w:val="24"/>
          <w:lang w:val="fr-FR"/>
        </w:rPr>
        <w:t>1.6.6.4</w:t>
      </w:r>
      <w:r w:rsidRPr="00CE70CB">
        <w:rPr>
          <w:szCs w:val="24"/>
          <w:lang w:val="fr-FR"/>
        </w:rPr>
        <w:tab/>
        <w:t>Modifier le texte sous le titre pour lire comme suit :</w:t>
      </w:r>
    </w:p>
    <w:p w:rsidR="00267DA7" w:rsidRPr="00CE70CB" w:rsidRDefault="00267DA7" w:rsidP="00267DA7">
      <w:pPr>
        <w:pStyle w:val="SingleTxtG"/>
        <w:tabs>
          <w:tab w:val="left" w:pos="2268"/>
        </w:tabs>
        <w:ind w:left="2259" w:hanging="1125"/>
        <w:rPr>
          <w:szCs w:val="24"/>
          <w:lang w:val="fr-FR"/>
        </w:rPr>
      </w:pPr>
      <w:r w:rsidRPr="00CE70CB">
        <w:rPr>
          <w:szCs w:val="24"/>
          <w:lang w:val="fr-FR"/>
        </w:rPr>
        <w:lastRenderedPageBreak/>
        <w:tab/>
        <w:t>« </w:t>
      </w:r>
      <w:r w:rsidRPr="00CE70CB">
        <w:rPr>
          <w:lang w:val="fr-FR"/>
        </w:rPr>
        <w:t>Les matières radioactives sous forme spéciale fabriquées suivant un modèle qui a reçu l’agrément unilatéral de l’autorité compétente en vertu des éditions de 1985, de 1985 (telle que modifiée en 1990), de 1996, de 1996 (révisée), de 1996 (telle que modifiée en 2003), de 2005, de 2009 et de 2012 du Règlement de transport des matières radioactives de l’AIEA,  peuvent continuer d’être utilisées si elles satisfont au système de management obligatoire conformément aux prescriptions applicables énoncées au 1.7.3. Aucune matière radioactive sous forme spéciale fabriquée suivant un modèle qui a reçu l’agrément unilatéral de l’autorité compétente en vertu des éditions de 1985 ou de 1985 (telle que modifiée en 1990) du Règlement de transport des matières radioactives de l’AIEA ne doit être fabriquée. Il n’est pas permis de commencer après le 31 décembre 2025 une nouvelle fabrication de matières radioactives sous forme spéciale suivant un modèle ayant reçu un agrément unilatéral de l’autorité compétente en vertu des éditions de 1996, de 1996 (révisée), de 1996 (telle que modifiée en 2003), de 2005, de 2009 et de 2012 du Règlement de transport des matières radioactives de l’AIEA.</w:t>
      </w:r>
      <w:r w:rsidRPr="00CE70CB">
        <w:rPr>
          <w:szCs w:val="24"/>
          <w:lang w:val="fr-FR"/>
        </w:rPr>
        <w:t> »</w:t>
      </w:r>
    </w:p>
    <w:p w:rsidR="00267DA7" w:rsidRPr="00CE70CB" w:rsidRDefault="00267DA7" w:rsidP="00267DA7">
      <w:pPr>
        <w:pStyle w:val="H1G"/>
        <w:rPr>
          <w:lang w:val="fr-FR"/>
        </w:rPr>
      </w:pPr>
      <w:r w:rsidRPr="00CE70CB">
        <w:rPr>
          <w:lang w:val="fr-FR"/>
        </w:rPr>
        <w:tab/>
      </w:r>
      <w:r w:rsidRPr="00CE70CB">
        <w:rPr>
          <w:lang w:val="fr-FR"/>
        </w:rPr>
        <w:tab/>
        <w:t>Chapitre 1.7</w:t>
      </w:r>
    </w:p>
    <w:p w:rsidR="00267DA7" w:rsidRPr="00CE70CB" w:rsidRDefault="00267DA7" w:rsidP="00267DA7">
      <w:pPr>
        <w:pStyle w:val="SingleTxtG"/>
        <w:tabs>
          <w:tab w:val="left" w:pos="2268"/>
        </w:tabs>
        <w:ind w:left="2259" w:hanging="1125"/>
        <w:rPr>
          <w:lang w:val="fr-FR"/>
        </w:rPr>
      </w:pPr>
      <w:r w:rsidRPr="00CE70CB">
        <w:rPr>
          <w:lang w:val="fr-FR"/>
        </w:rPr>
        <w:t>1.7.1, Nota 1</w:t>
      </w:r>
      <w:r w:rsidRPr="00CE70CB">
        <w:rPr>
          <w:lang w:val="fr-FR"/>
        </w:rPr>
        <w:tab/>
      </w:r>
      <w:r w:rsidRPr="00CE70CB">
        <w:rPr>
          <w:lang w:val="fr-FR"/>
        </w:rPr>
        <w:tab/>
        <w:t>Dans la première phrase, remplacer « En cas d’accident ou d’incident » par « </w:t>
      </w:r>
      <w:bookmarkStart w:id="4" w:name="_Hlk2241189"/>
      <w:r w:rsidRPr="00CE70CB">
        <w:rPr>
          <w:lang w:val="fr-FR"/>
        </w:rPr>
        <w:t>En cas d’urgence nucléaire ou radiologique </w:t>
      </w:r>
      <w:bookmarkEnd w:id="4"/>
      <w:r w:rsidRPr="00CE70CB">
        <w:rPr>
          <w:lang w:val="fr-FR"/>
        </w:rPr>
        <w:t>» et « les plans d’intervention, tels qu’établis par les organismes nationaux ou internationaux doivent être observés » par « </w:t>
      </w:r>
      <w:bookmarkStart w:id="5" w:name="_Hlk2241217"/>
      <w:r w:rsidRPr="00CE70CB">
        <w:rPr>
          <w:lang w:val="fr-FR"/>
        </w:rPr>
        <w:t>les dispositions prévues par les organismes nationaux ou internationaux doivent être observées </w:t>
      </w:r>
      <w:bookmarkEnd w:id="5"/>
      <w:r w:rsidRPr="00CE70CB">
        <w:rPr>
          <w:lang w:val="fr-FR"/>
        </w:rPr>
        <w:t xml:space="preserve">». </w:t>
      </w:r>
    </w:p>
    <w:p w:rsidR="00267DA7" w:rsidRPr="00CE70CB" w:rsidRDefault="00267DA7" w:rsidP="00267DA7">
      <w:pPr>
        <w:pStyle w:val="SingleTxtG"/>
        <w:tabs>
          <w:tab w:val="left" w:pos="2268"/>
        </w:tabs>
        <w:ind w:left="2259" w:hanging="1125"/>
        <w:rPr>
          <w:lang w:val="fr-FR"/>
        </w:rPr>
      </w:pPr>
      <w:r w:rsidRPr="00CE70CB">
        <w:rPr>
          <w:lang w:val="fr-FR"/>
        </w:rPr>
        <w:tab/>
        <w:t>Modifier la deuxième phrase pour lire comme suit : « </w:t>
      </w:r>
      <w:bookmarkStart w:id="6" w:name="_Hlk2241260"/>
      <w:r w:rsidRPr="00CE70CB">
        <w:rPr>
          <w:lang w:val="fr-FR"/>
        </w:rPr>
        <w:t xml:space="preserve">Ceci inclut un dispositif de préparation et d’intervention conforme aux prescriptions nationales et/ou internationales et établi de manière cohérente et coordonnée avec les dispositifs nationaux et/ou internationaux pour les situations d’urgence. </w:t>
      </w:r>
      <w:bookmarkEnd w:id="6"/>
      <w:r w:rsidRPr="00CE70CB">
        <w:rPr>
          <w:lang w:val="fr-FR"/>
        </w:rPr>
        <w:t>».</w:t>
      </w:r>
    </w:p>
    <w:p w:rsidR="00267DA7" w:rsidRPr="00CE70CB" w:rsidRDefault="00267DA7" w:rsidP="00267DA7">
      <w:pPr>
        <w:pStyle w:val="SingleTxtG"/>
        <w:tabs>
          <w:tab w:val="left" w:pos="2268"/>
        </w:tabs>
        <w:ind w:left="2259" w:hanging="1125"/>
        <w:rPr>
          <w:lang w:val="fr-FR"/>
        </w:rPr>
      </w:pPr>
      <w:r w:rsidRPr="00CE70CB">
        <w:rPr>
          <w:lang w:val="fr-FR"/>
        </w:rPr>
        <w:t>1.7.1, Nota 2</w:t>
      </w:r>
      <w:r w:rsidRPr="00CE70CB">
        <w:rPr>
          <w:lang w:val="fr-FR"/>
        </w:rPr>
        <w:tab/>
        <w:t>Modifier pour lire comme suit :</w:t>
      </w:r>
    </w:p>
    <w:p w:rsidR="00267DA7" w:rsidRPr="00CE70CB" w:rsidRDefault="00267DA7" w:rsidP="00267DA7">
      <w:pPr>
        <w:pStyle w:val="SingleTxtG"/>
        <w:tabs>
          <w:tab w:val="left" w:pos="2268"/>
        </w:tabs>
        <w:ind w:left="2259" w:hanging="1125"/>
        <w:rPr>
          <w:i/>
          <w:szCs w:val="24"/>
          <w:lang w:val="fr-FR"/>
        </w:rPr>
      </w:pPr>
      <w:r w:rsidRPr="00CE70CB">
        <w:rPr>
          <w:szCs w:val="24"/>
          <w:lang w:val="fr-FR"/>
        </w:rPr>
        <w:tab/>
        <w:t>« </w:t>
      </w:r>
      <w:r w:rsidRPr="00CE70CB">
        <w:rPr>
          <w:b/>
          <w:bCs/>
          <w:i/>
          <w:iCs/>
          <w:szCs w:val="24"/>
          <w:lang w:val="fr-FR"/>
        </w:rPr>
        <w:t>2 :</w:t>
      </w:r>
      <w:r w:rsidRPr="00CE70CB">
        <w:rPr>
          <w:i/>
          <w:iCs/>
          <w:szCs w:val="24"/>
          <w:lang w:val="fr-FR"/>
        </w:rPr>
        <w:tab/>
      </w:r>
      <w:bookmarkStart w:id="7" w:name="_Hlk2241288"/>
      <w:r w:rsidRPr="00CE70CB">
        <w:rPr>
          <w:i/>
          <w:iCs/>
          <w:szCs w:val="24"/>
          <w:lang w:val="fr-FR"/>
        </w:rPr>
        <w:t xml:space="preserve">Le dispositif de préparation et d’intervention est de type progressif et tient compte des dangers recensés et de leurs conséquences potentielles, notamment de la possibilité de formation d’autres matières dangereuses qui pourrait résulter de la réaction entre le contenu d’un envoi et l’environnement en cas d’urgence nucléaire ou radiologique. On trouvera des directives pour la mise en place de tels dispositifs dans les ouvrages suivants : Préparation et intervention en cas de situation d’urgence nucléaire ou radiologique, collection Normes de sûreté de l’AIEA, No. GSR, partie 7, AIEA, Vienne (2015) ; Critères à utiliser pour la préparation et la conduite des interventions en cas d’urgence nucléaire ou radiologique, collection Normes de sûreté de l’AIEA, No. GSG-2, IAEA, Vienne (2011) ; Arrangements for </w:t>
      </w:r>
      <w:proofErr w:type="spellStart"/>
      <w:r w:rsidRPr="00CE70CB">
        <w:rPr>
          <w:i/>
          <w:iCs/>
          <w:szCs w:val="24"/>
          <w:lang w:val="fr-FR"/>
        </w:rPr>
        <w:t>Preparedness</w:t>
      </w:r>
      <w:proofErr w:type="spellEnd"/>
      <w:r w:rsidRPr="00CE70CB">
        <w:rPr>
          <w:i/>
          <w:iCs/>
          <w:szCs w:val="24"/>
          <w:lang w:val="fr-FR"/>
        </w:rPr>
        <w:t xml:space="preserve"> for a </w:t>
      </w:r>
      <w:proofErr w:type="spellStart"/>
      <w:r w:rsidRPr="00CE70CB">
        <w:rPr>
          <w:i/>
          <w:iCs/>
          <w:szCs w:val="24"/>
          <w:lang w:val="fr-FR"/>
        </w:rPr>
        <w:t>Nuclear</w:t>
      </w:r>
      <w:proofErr w:type="spellEnd"/>
      <w:r w:rsidRPr="00CE70CB">
        <w:rPr>
          <w:i/>
          <w:iCs/>
          <w:szCs w:val="24"/>
          <w:lang w:val="fr-FR"/>
        </w:rPr>
        <w:t xml:space="preserve"> or </w:t>
      </w:r>
      <w:proofErr w:type="spellStart"/>
      <w:r w:rsidRPr="00CE70CB">
        <w:rPr>
          <w:i/>
          <w:iCs/>
          <w:szCs w:val="24"/>
          <w:lang w:val="fr-FR"/>
        </w:rPr>
        <w:t>Radiological</w:t>
      </w:r>
      <w:proofErr w:type="spellEnd"/>
      <w:r w:rsidRPr="00CE70CB">
        <w:rPr>
          <w:i/>
          <w:iCs/>
          <w:szCs w:val="24"/>
          <w:lang w:val="fr-FR"/>
        </w:rPr>
        <w:t xml:space="preserve"> Emergency, IAEA </w:t>
      </w:r>
      <w:proofErr w:type="spellStart"/>
      <w:r w:rsidRPr="00CE70CB">
        <w:rPr>
          <w:i/>
          <w:iCs/>
          <w:szCs w:val="24"/>
          <w:lang w:val="fr-FR"/>
        </w:rPr>
        <w:t>Safety</w:t>
      </w:r>
      <w:proofErr w:type="spellEnd"/>
      <w:r w:rsidRPr="00CE70CB">
        <w:rPr>
          <w:i/>
          <w:iCs/>
          <w:szCs w:val="24"/>
          <w:lang w:val="fr-FR"/>
        </w:rPr>
        <w:t xml:space="preserve"> Standards </w:t>
      </w:r>
      <w:proofErr w:type="spellStart"/>
      <w:r w:rsidRPr="00CE70CB">
        <w:rPr>
          <w:i/>
          <w:iCs/>
          <w:szCs w:val="24"/>
          <w:lang w:val="fr-FR"/>
        </w:rPr>
        <w:t>Series</w:t>
      </w:r>
      <w:proofErr w:type="spellEnd"/>
      <w:r w:rsidRPr="00CE70CB">
        <w:rPr>
          <w:i/>
          <w:iCs/>
          <w:szCs w:val="24"/>
          <w:lang w:val="fr-FR"/>
        </w:rPr>
        <w:t xml:space="preserve"> No. GS-G-2.1, IAEA, Vienne (2007), et Arrangements for the </w:t>
      </w:r>
      <w:proofErr w:type="spellStart"/>
      <w:r w:rsidRPr="00CE70CB">
        <w:rPr>
          <w:i/>
          <w:iCs/>
          <w:szCs w:val="24"/>
          <w:lang w:val="fr-FR"/>
        </w:rPr>
        <w:t>Termination</w:t>
      </w:r>
      <w:proofErr w:type="spellEnd"/>
      <w:r w:rsidRPr="00CE70CB">
        <w:rPr>
          <w:i/>
          <w:iCs/>
          <w:szCs w:val="24"/>
          <w:lang w:val="fr-FR"/>
        </w:rPr>
        <w:t xml:space="preserve"> of a </w:t>
      </w:r>
      <w:proofErr w:type="spellStart"/>
      <w:r w:rsidRPr="00CE70CB">
        <w:rPr>
          <w:i/>
          <w:iCs/>
          <w:szCs w:val="24"/>
          <w:lang w:val="fr-FR"/>
        </w:rPr>
        <w:t>Nuclear</w:t>
      </w:r>
      <w:proofErr w:type="spellEnd"/>
      <w:r w:rsidRPr="00CE70CB">
        <w:rPr>
          <w:i/>
          <w:iCs/>
          <w:szCs w:val="24"/>
          <w:lang w:val="fr-FR"/>
        </w:rPr>
        <w:t xml:space="preserve"> or </w:t>
      </w:r>
      <w:proofErr w:type="spellStart"/>
      <w:r w:rsidRPr="00CE70CB">
        <w:rPr>
          <w:i/>
          <w:iCs/>
          <w:szCs w:val="24"/>
          <w:lang w:val="fr-FR"/>
        </w:rPr>
        <w:t>Radiological</w:t>
      </w:r>
      <w:proofErr w:type="spellEnd"/>
      <w:r w:rsidRPr="00CE70CB">
        <w:rPr>
          <w:i/>
          <w:iCs/>
          <w:szCs w:val="24"/>
          <w:lang w:val="fr-FR"/>
        </w:rPr>
        <w:t xml:space="preserve"> Emergency, IAEA </w:t>
      </w:r>
      <w:proofErr w:type="spellStart"/>
      <w:r w:rsidRPr="00CE70CB">
        <w:rPr>
          <w:i/>
          <w:iCs/>
          <w:szCs w:val="24"/>
          <w:lang w:val="fr-FR"/>
        </w:rPr>
        <w:t>Safety</w:t>
      </w:r>
      <w:proofErr w:type="spellEnd"/>
      <w:r w:rsidRPr="00CE70CB">
        <w:rPr>
          <w:i/>
          <w:iCs/>
          <w:szCs w:val="24"/>
          <w:lang w:val="fr-FR"/>
        </w:rPr>
        <w:t xml:space="preserve"> Standards </w:t>
      </w:r>
      <w:proofErr w:type="spellStart"/>
      <w:r w:rsidRPr="00CE70CB">
        <w:rPr>
          <w:i/>
          <w:iCs/>
          <w:szCs w:val="24"/>
          <w:lang w:val="fr-FR"/>
        </w:rPr>
        <w:t>Series</w:t>
      </w:r>
      <w:proofErr w:type="spellEnd"/>
      <w:r w:rsidRPr="00CE70CB">
        <w:rPr>
          <w:i/>
          <w:iCs/>
          <w:szCs w:val="24"/>
          <w:lang w:val="fr-FR"/>
        </w:rPr>
        <w:t xml:space="preserve"> No. GSG-11, IAEA, Vienne (2018).</w:t>
      </w:r>
      <w:r w:rsidRPr="00CE70CB">
        <w:rPr>
          <w:szCs w:val="24"/>
          <w:lang w:val="fr-FR"/>
        </w:rPr>
        <w:t> </w:t>
      </w:r>
      <w:bookmarkEnd w:id="7"/>
      <w:r w:rsidRPr="00CE70CB">
        <w:rPr>
          <w:szCs w:val="24"/>
          <w:lang w:val="fr-FR"/>
        </w:rPr>
        <w:t>»</w:t>
      </w:r>
    </w:p>
    <w:p w:rsidR="00267DA7" w:rsidRPr="00CE70CB" w:rsidRDefault="00267DA7" w:rsidP="00267DA7">
      <w:pPr>
        <w:pStyle w:val="SingleTxtG"/>
        <w:tabs>
          <w:tab w:val="left" w:pos="2268"/>
        </w:tabs>
        <w:ind w:left="2259" w:hanging="1125"/>
        <w:rPr>
          <w:spacing w:val="-2"/>
          <w:szCs w:val="24"/>
          <w:lang w:val="fr-FR"/>
        </w:rPr>
      </w:pPr>
      <w:r w:rsidRPr="00CE70CB">
        <w:rPr>
          <w:szCs w:val="24"/>
          <w:lang w:val="fr-FR"/>
        </w:rPr>
        <w:t>1.7.1.1</w:t>
      </w:r>
      <w:r w:rsidRPr="00CE70CB">
        <w:rPr>
          <w:szCs w:val="24"/>
          <w:lang w:val="fr-FR"/>
        </w:rPr>
        <w:tab/>
        <w:t>La modification de la première phrase ne s’applique pas au texte français. Modifier les deuxième et troisième phrases pour lire comme suit : « </w:t>
      </w:r>
      <w:bookmarkStart w:id="8" w:name="_Hlk2240508"/>
      <w:r w:rsidRPr="00CE70CB">
        <w:rPr>
          <w:szCs w:val="24"/>
          <w:lang w:val="fr-FR"/>
        </w:rPr>
        <w:t xml:space="preserve">Ces normes sont fondées sur </w:t>
      </w:r>
      <w:bookmarkStart w:id="9" w:name="_Hlk31029817"/>
      <w:r w:rsidR="002A548D" w:rsidRPr="00CE70CB">
        <w:rPr>
          <w:szCs w:val="24"/>
          <w:lang w:val="fr-FR"/>
        </w:rPr>
        <w:t>l’édition de 2018 du Règlement de transport des matières radioactives de l’AIEA</w:t>
      </w:r>
      <w:bookmarkEnd w:id="9"/>
      <w:r w:rsidRPr="00CE70CB">
        <w:rPr>
          <w:szCs w:val="24"/>
          <w:lang w:val="fr-FR"/>
        </w:rPr>
        <w:t xml:space="preserve">. Les notes d’information figurent dans le document </w:t>
      </w:r>
      <w:r w:rsidRPr="00CE70CB">
        <w:rPr>
          <w:i/>
          <w:iCs/>
          <w:szCs w:val="24"/>
          <w:lang w:val="fr-FR"/>
        </w:rPr>
        <w:t xml:space="preserve">Advisory </w:t>
      </w:r>
      <w:proofErr w:type="spellStart"/>
      <w:r w:rsidRPr="00CE70CB">
        <w:rPr>
          <w:i/>
          <w:iCs/>
          <w:szCs w:val="24"/>
          <w:lang w:val="fr-FR"/>
        </w:rPr>
        <w:t>Material</w:t>
      </w:r>
      <w:proofErr w:type="spellEnd"/>
      <w:r w:rsidRPr="00CE70CB">
        <w:rPr>
          <w:i/>
          <w:iCs/>
          <w:szCs w:val="24"/>
          <w:lang w:val="fr-FR"/>
        </w:rPr>
        <w:t xml:space="preserve"> for the IAEA </w:t>
      </w:r>
      <w:proofErr w:type="spellStart"/>
      <w:r w:rsidRPr="00CE70CB">
        <w:rPr>
          <w:i/>
          <w:iCs/>
          <w:szCs w:val="24"/>
          <w:lang w:val="fr-FR"/>
        </w:rPr>
        <w:t>Regulations</w:t>
      </w:r>
      <w:proofErr w:type="spellEnd"/>
      <w:r w:rsidRPr="00CE70CB">
        <w:rPr>
          <w:i/>
          <w:iCs/>
          <w:szCs w:val="24"/>
          <w:lang w:val="fr-FR"/>
        </w:rPr>
        <w:t xml:space="preserve"> for the Safe Transport of Radioactive </w:t>
      </w:r>
      <w:proofErr w:type="spellStart"/>
      <w:r w:rsidRPr="00CE70CB">
        <w:rPr>
          <w:i/>
          <w:iCs/>
          <w:szCs w:val="24"/>
          <w:lang w:val="fr-FR"/>
        </w:rPr>
        <w:t>Material</w:t>
      </w:r>
      <w:proofErr w:type="spellEnd"/>
      <w:r w:rsidRPr="00CE70CB">
        <w:rPr>
          <w:i/>
          <w:iCs/>
          <w:szCs w:val="24"/>
          <w:lang w:val="fr-FR"/>
        </w:rPr>
        <w:t xml:space="preserve"> (2018 </w:t>
      </w:r>
      <w:r w:rsidRPr="00CE70CB">
        <w:rPr>
          <w:i/>
          <w:iCs/>
          <w:spacing w:val="-2"/>
          <w:szCs w:val="24"/>
          <w:lang w:val="fr-FR"/>
        </w:rPr>
        <w:t>Edition)</w:t>
      </w:r>
      <w:r w:rsidRPr="00CE70CB">
        <w:rPr>
          <w:spacing w:val="-2"/>
          <w:szCs w:val="24"/>
          <w:lang w:val="fr-FR"/>
        </w:rPr>
        <w:t xml:space="preserve">, </w:t>
      </w:r>
      <w:r w:rsidRPr="00CE70CB">
        <w:rPr>
          <w:spacing w:val="-4"/>
          <w:szCs w:val="24"/>
          <w:lang w:val="fr-FR"/>
        </w:rPr>
        <w:t xml:space="preserve">collection Normes de sûreté de l’AIEA, </w:t>
      </w:r>
      <w:r w:rsidRPr="00CE70CB">
        <w:rPr>
          <w:spacing w:val="-2"/>
          <w:szCs w:val="24"/>
          <w:lang w:val="fr-FR"/>
        </w:rPr>
        <w:t>n</w:t>
      </w:r>
      <w:r w:rsidRPr="00CE70CB">
        <w:rPr>
          <w:spacing w:val="-2"/>
          <w:szCs w:val="24"/>
          <w:vertAlign w:val="superscript"/>
          <w:lang w:val="fr-FR"/>
        </w:rPr>
        <w:t>o</w:t>
      </w:r>
      <w:r w:rsidRPr="00CE70CB">
        <w:rPr>
          <w:spacing w:val="-2"/>
          <w:szCs w:val="24"/>
          <w:lang w:val="fr-FR"/>
        </w:rPr>
        <w:t> SSG-26 (Rev.1), AIEA, Vienne (2019). </w:t>
      </w:r>
      <w:bookmarkEnd w:id="8"/>
      <w:r w:rsidRPr="00CE70CB">
        <w:rPr>
          <w:spacing w:val="-2"/>
          <w:szCs w:val="24"/>
          <w:lang w:val="fr-FR"/>
        </w:rPr>
        <w:t>».</w:t>
      </w:r>
    </w:p>
    <w:p w:rsidR="00267DA7" w:rsidRPr="00CE70CB" w:rsidRDefault="00267DA7" w:rsidP="00267DA7">
      <w:pPr>
        <w:pStyle w:val="SingleTxtG"/>
        <w:tabs>
          <w:tab w:val="left" w:pos="2268"/>
        </w:tabs>
        <w:ind w:left="2259" w:hanging="1125"/>
        <w:rPr>
          <w:szCs w:val="24"/>
          <w:lang w:val="fr-FR"/>
        </w:rPr>
      </w:pPr>
      <w:r w:rsidRPr="00CE70CB">
        <w:rPr>
          <w:szCs w:val="24"/>
          <w:lang w:val="fr-FR"/>
        </w:rPr>
        <w:t>1.7.1.2</w:t>
      </w:r>
      <w:r w:rsidRPr="00CE70CB">
        <w:rPr>
          <w:szCs w:val="24"/>
          <w:lang w:val="fr-FR"/>
        </w:rPr>
        <w:tab/>
        <w:t>La première modification de la première phrase ne s’applique pas au texte en français. À la première phrase, remplacer « contre les effets des rayonnements au cours du transport » par « </w:t>
      </w:r>
      <w:bookmarkStart w:id="10" w:name="_Hlk2240647"/>
      <w:r w:rsidRPr="00CE70CB">
        <w:rPr>
          <w:szCs w:val="24"/>
          <w:lang w:val="fr-FR"/>
        </w:rPr>
        <w:t>contre les effets nocifs des rayonnements ionisants au cours du transport</w:t>
      </w:r>
      <w:bookmarkEnd w:id="10"/>
      <w:r w:rsidRPr="00CE70CB">
        <w:rPr>
          <w:szCs w:val="24"/>
          <w:lang w:val="fr-FR"/>
        </w:rPr>
        <w:t xml:space="preserve"> ».</w:t>
      </w:r>
    </w:p>
    <w:p w:rsidR="00267DA7" w:rsidRPr="00CE70CB" w:rsidRDefault="00267DA7" w:rsidP="00267DA7">
      <w:pPr>
        <w:pStyle w:val="SingleTxtG"/>
        <w:tabs>
          <w:tab w:val="left" w:pos="2268"/>
        </w:tabs>
        <w:ind w:left="2259" w:hanging="1125"/>
        <w:rPr>
          <w:szCs w:val="24"/>
          <w:lang w:val="fr-FR"/>
        </w:rPr>
      </w:pPr>
      <w:r w:rsidRPr="00CE70CB">
        <w:rPr>
          <w:spacing w:val="-2"/>
          <w:szCs w:val="24"/>
          <w:lang w:val="fr-FR"/>
        </w:rPr>
        <w:lastRenderedPageBreak/>
        <w:tab/>
        <w:t>À l’alinéa b), remplacer « </w:t>
      </w:r>
      <w:r w:rsidR="00F7283F" w:rsidRPr="00CE70CB">
        <w:rPr>
          <w:spacing w:val="-2"/>
          <w:szCs w:val="24"/>
          <w:lang w:val="fr-FR"/>
        </w:rPr>
        <w:t xml:space="preserve">de </w:t>
      </w:r>
      <w:r w:rsidRPr="00CE70CB">
        <w:rPr>
          <w:spacing w:val="-2"/>
          <w:szCs w:val="24"/>
          <w:lang w:val="fr-FR"/>
        </w:rPr>
        <w:t>l’intensité de rayonnement » par « </w:t>
      </w:r>
      <w:bookmarkStart w:id="11" w:name="_Hlk2240670"/>
      <w:r w:rsidR="00F7283F" w:rsidRPr="00CE70CB">
        <w:rPr>
          <w:spacing w:val="-2"/>
          <w:szCs w:val="24"/>
          <w:lang w:val="fr-FR"/>
        </w:rPr>
        <w:t>du</w:t>
      </w:r>
      <w:r w:rsidRPr="00CE70CB">
        <w:rPr>
          <w:spacing w:val="-2"/>
          <w:szCs w:val="24"/>
          <w:lang w:val="fr-FR"/>
        </w:rPr>
        <w:t xml:space="preserve"> débit de</w:t>
      </w:r>
      <w:r w:rsidRPr="00CE70CB">
        <w:rPr>
          <w:szCs w:val="24"/>
          <w:lang w:val="fr-FR"/>
        </w:rPr>
        <w:t xml:space="preserve"> dose </w:t>
      </w:r>
      <w:bookmarkEnd w:id="11"/>
      <w:r w:rsidRPr="00CE70CB">
        <w:rPr>
          <w:szCs w:val="24"/>
          <w:lang w:val="fr-FR"/>
        </w:rPr>
        <w:t>».</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Dans la dernière phrase, remplacer « enfin » par « </w:t>
      </w:r>
      <w:bookmarkStart w:id="12" w:name="_Hlk2240705"/>
      <w:r w:rsidRPr="00CE70CB">
        <w:rPr>
          <w:szCs w:val="24"/>
          <w:lang w:val="fr-FR"/>
        </w:rPr>
        <w:t>troisièmement</w:t>
      </w:r>
      <w:bookmarkEnd w:id="12"/>
      <w:r w:rsidRPr="00CE70CB">
        <w:rPr>
          <w:szCs w:val="24"/>
          <w:lang w:val="fr-FR"/>
        </w:rPr>
        <w:t> », et ajouter la nouvelle phrase suivante à la fin du paragraphe : « </w:t>
      </w:r>
      <w:bookmarkStart w:id="13" w:name="_Hlk31113176"/>
      <w:bookmarkStart w:id="14" w:name="_Hlk2240721"/>
      <w:r w:rsidRPr="00CE70CB">
        <w:rPr>
          <w:szCs w:val="24"/>
          <w:lang w:val="fr-FR"/>
        </w:rPr>
        <w:t>Enfin, une protection supplémentaire est assurée par la prise de dispositions pour la planification et la préparation des interventions d’urgence pour protéger les personnes, les biens et l’environnement.</w:t>
      </w:r>
      <w:bookmarkEnd w:id="13"/>
      <w:r w:rsidRPr="00CE70CB">
        <w:rPr>
          <w:szCs w:val="24"/>
          <w:lang w:val="fr-FR"/>
        </w:rPr>
        <w:t> </w:t>
      </w:r>
      <w:bookmarkEnd w:id="14"/>
      <w:r w:rsidRPr="00CE70CB">
        <w:rPr>
          <w:szCs w:val="24"/>
          <w:lang w:val="fr-FR"/>
        </w:rPr>
        <w:t>».</w:t>
      </w:r>
    </w:p>
    <w:p w:rsidR="00267DA7" w:rsidRPr="00CE70CB" w:rsidRDefault="00267DA7" w:rsidP="00267DA7">
      <w:pPr>
        <w:pStyle w:val="SingleTxtG"/>
        <w:tabs>
          <w:tab w:val="left" w:pos="2268"/>
        </w:tabs>
        <w:ind w:left="2259" w:hanging="1125"/>
        <w:rPr>
          <w:szCs w:val="24"/>
          <w:lang w:val="fr-FR"/>
        </w:rPr>
      </w:pPr>
      <w:r w:rsidRPr="00CE70CB">
        <w:rPr>
          <w:szCs w:val="24"/>
          <w:lang w:val="fr-FR"/>
        </w:rPr>
        <w:t>1.7.1.5.1 a)</w:t>
      </w:r>
      <w:r w:rsidRPr="00CE70CB">
        <w:rPr>
          <w:szCs w:val="24"/>
          <w:lang w:val="fr-FR"/>
        </w:rPr>
        <w:tab/>
      </w:r>
      <w:r w:rsidRPr="00CE70CB">
        <w:rPr>
          <w:szCs w:val="24"/>
          <w:lang w:val="fr-FR"/>
        </w:rPr>
        <w:tab/>
        <w:t>Après « 5.2.1.10</w:t>
      </w:r>
      <w:r w:rsidR="0049023D" w:rsidRPr="00CE70CB">
        <w:rPr>
          <w:szCs w:val="24"/>
          <w:lang w:val="fr-FR"/>
        </w:rPr>
        <w:t>,</w:t>
      </w:r>
      <w:r w:rsidRPr="00CE70CB">
        <w:rPr>
          <w:szCs w:val="24"/>
          <w:lang w:val="fr-FR"/>
        </w:rPr>
        <w:t> », ajouter « </w:t>
      </w:r>
      <w:bookmarkStart w:id="15" w:name="_Hlk2240775"/>
      <w:r w:rsidRPr="00CE70CB">
        <w:rPr>
          <w:szCs w:val="24"/>
          <w:lang w:val="fr-FR"/>
        </w:rPr>
        <w:t>5.4.1.2.5.1 f) i) et ii)</w:t>
      </w:r>
      <w:bookmarkEnd w:id="15"/>
      <w:r w:rsidRPr="00CE70CB">
        <w:rPr>
          <w:szCs w:val="24"/>
          <w:lang w:val="fr-FR"/>
        </w:rPr>
        <w:t xml:space="preserve">, </w:t>
      </w:r>
      <w:bookmarkStart w:id="16" w:name="_Hlk2240871"/>
      <w:r w:rsidRPr="00CE70CB">
        <w:rPr>
          <w:szCs w:val="24"/>
          <w:lang w:val="fr-FR"/>
        </w:rPr>
        <w:t>5.4.1.2.5.1 i), </w:t>
      </w:r>
      <w:bookmarkEnd w:id="16"/>
      <w:r w:rsidRPr="00CE70CB">
        <w:rPr>
          <w:szCs w:val="24"/>
          <w:lang w:val="fr-FR"/>
        </w:rPr>
        <w:t>», et après « CV33 (3.1) », ajouter « , (4.3) ».</w:t>
      </w:r>
    </w:p>
    <w:p w:rsidR="00267DA7" w:rsidRPr="00CE70CB" w:rsidRDefault="00267DA7" w:rsidP="00267DA7">
      <w:pPr>
        <w:pStyle w:val="SingleTxtG"/>
        <w:tabs>
          <w:tab w:val="left" w:pos="2268"/>
        </w:tabs>
        <w:ind w:left="2259" w:hanging="1125"/>
        <w:rPr>
          <w:szCs w:val="24"/>
          <w:lang w:val="fr-FR"/>
        </w:rPr>
      </w:pPr>
      <w:r w:rsidRPr="00CE70CB">
        <w:rPr>
          <w:szCs w:val="24"/>
          <w:lang w:val="fr-FR"/>
        </w:rPr>
        <w:t>1.7.1.5.2</w:t>
      </w:r>
      <w:r w:rsidRPr="00CE70CB">
        <w:rPr>
          <w:szCs w:val="24"/>
          <w:lang w:val="fr-FR"/>
        </w:rPr>
        <w:tab/>
        <w:t>Supprimer la deuxième phrase.</w:t>
      </w:r>
    </w:p>
    <w:p w:rsidR="00267DA7" w:rsidRPr="00CE70CB" w:rsidRDefault="00267DA7" w:rsidP="00267DA7">
      <w:pPr>
        <w:pStyle w:val="SingleTxtG"/>
        <w:tabs>
          <w:tab w:val="left" w:pos="2268"/>
        </w:tabs>
        <w:ind w:left="2259" w:hanging="1125"/>
        <w:rPr>
          <w:szCs w:val="24"/>
          <w:lang w:val="fr-FR"/>
        </w:rPr>
      </w:pPr>
      <w:r w:rsidRPr="00CE70CB">
        <w:rPr>
          <w:szCs w:val="24"/>
          <w:lang w:val="fr-FR"/>
        </w:rPr>
        <w:t>1.7.2.4</w:t>
      </w:r>
      <w:r w:rsidRPr="00CE70CB">
        <w:rPr>
          <w:szCs w:val="24"/>
          <w:lang w:val="fr-FR"/>
        </w:rPr>
        <w:tab/>
      </w:r>
      <w:r w:rsidRPr="00CE70CB">
        <w:rPr>
          <w:szCs w:val="24"/>
          <w:lang w:val="fr-FR"/>
        </w:rPr>
        <w:tab/>
        <w:t>Dans la dernière phrase remplacer « une surveillance individuelle ou à une surveillance des lieux de travail » par « </w:t>
      </w:r>
      <w:bookmarkStart w:id="17" w:name="_Hlk2240998"/>
      <w:r w:rsidRPr="00CE70CB">
        <w:rPr>
          <w:szCs w:val="24"/>
          <w:lang w:val="fr-FR"/>
        </w:rPr>
        <w:t>une surveillance des lieux de travail ou une surveillance individuelle</w:t>
      </w:r>
      <w:bookmarkEnd w:id="17"/>
      <w:r w:rsidRPr="00CE70CB">
        <w:rPr>
          <w:szCs w:val="24"/>
          <w:lang w:val="fr-FR"/>
        </w:rPr>
        <w:t> ».</w:t>
      </w:r>
    </w:p>
    <w:p w:rsidR="00267DA7" w:rsidRPr="00CE70CB" w:rsidRDefault="00267DA7" w:rsidP="00267DA7">
      <w:pPr>
        <w:pStyle w:val="SingleTxtG"/>
        <w:tabs>
          <w:tab w:val="left" w:pos="2268"/>
        </w:tabs>
        <w:ind w:left="2259" w:hanging="1125"/>
        <w:rPr>
          <w:i/>
          <w:szCs w:val="24"/>
          <w:lang w:val="fr-FR"/>
        </w:rPr>
      </w:pPr>
      <w:r w:rsidRPr="00CE70CB">
        <w:rPr>
          <w:szCs w:val="24"/>
          <w:lang w:val="fr-FR"/>
        </w:rPr>
        <w:t>1.7.4.2</w:t>
      </w:r>
      <w:r w:rsidRPr="00CE70CB">
        <w:rPr>
          <w:szCs w:val="24"/>
          <w:lang w:val="fr-FR"/>
        </w:rPr>
        <w:tab/>
        <w:t>Dans la deuxième phrase, remplacer « d’autres moyens » par « </w:t>
      </w:r>
      <w:bookmarkStart w:id="18" w:name="_Hlk2241334"/>
      <w:r w:rsidRPr="00CE70CB">
        <w:rPr>
          <w:szCs w:val="24"/>
          <w:lang w:val="fr-FR"/>
        </w:rPr>
        <w:t>d’autres moyens que les autres dispositions de l’ADR</w:t>
      </w:r>
      <w:bookmarkEnd w:id="18"/>
      <w:r w:rsidRPr="00CE70CB">
        <w:rPr>
          <w:szCs w:val="24"/>
          <w:lang w:val="fr-FR"/>
        </w:rPr>
        <w:t> ». La deuxième modification est sans objet en français. Dans la troisième phrase, après « prescriptions applicables », ajouter « </w:t>
      </w:r>
      <w:bookmarkStart w:id="19" w:name="_Hlk2241434"/>
      <w:r w:rsidRPr="00CE70CB">
        <w:rPr>
          <w:szCs w:val="24"/>
          <w:lang w:val="fr-FR"/>
        </w:rPr>
        <w:t>de l’ADR </w:t>
      </w:r>
      <w:bookmarkEnd w:id="19"/>
      <w:r w:rsidRPr="00CE70CB">
        <w:rPr>
          <w:szCs w:val="24"/>
          <w:lang w:val="fr-FR"/>
        </w:rPr>
        <w:t>».</w:t>
      </w:r>
    </w:p>
    <w:p w:rsidR="00267DA7" w:rsidRPr="00CE70CB" w:rsidRDefault="00267DA7" w:rsidP="00267DA7">
      <w:pPr>
        <w:pStyle w:val="SingleTxtG"/>
        <w:tabs>
          <w:tab w:val="left" w:pos="2268"/>
        </w:tabs>
        <w:ind w:left="2259" w:hanging="1125"/>
        <w:rPr>
          <w:szCs w:val="24"/>
          <w:lang w:val="fr-FR"/>
        </w:rPr>
      </w:pPr>
      <w:r w:rsidRPr="00CE70CB">
        <w:rPr>
          <w:szCs w:val="24"/>
          <w:lang w:val="fr-FR"/>
        </w:rPr>
        <w:t>1.7.6.1</w:t>
      </w:r>
      <w:r w:rsidRPr="00CE70CB">
        <w:rPr>
          <w:szCs w:val="24"/>
          <w:lang w:val="fr-FR"/>
        </w:rPr>
        <w:tab/>
      </w:r>
      <w:r w:rsidRPr="00CE70CB">
        <w:rPr>
          <w:szCs w:val="24"/>
          <w:lang w:val="fr-FR"/>
        </w:rPr>
        <w:tab/>
        <w:t>Faire les modifications suivantes :</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Dans la phrase introductive, remplacer « </w:t>
      </w:r>
      <w:r w:rsidR="001951BD" w:rsidRPr="00CE70CB">
        <w:rPr>
          <w:szCs w:val="24"/>
          <w:lang w:val="fr-FR"/>
        </w:rPr>
        <w:t xml:space="preserve">à </w:t>
      </w:r>
      <w:r w:rsidRPr="00CE70CB">
        <w:rPr>
          <w:szCs w:val="24"/>
          <w:lang w:val="fr-FR"/>
        </w:rPr>
        <w:t>l’intensité de rayonnement » par « </w:t>
      </w:r>
      <w:bookmarkStart w:id="20" w:name="_Hlk2241608"/>
      <w:r w:rsidR="001951BD" w:rsidRPr="00CE70CB">
        <w:rPr>
          <w:szCs w:val="24"/>
          <w:lang w:val="fr-FR"/>
        </w:rPr>
        <w:t>au</w:t>
      </w:r>
      <w:r w:rsidRPr="00CE70CB">
        <w:rPr>
          <w:szCs w:val="24"/>
          <w:lang w:val="fr-FR"/>
        </w:rPr>
        <w:t xml:space="preserve"> débit de dose </w:t>
      </w:r>
      <w:bookmarkEnd w:id="20"/>
      <w:r w:rsidRPr="00CE70CB">
        <w:rPr>
          <w:szCs w:val="24"/>
          <w:lang w:val="fr-FR"/>
        </w:rPr>
        <w:t xml:space="preserve">». </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Au début de l’alinéa a), remplacer « l’expéditeur, le destinataire, le transporteur » par « l’expéditeur, le transporteur, le destinataire ».</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Au début de l’alinéa b), remplacer « </w:t>
      </w:r>
      <w:bookmarkStart w:id="21" w:name="_Hlk536801818"/>
      <w:r w:rsidRPr="00CE70CB">
        <w:rPr>
          <w:szCs w:val="24"/>
          <w:lang w:val="fr-FR"/>
        </w:rPr>
        <w:t>le transporteur, l'expéditeur ou le destinataire</w:t>
      </w:r>
      <w:bookmarkEnd w:id="21"/>
      <w:r w:rsidRPr="00CE70CB">
        <w:rPr>
          <w:szCs w:val="24"/>
          <w:lang w:val="fr-FR"/>
        </w:rPr>
        <w:t xml:space="preserve"> » par </w:t>
      </w:r>
      <w:bookmarkStart w:id="22" w:name="_Hlk2242149"/>
      <w:r w:rsidRPr="00CE70CB">
        <w:rPr>
          <w:iCs/>
          <w:szCs w:val="24"/>
          <w:lang w:val="fr-FR"/>
        </w:rPr>
        <w:t>« l’expéditeur, le transporteur ou le destinataire</w:t>
      </w:r>
      <w:r w:rsidRPr="00CE70CB">
        <w:rPr>
          <w:i/>
          <w:szCs w:val="24"/>
          <w:lang w:val="fr-FR"/>
        </w:rPr>
        <w:t> </w:t>
      </w:r>
      <w:bookmarkEnd w:id="22"/>
      <w:r w:rsidRPr="00CE70CB">
        <w:rPr>
          <w:i/>
          <w:szCs w:val="24"/>
          <w:lang w:val="fr-FR"/>
        </w:rPr>
        <w:t>».</w:t>
      </w:r>
      <w:r w:rsidRPr="00CE70CB">
        <w:rPr>
          <w:szCs w:val="24"/>
          <w:lang w:val="fr-FR"/>
        </w:rPr>
        <w:t xml:space="preserve"> Au point iii) de l’alinéa b), remplacer « de circonstances analogues » par « </w:t>
      </w:r>
      <w:bookmarkStart w:id="23" w:name="_Hlk2243291"/>
      <w:r w:rsidRPr="00CE70CB">
        <w:rPr>
          <w:szCs w:val="24"/>
          <w:lang w:val="fr-FR"/>
        </w:rPr>
        <w:t>de causes et de circonstances analogues </w:t>
      </w:r>
      <w:bookmarkEnd w:id="23"/>
      <w:r w:rsidRPr="00CE70CB">
        <w:rPr>
          <w:szCs w:val="24"/>
          <w:lang w:val="fr-FR"/>
        </w:rPr>
        <w:t>». L’amendement à l’alinéa b) iv) est sans objet en français.</w:t>
      </w:r>
    </w:p>
    <w:p w:rsidR="00267DA7" w:rsidRPr="00CE70CB" w:rsidRDefault="00267DA7" w:rsidP="00267DA7">
      <w:pPr>
        <w:pStyle w:val="H1G"/>
        <w:rPr>
          <w:lang w:val="fr-FR"/>
        </w:rPr>
      </w:pPr>
      <w:r w:rsidRPr="00CE70CB">
        <w:rPr>
          <w:lang w:val="fr-FR"/>
        </w:rPr>
        <w:tab/>
      </w:r>
      <w:r w:rsidRPr="00CE70CB">
        <w:rPr>
          <w:lang w:val="fr-FR"/>
        </w:rPr>
        <w:tab/>
        <w:t>Chapitre 1.8</w:t>
      </w:r>
    </w:p>
    <w:p w:rsidR="00267DA7" w:rsidRPr="00CE70CB" w:rsidRDefault="00267DA7" w:rsidP="00267DA7">
      <w:pPr>
        <w:pStyle w:val="SingleTxtG"/>
        <w:ind w:left="2268" w:hanging="1134"/>
        <w:rPr>
          <w:lang w:val="fr-FR"/>
        </w:rPr>
      </w:pPr>
      <w:r w:rsidRPr="00CE70CB">
        <w:rPr>
          <w:lang w:val="fr-FR"/>
        </w:rPr>
        <w:t>1.8.5.1</w:t>
      </w:r>
      <w:r w:rsidRPr="00CE70CB">
        <w:rPr>
          <w:lang w:val="fr-FR"/>
        </w:rPr>
        <w:tab/>
        <w:t>Après « le transporteur » ajouter « , le déchargeur ».</w:t>
      </w:r>
    </w:p>
    <w:p w:rsidR="00267DA7" w:rsidRPr="00CE70CB" w:rsidRDefault="00267DA7" w:rsidP="00267DA7">
      <w:pPr>
        <w:pStyle w:val="SingleTxtG"/>
        <w:tabs>
          <w:tab w:val="left" w:pos="2268"/>
        </w:tabs>
        <w:ind w:left="2259" w:hanging="1125"/>
        <w:rPr>
          <w:szCs w:val="24"/>
          <w:lang w:val="fr-FR"/>
        </w:rPr>
      </w:pPr>
      <w:r w:rsidRPr="00CE70CB">
        <w:rPr>
          <w:szCs w:val="24"/>
          <w:lang w:val="fr-FR"/>
        </w:rPr>
        <w:t>1.8.5.3</w:t>
      </w:r>
      <w:r w:rsidRPr="00CE70CB">
        <w:rPr>
          <w:szCs w:val="24"/>
          <w:lang w:val="fr-FR"/>
        </w:rPr>
        <w:tab/>
      </w:r>
      <w:bookmarkStart w:id="24" w:name="_Hlk31029847"/>
      <w:r w:rsidRPr="00CE70CB">
        <w:rPr>
          <w:szCs w:val="24"/>
          <w:lang w:val="fr-FR"/>
        </w:rPr>
        <w:tab/>
      </w:r>
      <w:r w:rsidR="006E0538" w:rsidRPr="00CE70CB">
        <w:rPr>
          <w:szCs w:val="24"/>
          <w:lang w:val="fr-FR"/>
        </w:rPr>
        <w:t xml:space="preserve">Au troisième </w:t>
      </w:r>
      <w:r w:rsidRPr="00CE70CB">
        <w:rPr>
          <w:szCs w:val="24"/>
          <w:lang w:val="fr-FR"/>
        </w:rPr>
        <w:t xml:space="preserve">alinéa b), remplacer « Tableau II de la Collection Sécurité No 115 de l’AIEA - </w:t>
      </w:r>
      <w:r w:rsidR="004F5482" w:rsidRPr="00CE70CB">
        <w:rPr>
          <w:szCs w:val="24"/>
          <w:lang w:val="fr-FR"/>
        </w:rPr>
        <w:t>"</w:t>
      </w:r>
      <w:r w:rsidRPr="00CE70CB">
        <w:rPr>
          <w:szCs w:val="24"/>
          <w:lang w:val="fr-FR"/>
        </w:rPr>
        <w:t xml:space="preserve">Normes fondamentales internationales de protection contre les rayonnements ionisants et de sûreté des sources de rayonnements », par </w:t>
      </w:r>
      <w:bookmarkStart w:id="25" w:name="_Hlk2236936"/>
      <w:r w:rsidRPr="00CE70CB">
        <w:rPr>
          <w:szCs w:val="24"/>
          <w:lang w:val="fr-FR"/>
        </w:rPr>
        <w:t>« </w:t>
      </w:r>
      <w:bookmarkStart w:id="26" w:name="_Hlk31116336"/>
      <w:r w:rsidRPr="00CE70CB">
        <w:rPr>
          <w:szCs w:val="24"/>
          <w:lang w:val="fr-FR"/>
        </w:rPr>
        <w:t>"Radioprotection et sûreté des sources de rayonnements : normes fondamentales internationales de sûreté", collection Normes de sûreté de l’AIEA, n</w:t>
      </w:r>
      <w:r w:rsidRPr="00CE70CB">
        <w:rPr>
          <w:szCs w:val="24"/>
          <w:vertAlign w:val="superscript"/>
          <w:lang w:val="fr-FR"/>
        </w:rPr>
        <w:t>o</w:t>
      </w:r>
      <w:r w:rsidRPr="00CE70CB">
        <w:rPr>
          <w:szCs w:val="24"/>
          <w:lang w:val="fr-FR"/>
        </w:rPr>
        <w:t> GSR Part 3, AIEA, Vienne (2014)</w:t>
      </w:r>
      <w:bookmarkEnd w:id="25"/>
      <w:bookmarkEnd w:id="26"/>
      <w:r w:rsidRPr="00CE70CB">
        <w:rPr>
          <w:szCs w:val="24"/>
          <w:lang w:val="fr-FR"/>
        </w:rPr>
        <w:t> ».</w:t>
      </w:r>
      <w:bookmarkEnd w:id="24"/>
    </w:p>
    <w:p w:rsidR="00267DA7" w:rsidRPr="00CE70CB" w:rsidRDefault="00267DA7" w:rsidP="00267DA7">
      <w:pPr>
        <w:pStyle w:val="SingleTxtG"/>
        <w:tabs>
          <w:tab w:val="left" w:pos="2268"/>
        </w:tabs>
        <w:ind w:left="2259" w:hanging="1125"/>
        <w:rPr>
          <w:lang w:val="fr-FR"/>
        </w:rPr>
      </w:pPr>
      <w:r w:rsidRPr="00CE70CB">
        <w:rPr>
          <w:lang w:val="fr-FR"/>
        </w:rPr>
        <w:t>1.8.6.4.1</w:t>
      </w:r>
      <w:r w:rsidRPr="00CE70CB">
        <w:rPr>
          <w:lang w:val="fr-FR"/>
        </w:rPr>
        <w:tab/>
        <w:t xml:space="preserve">Remplacer « EN ISO/CEI 17025:2005 » par « EN ISO/CEI 17025:2017 (sauf article 8.1.3) ». </w:t>
      </w:r>
    </w:p>
    <w:p w:rsidR="00267DA7" w:rsidRPr="00CE70CB" w:rsidRDefault="00267DA7" w:rsidP="00267DA7">
      <w:pPr>
        <w:pStyle w:val="SingleTxtG"/>
        <w:tabs>
          <w:tab w:val="left" w:pos="2268"/>
        </w:tabs>
        <w:ind w:left="2268" w:hanging="1134"/>
        <w:rPr>
          <w:lang w:val="fr-FR"/>
        </w:rPr>
      </w:pPr>
      <w:r w:rsidRPr="00CE70CB">
        <w:rPr>
          <w:lang w:val="fr-FR"/>
        </w:rPr>
        <w:t>1.8.7.8</w:t>
      </w:r>
      <w:r w:rsidRPr="00CE70CB">
        <w:rPr>
          <w:lang w:val="fr-FR"/>
        </w:rPr>
        <w:tab/>
        <w:t>Dans le tableau, dans la deuxième colonne (« Références »), remplacer « EN 12972:2007 » par « EN 12972:2018 ».</w:t>
      </w:r>
    </w:p>
    <w:p w:rsidR="00267DA7" w:rsidRPr="00CE70CB" w:rsidRDefault="00267DA7" w:rsidP="00267DA7">
      <w:pPr>
        <w:pStyle w:val="H1G"/>
        <w:rPr>
          <w:lang w:val="fr-FR"/>
        </w:rPr>
      </w:pPr>
      <w:r w:rsidRPr="00CE70CB">
        <w:rPr>
          <w:lang w:val="fr-FR"/>
        </w:rPr>
        <w:tab/>
      </w:r>
      <w:r w:rsidRPr="00CE70CB">
        <w:rPr>
          <w:lang w:val="fr-FR"/>
        </w:rPr>
        <w:tab/>
        <w:t>Chapitre 1.10</w:t>
      </w:r>
    </w:p>
    <w:p w:rsidR="00267DA7" w:rsidRPr="00CE70CB" w:rsidRDefault="00267DA7" w:rsidP="00267DA7">
      <w:pPr>
        <w:pStyle w:val="SingleTxtG"/>
        <w:tabs>
          <w:tab w:val="left" w:pos="2268"/>
        </w:tabs>
        <w:ind w:left="2259" w:hanging="1125"/>
        <w:rPr>
          <w:lang w:val="fr-FR"/>
        </w:rPr>
      </w:pPr>
      <w:r w:rsidRPr="00CE70CB">
        <w:rPr>
          <w:lang w:val="fr-FR"/>
        </w:rPr>
        <w:t>Tableau 1.10.3.1.2</w:t>
      </w:r>
    </w:p>
    <w:p w:rsidR="00267DA7" w:rsidRPr="00CE70CB" w:rsidRDefault="00267DA7" w:rsidP="00267DA7">
      <w:pPr>
        <w:pStyle w:val="SingleTxtG"/>
        <w:tabs>
          <w:tab w:val="left" w:pos="2268"/>
        </w:tabs>
        <w:ind w:left="2259" w:hanging="1125"/>
        <w:rPr>
          <w:lang w:val="fr-FR"/>
        </w:rPr>
      </w:pPr>
      <w:r w:rsidRPr="00CE70CB">
        <w:rPr>
          <w:lang w:val="fr-FR"/>
        </w:rPr>
        <w:t xml:space="preserve"> </w:t>
      </w:r>
      <w:r w:rsidRPr="00CE70CB">
        <w:rPr>
          <w:lang w:val="fr-FR"/>
        </w:rPr>
        <w:tab/>
        <w:t>Faire les modifications suivantes :</w:t>
      </w:r>
    </w:p>
    <w:p w:rsidR="00267DA7" w:rsidRPr="00CE70CB" w:rsidRDefault="00267DA7" w:rsidP="00267DA7">
      <w:pPr>
        <w:pStyle w:val="SingleTxtG"/>
        <w:tabs>
          <w:tab w:val="left" w:pos="2268"/>
        </w:tabs>
        <w:ind w:left="2259" w:hanging="1125"/>
        <w:rPr>
          <w:lang w:val="fr-FR"/>
        </w:rPr>
      </w:pPr>
      <w:r w:rsidRPr="00CE70CB">
        <w:rPr>
          <w:lang w:val="fr-FR"/>
        </w:rPr>
        <w:tab/>
        <w:t>Pour Classe 1, Division 1.4, dans la colonne « Matière ou objets », remplacer « et 0500 » par « , 0500, 0512 et 0513 ».</w:t>
      </w:r>
    </w:p>
    <w:p w:rsidR="00267DA7" w:rsidRPr="00CE70CB" w:rsidRDefault="00267DA7" w:rsidP="00267DA7">
      <w:pPr>
        <w:pStyle w:val="SingleTxtG"/>
        <w:tabs>
          <w:tab w:val="left" w:pos="2268"/>
        </w:tabs>
        <w:ind w:left="2259" w:hanging="1125"/>
        <w:rPr>
          <w:lang w:val="fr-FR"/>
        </w:rPr>
      </w:pPr>
      <w:r w:rsidRPr="00CE70CB">
        <w:rPr>
          <w:lang w:val="fr-FR"/>
        </w:rPr>
        <w:tab/>
        <w:t>Ajouter la nouvelle ligne suivante après « Classe 1, Division 1.5 » :</w:t>
      </w: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277"/>
        <w:gridCol w:w="2270"/>
        <w:gridCol w:w="814"/>
        <w:gridCol w:w="1084"/>
        <w:gridCol w:w="1086"/>
      </w:tblGrid>
      <w:tr w:rsidR="00267DA7" w:rsidRPr="00CE70CB" w:rsidTr="00267DA7">
        <w:trPr>
          <w:cantSplit/>
          <w:tblHeade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rsidR="00267DA7" w:rsidRPr="00CE70CB" w:rsidRDefault="00267DA7" w:rsidP="00267DA7">
            <w:pPr>
              <w:suppressAutoHyphens w:val="0"/>
              <w:spacing w:before="20" w:after="20" w:line="216" w:lineRule="auto"/>
              <w:ind w:left="1418" w:hanging="1418"/>
              <w:jc w:val="center"/>
              <w:rPr>
                <w:b/>
                <w:bCs/>
                <w:lang w:val="fr-FR"/>
              </w:rPr>
            </w:pPr>
            <w:r w:rsidRPr="00CE70CB">
              <w:rPr>
                <w:b/>
                <w:bCs/>
                <w:lang w:val="fr-FR"/>
              </w:rPr>
              <w:lastRenderedPageBreak/>
              <w:t>Classe</w:t>
            </w:r>
          </w:p>
        </w:tc>
        <w:tc>
          <w:tcPr>
            <w:tcW w:w="1277" w:type="dxa"/>
            <w:vMerge w:val="restart"/>
            <w:tcBorders>
              <w:top w:val="single" w:sz="4" w:space="0" w:color="auto"/>
              <w:left w:val="single" w:sz="4" w:space="0" w:color="auto"/>
              <w:bottom w:val="single" w:sz="4" w:space="0" w:color="auto"/>
              <w:right w:val="single" w:sz="4" w:space="0" w:color="auto"/>
            </w:tcBorders>
            <w:hideMark/>
          </w:tcPr>
          <w:p w:rsidR="00267DA7" w:rsidRPr="00CE70CB" w:rsidRDefault="00267DA7" w:rsidP="00267DA7">
            <w:pPr>
              <w:suppressAutoHyphens w:val="0"/>
              <w:spacing w:before="20" w:after="20" w:line="216" w:lineRule="auto"/>
              <w:ind w:left="1418" w:hanging="1418"/>
              <w:jc w:val="center"/>
              <w:rPr>
                <w:b/>
                <w:bCs/>
                <w:lang w:val="fr-FR"/>
              </w:rPr>
            </w:pPr>
            <w:r w:rsidRPr="00CE70CB">
              <w:rPr>
                <w:b/>
                <w:bCs/>
                <w:lang w:val="fr-FR"/>
              </w:rPr>
              <w:t>Division</w:t>
            </w:r>
          </w:p>
        </w:tc>
        <w:tc>
          <w:tcPr>
            <w:tcW w:w="2270" w:type="dxa"/>
            <w:vMerge w:val="restart"/>
            <w:tcBorders>
              <w:top w:val="single" w:sz="4" w:space="0" w:color="auto"/>
              <w:left w:val="single" w:sz="4" w:space="0" w:color="auto"/>
              <w:bottom w:val="single" w:sz="4" w:space="0" w:color="auto"/>
              <w:right w:val="single" w:sz="4" w:space="0" w:color="auto"/>
            </w:tcBorders>
            <w:hideMark/>
          </w:tcPr>
          <w:p w:rsidR="00267DA7" w:rsidRPr="00CE70CB" w:rsidRDefault="00267DA7" w:rsidP="00267DA7">
            <w:pPr>
              <w:suppressAutoHyphens w:val="0"/>
              <w:spacing w:before="20" w:after="20" w:line="216" w:lineRule="auto"/>
              <w:ind w:left="1418" w:hanging="1418"/>
              <w:jc w:val="center"/>
              <w:rPr>
                <w:b/>
                <w:bCs/>
                <w:lang w:val="fr-FR"/>
              </w:rPr>
            </w:pPr>
            <w:r w:rsidRPr="00CE70CB">
              <w:rPr>
                <w:b/>
                <w:bCs/>
                <w:lang w:val="fr-FR"/>
              </w:rPr>
              <w:t>Matière ou objet</w:t>
            </w:r>
          </w:p>
        </w:tc>
        <w:tc>
          <w:tcPr>
            <w:tcW w:w="2984" w:type="dxa"/>
            <w:gridSpan w:val="3"/>
            <w:tcBorders>
              <w:top w:val="single" w:sz="4" w:space="0" w:color="auto"/>
              <w:left w:val="single" w:sz="4" w:space="0" w:color="auto"/>
              <w:bottom w:val="single" w:sz="4" w:space="0" w:color="auto"/>
              <w:right w:val="single" w:sz="4" w:space="0" w:color="auto"/>
            </w:tcBorders>
            <w:hideMark/>
          </w:tcPr>
          <w:p w:rsidR="00267DA7" w:rsidRPr="00CE70CB" w:rsidRDefault="00267DA7" w:rsidP="00267DA7">
            <w:pPr>
              <w:suppressAutoHyphens w:val="0"/>
              <w:spacing w:before="20" w:after="20" w:line="216" w:lineRule="auto"/>
              <w:ind w:left="1418" w:hanging="1418"/>
              <w:jc w:val="center"/>
              <w:rPr>
                <w:b/>
                <w:bCs/>
                <w:lang w:val="fr-FR"/>
              </w:rPr>
            </w:pPr>
            <w:r w:rsidRPr="00CE70CB">
              <w:rPr>
                <w:b/>
                <w:bCs/>
                <w:lang w:val="fr-FR"/>
              </w:rPr>
              <w:t>Quantité</w:t>
            </w:r>
          </w:p>
        </w:tc>
      </w:tr>
      <w:tr w:rsidR="00267DA7" w:rsidRPr="00CE70CB" w:rsidTr="00267DA7">
        <w:trPr>
          <w:cantSplit/>
          <w:tblHeade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67DA7" w:rsidRPr="00CE70CB" w:rsidRDefault="00267DA7" w:rsidP="00267DA7">
            <w:pPr>
              <w:suppressAutoHyphens w:val="0"/>
              <w:spacing w:line="240" w:lineRule="auto"/>
              <w:rPr>
                <w:b/>
                <w:bCs/>
                <w:lang w:val="fr-FR"/>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67DA7" w:rsidRPr="00CE70CB" w:rsidRDefault="00267DA7" w:rsidP="00267DA7">
            <w:pPr>
              <w:suppressAutoHyphens w:val="0"/>
              <w:spacing w:line="240" w:lineRule="auto"/>
              <w:rPr>
                <w:b/>
                <w:bCs/>
                <w:lang w:val="fr-FR"/>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267DA7" w:rsidRPr="00CE70CB" w:rsidRDefault="00267DA7" w:rsidP="00267DA7">
            <w:pPr>
              <w:suppressAutoHyphens w:val="0"/>
              <w:spacing w:line="240" w:lineRule="auto"/>
              <w:rPr>
                <w:b/>
                <w:bCs/>
                <w:lang w:val="fr-FR"/>
              </w:rPr>
            </w:pPr>
          </w:p>
        </w:tc>
        <w:tc>
          <w:tcPr>
            <w:tcW w:w="814" w:type="dxa"/>
            <w:tcBorders>
              <w:top w:val="single" w:sz="4" w:space="0" w:color="auto"/>
              <w:left w:val="single" w:sz="4" w:space="0" w:color="auto"/>
              <w:bottom w:val="single" w:sz="4" w:space="0" w:color="auto"/>
              <w:right w:val="single" w:sz="4" w:space="0" w:color="auto"/>
            </w:tcBorders>
            <w:hideMark/>
          </w:tcPr>
          <w:p w:rsidR="00267DA7" w:rsidRPr="00CE70CB" w:rsidRDefault="00267DA7" w:rsidP="00267DA7">
            <w:pPr>
              <w:suppressAutoHyphens w:val="0"/>
              <w:spacing w:before="20" w:after="20" w:line="216" w:lineRule="auto"/>
              <w:ind w:left="1418" w:hanging="1411"/>
              <w:jc w:val="center"/>
              <w:rPr>
                <w:b/>
                <w:bCs/>
                <w:lang w:val="fr-FR"/>
              </w:rPr>
            </w:pPr>
            <w:r w:rsidRPr="00CE70CB">
              <w:rPr>
                <w:b/>
                <w:bCs/>
                <w:lang w:val="fr-FR"/>
              </w:rPr>
              <w:t>Citerne</w:t>
            </w:r>
          </w:p>
          <w:p w:rsidR="00267DA7" w:rsidRPr="00CE70CB" w:rsidRDefault="00267DA7" w:rsidP="00267DA7">
            <w:pPr>
              <w:suppressAutoHyphens w:val="0"/>
              <w:spacing w:before="20" w:after="20" w:line="216" w:lineRule="auto"/>
              <w:ind w:left="1418" w:hanging="1411"/>
              <w:jc w:val="center"/>
              <w:rPr>
                <w:b/>
                <w:bCs/>
                <w:lang w:val="fr-FR"/>
              </w:rPr>
            </w:pPr>
            <w:r w:rsidRPr="00CE70CB">
              <w:rPr>
                <w:b/>
                <w:bCs/>
                <w:lang w:val="fr-FR"/>
              </w:rPr>
              <w:t>(</w:t>
            </w:r>
            <w:r w:rsidRPr="00CE70CB">
              <w:rPr>
                <w:b/>
                <w:bCs/>
                <w:i/>
                <w:iCs/>
                <w:lang w:val="fr-FR"/>
              </w:rPr>
              <w:t>l</w:t>
            </w:r>
            <w:r w:rsidRPr="00CE70CB">
              <w:rPr>
                <w:b/>
                <w:bCs/>
                <w:lang w:val="fr-FR"/>
              </w:rPr>
              <w:t>)</w:t>
            </w:r>
            <w:r w:rsidRPr="00CE70CB">
              <w:rPr>
                <w:b/>
                <w:bCs/>
                <w:vertAlign w:val="superscript"/>
                <w:lang w:val="fr-FR"/>
              </w:rPr>
              <w:t xml:space="preserve"> c</w:t>
            </w:r>
          </w:p>
        </w:tc>
        <w:tc>
          <w:tcPr>
            <w:tcW w:w="1084" w:type="dxa"/>
            <w:tcBorders>
              <w:top w:val="single" w:sz="4" w:space="0" w:color="auto"/>
              <w:left w:val="single" w:sz="4" w:space="0" w:color="auto"/>
              <w:bottom w:val="single" w:sz="4" w:space="0" w:color="auto"/>
              <w:right w:val="single" w:sz="4" w:space="0" w:color="auto"/>
            </w:tcBorders>
            <w:hideMark/>
          </w:tcPr>
          <w:p w:rsidR="00267DA7" w:rsidRPr="00CE70CB" w:rsidRDefault="00267DA7" w:rsidP="00267DA7">
            <w:pPr>
              <w:suppressAutoHyphens w:val="0"/>
              <w:spacing w:before="20" w:after="20" w:line="216" w:lineRule="auto"/>
              <w:ind w:left="1418" w:hanging="1411"/>
              <w:jc w:val="center"/>
              <w:rPr>
                <w:b/>
                <w:bCs/>
                <w:lang w:val="fr-FR"/>
              </w:rPr>
            </w:pPr>
            <w:r w:rsidRPr="00CE70CB">
              <w:rPr>
                <w:b/>
                <w:bCs/>
                <w:lang w:val="fr-FR"/>
              </w:rPr>
              <w:t>Vrac</w:t>
            </w:r>
          </w:p>
          <w:p w:rsidR="00267DA7" w:rsidRPr="00CE70CB" w:rsidRDefault="00267DA7" w:rsidP="00267DA7">
            <w:pPr>
              <w:suppressAutoHyphens w:val="0"/>
              <w:spacing w:before="20" w:after="20" w:line="216" w:lineRule="auto"/>
              <w:ind w:left="1418" w:hanging="1411"/>
              <w:jc w:val="center"/>
              <w:rPr>
                <w:b/>
                <w:bCs/>
                <w:lang w:val="fr-FR"/>
              </w:rPr>
            </w:pPr>
            <w:r w:rsidRPr="00CE70CB">
              <w:rPr>
                <w:b/>
                <w:bCs/>
                <w:lang w:val="fr-FR"/>
              </w:rPr>
              <w:t>(kg)</w:t>
            </w:r>
            <w:r w:rsidRPr="00CE70CB">
              <w:rPr>
                <w:b/>
                <w:bCs/>
                <w:vertAlign w:val="superscript"/>
                <w:lang w:val="fr-FR"/>
              </w:rPr>
              <w:t xml:space="preserve"> d</w:t>
            </w:r>
          </w:p>
        </w:tc>
        <w:tc>
          <w:tcPr>
            <w:tcW w:w="1086" w:type="dxa"/>
            <w:tcBorders>
              <w:top w:val="single" w:sz="4" w:space="0" w:color="auto"/>
              <w:left w:val="single" w:sz="4" w:space="0" w:color="auto"/>
              <w:bottom w:val="single" w:sz="4" w:space="0" w:color="auto"/>
              <w:right w:val="single" w:sz="4" w:space="0" w:color="auto"/>
            </w:tcBorders>
            <w:hideMark/>
          </w:tcPr>
          <w:p w:rsidR="00267DA7" w:rsidRPr="00CE70CB" w:rsidRDefault="00267DA7" w:rsidP="00267DA7">
            <w:pPr>
              <w:suppressAutoHyphens w:val="0"/>
              <w:spacing w:before="20" w:after="20" w:line="216" w:lineRule="auto"/>
              <w:ind w:left="49"/>
              <w:jc w:val="center"/>
              <w:rPr>
                <w:b/>
                <w:bCs/>
                <w:lang w:val="fr-FR"/>
              </w:rPr>
            </w:pPr>
            <w:r w:rsidRPr="00CE70CB">
              <w:rPr>
                <w:b/>
                <w:bCs/>
                <w:lang w:val="fr-FR"/>
              </w:rPr>
              <w:t>Colis</w:t>
            </w:r>
          </w:p>
          <w:p w:rsidR="00267DA7" w:rsidRPr="00CE70CB" w:rsidRDefault="00267DA7" w:rsidP="00267DA7">
            <w:pPr>
              <w:suppressAutoHyphens w:val="0"/>
              <w:spacing w:before="20" w:after="20" w:line="216" w:lineRule="auto"/>
              <w:ind w:left="43"/>
              <w:jc w:val="center"/>
              <w:rPr>
                <w:b/>
                <w:bCs/>
                <w:lang w:val="fr-FR"/>
              </w:rPr>
            </w:pPr>
            <w:r w:rsidRPr="00CE70CB">
              <w:rPr>
                <w:b/>
                <w:bCs/>
                <w:lang w:val="fr-FR"/>
              </w:rPr>
              <w:t>(kg)</w:t>
            </w:r>
          </w:p>
        </w:tc>
      </w:tr>
      <w:tr w:rsidR="00267DA7" w:rsidRPr="00CE70CB" w:rsidTr="00267DA7">
        <w:trPr>
          <w:cantSplit/>
          <w:jc w:val="center"/>
        </w:trPr>
        <w:tc>
          <w:tcPr>
            <w:tcW w:w="1134" w:type="dxa"/>
            <w:tcBorders>
              <w:top w:val="single" w:sz="4" w:space="0" w:color="auto"/>
              <w:left w:val="single" w:sz="4" w:space="0" w:color="auto"/>
              <w:bottom w:val="single" w:sz="4" w:space="0" w:color="auto"/>
              <w:right w:val="single" w:sz="4" w:space="0" w:color="auto"/>
            </w:tcBorders>
            <w:hideMark/>
          </w:tcPr>
          <w:p w:rsidR="00267DA7" w:rsidRPr="00CE70CB" w:rsidRDefault="00267DA7" w:rsidP="00267DA7">
            <w:pPr>
              <w:keepNext/>
              <w:keepLines/>
              <w:suppressAutoHyphens w:val="0"/>
              <w:spacing w:before="20" w:after="20" w:line="216" w:lineRule="auto"/>
              <w:ind w:left="1418" w:hanging="1418"/>
              <w:jc w:val="center"/>
              <w:rPr>
                <w:lang w:val="fr-FR"/>
              </w:rPr>
            </w:pPr>
            <w:r w:rsidRPr="00CE70CB">
              <w:rPr>
                <w:lang w:val="fr-FR"/>
              </w:rPr>
              <w:t>1</w:t>
            </w:r>
          </w:p>
        </w:tc>
        <w:tc>
          <w:tcPr>
            <w:tcW w:w="1277" w:type="dxa"/>
            <w:tcBorders>
              <w:top w:val="single" w:sz="4" w:space="0" w:color="auto"/>
              <w:left w:val="single" w:sz="4" w:space="0" w:color="auto"/>
              <w:bottom w:val="single" w:sz="4" w:space="0" w:color="auto"/>
              <w:right w:val="single" w:sz="4" w:space="0" w:color="auto"/>
            </w:tcBorders>
            <w:hideMark/>
          </w:tcPr>
          <w:p w:rsidR="00267DA7" w:rsidRPr="00CE70CB" w:rsidRDefault="00267DA7" w:rsidP="00267DA7">
            <w:pPr>
              <w:keepNext/>
              <w:keepLines/>
              <w:suppressAutoHyphens w:val="0"/>
              <w:spacing w:before="20" w:after="20" w:line="216" w:lineRule="auto"/>
              <w:ind w:left="1418" w:hanging="1418"/>
              <w:jc w:val="center"/>
              <w:rPr>
                <w:lang w:val="fr-FR"/>
              </w:rPr>
            </w:pPr>
            <w:r w:rsidRPr="00CE70CB">
              <w:rPr>
                <w:lang w:val="fr-FR"/>
              </w:rPr>
              <w:t>1.6</w:t>
            </w:r>
          </w:p>
        </w:tc>
        <w:tc>
          <w:tcPr>
            <w:tcW w:w="2270" w:type="dxa"/>
            <w:tcBorders>
              <w:top w:val="single" w:sz="4" w:space="0" w:color="auto"/>
              <w:left w:val="single" w:sz="4" w:space="0" w:color="auto"/>
              <w:bottom w:val="single" w:sz="4" w:space="0" w:color="auto"/>
              <w:right w:val="single" w:sz="4" w:space="0" w:color="auto"/>
            </w:tcBorders>
            <w:hideMark/>
          </w:tcPr>
          <w:p w:rsidR="00267DA7" w:rsidRPr="00CE70CB" w:rsidRDefault="00267DA7" w:rsidP="00267DA7">
            <w:pPr>
              <w:keepLines/>
              <w:suppressAutoHyphens w:val="0"/>
              <w:spacing w:before="20" w:after="20" w:line="216" w:lineRule="auto"/>
              <w:rPr>
                <w:lang w:val="fr-FR"/>
              </w:rPr>
            </w:pPr>
            <w:r w:rsidRPr="00CE70CB">
              <w:rPr>
                <w:lang w:val="fr-FR"/>
              </w:rPr>
              <w:t>Objets explosibles</w:t>
            </w:r>
          </w:p>
        </w:tc>
        <w:tc>
          <w:tcPr>
            <w:tcW w:w="814" w:type="dxa"/>
            <w:tcBorders>
              <w:top w:val="single" w:sz="4" w:space="0" w:color="auto"/>
              <w:left w:val="single" w:sz="4" w:space="0" w:color="auto"/>
              <w:bottom w:val="single" w:sz="4" w:space="0" w:color="auto"/>
              <w:right w:val="single" w:sz="4" w:space="0" w:color="auto"/>
            </w:tcBorders>
            <w:hideMark/>
          </w:tcPr>
          <w:p w:rsidR="00267DA7" w:rsidRPr="00CE70CB" w:rsidRDefault="00267DA7" w:rsidP="00267DA7">
            <w:pPr>
              <w:keepNext/>
              <w:keepLines/>
              <w:suppressAutoHyphens w:val="0"/>
              <w:spacing w:before="20" w:after="20" w:line="216" w:lineRule="auto"/>
              <w:ind w:left="1418" w:hanging="1418"/>
              <w:jc w:val="center"/>
              <w:rPr>
                <w:lang w:val="fr-FR"/>
              </w:rPr>
            </w:pPr>
            <w:r w:rsidRPr="00CE70CB">
              <w:rPr>
                <w:b/>
                <w:bCs/>
                <w:vertAlign w:val="superscript"/>
                <w:lang w:val="fr-FR"/>
              </w:rPr>
              <w:t>a</w:t>
            </w:r>
          </w:p>
        </w:tc>
        <w:tc>
          <w:tcPr>
            <w:tcW w:w="1084" w:type="dxa"/>
            <w:tcBorders>
              <w:top w:val="single" w:sz="4" w:space="0" w:color="auto"/>
              <w:left w:val="single" w:sz="4" w:space="0" w:color="auto"/>
              <w:bottom w:val="single" w:sz="4" w:space="0" w:color="auto"/>
              <w:right w:val="single" w:sz="4" w:space="0" w:color="auto"/>
            </w:tcBorders>
            <w:hideMark/>
          </w:tcPr>
          <w:p w:rsidR="00267DA7" w:rsidRPr="00CE70CB" w:rsidRDefault="00267DA7" w:rsidP="00267DA7">
            <w:pPr>
              <w:keepNext/>
              <w:keepLines/>
              <w:suppressAutoHyphens w:val="0"/>
              <w:spacing w:before="20" w:after="20" w:line="216" w:lineRule="auto"/>
              <w:ind w:left="1418" w:hanging="1418"/>
              <w:jc w:val="center"/>
              <w:rPr>
                <w:lang w:val="fr-FR"/>
              </w:rPr>
            </w:pPr>
            <w:r w:rsidRPr="00CE70CB">
              <w:rPr>
                <w:b/>
                <w:bCs/>
                <w:vertAlign w:val="superscript"/>
                <w:lang w:val="fr-FR"/>
              </w:rPr>
              <w:t>a</w:t>
            </w:r>
          </w:p>
        </w:tc>
        <w:tc>
          <w:tcPr>
            <w:tcW w:w="1086" w:type="dxa"/>
            <w:tcBorders>
              <w:top w:val="single" w:sz="4" w:space="0" w:color="auto"/>
              <w:left w:val="single" w:sz="4" w:space="0" w:color="auto"/>
              <w:bottom w:val="single" w:sz="4" w:space="0" w:color="auto"/>
              <w:right w:val="single" w:sz="4" w:space="0" w:color="auto"/>
            </w:tcBorders>
            <w:hideMark/>
          </w:tcPr>
          <w:p w:rsidR="00267DA7" w:rsidRPr="00CE70CB" w:rsidRDefault="00267DA7" w:rsidP="00267DA7">
            <w:pPr>
              <w:keepNext/>
              <w:keepLines/>
              <w:suppressAutoHyphens w:val="0"/>
              <w:spacing w:before="20" w:after="20" w:line="216" w:lineRule="auto"/>
              <w:ind w:left="1418" w:hanging="1418"/>
              <w:jc w:val="center"/>
              <w:rPr>
                <w:lang w:val="fr-FR"/>
              </w:rPr>
            </w:pPr>
            <w:r w:rsidRPr="00CE70CB">
              <w:rPr>
                <w:lang w:val="fr-FR"/>
              </w:rPr>
              <w:t>0</w:t>
            </w:r>
          </w:p>
        </w:tc>
      </w:tr>
    </w:tbl>
    <w:p w:rsidR="00267DA7" w:rsidRPr="00CE70CB" w:rsidRDefault="00267DA7" w:rsidP="00267DA7">
      <w:pPr>
        <w:pStyle w:val="SingleTxtG"/>
        <w:tabs>
          <w:tab w:val="left" w:pos="2268"/>
        </w:tabs>
        <w:spacing w:before="120"/>
        <w:ind w:left="2257" w:hanging="1123"/>
        <w:rPr>
          <w:lang w:val="fr-FR"/>
        </w:rPr>
      </w:pPr>
      <w:r w:rsidRPr="00CE70CB">
        <w:rPr>
          <w:lang w:val="fr-FR"/>
        </w:rPr>
        <w:tab/>
      </w:r>
      <w:r w:rsidR="00EE54B0" w:rsidRPr="00CE70CB">
        <w:rPr>
          <w:lang w:val="fr-FR"/>
        </w:rPr>
        <w:t>Pour Classe 6.2, dans la colonne « Matière ou objets » ajouter « et déchets médicaux de la catégorie A (No ONU 3549) » à la fin.</w:t>
      </w:r>
    </w:p>
    <w:p w:rsidR="00267DA7" w:rsidRPr="00CE70CB" w:rsidRDefault="00267DA7" w:rsidP="00267DA7">
      <w:pPr>
        <w:pStyle w:val="SingleTxtG"/>
        <w:rPr>
          <w:lang w:val="fr-FR"/>
        </w:rPr>
      </w:pPr>
      <w:r w:rsidRPr="00CE70CB">
        <w:rPr>
          <w:lang w:val="fr-FR"/>
        </w:rPr>
        <w:t>1.10.4</w:t>
      </w:r>
      <w:r w:rsidRPr="00CE70CB">
        <w:rPr>
          <w:lang w:val="fr-FR"/>
        </w:rPr>
        <w:tab/>
      </w:r>
      <w:r w:rsidRPr="00CE70CB">
        <w:rPr>
          <w:lang w:val="fr-FR"/>
        </w:rPr>
        <w:tab/>
        <w:t>Remplacer « 0456 et 0500 » par « 0456, 0500, 0512 et 0513 ».</w:t>
      </w:r>
    </w:p>
    <w:p w:rsidR="00267DA7" w:rsidRPr="00CE70CB" w:rsidRDefault="00267DA7" w:rsidP="00267DA7">
      <w:pPr>
        <w:pStyle w:val="SingleTxtG"/>
        <w:tabs>
          <w:tab w:val="left" w:pos="2268"/>
        </w:tabs>
        <w:ind w:left="2259" w:hanging="1125"/>
        <w:rPr>
          <w:lang w:val="fr-FR"/>
        </w:rPr>
      </w:pPr>
      <w:r w:rsidRPr="00CE70CB">
        <w:rPr>
          <w:lang w:val="fr-FR"/>
        </w:rPr>
        <w:t>1.10.5</w:t>
      </w:r>
      <w:r w:rsidRPr="00CE70CB">
        <w:rPr>
          <w:lang w:val="fr-FR"/>
        </w:rPr>
        <w:tab/>
        <w:t>Remplacer « La protection physique des matières et des installations nucléaires » par « </w:t>
      </w:r>
      <w:bookmarkStart w:id="27" w:name="_Hlk2240340"/>
      <w:r w:rsidRPr="00CE70CB">
        <w:rPr>
          <w:lang w:val="fr-FR"/>
        </w:rPr>
        <w:t>Recommandations de sécurité nucléaire sur la protection physique des matières nucléaires et des installations nucléaires </w:t>
      </w:r>
      <w:bookmarkEnd w:id="27"/>
      <w:r w:rsidRPr="00CE70CB">
        <w:rPr>
          <w:lang w:val="fr-FR"/>
        </w:rPr>
        <w:t>». Dans la note de bas de page 2, remplacer « INFCIRC/225/Rev.4 (rectifié), AIEA, Vienne (1999) » par « </w:t>
      </w:r>
      <w:bookmarkStart w:id="28" w:name="_Hlk31117737"/>
      <w:bookmarkStart w:id="29" w:name="_Hlk2240366"/>
      <w:r w:rsidRPr="00CE70CB">
        <w:rPr>
          <w:lang w:val="fr-FR"/>
        </w:rPr>
        <w:t>INFCIRC/225/Rev.5, AIEA, Vienne (2011)</w:t>
      </w:r>
      <w:bookmarkEnd w:id="28"/>
      <w:r w:rsidRPr="00CE70CB">
        <w:rPr>
          <w:lang w:val="fr-FR"/>
        </w:rPr>
        <w:t> </w:t>
      </w:r>
      <w:bookmarkEnd w:id="29"/>
      <w:r w:rsidRPr="00CE70CB">
        <w:rPr>
          <w:lang w:val="fr-FR"/>
        </w:rPr>
        <w:t>».</w:t>
      </w:r>
      <w:r w:rsidRPr="00CE70CB">
        <w:rPr>
          <w:bCs/>
          <w:i/>
          <w:iCs/>
          <w:lang w:val="fr-FR"/>
        </w:rPr>
        <w:t xml:space="preserve"> </w:t>
      </w:r>
    </w:p>
    <w:p w:rsidR="00267DA7" w:rsidRPr="00CE70CB" w:rsidRDefault="00267DA7" w:rsidP="00267DA7">
      <w:pPr>
        <w:pStyle w:val="H1G"/>
        <w:rPr>
          <w:lang w:val="fr-FR"/>
        </w:rPr>
      </w:pPr>
      <w:r w:rsidRPr="00CE70CB">
        <w:rPr>
          <w:lang w:val="fr-FR"/>
        </w:rPr>
        <w:tab/>
      </w:r>
      <w:r w:rsidRPr="00CE70CB">
        <w:rPr>
          <w:lang w:val="fr-FR"/>
        </w:rPr>
        <w:tab/>
        <w:t>Chapitre 2.1</w:t>
      </w:r>
    </w:p>
    <w:p w:rsidR="00267DA7" w:rsidRPr="00CE70CB" w:rsidRDefault="00267DA7" w:rsidP="00267DA7">
      <w:pPr>
        <w:pStyle w:val="SingleTxtG"/>
        <w:ind w:left="2268" w:hanging="1134"/>
        <w:rPr>
          <w:lang w:val="fr-FR"/>
        </w:rPr>
      </w:pPr>
      <w:r w:rsidRPr="00CE70CB">
        <w:rPr>
          <w:lang w:val="fr-FR"/>
        </w:rPr>
        <w:t>2.1.3.4.3</w:t>
      </w:r>
      <w:r w:rsidRPr="00CE70CB">
        <w:rPr>
          <w:lang w:val="fr-FR"/>
        </w:rPr>
        <w:tab/>
        <w:t xml:space="preserve">Ajouter le nouveau paragraphe suivant : </w:t>
      </w:r>
    </w:p>
    <w:p w:rsidR="00267DA7" w:rsidRPr="00CE70CB" w:rsidRDefault="00371B9F" w:rsidP="00267DA7">
      <w:pPr>
        <w:pStyle w:val="SingleTxtG"/>
        <w:ind w:left="2268" w:hanging="1134"/>
        <w:rPr>
          <w:lang w:val="fr-FR"/>
        </w:rPr>
      </w:pPr>
      <w:r w:rsidRPr="00CE70CB">
        <w:rPr>
          <w:lang w:val="fr-FR"/>
        </w:rPr>
        <w:tab/>
      </w:r>
      <w:r w:rsidR="00267DA7" w:rsidRPr="00CE70CB">
        <w:rPr>
          <w:lang w:val="fr-FR"/>
        </w:rPr>
        <w:t>« </w:t>
      </w:r>
      <w:bookmarkStart w:id="30" w:name="_Hlk31117830"/>
      <w:r w:rsidR="00267DA7" w:rsidRPr="00CE70CB">
        <w:rPr>
          <w:lang w:val="fr-FR"/>
        </w:rPr>
        <w:t>2.1.3.4.3</w:t>
      </w:r>
      <w:r w:rsidR="00267DA7" w:rsidRPr="00CE70CB">
        <w:rPr>
          <w:lang w:val="fr-FR"/>
        </w:rPr>
        <w:tab/>
        <w:t>Les objets usagés, par exemple les transformateurs et les condensateurs, contenant une solution ou un mélange visés au 2.1.3.4.2, doivent toujours être classés sous la même rubrique de la classe 9, à condition :</w:t>
      </w:r>
    </w:p>
    <w:p w:rsidR="00267DA7" w:rsidRPr="00CE70CB" w:rsidRDefault="00267DA7" w:rsidP="00267DA7">
      <w:pPr>
        <w:pStyle w:val="SingleTxtG"/>
        <w:ind w:left="2835" w:hanging="567"/>
        <w:rPr>
          <w:lang w:val="fr-FR"/>
        </w:rPr>
      </w:pPr>
      <w:r w:rsidRPr="00CE70CB">
        <w:rPr>
          <w:lang w:val="fr-FR"/>
        </w:rPr>
        <w:t>a)</w:t>
      </w:r>
      <w:r w:rsidRPr="00CE70CB">
        <w:rPr>
          <w:lang w:val="fr-FR"/>
        </w:rPr>
        <w:tab/>
        <w:t xml:space="preserve">qu’ils ne contiennent pas en outre de composants dangereux autres que des </w:t>
      </w:r>
      <w:proofErr w:type="spellStart"/>
      <w:r w:rsidRPr="00CE70CB">
        <w:rPr>
          <w:lang w:val="fr-FR"/>
        </w:rPr>
        <w:t>dibenzodioxines</w:t>
      </w:r>
      <w:proofErr w:type="spellEnd"/>
      <w:r w:rsidRPr="00CE70CB">
        <w:rPr>
          <w:lang w:val="fr-FR"/>
        </w:rPr>
        <w:t xml:space="preserve"> et des </w:t>
      </w:r>
      <w:proofErr w:type="spellStart"/>
      <w:r w:rsidRPr="00CE70CB">
        <w:rPr>
          <w:lang w:val="fr-FR"/>
        </w:rPr>
        <w:t>dibenzofurannes</w:t>
      </w:r>
      <w:proofErr w:type="spellEnd"/>
      <w:r w:rsidRPr="00CE70CB">
        <w:rPr>
          <w:lang w:val="fr-FR"/>
        </w:rPr>
        <w:t xml:space="preserve"> </w:t>
      </w:r>
      <w:proofErr w:type="spellStart"/>
      <w:r w:rsidRPr="00CE70CB">
        <w:rPr>
          <w:lang w:val="fr-FR"/>
        </w:rPr>
        <w:t>polyhalogénés</w:t>
      </w:r>
      <w:proofErr w:type="spellEnd"/>
      <w:r w:rsidRPr="00CE70CB">
        <w:rPr>
          <w:lang w:val="fr-FR"/>
        </w:rPr>
        <w:t xml:space="preserve"> de la classe 6.1 ou des composants du groupe d’emballage III de la classe 3, 4.1, 4.2, 4.3, 5.1, 6.1 ou 8 ;</w:t>
      </w:r>
    </w:p>
    <w:p w:rsidR="00267DA7" w:rsidRPr="00CE70CB" w:rsidRDefault="00267DA7" w:rsidP="00267DA7">
      <w:pPr>
        <w:pStyle w:val="SingleTxtG"/>
        <w:ind w:left="2835" w:hanging="567"/>
        <w:rPr>
          <w:lang w:val="fr-FR"/>
        </w:rPr>
      </w:pPr>
      <w:r w:rsidRPr="00CE70CB">
        <w:rPr>
          <w:lang w:val="fr-FR"/>
        </w:rPr>
        <w:t>b)</w:t>
      </w:r>
      <w:r w:rsidRPr="00CE70CB">
        <w:rPr>
          <w:lang w:val="fr-FR"/>
        </w:rPr>
        <w:tab/>
        <w:t>qu’ils ne présentent pas les caractéristiques de danger indiquées aux alinéas a) à g) et i) du 2.1.3.5.3.</w:t>
      </w:r>
      <w:bookmarkEnd w:id="30"/>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2.1.3.8</w:t>
      </w:r>
      <w:r w:rsidRPr="00CE70CB">
        <w:rPr>
          <w:lang w:val="fr-FR"/>
        </w:rPr>
        <w:tab/>
        <w:t>Dans la deuxième phrase, après « Les autres matières qui ne satisfont aux critères d’aucune autre classe » ajouter « </w:t>
      </w:r>
      <w:bookmarkStart w:id="31" w:name="_Hlk31118039"/>
      <w:r w:rsidRPr="00CE70CB">
        <w:rPr>
          <w:lang w:val="fr-FR"/>
        </w:rPr>
        <w:t>ou d’aucune autre matière de la classe 9</w:t>
      </w:r>
      <w:bookmarkEnd w:id="31"/>
      <w:r w:rsidRPr="00CE70CB">
        <w:rPr>
          <w:lang w:val="fr-FR"/>
        </w:rPr>
        <w:t> ».</w:t>
      </w:r>
    </w:p>
    <w:p w:rsidR="00267DA7" w:rsidRPr="00CE70CB" w:rsidRDefault="00267DA7" w:rsidP="00267DA7">
      <w:pPr>
        <w:pStyle w:val="SingleTxtG"/>
        <w:spacing w:before="120" w:line="240" w:lineRule="auto"/>
        <w:ind w:left="2259" w:hanging="1125"/>
        <w:jc w:val="left"/>
        <w:rPr>
          <w:lang w:val="fr-FR"/>
        </w:rPr>
      </w:pPr>
      <w:r w:rsidRPr="00CE70CB">
        <w:rPr>
          <w:bCs/>
          <w:lang w:val="fr-FR"/>
        </w:rPr>
        <w:t>2.1.5</w:t>
      </w:r>
      <w:r w:rsidRPr="00CE70CB">
        <w:rPr>
          <w:bCs/>
          <w:lang w:val="fr-FR"/>
        </w:rPr>
        <w:tab/>
      </w:r>
      <w:r w:rsidRPr="00CE70CB">
        <w:rPr>
          <w:lang w:val="fr-FR"/>
        </w:rPr>
        <w:t>Modifier le Nota pour lire comme suit :</w:t>
      </w:r>
    </w:p>
    <w:p w:rsidR="00267DA7" w:rsidRPr="00CE70CB" w:rsidRDefault="00267DA7" w:rsidP="00267DA7">
      <w:pPr>
        <w:pStyle w:val="SingleTxtG"/>
        <w:ind w:left="2259"/>
        <w:rPr>
          <w:i/>
          <w:iCs/>
          <w:lang w:val="fr-FR"/>
        </w:rPr>
      </w:pPr>
      <w:r w:rsidRPr="00CE70CB">
        <w:rPr>
          <w:i/>
          <w:iCs/>
          <w:lang w:val="fr-FR"/>
        </w:rPr>
        <w:t>« </w:t>
      </w:r>
      <w:r w:rsidRPr="00CE70CB">
        <w:rPr>
          <w:b/>
          <w:bCs/>
          <w:i/>
          <w:iCs/>
          <w:lang w:val="fr-FR"/>
        </w:rPr>
        <w:t>NOTA :</w:t>
      </w:r>
      <w:r w:rsidRPr="00CE70CB">
        <w:rPr>
          <w:i/>
          <w:iCs/>
          <w:lang w:val="fr-FR"/>
        </w:rPr>
        <w:t xml:space="preserve"> </w:t>
      </w:r>
      <w:bookmarkStart w:id="32" w:name="_Hlk31118098"/>
      <w:r w:rsidRPr="00CE70CB">
        <w:rPr>
          <w:i/>
          <w:iCs/>
          <w:lang w:val="fr-FR"/>
        </w:rPr>
        <w:t>Pour les objets qui n’ont pas de désignation officielle de transport et qui contiennent seulement des marchandises dangereuses en quantités ne dépassant pas celles fixées à la colonne (7a) du tableau A du chapitre 3.2, le No ONU 3363 et les dispositions spéciales 301 et 672 du chapitre 3.3 peuvent être appliqués.</w:t>
      </w:r>
      <w:bookmarkEnd w:id="32"/>
      <w:r w:rsidRPr="00CE70CB">
        <w:rPr>
          <w:i/>
          <w:iCs/>
          <w:lang w:val="fr-FR"/>
        </w:rPr>
        <w:t> »</w:t>
      </w:r>
    </w:p>
    <w:p w:rsidR="00267DA7" w:rsidRPr="00CE70CB" w:rsidRDefault="00267DA7" w:rsidP="00267DA7">
      <w:pPr>
        <w:pStyle w:val="SingleTxtG"/>
        <w:tabs>
          <w:tab w:val="left" w:pos="2268"/>
        </w:tabs>
        <w:ind w:left="2259" w:hanging="1125"/>
        <w:rPr>
          <w:lang w:val="fr-FR"/>
        </w:rPr>
      </w:pPr>
      <w:r w:rsidRPr="00CE70CB">
        <w:rPr>
          <w:lang w:val="fr-FR"/>
        </w:rPr>
        <w:t>2.1.5.4</w:t>
      </w:r>
      <w:r w:rsidRPr="00CE70CB">
        <w:rPr>
          <w:lang w:val="fr-FR"/>
        </w:rPr>
        <w:tab/>
        <w:t>À la fin, ajouter la nouvelle phrase suivante : « </w:t>
      </w:r>
      <w:bookmarkStart w:id="33" w:name="_Hlk31118137"/>
      <w:bookmarkStart w:id="34" w:name="_Hlk2243344"/>
      <w:r w:rsidRPr="00CE70CB">
        <w:rPr>
          <w:lang w:val="fr-FR"/>
        </w:rPr>
        <w:t>Cependant, elle s’applique aux objets contenant des matières explosibles qui sont exclus de la classe 1, conformément au 2.2.1.1.8.2.</w:t>
      </w:r>
      <w:bookmarkEnd w:id="33"/>
      <w:r w:rsidRPr="00CE70CB">
        <w:rPr>
          <w:lang w:val="fr-FR"/>
        </w:rPr>
        <w:t> </w:t>
      </w:r>
      <w:bookmarkEnd w:id="34"/>
      <w:r w:rsidRPr="00CE70CB">
        <w:rPr>
          <w:lang w:val="fr-FR"/>
        </w:rPr>
        <w:t>».</w:t>
      </w:r>
    </w:p>
    <w:p w:rsidR="00267DA7" w:rsidRPr="00CE70CB" w:rsidRDefault="00267DA7" w:rsidP="00267DA7">
      <w:pPr>
        <w:pStyle w:val="H1G"/>
        <w:rPr>
          <w:lang w:val="fr-FR"/>
        </w:rPr>
      </w:pPr>
      <w:r w:rsidRPr="00CE70CB">
        <w:rPr>
          <w:lang w:val="fr-FR"/>
        </w:rPr>
        <w:tab/>
      </w:r>
      <w:r w:rsidRPr="00CE70CB">
        <w:rPr>
          <w:lang w:val="fr-FR"/>
        </w:rPr>
        <w:tab/>
        <w:t>Chapitre 2.2</w:t>
      </w:r>
    </w:p>
    <w:p w:rsidR="00267DA7" w:rsidRPr="00CE70CB" w:rsidRDefault="00267DA7" w:rsidP="00793299">
      <w:pPr>
        <w:pStyle w:val="SingleTxtG"/>
        <w:tabs>
          <w:tab w:val="left" w:pos="2268"/>
        </w:tabs>
        <w:ind w:left="2259" w:hanging="1125"/>
        <w:rPr>
          <w:lang w:val="fr-FR"/>
        </w:rPr>
      </w:pPr>
      <w:r w:rsidRPr="00CE70CB">
        <w:rPr>
          <w:lang w:val="fr-FR"/>
        </w:rPr>
        <w:t>2.2.1.1.7.2</w:t>
      </w:r>
      <w:r w:rsidRPr="00CE70CB">
        <w:rPr>
          <w:lang w:val="fr-FR"/>
        </w:rPr>
        <w:tab/>
      </w:r>
      <w:r w:rsidRPr="00CE70CB">
        <w:rPr>
          <w:lang w:val="fr-FR"/>
        </w:rPr>
        <w:tab/>
        <w:t>Dans la première phrase, remplacer « et 0336 » par « </w:t>
      </w:r>
      <w:bookmarkStart w:id="35" w:name="_Hlk31118199"/>
      <w:r w:rsidRPr="00CE70CB">
        <w:rPr>
          <w:lang w:val="fr-FR"/>
        </w:rPr>
        <w:t>ou 0336</w:t>
      </w:r>
      <w:bookmarkStart w:id="36" w:name="_Hlk2243465"/>
      <w:r w:rsidRPr="00CE70CB">
        <w:rPr>
          <w:lang w:val="fr-FR"/>
        </w:rPr>
        <w:t xml:space="preserve">, et l’affectation au No ONU 0431 des objets destinés aux effets scéniques, répondant à un type décrit dans le tableau de classification des artifices de divertissement du </w:t>
      </w:r>
      <w:r w:rsidRPr="00CE70CB">
        <w:rPr>
          <w:lang w:val="fr-FR" w:eastAsia="en-GB"/>
        </w:rPr>
        <w:t>2.2.1.1.7.5</w:t>
      </w:r>
      <w:r w:rsidRPr="00CE70CB">
        <w:rPr>
          <w:lang w:val="fr-FR"/>
        </w:rPr>
        <w:t xml:space="preserve"> et aux caractéristiques permettant une classification en 1.4G suivant ce tableau,</w:t>
      </w:r>
      <w:bookmarkEnd w:id="36"/>
      <w:bookmarkEnd w:id="35"/>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2.2.1.1.8.2 b)</w:t>
      </w:r>
      <w:r w:rsidRPr="00CE70CB">
        <w:rPr>
          <w:lang w:val="fr-FR"/>
        </w:rPr>
        <w:tab/>
        <w:t>Dans le Nota, supprimer «, telle que décrite dans la norme ISO 12097-3 » et ajouter la nouvelle deuxième phrase suivante : « </w:t>
      </w:r>
      <w:bookmarkStart w:id="37" w:name="_Hlk31118594"/>
      <w:bookmarkStart w:id="38" w:name="_Hlk2243585"/>
      <w:r w:rsidRPr="00CE70CB">
        <w:rPr>
          <w:i/>
          <w:w w:val="105"/>
          <w:lang w:val="fr-FR"/>
        </w:rPr>
        <w:t>Une telle méthode est décrite dans la norme ISO 14451-2 en appliquant une vitesse de chauffe de 80 K/min</w:t>
      </w:r>
      <w:r w:rsidRPr="00CE70CB">
        <w:rPr>
          <w:i/>
          <w:lang w:val="fr-FR"/>
        </w:rPr>
        <w:t>.</w:t>
      </w:r>
      <w:bookmarkEnd w:id="37"/>
      <w:r w:rsidRPr="00CE70CB">
        <w:rPr>
          <w:lang w:val="fr-FR"/>
        </w:rPr>
        <w:t> </w:t>
      </w:r>
      <w:bookmarkEnd w:id="38"/>
      <w:r w:rsidRPr="00CE70CB">
        <w:rPr>
          <w:lang w:val="fr-FR"/>
        </w:rPr>
        <w:t>».</w:t>
      </w:r>
    </w:p>
    <w:p w:rsidR="00267DA7" w:rsidRPr="00CE70CB" w:rsidRDefault="00267DA7" w:rsidP="00267DA7">
      <w:pPr>
        <w:pStyle w:val="SingleTxtG"/>
        <w:tabs>
          <w:tab w:val="left" w:pos="2268"/>
        </w:tabs>
        <w:ind w:left="2259" w:hanging="1125"/>
        <w:rPr>
          <w:lang w:val="fr-FR"/>
        </w:rPr>
      </w:pPr>
      <w:r w:rsidRPr="00CE70CB">
        <w:rPr>
          <w:lang w:val="fr-FR"/>
        </w:rPr>
        <w:t>2.2.1.4</w:t>
      </w:r>
      <w:r w:rsidRPr="00CE70CB">
        <w:rPr>
          <w:lang w:val="fr-FR"/>
        </w:rPr>
        <w:tab/>
        <w:t>Pour « OBJETS EXPLOSIFS</w:t>
      </w:r>
      <w:r w:rsidR="001D7662" w:rsidRPr="00CE70CB">
        <w:rPr>
          <w:lang w:val="fr-FR"/>
        </w:rPr>
        <w:t>,</w:t>
      </w:r>
      <w:r w:rsidRPr="00CE70CB">
        <w:rPr>
          <w:lang w:val="fr-FR"/>
        </w:rPr>
        <w:t xml:space="preserve"> EXTRÊMEMENT PEU SENSIBLES (OBJETS EEPS) », remplacer « Objets ne contenant que des matières </w:t>
      </w:r>
      <w:r w:rsidRPr="00CE70CB">
        <w:rPr>
          <w:lang w:val="fr-FR"/>
        </w:rPr>
        <w:lastRenderedPageBreak/>
        <w:t>extrêmement peu sensibles » par « </w:t>
      </w:r>
      <w:bookmarkStart w:id="39" w:name="_Hlk31118726"/>
      <w:r w:rsidRPr="00CE70CB">
        <w:rPr>
          <w:lang w:val="fr-FR"/>
        </w:rPr>
        <w:t>Objets contenants principalement des matières extrêmement peu sensibles</w:t>
      </w:r>
      <w:bookmarkEnd w:id="39"/>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2.2.1.4</w:t>
      </w:r>
      <w:r w:rsidRPr="00CE70CB">
        <w:rPr>
          <w:lang w:val="fr-FR"/>
        </w:rPr>
        <w:tab/>
      </w:r>
      <w:r w:rsidRPr="00CE70CB">
        <w:rPr>
          <w:lang w:val="fr-FR"/>
        </w:rPr>
        <w:tab/>
        <w:t xml:space="preserve">Après la définition de « DÉTONATEURS de mine (de sautage) ÉLECTRIQUES », ajouter la nouvelle définition suivante : </w:t>
      </w:r>
    </w:p>
    <w:p w:rsidR="00267DA7" w:rsidRPr="00CE70CB" w:rsidRDefault="00267DA7" w:rsidP="00267DA7">
      <w:pPr>
        <w:pStyle w:val="SingleTxtG"/>
        <w:tabs>
          <w:tab w:val="left" w:pos="2268"/>
        </w:tabs>
        <w:ind w:left="2259" w:hanging="1125"/>
        <w:rPr>
          <w:lang w:val="fr-FR"/>
        </w:rPr>
      </w:pPr>
      <w:r w:rsidRPr="00CE70CB">
        <w:rPr>
          <w:lang w:val="fr-FR"/>
        </w:rPr>
        <w:tab/>
        <w:t>« </w:t>
      </w:r>
      <w:bookmarkStart w:id="40" w:name="_Hlk31118780"/>
      <w:r w:rsidRPr="00CE70CB">
        <w:rPr>
          <w:lang w:val="fr-FR"/>
        </w:rPr>
        <w:t>DÉTONATEURS de mine (de sautage) ÉLECTRONIQUES programmables : Nos ONU 0511, 0512 et 0513</w:t>
      </w:r>
    </w:p>
    <w:p w:rsidR="00267DA7" w:rsidRPr="00CE70CB" w:rsidRDefault="00267DA7" w:rsidP="00267DA7">
      <w:pPr>
        <w:pStyle w:val="SingleTxtG"/>
        <w:tabs>
          <w:tab w:val="left" w:pos="2268"/>
        </w:tabs>
        <w:ind w:left="2259" w:hanging="1125"/>
        <w:rPr>
          <w:sz w:val="22"/>
          <w:szCs w:val="22"/>
          <w:lang w:val="fr-FR"/>
        </w:rPr>
      </w:pPr>
      <w:r w:rsidRPr="00CE70CB">
        <w:rPr>
          <w:lang w:val="fr-FR"/>
        </w:rPr>
        <w:tab/>
        <w:t>Détonateurs dotés de dispositifs de sûreté et de sécurité améliorés, utilisant des composants électroniques pour transmettre un signal de mise à feu avec des commandes validées et des communications sécurisées. Les détonateurs de ce type ne peuvent pas être initiés par d'autres moyens.</w:t>
      </w:r>
      <w:bookmarkEnd w:id="40"/>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2.2.2.1.5</w:t>
      </w:r>
      <w:r w:rsidRPr="00CE70CB">
        <w:rPr>
          <w:lang w:val="fr-FR"/>
        </w:rPr>
        <w:tab/>
        <w:t>Pour « Gaz inflammables » et pour « Gaz comburants », remplacer « ISO 10156:2010 » par « </w:t>
      </w:r>
      <w:bookmarkStart w:id="41" w:name="_Hlk2244511"/>
      <w:r w:rsidRPr="00CE70CB">
        <w:rPr>
          <w:lang w:val="fr-FR"/>
        </w:rPr>
        <w:t>ISO 10156:2017 </w:t>
      </w:r>
      <w:bookmarkEnd w:id="41"/>
      <w:r w:rsidRPr="00CE70CB">
        <w:rPr>
          <w:lang w:val="fr-FR"/>
        </w:rPr>
        <w:t>».</w:t>
      </w:r>
    </w:p>
    <w:p w:rsidR="00267DA7" w:rsidRPr="00CE70CB" w:rsidRDefault="00267DA7" w:rsidP="00267DA7">
      <w:pPr>
        <w:pStyle w:val="SingleTxtG"/>
        <w:tabs>
          <w:tab w:val="left" w:pos="2268"/>
        </w:tabs>
        <w:ind w:left="2259" w:hanging="1125"/>
        <w:rPr>
          <w:lang w:val="fr-FR"/>
        </w:rPr>
      </w:pPr>
      <w:bookmarkStart w:id="42" w:name="_Hlk31029907"/>
      <w:r w:rsidRPr="00CE70CB">
        <w:rPr>
          <w:bCs/>
          <w:lang w:val="fr-FR"/>
        </w:rPr>
        <w:t>2.2.2.3</w:t>
      </w:r>
      <w:r w:rsidRPr="00CE70CB">
        <w:rPr>
          <w:b/>
          <w:lang w:val="fr-FR"/>
        </w:rPr>
        <w:tab/>
      </w:r>
      <w:r w:rsidRPr="00CE70CB">
        <w:rPr>
          <w:lang w:val="fr-FR"/>
        </w:rPr>
        <w:t>Dans le tableau</w:t>
      </w:r>
      <w:r w:rsidR="00D559D1" w:rsidRPr="00CE70CB">
        <w:rPr>
          <w:lang w:val="fr-FR"/>
        </w:rPr>
        <w:t xml:space="preserve"> pour « Gaz liquéfiés »</w:t>
      </w:r>
      <w:r w:rsidRPr="00CE70CB">
        <w:rPr>
          <w:lang w:val="fr-FR"/>
        </w:rPr>
        <w:t>, pour le code de classification 2F, modifier le nom et la description du No ONU 1010 pour lire comme suit :</w:t>
      </w:r>
    </w:p>
    <w:p w:rsidR="00267DA7" w:rsidRPr="00CE70CB" w:rsidRDefault="00267DA7" w:rsidP="00267DA7">
      <w:pPr>
        <w:pStyle w:val="SingleTxtG"/>
        <w:ind w:left="2259"/>
        <w:rPr>
          <w:b/>
          <w:lang w:val="fr-FR"/>
        </w:rPr>
      </w:pPr>
      <w:r w:rsidRPr="00CE70CB">
        <w:rPr>
          <w:b/>
          <w:lang w:val="fr-FR"/>
        </w:rPr>
        <w:t>« </w:t>
      </w:r>
      <w:r w:rsidRPr="00CE70CB">
        <w:rPr>
          <w:lang w:val="fr-FR"/>
        </w:rPr>
        <w:t>BUTADIÈNES STABILISÉS ou BUTADIÈNES ET HYDROCARBURES EN MÉLANGE STABILISÉ, contenant plus de 40 % de butadiènes »</w:t>
      </w:r>
    </w:p>
    <w:p w:rsidR="00267DA7" w:rsidRPr="00CE70CB" w:rsidRDefault="00D559D1" w:rsidP="00267DA7">
      <w:pPr>
        <w:pStyle w:val="SingleTxtG"/>
        <w:spacing w:before="120" w:line="240" w:lineRule="auto"/>
        <w:ind w:left="2268"/>
        <w:jc w:val="left"/>
        <w:rPr>
          <w:lang w:val="fr-FR"/>
        </w:rPr>
      </w:pPr>
      <w:r w:rsidRPr="00CE70CB">
        <w:rPr>
          <w:iCs/>
          <w:lang w:val="fr-FR"/>
        </w:rPr>
        <w:t>Supprimer le Nota</w:t>
      </w:r>
      <w:r w:rsidR="00267DA7" w:rsidRPr="00CE70CB">
        <w:rPr>
          <w:iCs/>
          <w:lang w:val="fr-FR"/>
        </w:rPr>
        <w:t>.</w:t>
      </w:r>
    </w:p>
    <w:bookmarkEnd w:id="42"/>
    <w:p w:rsidR="00267DA7" w:rsidRPr="00CE70CB" w:rsidRDefault="00267DA7" w:rsidP="00267DA7">
      <w:pPr>
        <w:pStyle w:val="SingleTxtG"/>
        <w:tabs>
          <w:tab w:val="left" w:pos="2268"/>
        </w:tabs>
        <w:ind w:left="2259" w:hanging="1125"/>
        <w:rPr>
          <w:lang w:val="fr-FR"/>
        </w:rPr>
      </w:pPr>
      <w:r w:rsidRPr="00CE70CB">
        <w:rPr>
          <w:lang w:val="fr-FR"/>
        </w:rPr>
        <w:t xml:space="preserve">2.2.2.3 </w:t>
      </w:r>
      <w:r w:rsidRPr="00CE70CB">
        <w:rPr>
          <w:lang w:val="fr-FR"/>
        </w:rPr>
        <w:tab/>
        <w:t>Dans le tableau pour « Autres objets contenant du gaz sous pression », pour le code de classification 6F, ajouter la nouvelle rubrique suivante après celle pour le No ONU 3150 :</w:t>
      </w:r>
    </w:p>
    <w:p w:rsidR="00267DA7" w:rsidRPr="00CE70CB" w:rsidRDefault="00267DA7" w:rsidP="00267DA7">
      <w:pPr>
        <w:pStyle w:val="SingleTxtG"/>
        <w:tabs>
          <w:tab w:val="left" w:pos="2268"/>
        </w:tabs>
        <w:ind w:left="2259" w:hanging="1125"/>
        <w:rPr>
          <w:lang w:val="fr-FR"/>
        </w:rPr>
      </w:pPr>
      <w:r w:rsidRPr="00CE70CB">
        <w:rPr>
          <w:lang w:val="fr-FR"/>
        </w:rPr>
        <w:tab/>
        <w:t>« 3358 MACHINES FRIGORIFIQUES contenant un gaz liquéfié inflammable et non toxique »</w:t>
      </w:r>
    </w:p>
    <w:p w:rsidR="00267DA7" w:rsidRPr="00CE70CB" w:rsidRDefault="00267DA7" w:rsidP="00267DA7">
      <w:pPr>
        <w:pStyle w:val="SingleTxtG"/>
        <w:tabs>
          <w:tab w:val="left" w:pos="2268"/>
        </w:tabs>
        <w:ind w:left="2259" w:hanging="1125"/>
        <w:rPr>
          <w:rFonts w:asciiTheme="majorBidi" w:hAnsiTheme="majorBidi" w:cstheme="majorBidi"/>
          <w:lang w:val="fr-FR" w:eastAsia="en-GB"/>
        </w:rPr>
      </w:pPr>
      <w:r w:rsidRPr="00CE70CB">
        <w:rPr>
          <w:rFonts w:asciiTheme="majorBidi" w:hAnsiTheme="majorBidi" w:cstheme="majorBidi"/>
          <w:lang w:val="fr-FR"/>
        </w:rPr>
        <w:t>2.2.41.1.4</w:t>
      </w:r>
      <w:r w:rsidRPr="00CE70CB">
        <w:rPr>
          <w:rFonts w:asciiTheme="majorBidi" w:hAnsiTheme="majorBidi" w:cstheme="majorBidi"/>
          <w:lang w:val="fr-FR"/>
        </w:rPr>
        <w:tab/>
        <w:t>Remplacer « </w:t>
      </w:r>
      <w:r w:rsidRPr="00CE70CB">
        <w:rPr>
          <w:lang w:val="fr-FR"/>
        </w:rPr>
        <w:t>sous-section 33.2.1 de la troisième partie »</w:t>
      </w:r>
      <w:r w:rsidRPr="00CE70CB">
        <w:rPr>
          <w:rFonts w:asciiTheme="majorBidi" w:hAnsiTheme="majorBidi" w:cstheme="majorBidi"/>
          <w:lang w:val="fr-FR" w:eastAsia="en-GB"/>
        </w:rPr>
        <w:t xml:space="preserve"> par « </w:t>
      </w:r>
      <w:r w:rsidRPr="00CE70CB">
        <w:rPr>
          <w:lang w:val="fr-FR"/>
        </w:rPr>
        <w:t xml:space="preserve">sous-section 33.2 de la troisième partie » </w:t>
      </w:r>
      <w:r w:rsidRPr="00CE70CB">
        <w:rPr>
          <w:rFonts w:asciiTheme="majorBidi" w:hAnsiTheme="majorBidi" w:cstheme="majorBidi"/>
          <w:lang w:val="fr-FR" w:eastAsia="en-GB"/>
        </w:rPr>
        <w:t>(deux fois).</w:t>
      </w:r>
    </w:p>
    <w:p w:rsidR="00267DA7" w:rsidRPr="00CE70CB" w:rsidRDefault="00267DA7" w:rsidP="00267DA7">
      <w:pPr>
        <w:pStyle w:val="SingleTxtG"/>
        <w:tabs>
          <w:tab w:val="left" w:pos="2268"/>
        </w:tabs>
        <w:ind w:left="2259" w:hanging="1125"/>
        <w:rPr>
          <w:rFonts w:asciiTheme="majorBidi" w:hAnsiTheme="majorBidi" w:cstheme="majorBidi"/>
          <w:lang w:val="fr-FR" w:eastAsia="en-GB"/>
        </w:rPr>
      </w:pPr>
      <w:r w:rsidRPr="00CE70CB">
        <w:rPr>
          <w:rFonts w:asciiTheme="majorBidi" w:hAnsiTheme="majorBidi" w:cstheme="majorBidi"/>
          <w:lang w:val="fr-FR"/>
        </w:rPr>
        <w:t>2.2.41.1.5</w:t>
      </w:r>
      <w:r w:rsidRPr="00CE70CB">
        <w:rPr>
          <w:rFonts w:asciiTheme="majorBidi" w:hAnsiTheme="majorBidi" w:cstheme="majorBidi"/>
          <w:lang w:val="fr-FR"/>
        </w:rPr>
        <w:tab/>
        <w:t>Remplacer « </w:t>
      </w:r>
      <w:r w:rsidRPr="00CE70CB">
        <w:rPr>
          <w:lang w:val="fr-FR"/>
        </w:rPr>
        <w:t>sous-section 33.2.1 de la troisième partie »</w:t>
      </w:r>
      <w:r w:rsidRPr="00CE70CB">
        <w:rPr>
          <w:rFonts w:asciiTheme="majorBidi" w:hAnsiTheme="majorBidi" w:cstheme="majorBidi"/>
          <w:lang w:val="fr-FR" w:eastAsia="en-GB"/>
        </w:rPr>
        <w:t xml:space="preserve"> par « </w:t>
      </w:r>
      <w:r w:rsidRPr="00CE70CB">
        <w:rPr>
          <w:lang w:val="fr-FR"/>
        </w:rPr>
        <w:t>sous-section 33.2 de la troisième partie »</w:t>
      </w:r>
      <w:r w:rsidR="00C203A8" w:rsidRPr="00CE70CB">
        <w:rPr>
          <w:lang w:val="fr-FR"/>
        </w:rPr>
        <w:t>.</w:t>
      </w:r>
    </w:p>
    <w:p w:rsidR="00267DA7" w:rsidRPr="00CE70CB" w:rsidRDefault="00267DA7" w:rsidP="00267DA7">
      <w:pPr>
        <w:pStyle w:val="SingleTxtG"/>
        <w:tabs>
          <w:tab w:val="left" w:pos="2268"/>
        </w:tabs>
        <w:ind w:left="2259" w:hanging="1125"/>
        <w:rPr>
          <w:rFonts w:asciiTheme="majorBidi" w:hAnsiTheme="majorBidi" w:cstheme="majorBidi"/>
          <w:lang w:val="fr-FR" w:eastAsia="en-GB"/>
        </w:rPr>
      </w:pPr>
      <w:r w:rsidRPr="00CE70CB">
        <w:rPr>
          <w:rFonts w:asciiTheme="majorBidi" w:hAnsiTheme="majorBidi" w:cstheme="majorBidi"/>
          <w:lang w:val="fr-FR"/>
        </w:rPr>
        <w:t>2.2.41.1.6</w:t>
      </w:r>
      <w:r w:rsidRPr="00CE70CB">
        <w:rPr>
          <w:rFonts w:asciiTheme="majorBidi" w:hAnsiTheme="majorBidi" w:cstheme="majorBidi"/>
          <w:lang w:val="fr-FR"/>
        </w:rPr>
        <w:tab/>
        <w:t>Remplacer « </w:t>
      </w:r>
      <w:r w:rsidRPr="00CE70CB">
        <w:rPr>
          <w:lang w:val="fr-FR"/>
        </w:rPr>
        <w:t>sous-section 33.2.1 de la troisième partie »</w:t>
      </w:r>
      <w:r w:rsidRPr="00CE70CB">
        <w:rPr>
          <w:rFonts w:asciiTheme="majorBidi" w:hAnsiTheme="majorBidi" w:cstheme="majorBidi"/>
          <w:lang w:val="fr-FR" w:eastAsia="en-GB"/>
        </w:rPr>
        <w:t xml:space="preserve"> par « </w:t>
      </w:r>
      <w:r w:rsidRPr="00CE70CB">
        <w:rPr>
          <w:lang w:val="fr-FR"/>
        </w:rPr>
        <w:t>sous-section 33.2 de la troisième partie »</w:t>
      </w:r>
      <w:r w:rsidR="00C203A8" w:rsidRPr="00CE70CB">
        <w:rPr>
          <w:lang w:val="fr-FR"/>
        </w:rPr>
        <w:t>.</w:t>
      </w:r>
    </w:p>
    <w:p w:rsidR="00267DA7" w:rsidRPr="00CE70CB" w:rsidRDefault="00267DA7" w:rsidP="00267DA7">
      <w:pPr>
        <w:pStyle w:val="SingleTxtG"/>
        <w:tabs>
          <w:tab w:val="left" w:pos="2268"/>
        </w:tabs>
        <w:ind w:left="2259" w:hanging="1125"/>
        <w:rPr>
          <w:rFonts w:asciiTheme="majorBidi" w:hAnsiTheme="majorBidi" w:cstheme="majorBidi"/>
          <w:lang w:val="fr-FR" w:eastAsia="en-GB"/>
        </w:rPr>
      </w:pPr>
      <w:r w:rsidRPr="00CE70CB">
        <w:rPr>
          <w:rFonts w:asciiTheme="majorBidi" w:hAnsiTheme="majorBidi" w:cstheme="majorBidi"/>
          <w:lang w:val="fr-FR"/>
        </w:rPr>
        <w:t>2.2.41.1.8</w:t>
      </w:r>
      <w:r w:rsidRPr="00CE70CB">
        <w:rPr>
          <w:rFonts w:asciiTheme="majorBidi" w:hAnsiTheme="majorBidi" w:cstheme="majorBidi"/>
          <w:lang w:val="fr-FR"/>
        </w:rPr>
        <w:tab/>
        <w:t>Remplacer « </w:t>
      </w:r>
      <w:r w:rsidRPr="00CE70CB">
        <w:rPr>
          <w:lang w:val="fr-FR"/>
        </w:rPr>
        <w:t>sous-section 33.2.1 de la troisième partie »</w:t>
      </w:r>
      <w:r w:rsidRPr="00CE70CB">
        <w:rPr>
          <w:rFonts w:asciiTheme="majorBidi" w:hAnsiTheme="majorBidi" w:cstheme="majorBidi"/>
          <w:lang w:val="fr-FR" w:eastAsia="en-GB"/>
        </w:rPr>
        <w:t xml:space="preserve"> par « </w:t>
      </w:r>
      <w:r w:rsidRPr="00CE70CB">
        <w:rPr>
          <w:lang w:val="fr-FR"/>
        </w:rPr>
        <w:t>sous-section 33.2 de la troisième partie »</w:t>
      </w:r>
      <w:r w:rsidR="00C203A8" w:rsidRPr="00CE70CB">
        <w:rPr>
          <w:lang w:val="fr-FR"/>
        </w:rPr>
        <w:t>.</w:t>
      </w:r>
    </w:p>
    <w:p w:rsidR="00267DA7" w:rsidRPr="00CE70CB" w:rsidRDefault="00267DA7" w:rsidP="00267DA7">
      <w:pPr>
        <w:pStyle w:val="SingleTxtG"/>
        <w:tabs>
          <w:tab w:val="left" w:pos="2268"/>
        </w:tabs>
        <w:ind w:left="2259" w:hanging="1125"/>
        <w:rPr>
          <w:szCs w:val="24"/>
          <w:lang w:val="fr-FR"/>
        </w:rPr>
      </w:pPr>
      <w:r w:rsidRPr="00CE70CB">
        <w:rPr>
          <w:lang w:val="fr-FR"/>
        </w:rPr>
        <w:t>2.2.41.1.10</w:t>
      </w:r>
      <w:r w:rsidRPr="00CE70CB">
        <w:rPr>
          <w:lang w:val="fr-FR"/>
        </w:rPr>
        <w:tab/>
      </w:r>
      <w:r w:rsidRPr="00CE70CB">
        <w:rPr>
          <w:szCs w:val="24"/>
          <w:lang w:val="fr-FR"/>
        </w:rPr>
        <w:t>L’amendement est sans objet en français.</w:t>
      </w:r>
    </w:p>
    <w:p w:rsidR="00267DA7" w:rsidRPr="00CE70CB" w:rsidRDefault="00267DA7" w:rsidP="00267DA7">
      <w:pPr>
        <w:pStyle w:val="SingleTxtG"/>
        <w:tabs>
          <w:tab w:val="left" w:pos="2268"/>
        </w:tabs>
        <w:ind w:left="2259" w:hanging="1125"/>
        <w:rPr>
          <w:rFonts w:asciiTheme="majorBidi" w:hAnsiTheme="majorBidi" w:cstheme="majorBidi"/>
          <w:lang w:val="fr-FR" w:eastAsia="en-GB"/>
        </w:rPr>
      </w:pPr>
      <w:r w:rsidRPr="00CE70CB">
        <w:rPr>
          <w:rFonts w:asciiTheme="majorBidi" w:hAnsiTheme="majorBidi" w:cstheme="majorBidi"/>
          <w:lang w:val="fr-FR"/>
        </w:rPr>
        <w:t>2.2.42.1.4</w:t>
      </w:r>
      <w:r w:rsidRPr="00CE70CB">
        <w:rPr>
          <w:rFonts w:asciiTheme="majorBidi" w:hAnsiTheme="majorBidi" w:cstheme="majorBidi"/>
          <w:lang w:val="fr-FR"/>
        </w:rPr>
        <w:tab/>
        <w:t>Remplacer « section 33.3 »</w:t>
      </w:r>
      <w:r w:rsidRPr="00CE70CB">
        <w:rPr>
          <w:rFonts w:asciiTheme="majorBidi" w:hAnsiTheme="majorBidi" w:cstheme="majorBidi"/>
          <w:lang w:val="fr-FR" w:eastAsia="en-GB"/>
        </w:rPr>
        <w:t xml:space="preserve"> par « sous-section 33.4 » (deux fois ».</w:t>
      </w:r>
    </w:p>
    <w:p w:rsidR="00267DA7" w:rsidRPr="00CE70CB" w:rsidRDefault="00267DA7" w:rsidP="00267DA7">
      <w:pPr>
        <w:pStyle w:val="SingleTxtG"/>
        <w:tabs>
          <w:tab w:val="left" w:pos="2268"/>
        </w:tabs>
        <w:ind w:left="2259" w:hanging="1125"/>
        <w:rPr>
          <w:rFonts w:asciiTheme="majorBidi" w:hAnsiTheme="majorBidi" w:cstheme="majorBidi"/>
          <w:lang w:val="fr-FR" w:eastAsia="en-GB"/>
        </w:rPr>
      </w:pPr>
      <w:r w:rsidRPr="00CE70CB">
        <w:rPr>
          <w:rFonts w:asciiTheme="majorBidi" w:hAnsiTheme="majorBidi" w:cstheme="majorBidi"/>
          <w:lang w:val="fr-FR"/>
        </w:rPr>
        <w:t>2.2.42.1.5</w:t>
      </w:r>
      <w:r w:rsidRPr="00CE70CB">
        <w:rPr>
          <w:rFonts w:asciiTheme="majorBidi" w:hAnsiTheme="majorBidi" w:cstheme="majorBidi"/>
          <w:lang w:val="fr-FR"/>
        </w:rPr>
        <w:tab/>
        <w:t>Remplacer « section 33.3 »</w:t>
      </w:r>
      <w:r w:rsidRPr="00CE70CB">
        <w:rPr>
          <w:rFonts w:asciiTheme="majorBidi" w:hAnsiTheme="majorBidi" w:cstheme="majorBidi"/>
          <w:lang w:val="fr-FR" w:eastAsia="en-GB"/>
        </w:rPr>
        <w:t xml:space="preserve"> par « sous-section 33.4 ».</w:t>
      </w:r>
    </w:p>
    <w:p w:rsidR="00267DA7" w:rsidRPr="00CE70CB" w:rsidRDefault="00267DA7" w:rsidP="00267DA7">
      <w:pPr>
        <w:pStyle w:val="SingleTxtG"/>
        <w:tabs>
          <w:tab w:val="left" w:pos="2268"/>
        </w:tabs>
        <w:ind w:left="2259" w:hanging="1125"/>
        <w:rPr>
          <w:rFonts w:asciiTheme="majorBidi" w:hAnsiTheme="majorBidi" w:cstheme="majorBidi"/>
          <w:lang w:val="fr-FR" w:eastAsia="en-GB"/>
        </w:rPr>
      </w:pPr>
      <w:r w:rsidRPr="00CE70CB">
        <w:rPr>
          <w:rFonts w:asciiTheme="majorBidi" w:hAnsiTheme="majorBidi" w:cstheme="majorBidi"/>
          <w:lang w:val="fr-FR"/>
        </w:rPr>
        <w:t>2.2.42.1.7</w:t>
      </w:r>
      <w:r w:rsidRPr="00CE70CB">
        <w:rPr>
          <w:rFonts w:asciiTheme="majorBidi" w:hAnsiTheme="majorBidi" w:cstheme="majorBidi"/>
          <w:lang w:val="fr-FR"/>
        </w:rPr>
        <w:tab/>
        <w:t>Remplacer « section 33.3 »</w:t>
      </w:r>
      <w:r w:rsidRPr="00CE70CB">
        <w:rPr>
          <w:rFonts w:asciiTheme="majorBidi" w:hAnsiTheme="majorBidi" w:cstheme="majorBidi"/>
          <w:lang w:val="fr-FR" w:eastAsia="en-GB"/>
        </w:rPr>
        <w:t xml:space="preserve"> par « sous-section 33.4 ».</w:t>
      </w:r>
    </w:p>
    <w:p w:rsidR="00267DA7" w:rsidRPr="00CE70CB" w:rsidRDefault="00267DA7" w:rsidP="00267DA7">
      <w:pPr>
        <w:pStyle w:val="SingleTxtG"/>
        <w:tabs>
          <w:tab w:val="left" w:pos="2268"/>
        </w:tabs>
        <w:ind w:left="2259" w:hanging="1125"/>
        <w:rPr>
          <w:rFonts w:asciiTheme="majorBidi" w:hAnsiTheme="majorBidi" w:cstheme="majorBidi"/>
          <w:lang w:val="fr-FR" w:eastAsia="en-GB"/>
        </w:rPr>
      </w:pPr>
      <w:r w:rsidRPr="00CE70CB">
        <w:rPr>
          <w:rFonts w:asciiTheme="majorBidi" w:hAnsiTheme="majorBidi" w:cstheme="majorBidi"/>
          <w:lang w:val="fr-FR"/>
        </w:rPr>
        <w:t>2.2.42.1.8</w:t>
      </w:r>
      <w:r w:rsidRPr="00CE70CB">
        <w:rPr>
          <w:rFonts w:asciiTheme="majorBidi" w:hAnsiTheme="majorBidi" w:cstheme="majorBidi"/>
          <w:lang w:val="fr-FR"/>
        </w:rPr>
        <w:tab/>
        <w:t>Remplacer « section 33.3 »</w:t>
      </w:r>
      <w:r w:rsidRPr="00CE70CB">
        <w:rPr>
          <w:rFonts w:asciiTheme="majorBidi" w:hAnsiTheme="majorBidi" w:cstheme="majorBidi"/>
          <w:lang w:val="fr-FR" w:eastAsia="en-GB"/>
        </w:rPr>
        <w:t xml:space="preserve"> par « sous-section 33.4 ».</w:t>
      </w:r>
    </w:p>
    <w:p w:rsidR="00267DA7" w:rsidRPr="00CE70CB" w:rsidRDefault="00267DA7" w:rsidP="00267DA7">
      <w:pPr>
        <w:pStyle w:val="SingleTxtG"/>
        <w:tabs>
          <w:tab w:val="left" w:pos="2268"/>
        </w:tabs>
        <w:ind w:left="2259" w:hanging="1125"/>
        <w:rPr>
          <w:rFonts w:asciiTheme="majorBidi" w:hAnsiTheme="majorBidi" w:cstheme="majorBidi"/>
          <w:lang w:val="fr-FR" w:eastAsia="en-GB"/>
        </w:rPr>
      </w:pPr>
      <w:r w:rsidRPr="00CE70CB">
        <w:rPr>
          <w:rFonts w:asciiTheme="majorBidi" w:hAnsiTheme="majorBidi" w:cstheme="majorBidi"/>
          <w:lang w:val="fr-FR"/>
        </w:rPr>
        <w:t>2.2.43.1.4</w:t>
      </w:r>
      <w:r w:rsidRPr="00CE70CB">
        <w:rPr>
          <w:rFonts w:asciiTheme="majorBidi" w:hAnsiTheme="majorBidi" w:cstheme="majorBidi"/>
          <w:lang w:val="fr-FR"/>
        </w:rPr>
        <w:tab/>
        <w:t>Remplacer « section 33.4 »</w:t>
      </w:r>
      <w:r w:rsidRPr="00CE70CB">
        <w:rPr>
          <w:rFonts w:asciiTheme="majorBidi" w:hAnsiTheme="majorBidi" w:cstheme="majorBidi"/>
          <w:lang w:val="fr-FR" w:eastAsia="en-GB"/>
        </w:rPr>
        <w:t xml:space="preserve"> par « sous-section 33.5 ».</w:t>
      </w:r>
    </w:p>
    <w:p w:rsidR="00267DA7" w:rsidRPr="00CE70CB" w:rsidRDefault="00267DA7" w:rsidP="00267DA7">
      <w:pPr>
        <w:pStyle w:val="SingleTxtG"/>
        <w:tabs>
          <w:tab w:val="left" w:pos="2268"/>
        </w:tabs>
        <w:ind w:left="2259" w:hanging="1125"/>
        <w:rPr>
          <w:rFonts w:asciiTheme="majorBidi" w:hAnsiTheme="majorBidi" w:cstheme="majorBidi"/>
          <w:lang w:val="fr-FR" w:eastAsia="en-GB"/>
        </w:rPr>
      </w:pPr>
      <w:r w:rsidRPr="00CE70CB">
        <w:rPr>
          <w:rFonts w:asciiTheme="majorBidi" w:hAnsiTheme="majorBidi" w:cstheme="majorBidi"/>
          <w:lang w:val="fr-FR"/>
        </w:rPr>
        <w:t>2.2.43.1.5</w:t>
      </w:r>
      <w:r w:rsidRPr="00CE70CB">
        <w:rPr>
          <w:rFonts w:asciiTheme="majorBidi" w:hAnsiTheme="majorBidi" w:cstheme="majorBidi"/>
          <w:lang w:val="fr-FR"/>
        </w:rPr>
        <w:tab/>
        <w:t>Remplacer « section 33.4 »</w:t>
      </w:r>
      <w:r w:rsidRPr="00CE70CB">
        <w:rPr>
          <w:rFonts w:asciiTheme="majorBidi" w:hAnsiTheme="majorBidi" w:cstheme="majorBidi"/>
          <w:lang w:val="fr-FR" w:eastAsia="en-GB"/>
        </w:rPr>
        <w:t xml:space="preserve"> par « sous-section 33.5 ».</w:t>
      </w:r>
    </w:p>
    <w:p w:rsidR="00267DA7" w:rsidRPr="00CE70CB" w:rsidRDefault="00267DA7" w:rsidP="00267DA7">
      <w:pPr>
        <w:pStyle w:val="SingleTxtG"/>
        <w:tabs>
          <w:tab w:val="left" w:pos="2268"/>
        </w:tabs>
        <w:ind w:left="2259" w:hanging="1125"/>
        <w:rPr>
          <w:rFonts w:asciiTheme="majorBidi" w:hAnsiTheme="majorBidi" w:cstheme="majorBidi"/>
          <w:lang w:val="fr-FR" w:eastAsia="en-GB"/>
        </w:rPr>
      </w:pPr>
      <w:r w:rsidRPr="00CE70CB">
        <w:rPr>
          <w:rFonts w:asciiTheme="majorBidi" w:hAnsiTheme="majorBidi" w:cstheme="majorBidi"/>
          <w:lang w:val="fr-FR"/>
        </w:rPr>
        <w:t>2.2.43.1.7</w:t>
      </w:r>
      <w:r w:rsidRPr="00CE70CB">
        <w:rPr>
          <w:rFonts w:asciiTheme="majorBidi" w:hAnsiTheme="majorBidi" w:cstheme="majorBidi"/>
          <w:lang w:val="fr-FR"/>
        </w:rPr>
        <w:tab/>
        <w:t>Remplacer « section 33.4 »</w:t>
      </w:r>
      <w:r w:rsidRPr="00CE70CB">
        <w:rPr>
          <w:rFonts w:asciiTheme="majorBidi" w:hAnsiTheme="majorBidi" w:cstheme="majorBidi"/>
          <w:lang w:val="fr-FR" w:eastAsia="en-GB"/>
        </w:rPr>
        <w:t xml:space="preserve"> par « sous-section 33.5 ».</w:t>
      </w:r>
    </w:p>
    <w:p w:rsidR="00267DA7" w:rsidRPr="00CE70CB" w:rsidRDefault="00267DA7" w:rsidP="00267DA7">
      <w:pPr>
        <w:pStyle w:val="SingleTxtG"/>
        <w:tabs>
          <w:tab w:val="left" w:pos="2268"/>
        </w:tabs>
        <w:ind w:left="2259" w:hanging="1125"/>
        <w:rPr>
          <w:rFonts w:asciiTheme="majorBidi" w:hAnsiTheme="majorBidi" w:cstheme="majorBidi"/>
          <w:lang w:val="fr-FR" w:eastAsia="en-GB"/>
        </w:rPr>
      </w:pPr>
      <w:r w:rsidRPr="00CE70CB">
        <w:rPr>
          <w:rFonts w:asciiTheme="majorBidi" w:hAnsiTheme="majorBidi" w:cstheme="majorBidi"/>
          <w:lang w:val="fr-FR"/>
        </w:rPr>
        <w:t>2.2.43.1.8</w:t>
      </w:r>
      <w:r w:rsidRPr="00CE70CB">
        <w:rPr>
          <w:rFonts w:asciiTheme="majorBidi" w:hAnsiTheme="majorBidi" w:cstheme="majorBidi"/>
          <w:lang w:val="fr-FR"/>
        </w:rPr>
        <w:tab/>
        <w:t>Remplacer « section 33.4 »</w:t>
      </w:r>
      <w:r w:rsidRPr="00CE70CB">
        <w:rPr>
          <w:rFonts w:asciiTheme="majorBidi" w:hAnsiTheme="majorBidi" w:cstheme="majorBidi"/>
          <w:lang w:val="fr-FR" w:eastAsia="en-GB"/>
        </w:rPr>
        <w:t xml:space="preserve"> par « sous-section 33.5 ».</w:t>
      </w:r>
    </w:p>
    <w:p w:rsidR="00267DA7" w:rsidRPr="00CE70CB" w:rsidRDefault="00267DA7" w:rsidP="00267DA7">
      <w:pPr>
        <w:pStyle w:val="SingleTxtG"/>
        <w:tabs>
          <w:tab w:val="left" w:pos="2268"/>
        </w:tabs>
        <w:ind w:left="2259" w:hanging="1125"/>
        <w:rPr>
          <w:lang w:val="fr-FR"/>
        </w:rPr>
      </w:pPr>
      <w:r w:rsidRPr="00CE70CB">
        <w:rPr>
          <w:lang w:val="fr-FR"/>
        </w:rPr>
        <w:t>2.2.52.4</w:t>
      </w:r>
      <w:r w:rsidRPr="00CE70CB">
        <w:rPr>
          <w:lang w:val="fr-FR"/>
        </w:rPr>
        <w:tab/>
      </w:r>
      <w:r w:rsidRPr="00CE70CB">
        <w:rPr>
          <w:lang w:val="fr-FR"/>
        </w:rPr>
        <w:tab/>
        <w:t>Dans le tableau, pour « PEROXYDICARBONATE DE BIS (tert-BUTYL-4 CYCLOHEXYLE) », à la concentration « </w:t>
      </w:r>
      <w:bookmarkStart w:id="43" w:name="_Hlk517850767"/>
      <w:r w:rsidRPr="00CE70CB">
        <w:rPr>
          <w:lang w:val="fr-FR"/>
        </w:rPr>
        <w:t>≤ 42</w:t>
      </w:r>
      <w:bookmarkEnd w:id="43"/>
      <w:r w:rsidRPr="00CE70CB">
        <w:rPr>
          <w:lang w:val="fr-FR"/>
        </w:rPr>
        <w:t xml:space="preserve"> (pâte) », dans la colonne « Méthode d’emballage », remplacer « OP7 » par « OP8 » et dans la colonne « No ONU (rubrique générique) », remplacer « 3116 » par « 3118 ». </w:t>
      </w:r>
    </w:p>
    <w:p w:rsidR="00B91C07" w:rsidRPr="00CE70CB" w:rsidRDefault="00B91C07" w:rsidP="00B91C07">
      <w:pPr>
        <w:pStyle w:val="SingleTxtG"/>
        <w:tabs>
          <w:tab w:val="left" w:pos="2268"/>
        </w:tabs>
        <w:ind w:left="2259" w:hanging="1125"/>
        <w:rPr>
          <w:lang w:val="fr-FR"/>
        </w:rPr>
      </w:pPr>
      <w:r w:rsidRPr="00CE70CB">
        <w:rPr>
          <w:lang w:val="fr-FR"/>
        </w:rPr>
        <w:t>2.2.62.1.1</w:t>
      </w:r>
      <w:r w:rsidRPr="00CE70CB">
        <w:rPr>
          <w:lang w:val="fr-FR"/>
        </w:rPr>
        <w:tab/>
        <w:t>Dans la troisième phrase, supprimer « les rickettsies, ».</w:t>
      </w:r>
    </w:p>
    <w:p w:rsidR="00267DA7" w:rsidRPr="00CE70CB" w:rsidRDefault="00267DA7" w:rsidP="00267DA7">
      <w:pPr>
        <w:pStyle w:val="SingleTxtG"/>
        <w:tabs>
          <w:tab w:val="left" w:pos="2268"/>
        </w:tabs>
        <w:ind w:left="2259" w:hanging="1125"/>
        <w:rPr>
          <w:b/>
          <w:bCs/>
          <w:lang w:val="fr-FR"/>
        </w:rPr>
      </w:pPr>
      <w:r w:rsidRPr="00CE70CB">
        <w:rPr>
          <w:bCs/>
          <w:lang w:val="fr-FR"/>
        </w:rPr>
        <w:t>2.2.62.1.3</w:t>
      </w:r>
      <w:r w:rsidRPr="00CE70CB">
        <w:rPr>
          <w:bCs/>
          <w:lang w:val="fr-FR"/>
        </w:rPr>
        <w:tab/>
        <w:t>Modifier la définition de « Déchets médicaux ou déchets d’hôpital » pour lire comme suit :</w:t>
      </w:r>
    </w:p>
    <w:p w:rsidR="00267DA7" w:rsidRPr="00CE70CB" w:rsidRDefault="00267DA7" w:rsidP="00267DA7">
      <w:pPr>
        <w:pStyle w:val="SingleTxtG"/>
        <w:tabs>
          <w:tab w:val="left" w:pos="2268"/>
        </w:tabs>
        <w:ind w:left="2259" w:hanging="1125"/>
        <w:rPr>
          <w:lang w:val="fr-FR"/>
        </w:rPr>
      </w:pPr>
      <w:r w:rsidRPr="00CE70CB">
        <w:rPr>
          <w:lang w:val="fr-FR"/>
        </w:rPr>
        <w:lastRenderedPageBreak/>
        <w:tab/>
        <w:t>« </w:t>
      </w:r>
      <w:bookmarkStart w:id="44" w:name="_Hlk2244885"/>
      <w:r w:rsidR="00DD11D6" w:rsidRPr="00CE70CB">
        <w:rPr>
          <w:i/>
          <w:iCs/>
        </w:rPr>
        <w:t>"</w:t>
      </w:r>
      <w:r w:rsidRPr="00CE70CB">
        <w:rPr>
          <w:i/>
          <w:iCs/>
          <w:lang w:val="fr-FR"/>
        </w:rPr>
        <w:t>Déchets médicaux ou déchets d’hôpital</w:t>
      </w:r>
      <w:r w:rsidR="00DD11D6" w:rsidRPr="00CE70CB">
        <w:rPr>
          <w:i/>
          <w:iCs/>
        </w:rPr>
        <w:t>"</w:t>
      </w:r>
      <w:r w:rsidRPr="00CE70CB">
        <w:rPr>
          <w:i/>
          <w:iCs/>
          <w:lang w:val="fr-FR"/>
        </w:rPr>
        <w:t>,</w:t>
      </w:r>
      <w:r w:rsidRPr="00CE70CB">
        <w:rPr>
          <w:lang w:val="fr-FR"/>
        </w:rPr>
        <w:t xml:space="preserve"> des déchets provenant de traitements médicaux administrés à des êtres humains ou de traitements vétérinaires administrés à des animaux ou de la recherche biologique</w:t>
      </w:r>
      <w:bookmarkEnd w:id="44"/>
      <w:r w:rsidR="001C116B" w:rsidRPr="00CE70CB">
        <w:rPr>
          <w:lang w:val="fr-FR"/>
        </w:rPr>
        <w:t> ;</w:t>
      </w:r>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2.2.62.1.4</w:t>
      </w:r>
      <w:r w:rsidRPr="00CE70CB">
        <w:rPr>
          <w:lang w:val="fr-FR"/>
        </w:rPr>
        <w:tab/>
        <w:t>Remplacer « ou 3373 » par « </w:t>
      </w:r>
      <w:bookmarkStart w:id="45" w:name="_Hlk2244910"/>
      <w:r w:rsidRPr="00CE70CB">
        <w:rPr>
          <w:lang w:val="fr-FR"/>
        </w:rPr>
        <w:t>, 3373 ou 3549 </w:t>
      </w:r>
      <w:bookmarkEnd w:id="45"/>
      <w:r w:rsidRPr="00CE70CB">
        <w:rPr>
          <w:lang w:val="fr-FR"/>
        </w:rPr>
        <w:t>».</w:t>
      </w:r>
    </w:p>
    <w:p w:rsidR="00267DA7" w:rsidRPr="00CE70CB" w:rsidRDefault="00267DA7" w:rsidP="00267DA7">
      <w:pPr>
        <w:pStyle w:val="SingleTxtG"/>
        <w:tabs>
          <w:tab w:val="left" w:pos="2268"/>
        </w:tabs>
        <w:ind w:left="2259" w:hanging="1125"/>
        <w:rPr>
          <w:lang w:val="fr-FR"/>
        </w:rPr>
      </w:pPr>
      <w:r w:rsidRPr="00CE70CB">
        <w:rPr>
          <w:lang w:val="fr-FR"/>
        </w:rPr>
        <w:t>2.2.62.1.4.1</w:t>
      </w:r>
      <w:r w:rsidRPr="00CE70CB">
        <w:rPr>
          <w:lang w:val="fr-FR"/>
        </w:rPr>
        <w:tab/>
      </w:r>
      <w:r w:rsidR="00C203A8" w:rsidRPr="00CE70CB">
        <w:rPr>
          <w:lang w:val="fr-FR"/>
        </w:rPr>
        <w:t xml:space="preserve">Dans le </w:t>
      </w:r>
      <w:r w:rsidRPr="00CE70CB">
        <w:rPr>
          <w:lang w:val="fr-FR"/>
        </w:rPr>
        <w:t>Nota 3, supprimer «, des mycoplasmes, des rickettsies ».</w:t>
      </w:r>
    </w:p>
    <w:p w:rsidR="00267DA7" w:rsidRPr="00CE70CB" w:rsidRDefault="00267DA7" w:rsidP="00267DA7">
      <w:pPr>
        <w:pStyle w:val="SingleTxtG"/>
        <w:tabs>
          <w:tab w:val="left" w:pos="2268"/>
        </w:tabs>
        <w:ind w:left="2259" w:hanging="1125"/>
        <w:rPr>
          <w:iCs/>
          <w:lang w:val="fr-FR"/>
        </w:rPr>
      </w:pPr>
      <w:r w:rsidRPr="00CE70CB">
        <w:rPr>
          <w:lang w:val="fr-FR" w:eastAsia="en-GB"/>
        </w:rPr>
        <w:t>2.2.62.1.5.9</w:t>
      </w:r>
      <w:r w:rsidRPr="00CE70CB">
        <w:rPr>
          <w:iCs/>
          <w:lang w:val="fr-FR"/>
        </w:rPr>
        <w:t xml:space="preserve"> a)</w:t>
      </w:r>
    </w:p>
    <w:p w:rsidR="00267DA7" w:rsidRPr="00CE70CB" w:rsidRDefault="00267DA7" w:rsidP="00267DA7">
      <w:pPr>
        <w:pStyle w:val="SingleTxtG"/>
        <w:tabs>
          <w:tab w:val="left" w:pos="2268"/>
        </w:tabs>
        <w:ind w:left="2259" w:hanging="1125"/>
        <w:rPr>
          <w:iCs/>
          <w:lang w:val="fr-FR"/>
        </w:rPr>
      </w:pPr>
      <w:r w:rsidRPr="00CE70CB">
        <w:rPr>
          <w:iCs/>
          <w:lang w:val="fr-FR"/>
        </w:rPr>
        <w:tab/>
      </w:r>
      <w:r w:rsidRPr="00CE70CB">
        <w:rPr>
          <w:iCs/>
          <w:lang w:val="fr-FR"/>
        </w:rPr>
        <w:tab/>
        <w:t>Dans le texte entre parenthèse</w:t>
      </w:r>
      <w:r w:rsidR="00DD11D6" w:rsidRPr="00CE70CB">
        <w:rPr>
          <w:iCs/>
          <w:lang w:val="fr-FR"/>
        </w:rPr>
        <w:t>s</w:t>
      </w:r>
      <w:r w:rsidRPr="00CE70CB">
        <w:rPr>
          <w:iCs/>
          <w:lang w:val="fr-FR"/>
        </w:rPr>
        <w:t>, remplacer « No ONU 3291 » par « </w:t>
      </w:r>
      <w:bookmarkStart w:id="46" w:name="_Hlk2245512"/>
      <w:r w:rsidRPr="00CE70CB">
        <w:rPr>
          <w:lang w:val="fr-FR"/>
        </w:rPr>
        <w:t>Nos ONU 3291 et 3549</w:t>
      </w:r>
      <w:bookmarkEnd w:id="46"/>
      <w:r w:rsidRPr="00CE70CB">
        <w:rPr>
          <w:lang w:val="fr-FR"/>
        </w:rPr>
        <w:t> ».</w:t>
      </w:r>
    </w:p>
    <w:p w:rsidR="00267DA7" w:rsidRPr="00CE70CB" w:rsidRDefault="00267DA7" w:rsidP="00267DA7">
      <w:pPr>
        <w:pStyle w:val="SingleTxtG"/>
        <w:tabs>
          <w:tab w:val="left" w:pos="2268"/>
        </w:tabs>
        <w:ind w:left="2259" w:hanging="1125"/>
        <w:rPr>
          <w:iCs/>
          <w:lang w:val="fr-FR"/>
        </w:rPr>
      </w:pPr>
      <w:r w:rsidRPr="00CE70CB">
        <w:rPr>
          <w:lang w:val="fr-FR" w:eastAsia="en-GB"/>
        </w:rPr>
        <w:t>2.2.62.1.11.1</w:t>
      </w:r>
      <w:r w:rsidRPr="00CE70CB">
        <w:rPr>
          <w:iCs/>
          <w:lang w:val="fr-FR"/>
        </w:rPr>
        <w:tab/>
        <w:t>Modifier pour lire comme suit :</w:t>
      </w:r>
    </w:p>
    <w:p w:rsidR="00267DA7" w:rsidRPr="00CE70CB" w:rsidRDefault="00371B9F" w:rsidP="00267DA7">
      <w:pPr>
        <w:pStyle w:val="SingleTxtG"/>
        <w:tabs>
          <w:tab w:val="left" w:pos="2268"/>
        </w:tabs>
        <w:ind w:left="2259" w:hanging="1125"/>
        <w:rPr>
          <w:lang w:val="fr-FR"/>
        </w:rPr>
      </w:pPr>
      <w:r w:rsidRPr="00CE70CB">
        <w:rPr>
          <w:iCs/>
          <w:lang w:val="fr-FR"/>
        </w:rPr>
        <w:tab/>
      </w:r>
      <w:r w:rsidR="00267DA7" w:rsidRPr="00CE70CB">
        <w:rPr>
          <w:iCs/>
          <w:lang w:val="fr-FR"/>
        </w:rPr>
        <w:t>« </w:t>
      </w:r>
      <w:r w:rsidR="00267DA7" w:rsidRPr="00CE70CB">
        <w:rPr>
          <w:lang w:val="fr-FR" w:eastAsia="en-GB"/>
        </w:rPr>
        <w:t>2.2.62.1.11.1</w:t>
      </w:r>
      <w:r w:rsidR="00267DA7" w:rsidRPr="00CE70CB">
        <w:rPr>
          <w:iCs/>
          <w:lang w:val="fr-FR"/>
        </w:rPr>
        <w:tab/>
      </w:r>
      <w:bookmarkStart w:id="47" w:name="_Hlk2245656"/>
      <w:r w:rsidR="00267DA7" w:rsidRPr="00CE70CB">
        <w:rPr>
          <w:lang w:val="fr-FR"/>
        </w:rPr>
        <w:t>Les déchets médicaux ou déchets d’hôpital contenant :</w:t>
      </w:r>
      <w:bookmarkEnd w:id="47"/>
    </w:p>
    <w:p w:rsidR="00267DA7" w:rsidRPr="00CE70CB" w:rsidRDefault="00267DA7" w:rsidP="00267DA7">
      <w:pPr>
        <w:pStyle w:val="SingleTxtG"/>
        <w:tabs>
          <w:tab w:val="left" w:pos="2835"/>
        </w:tabs>
        <w:ind w:left="2835" w:hanging="567"/>
        <w:rPr>
          <w:szCs w:val="24"/>
          <w:lang w:val="fr-FR"/>
        </w:rPr>
      </w:pPr>
      <w:bookmarkStart w:id="48" w:name="_Hlk2245670"/>
      <w:r w:rsidRPr="00CE70CB">
        <w:rPr>
          <w:szCs w:val="24"/>
          <w:lang w:val="fr-FR"/>
        </w:rPr>
        <w:t>a)</w:t>
      </w:r>
      <w:r w:rsidRPr="00CE70CB">
        <w:rPr>
          <w:szCs w:val="24"/>
          <w:lang w:val="fr-FR"/>
        </w:rPr>
        <w:tab/>
      </w:r>
      <w:r w:rsidR="00DD11D6" w:rsidRPr="00CE70CB">
        <w:rPr>
          <w:szCs w:val="24"/>
          <w:lang w:val="fr-FR"/>
        </w:rPr>
        <w:t>D</w:t>
      </w:r>
      <w:r w:rsidRPr="00CE70CB">
        <w:rPr>
          <w:szCs w:val="24"/>
          <w:lang w:val="fr-FR"/>
        </w:rPr>
        <w:t>es matières infectieuses de la catégorie A doivent être affectés aux Nos ONU 2814, 2900 ou 3549, selon le cas. Les déchets médicaux solides contenant des matières infectieuses de la catégorie A générés par le traitement médical administré à des êtres humains ou par le traitement vétérinaire administré à des animaux peuvent être affectés au No ONU 3549. La rubrique ONU 3549 ne doit pas être utilisée pour les déchets provenant de la recherche biologique ou pour les déchets liquides ;</w:t>
      </w:r>
    </w:p>
    <w:p w:rsidR="00267DA7" w:rsidRPr="00CE70CB" w:rsidRDefault="00267DA7" w:rsidP="00267DA7">
      <w:pPr>
        <w:pStyle w:val="SingleTxtG"/>
        <w:tabs>
          <w:tab w:val="left" w:pos="2835"/>
        </w:tabs>
        <w:ind w:left="2835" w:hanging="567"/>
        <w:rPr>
          <w:szCs w:val="24"/>
          <w:lang w:val="fr-FR"/>
        </w:rPr>
      </w:pPr>
      <w:r w:rsidRPr="00CE70CB">
        <w:rPr>
          <w:szCs w:val="24"/>
          <w:lang w:val="fr-FR"/>
        </w:rPr>
        <w:t>b)</w:t>
      </w:r>
      <w:r w:rsidRPr="00CE70CB">
        <w:rPr>
          <w:szCs w:val="24"/>
          <w:lang w:val="fr-FR"/>
        </w:rPr>
        <w:tab/>
      </w:r>
      <w:r w:rsidR="00DD11D6" w:rsidRPr="00CE70CB">
        <w:rPr>
          <w:szCs w:val="24"/>
          <w:lang w:val="fr-FR"/>
        </w:rPr>
        <w:t>D</w:t>
      </w:r>
      <w:r w:rsidRPr="00CE70CB">
        <w:rPr>
          <w:szCs w:val="24"/>
          <w:lang w:val="fr-FR"/>
        </w:rPr>
        <w:t>es matières infectieuses de la catégorie B doivent être affectés au No</w:t>
      </w:r>
      <w:r w:rsidR="00DD11D6" w:rsidRPr="00CE70CB">
        <w:rPr>
          <w:szCs w:val="24"/>
          <w:lang w:val="fr-FR"/>
        </w:rPr>
        <w:t> </w:t>
      </w:r>
      <w:r w:rsidRPr="00CE70CB">
        <w:rPr>
          <w:szCs w:val="24"/>
          <w:lang w:val="fr-FR"/>
        </w:rPr>
        <w:t>ONU 3291.</w:t>
      </w:r>
    </w:p>
    <w:p w:rsidR="00267DA7" w:rsidRPr="00CE70CB" w:rsidRDefault="00267DA7" w:rsidP="00267DA7">
      <w:pPr>
        <w:pStyle w:val="SingleTxtG"/>
        <w:ind w:left="2268"/>
        <w:rPr>
          <w:lang w:val="fr-FR"/>
        </w:rPr>
      </w:pPr>
      <w:r w:rsidRPr="00CE70CB">
        <w:rPr>
          <w:b/>
          <w:bCs/>
          <w:i/>
          <w:iCs/>
          <w:lang w:val="fr-FR"/>
        </w:rPr>
        <w:t>NOTA 1 :</w:t>
      </w:r>
      <w:r w:rsidRPr="00CE70CB">
        <w:rPr>
          <w:i/>
          <w:iCs/>
          <w:lang w:val="fr-FR"/>
        </w:rPr>
        <w:t xml:space="preserve"> </w:t>
      </w:r>
      <w:r w:rsidR="00D47677" w:rsidRPr="00CE70CB">
        <w:rPr>
          <w:i/>
          <w:iCs/>
          <w:lang w:val="fr-FR"/>
        </w:rPr>
        <w:t>La désignation officielle de transport</w:t>
      </w:r>
      <w:r w:rsidRPr="00CE70CB">
        <w:rPr>
          <w:i/>
          <w:iCs/>
          <w:lang w:val="fr-FR"/>
        </w:rPr>
        <w:t xml:space="preserve"> pour le No ONU 3549 est "</w:t>
      </w:r>
      <w:bookmarkEnd w:id="48"/>
      <w:r w:rsidRPr="00CE70CB">
        <w:rPr>
          <w:i/>
          <w:iCs/>
          <w:lang w:val="fr-FR"/>
        </w:rPr>
        <w:t>DÉCHETS MÉDICAUX INFECTIEUX POUR L’HOMME, CATÉGORIE A, solides" ou "DÉCHETS MÉDICAUX INFECTIEUX POUR LES ANIMAUX uniquement, CATÉGORIE A, solides"</w:t>
      </w:r>
      <w:r w:rsidR="00B82D22" w:rsidRPr="00CE70CB">
        <w:rPr>
          <w:i/>
          <w:iCs/>
          <w:lang w:val="fr-FR"/>
        </w:rPr>
        <w:t>.</w:t>
      </w:r>
      <w:r w:rsidRPr="00CE70CB">
        <w:rPr>
          <w:i/>
          <w:iCs/>
          <w:lang w:val="fr-FR"/>
        </w:rPr>
        <w:t xml:space="preserve"> </w:t>
      </w:r>
      <w:r w:rsidRPr="00CE70CB">
        <w:rPr>
          <w:lang w:val="fr-FR"/>
        </w:rPr>
        <w:t>»</w:t>
      </w:r>
    </w:p>
    <w:p w:rsidR="00267DA7" w:rsidRPr="00CE70CB" w:rsidRDefault="00267DA7" w:rsidP="00267DA7">
      <w:pPr>
        <w:pStyle w:val="SingleTxtG"/>
        <w:ind w:left="2268"/>
        <w:rPr>
          <w:lang w:val="fr-FR"/>
        </w:rPr>
      </w:pPr>
      <w:r w:rsidRPr="00CE70CB">
        <w:rPr>
          <w:lang w:val="fr-FR"/>
        </w:rPr>
        <w:t>Renuméroter le Nota existant en tant que Nota 2.</w:t>
      </w:r>
    </w:p>
    <w:p w:rsidR="00267DA7" w:rsidRPr="00CE70CB" w:rsidRDefault="00267DA7" w:rsidP="00267DA7">
      <w:pPr>
        <w:pStyle w:val="SingleTxtG"/>
        <w:tabs>
          <w:tab w:val="left" w:pos="2268"/>
        </w:tabs>
        <w:ind w:left="2259" w:hanging="1125"/>
        <w:rPr>
          <w:lang w:val="fr-FR"/>
        </w:rPr>
      </w:pPr>
      <w:r w:rsidRPr="00CE70CB">
        <w:rPr>
          <w:lang w:val="fr-FR"/>
        </w:rPr>
        <w:t xml:space="preserve">2.2.62.1.11.4 </w:t>
      </w:r>
      <w:r w:rsidRPr="00CE70CB">
        <w:rPr>
          <w:lang w:val="fr-FR"/>
        </w:rPr>
        <w:tab/>
        <w:t xml:space="preserve">Supprimer et ajouter « 2.2.62.1.11.4 </w:t>
      </w:r>
      <w:r w:rsidRPr="00CE70CB">
        <w:rPr>
          <w:i/>
          <w:iCs/>
          <w:lang w:val="fr-FR"/>
        </w:rPr>
        <w:t>(Supprimé) </w:t>
      </w:r>
      <w:r w:rsidRPr="00CE70CB">
        <w:rPr>
          <w:lang w:val="fr-FR"/>
        </w:rPr>
        <w:t>».</w:t>
      </w:r>
    </w:p>
    <w:p w:rsidR="00267DA7" w:rsidRPr="00CE70CB" w:rsidRDefault="00267DA7" w:rsidP="00267DA7">
      <w:pPr>
        <w:pStyle w:val="SingleTxtG"/>
        <w:tabs>
          <w:tab w:val="left" w:pos="2268"/>
        </w:tabs>
        <w:ind w:left="2259" w:hanging="1125"/>
        <w:rPr>
          <w:lang w:val="fr-FR"/>
        </w:rPr>
      </w:pPr>
      <w:r w:rsidRPr="00CE70CB">
        <w:rPr>
          <w:lang w:val="fr-FR"/>
        </w:rPr>
        <w:t>2.2.62.3</w:t>
      </w:r>
      <w:r w:rsidRPr="00CE70CB">
        <w:rPr>
          <w:lang w:val="fr-FR"/>
        </w:rPr>
        <w:tab/>
        <w:t>Dans la liste des rubriques collectives, pour I3, ajouter les nouvelles rubriques suivantes :</w:t>
      </w:r>
    </w:p>
    <w:p w:rsidR="00267DA7" w:rsidRPr="00CE70CB" w:rsidRDefault="00267DA7" w:rsidP="002D4449">
      <w:pPr>
        <w:pStyle w:val="SingleTxtG"/>
        <w:tabs>
          <w:tab w:val="left" w:pos="2268"/>
          <w:tab w:val="left" w:pos="3119"/>
        </w:tabs>
        <w:ind w:left="2259" w:hanging="1125"/>
        <w:rPr>
          <w:lang w:val="fr-FR"/>
        </w:rPr>
      </w:pPr>
      <w:r w:rsidRPr="00CE70CB">
        <w:rPr>
          <w:lang w:val="fr-FR"/>
        </w:rPr>
        <w:tab/>
        <w:t>« 3549</w:t>
      </w:r>
      <w:r w:rsidRPr="00CE70CB">
        <w:rPr>
          <w:lang w:val="fr-FR"/>
        </w:rPr>
        <w:tab/>
        <w:t>DÉCHETS MÉDICAUX INFECTIEUX POUR L’HOMME, CATÉGORIE A, solides ou</w:t>
      </w:r>
    </w:p>
    <w:p w:rsidR="00267DA7" w:rsidRPr="00CE70CB" w:rsidRDefault="00267DA7" w:rsidP="002D4449">
      <w:pPr>
        <w:pStyle w:val="SingleTxtG"/>
        <w:tabs>
          <w:tab w:val="left" w:pos="2268"/>
          <w:tab w:val="left" w:pos="3119"/>
        </w:tabs>
        <w:ind w:left="2259" w:hanging="1125"/>
        <w:rPr>
          <w:lang w:val="fr-FR"/>
        </w:rPr>
      </w:pPr>
      <w:r w:rsidRPr="00CE70CB">
        <w:rPr>
          <w:lang w:val="fr-FR"/>
        </w:rPr>
        <w:tab/>
        <w:t>3549</w:t>
      </w:r>
      <w:r w:rsidRPr="00CE70CB">
        <w:rPr>
          <w:lang w:val="fr-FR"/>
        </w:rPr>
        <w:tab/>
        <w:t>DÉCHETS MÉDICAUX INFECTIEUX POUR LES ANIMAUX uniquement, CATÉGORIE A, solides »</w:t>
      </w:r>
    </w:p>
    <w:p w:rsidR="00267DA7" w:rsidRPr="00CE70CB" w:rsidRDefault="00267DA7" w:rsidP="00267DA7">
      <w:pPr>
        <w:pStyle w:val="SingleTxtG"/>
        <w:tabs>
          <w:tab w:val="left" w:pos="2268"/>
        </w:tabs>
        <w:ind w:left="2259" w:hanging="1125"/>
        <w:rPr>
          <w:lang w:val="fr-FR" w:eastAsia="en-GB"/>
        </w:rPr>
      </w:pPr>
      <w:r w:rsidRPr="00CE70CB">
        <w:rPr>
          <w:szCs w:val="24"/>
          <w:lang w:val="fr-FR"/>
        </w:rPr>
        <w:t xml:space="preserve">Tableau </w:t>
      </w:r>
      <w:r w:rsidRPr="00CE70CB">
        <w:rPr>
          <w:lang w:val="fr-FR" w:eastAsia="en-GB"/>
        </w:rPr>
        <w:t>2.2.7.2.1.1</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Pour le No ONU 2913, dans la colonne « Désignation officielle de transport et description », remplacer « SCO-I ou SCO-II » par « SCO-I, SCO-II ou SCO-III ».</w:t>
      </w:r>
    </w:p>
    <w:p w:rsidR="00267DA7" w:rsidRPr="00CE70CB" w:rsidRDefault="00267DA7" w:rsidP="00267DA7">
      <w:pPr>
        <w:pStyle w:val="SingleTxtG"/>
        <w:tabs>
          <w:tab w:val="left" w:pos="2268"/>
        </w:tabs>
        <w:ind w:left="2259" w:hanging="1125"/>
        <w:rPr>
          <w:szCs w:val="24"/>
          <w:lang w:val="fr-FR"/>
        </w:rPr>
      </w:pPr>
      <w:r w:rsidRPr="00CE70CB">
        <w:rPr>
          <w:szCs w:val="24"/>
          <w:lang w:val="fr-FR"/>
        </w:rPr>
        <w:t>Tableau 2.2.7.2.1.1</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L’amendement pour le No ONU 3325 est sans objet en français.</w:t>
      </w:r>
    </w:p>
    <w:p w:rsidR="00267DA7" w:rsidRPr="00CE70CB" w:rsidRDefault="00267DA7" w:rsidP="00267DA7">
      <w:pPr>
        <w:pStyle w:val="SingleTxtG"/>
        <w:tabs>
          <w:tab w:val="left" w:pos="2268"/>
        </w:tabs>
        <w:ind w:left="2259" w:hanging="1125"/>
        <w:rPr>
          <w:lang w:val="fr-FR" w:eastAsia="en-GB"/>
        </w:rPr>
      </w:pPr>
      <w:r w:rsidRPr="00CE70CB">
        <w:rPr>
          <w:szCs w:val="24"/>
          <w:lang w:val="fr-FR"/>
        </w:rPr>
        <w:t xml:space="preserve">Tableau </w:t>
      </w:r>
      <w:r w:rsidRPr="00CE70CB">
        <w:rPr>
          <w:lang w:val="fr-FR" w:eastAsia="en-GB"/>
        </w:rPr>
        <w:t>2.2.7.2.2.1</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Ajouter les rubriques suivantes dans l’ordre approprié.</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267DA7" w:rsidRPr="00CE70CB" w:rsidTr="00267DA7">
        <w:trPr>
          <w:trHeight w:hRule="exact" w:val="300"/>
        </w:trPr>
        <w:tc>
          <w:tcPr>
            <w:tcW w:w="1526" w:type="dxa"/>
            <w:shd w:val="clear" w:color="auto" w:fill="auto"/>
            <w:hideMark/>
          </w:tcPr>
          <w:p w:rsidR="00267DA7" w:rsidRPr="00CE70CB" w:rsidRDefault="00267DA7" w:rsidP="00267DA7">
            <w:pPr>
              <w:ind w:left="57" w:right="57"/>
              <w:jc w:val="both"/>
              <w:rPr>
                <w:sz w:val="18"/>
                <w:szCs w:val="18"/>
                <w:lang w:val="fr-FR" w:eastAsia="en-GB"/>
              </w:rPr>
            </w:pPr>
            <w:r w:rsidRPr="00CE70CB">
              <w:rPr>
                <w:sz w:val="18"/>
                <w:szCs w:val="18"/>
                <w:lang w:val="fr-FR" w:eastAsia="en-GB"/>
              </w:rPr>
              <w:t>Ba-135m</w:t>
            </w:r>
          </w:p>
        </w:tc>
        <w:tc>
          <w:tcPr>
            <w:tcW w:w="1060" w:type="dxa"/>
            <w:shd w:val="clear" w:color="auto" w:fill="auto"/>
            <w:hideMark/>
          </w:tcPr>
          <w:p w:rsidR="00267DA7" w:rsidRPr="00CE70CB" w:rsidRDefault="00267DA7" w:rsidP="00267DA7">
            <w:pPr>
              <w:ind w:left="57" w:right="57"/>
              <w:rPr>
                <w:sz w:val="18"/>
                <w:lang w:val="fr-FR" w:eastAsia="en-GB"/>
              </w:rPr>
            </w:pPr>
            <w:r w:rsidRPr="00CE70CB">
              <w:rPr>
                <w:sz w:val="18"/>
                <w:szCs w:val="18"/>
                <w:lang w:val="fr-FR" w:eastAsia="en-GB"/>
              </w:rPr>
              <w:t>2 ×</w:t>
            </w:r>
            <w:r w:rsidRPr="00CE70CB">
              <w:rPr>
                <w:spacing w:val="-1"/>
                <w:sz w:val="18"/>
                <w:szCs w:val="18"/>
                <w:lang w:val="fr-FR" w:eastAsia="en-GB"/>
              </w:rPr>
              <w:t xml:space="preserve"> </w:t>
            </w:r>
            <w:r w:rsidRPr="00CE70CB">
              <w:rPr>
                <w:sz w:val="18"/>
                <w:szCs w:val="18"/>
                <w:lang w:val="fr-FR" w:eastAsia="en-GB"/>
              </w:rPr>
              <w:t>1</w:t>
            </w:r>
            <w:r w:rsidRPr="00CE70CB">
              <w:rPr>
                <w:spacing w:val="-1"/>
                <w:sz w:val="18"/>
                <w:szCs w:val="18"/>
                <w:lang w:val="fr-FR" w:eastAsia="en-GB"/>
              </w:rPr>
              <w:t>0</w:t>
            </w:r>
            <w:r w:rsidRPr="00CE70CB">
              <w:rPr>
                <w:sz w:val="18"/>
                <w:vertAlign w:val="superscript"/>
                <w:lang w:val="fr-FR" w:eastAsia="en-GB"/>
              </w:rPr>
              <w:t>1</w:t>
            </w:r>
          </w:p>
        </w:tc>
        <w:tc>
          <w:tcPr>
            <w:tcW w:w="992" w:type="dxa"/>
            <w:shd w:val="clear" w:color="auto" w:fill="auto"/>
            <w:hideMark/>
          </w:tcPr>
          <w:p w:rsidR="00267DA7" w:rsidRPr="00CE70CB" w:rsidRDefault="00267DA7" w:rsidP="00267DA7">
            <w:pPr>
              <w:ind w:left="57" w:right="57"/>
              <w:rPr>
                <w:sz w:val="18"/>
                <w:lang w:val="fr-FR" w:eastAsia="en-GB"/>
              </w:rPr>
            </w:pPr>
            <w:r w:rsidRPr="00CE70CB">
              <w:rPr>
                <w:sz w:val="18"/>
                <w:szCs w:val="18"/>
                <w:lang w:val="fr-FR" w:eastAsia="en-GB"/>
              </w:rPr>
              <w:t>6</w:t>
            </w:r>
            <w:r w:rsidRPr="00CE70CB">
              <w:rPr>
                <w:spacing w:val="-1"/>
                <w:sz w:val="18"/>
                <w:szCs w:val="18"/>
                <w:lang w:val="fr-FR" w:eastAsia="en-GB"/>
              </w:rPr>
              <w:t xml:space="preserve"> </w:t>
            </w:r>
            <w:r w:rsidRPr="00CE70CB">
              <w:rPr>
                <w:sz w:val="18"/>
                <w:szCs w:val="18"/>
                <w:lang w:val="fr-FR" w:eastAsia="en-GB"/>
              </w:rPr>
              <w:t>×</w:t>
            </w:r>
            <w:r w:rsidRPr="00CE70CB">
              <w:rPr>
                <w:spacing w:val="-1"/>
                <w:sz w:val="18"/>
                <w:szCs w:val="18"/>
                <w:lang w:val="fr-FR" w:eastAsia="en-GB"/>
              </w:rPr>
              <w:t xml:space="preserve"> </w:t>
            </w:r>
            <w:r w:rsidRPr="00CE70CB">
              <w:rPr>
                <w:sz w:val="18"/>
                <w:szCs w:val="18"/>
                <w:lang w:val="fr-FR" w:eastAsia="en-GB"/>
              </w:rPr>
              <w:t>10</w:t>
            </w:r>
            <w:r w:rsidRPr="00CE70CB">
              <w:rPr>
                <w:sz w:val="18"/>
                <w:vertAlign w:val="superscript"/>
                <w:lang w:val="fr-FR" w:eastAsia="en-GB"/>
              </w:rPr>
              <w:t>–1</w:t>
            </w:r>
          </w:p>
        </w:tc>
        <w:tc>
          <w:tcPr>
            <w:tcW w:w="992" w:type="dxa"/>
            <w:shd w:val="clear" w:color="auto" w:fill="auto"/>
            <w:hideMark/>
          </w:tcPr>
          <w:p w:rsidR="00267DA7" w:rsidRPr="00CE70CB" w:rsidRDefault="00267DA7" w:rsidP="00267DA7">
            <w:pPr>
              <w:ind w:left="57" w:right="57"/>
              <w:rPr>
                <w:sz w:val="18"/>
                <w:lang w:val="fr-FR" w:eastAsia="en-GB"/>
              </w:rPr>
            </w:pPr>
            <w:r w:rsidRPr="00CE70CB">
              <w:rPr>
                <w:sz w:val="18"/>
                <w:szCs w:val="18"/>
                <w:lang w:val="fr-FR" w:eastAsia="en-GB"/>
              </w:rPr>
              <w:t>1 ×</w:t>
            </w:r>
            <w:r w:rsidRPr="00CE70CB">
              <w:rPr>
                <w:spacing w:val="-1"/>
                <w:sz w:val="18"/>
                <w:szCs w:val="18"/>
                <w:lang w:val="fr-FR" w:eastAsia="en-GB"/>
              </w:rPr>
              <w:t xml:space="preserve"> </w:t>
            </w:r>
            <w:r w:rsidRPr="00CE70CB">
              <w:rPr>
                <w:sz w:val="18"/>
                <w:szCs w:val="18"/>
                <w:lang w:val="fr-FR" w:eastAsia="en-GB"/>
              </w:rPr>
              <w:t>10</w:t>
            </w:r>
            <w:r w:rsidRPr="00CE70CB">
              <w:rPr>
                <w:sz w:val="18"/>
                <w:vertAlign w:val="superscript"/>
                <w:lang w:val="fr-FR" w:eastAsia="en-GB"/>
              </w:rPr>
              <w:t>2</w:t>
            </w:r>
          </w:p>
        </w:tc>
        <w:tc>
          <w:tcPr>
            <w:tcW w:w="992" w:type="dxa"/>
            <w:shd w:val="clear" w:color="auto" w:fill="auto"/>
            <w:hideMark/>
          </w:tcPr>
          <w:p w:rsidR="00267DA7" w:rsidRPr="00CE70CB" w:rsidRDefault="00267DA7" w:rsidP="00267DA7">
            <w:pPr>
              <w:ind w:left="57" w:right="57" w:firstLine="205"/>
              <w:jc w:val="both"/>
              <w:rPr>
                <w:sz w:val="18"/>
                <w:lang w:val="fr-FR" w:eastAsia="en-GB"/>
              </w:rPr>
            </w:pPr>
            <w:r w:rsidRPr="00CE70CB">
              <w:rPr>
                <w:sz w:val="18"/>
                <w:szCs w:val="18"/>
                <w:lang w:val="fr-FR" w:eastAsia="en-GB"/>
              </w:rPr>
              <w:t>1 ×</w:t>
            </w:r>
            <w:r w:rsidRPr="00CE70CB">
              <w:rPr>
                <w:spacing w:val="-1"/>
                <w:sz w:val="18"/>
                <w:szCs w:val="18"/>
                <w:lang w:val="fr-FR" w:eastAsia="en-GB"/>
              </w:rPr>
              <w:t xml:space="preserve"> </w:t>
            </w:r>
            <w:r w:rsidRPr="00CE70CB">
              <w:rPr>
                <w:sz w:val="18"/>
                <w:szCs w:val="18"/>
                <w:lang w:val="fr-FR" w:eastAsia="en-GB"/>
              </w:rPr>
              <w:t>10</w:t>
            </w:r>
            <w:r w:rsidRPr="00CE70CB">
              <w:rPr>
                <w:sz w:val="18"/>
                <w:vertAlign w:val="superscript"/>
                <w:lang w:val="fr-FR" w:eastAsia="en-GB"/>
              </w:rPr>
              <w:t>6</w:t>
            </w:r>
          </w:p>
        </w:tc>
      </w:tr>
      <w:tr w:rsidR="00267DA7" w:rsidRPr="00CE70CB" w:rsidTr="00267DA7">
        <w:trPr>
          <w:trHeight w:val="301"/>
        </w:trPr>
        <w:tc>
          <w:tcPr>
            <w:tcW w:w="1526" w:type="dxa"/>
            <w:shd w:val="clear" w:color="auto" w:fill="auto"/>
          </w:tcPr>
          <w:p w:rsidR="00267DA7" w:rsidRPr="00CE70CB" w:rsidRDefault="00267DA7" w:rsidP="00267DA7">
            <w:pPr>
              <w:tabs>
                <w:tab w:val="left" w:pos="2460"/>
                <w:tab w:val="left" w:pos="3640"/>
                <w:tab w:val="left" w:pos="4700"/>
                <w:tab w:val="left" w:pos="6040"/>
              </w:tabs>
              <w:ind w:left="57" w:right="57"/>
              <w:rPr>
                <w:sz w:val="18"/>
                <w:szCs w:val="18"/>
                <w:lang w:val="fr-FR" w:eastAsia="en-GB"/>
              </w:rPr>
            </w:pPr>
            <w:r w:rsidRPr="00CE70CB">
              <w:rPr>
                <w:sz w:val="18"/>
                <w:szCs w:val="18"/>
                <w:lang w:val="fr-FR" w:eastAsia="en-GB"/>
              </w:rPr>
              <w:t>Ge-69</w:t>
            </w:r>
          </w:p>
        </w:tc>
        <w:tc>
          <w:tcPr>
            <w:tcW w:w="1060" w:type="dxa"/>
            <w:shd w:val="clear" w:color="auto" w:fill="auto"/>
          </w:tcPr>
          <w:p w:rsidR="00267DA7" w:rsidRPr="00CE70CB" w:rsidRDefault="00267DA7" w:rsidP="00267DA7">
            <w:pPr>
              <w:spacing w:line="280" w:lineRule="atLeast"/>
              <w:ind w:left="57" w:right="57"/>
              <w:rPr>
                <w:sz w:val="18"/>
                <w:szCs w:val="18"/>
                <w:lang w:val="fr-FR"/>
              </w:rPr>
            </w:pPr>
            <w:r w:rsidRPr="00CE70CB">
              <w:rPr>
                <w:sz w:val="18"/>
                <w:szCs w:val="18"/>
                <w:lang w:val="fr-FR"/>
              </w:rPr>
              <w:t>1</w:t>
            </w:r>
            <w:r w:rsidRPr="00CE70CB">
              <w:rPr>
                <w:spacing w:val="1"/>
                <w:sz w:val="18"/>
                <w:szCs w:val="18"/>
                <w:lang w:val="fr-FR"/>
              </w:rPr>
              <w:t xml:space="preserve"> </w:t>
            </w:r>
            <w:r w:rsidRPr="00CE70CB">
              <w:rPr>
                <w:sz w:val="18"/>
                <w:szCs w:val="18"/>
                <w:lang w:val="fr-FR"/>
              </w:rPr>
              <w:t>×</w:t>
            </w:r>
            <w:r w:rsidRPr="00CE70CB">
              <w:rPr>
                <w:spacing w:val="-1"/>
                <w:sz w:val="18"/>
                <w:szCs w:val="18"/>
                <w:lang w:val="fr-FR"/>
              </w:rPr>
              <w:t xml:space="preserve"> </w:t>
            </w:r>
            <w:r w:rsidRPr="00CE70CB">
              <w:rPr>
                <w:sz w:val="18"/>
                <w:szCs w:val="18"/>
                <w:lang w:val="fr-FR"/>
              </w:rPr>
              <w:t>1</w:t>
            </w:r>
            <w:r w:rsidRPr="00CE70CB">
              <w:rPr>
                <w:spacing w:val="-1"/>
                <w:sz w:val="18"/>
                <w:szCs w:val="18"/>
                <w:lang w:val="fr-FR"/>
              </w:rPr>
              <w:t>0</w:t>
            </w:r>
            <w:r w:rsidRPr="00CE70CB">
              <w:rPr>
                <w:sz w:val="18"/>
                <w:vertAlign w:val="superscript"/>
                <w:lang w:val="fr-FR" w:eastAsia="en-GB"/>
              </w:rPr>
              <w:t>0</w:t>
            </w:r>
          </w:p>
        </w:tc>
        <w:tc>
          <w:tcPr>
            <w:tcW w:w="992" w:type="dxa"/>
            <w:shd w:val="clear" w:color="auto" w:fill="auto"/>
          </w:tcPr>
          <w:p w:rsidR="00267DA7" w:rsidRPr="00CE70CB" w:rsidRDefault="00267DA7" w:rsidP="00267DA7">
            <w:pPr>
              <w:spacing w:line="280" w:lineRule="atLeast"/>
              <w:ind w:left="57" w:right="57"/>
              <w:rPr>
                <w:sz w:val="18"/>
                <w:szCs w:val="18"/>
                <w:lang w:val="fr-FR"/>
              </w:rPr>
            </w:pPr>
            <w:r w:rsidRPr="00CE70CB">
              <w:rPr>
                <w:sz w:val="18"/>
                <w:szCs w:val="18"/>
                <w:lang w:val="fr-FR"/>
              </w:rPr>
              <w:t>1</w:t>
            </w:r>
            <w:r w:rsidRPr="00CE70CB">
              <w:rPr>
                <w:spacing w:val="-1"/>
                <w:sz w:val="18"/>
                <w:szCs w:val="18"/>
                <w:lang w:val="fr-FR"/>
              </w:rPr>
              <w:t xml:space="preserve"> </w:t>
            </w:r>
            <w:r w:rsidRPr="00CE70CB">
              <w:rPr>
                <w:sz w:val="18"/>
                <w:szCs w:val="18"/>
                <w:lang w:val="fr-FR"/>
              </w:rPr>
              <w:t>×</w:t>
            </w:r>
            <w:r w:rsidRPr="00CE70CB">
              <w:rPr>
                <w:spacing w:val="-1"/>
                <w:sz w:val="18"/>
                <w:szCs w:val="18"/>
                <w:lang w:val="fr-FR"/>
              </w:rPr>
              <w:t xml:space="preserve"> </w:t>
            </w:r>
            <w:r w:rsidRPr="00CE70CB">
              <w:rPr>
                <w:sz w:val="18"/>
                <w:szCs w:val="18"/>
                <w:lang w:val="fr-FR"/>
              </w:rPr>
              <w:t>10</w:t>
            </w:r>
            <w:r w:rsidRPr="00CE70CB">
              <w:rPr>
                <w:sz w:val="18"/>
                <w:vertAlign w:val="superscript"/>
                <w:lang w:val="fr-FR" w:eastAsia="en-GB"/>
              </w:rPr>
              <w:t>0</w:t>
            </w:r>
          </w:p>
        </w:tc>
        <w:tc>
          <w:tcPr>
            <w:tcW w:w="992" w:type="dxa"/>
            <w:shd w:val="clear" w:color="auto" w:fill="auto"/>
          </w:tcPr>
          <w:p w:rsidR="00267DA7" w:rsidRPr="00CE70CB" w:rsidRDefault="00267DA7" w:rsidP="00267DA7">
            <w:pPr>
              <w:spacing w:line="280" w:lineRule="atLeast"/>
              <w:ind w:left="57" w:right="57"/>
              <w:jc w:val="both"/>
              <w:rPr>
                <w:sz w:val="18"/>
                <w:szCs w:val="18"/>
                <w:lang w:val="fr-FR"/>
              </w:rPr>
            </w:pPr>
            <w:r w:rsidRPr="00CE70CB">
              <w:rPr>
                <w:sz w:val="18"/>
                <w:szCs w:val="18"/>
                <w:lang w:val="fr-FR"/>
              </w:rPr>
              <w:t>1 ×</w:t>
            </w:r>
            <w:r w:rsidRPr="00CE70CB">
              <w:rPr>
                <w:spacing w:val="-1"/>
                <w:sz w:val="18"/>
                <w:szCs w:val="18"/>
                <w:lang w:val="fr-FR"/>
              </w:rPr>
              <w:t xml:space="preserve"> </w:t>
            </w:r>
            <w:r w:rsidRPr="00CE70CB">
              <w:rPr>
                <w:sz w:val="18"/>
                <w:szCs w:val="18"/>
                <w:lang w:val="fr-FR"/>
              </w:rPr>
              <w:t>10</w:t>
            </w:r>
            <w:r w:rsidRPr="00CE70CB">
              <w:rPr>
                <w:sz w:val="18"/>
                <w:vertAlign w:val="superscript"/>
                <w:lang w:val="fr-FR" w:eastAsia="en-GB"/>
              </w:rPr>
              <w:t>1</w:t>
            </w:r>
          </w:p>
        </w:tc>
        <w:tc>
          <w:tcPr>
            <w:tcW w:w="992" w:type="dxa"/>
            <w:shd w:val="clear" w:color="auto" w:fill="auto"/>
          </w:tcPr>
          <w:p w:rsidR="00267DA7" w:rsidRPr="00CE70CB" w:rsidRDefault="00267DA7" w:rsidP="00267DA7">
            <w:pPr>
              <w:tabs>
                <w:tab w:val="left" w:pos="2460"/>
                <w:tab w:val="left" w:pos="3640"/>
                <w:tab w:val="left" w:pos="4700"/>
                <w:tab w:val="left" w:pos="6040"/>
              </w:tabs>
              <w:ind w:left="57" w:right="57" w:firstLine="205"/>
              <w:rPr>
                <w:sz w:val="18"/>
                <w:szCs w:val="18"/>
                <w:lang w:val="fr-FR" w:eastAsia="en-GB"/>
              </w:rPr>
            </w:pPr>
            <w:r w:rsidRPr="00CE70CB">
              <w:rPr>
                <w:sz w:val="18"/>
                <w:szCs w:val="18"/>
                <w:lang w:val="fr-FR" w:eastAsia="en-GB"/>
              </w:rPr>
              <w:t>1 ×</w:t>
            </w:r>
            <w:r w:rsidRPr="00CE70CB">
              <w:rPr>
                <w:spacing w:val="-1"/>
                <w:sz w:val="18"/>
                <w:szCs w:val="18"/>
                <w:lang w:val="fr-FR" w:eastAsia="en-GB"/>
              </w:rPr>
              <w:t xml:space="preserve"> </w:t>
            </w:r>
            <w:r w:rsidRPr="00CE70CB">
              <w:rPr>
                <w:sz w:val="18"/>
                <w:szCs w:val="18"/>
                <w:lang w:val="fr-FR" w:eastAsia="en-GB"/>
              </w:rPr>
              <w:t>10</w:t>
            </w:r>
            <w:r w:rsidRPr="00CE70CB">
              <w:rPr>
                <w:sz w:val="18"/>
                <w:vertAlign w:val="superscript"/>
                <w:lang w:val="fr-FR" w:eastAsia="en-GB"/>
              </w:rPr>
              <w:t>6</w:t>
            </w:r>
          </w:p>
        </w:tc>
      </w:tr>
      <w:tr w:rsidR="00267DA7" w:rsidRPr="00CE70CB" w:rsidTr="00267DA7">
        <w:trPr>
          <w:trHeight w:val="301"/>
        </w:trPr>
        <w:tc>
          <w:tcPr>
            <w:tcW w:w="1526" w:type="dxa"/>
            <w:shd w:val="clear" w:color="auto" w:fill="auto"/>
          </w:tcPr>
          <w:p w:rsidR="00267DA7" w:rsidRPr="00CE70CB" w:rsidRDefault="00267DA7" w:rsidP="00267DA7">
            <w:pPr>
              <w:tabs>
                <w:tab w:val="left" w:pos="2460"/>
                <w:tab w:val="left" w:pos="3640"/>
                <w:tab w:val="left" w:pos="4700"/>
                <w:tab w:val="left" w:pos="6040"/>
              </w:tabs>
              <w:ind w:left="57" w:right="57"/>
              <w:rPr>
                <w:sz w:val="18"/>
                <w:szCs w:val="18"/>
                <w:lang w:val="fr-FR" w:eastAsia="en-GB"/>
              </w:rPr>
            </w:pPr>
            <w:r w:rsidRPr="00CE70CB">
              <w:rPr>
                <w:sz w:val="18"/>
                <w:szCs w:val="18"/>
                <w:lang w:val="fr-FR" w:eastAsia="en-GB"/>
              </w:rPr>
              <w:t>I</w:t>
            </w:r>
            <w:r w:rsidRPr="00CE70CB">
              <w:rPr>
                <w:spacing w:val="-5"/>
                <w:sz w:val="18"/>
                <w:szCs w:val="18"/>
                <w:lang w:val="fr-FR" w:eastAsia="en-GB"/>
              </w:rPr>
              <w:t>r</w:t>
            </w:r>
            <w:r w:rsidRPr="00CE70CB">
              <w:rPr>
                <w:sz w:val="18"/>
                <w:szCs w:val="18"/>
                <w:lang w:val="fr-FR" w:eastAsia="en-GB"/>
              </w:rPr>
              <w:t>-193m</w:t>
            </w:r>
          </w:p>
        </w:tc>
        <w:tc>
          <w:tcPr>
            <w:tcW w:w="1060" w:type="dxa"/>
            <w:shd w:val="clear" w:color="auto" w:fill="auto"/>
          </w:tcPr>
          <w:p w:rsidR="00267DA7" w:rsidRPr="00CE70CB" w:rsidRDefault="00267DA7" w:rsidP="00267DA7">
            <w:pPr>
              <w:spacing w:line="280" w:lineRule="atLeast"/>
              <w:ind w:left="57" w:right="57"/>
              <w:rPr>
                <w:sz w:val="18"/>
                <w:szCs w:val="18"/>
                <w:lang w:val="fr-FR"/>
              </w:rPr>
            </w:pPr>
            <w:r w:rsidRPr="00CE70CB">
              <w:rPr>
                <w:sz w:val="18"/>
                <w:szCs w:val="18"/>
                <w:lang w:val="fr-FR"/>
              </w:rPr>
              <w:t>4 ×</w:t>
            </w:r>
            <w:r w:rsidRPr="00CE70CB">
              <w:rPr>
                <w:spacing w:val="-1"/>
                <w:sz w:val="18"/>
                <w:szCs w:val="18"/>
                <w:lang w:val="fr-FR"/>
              </w:rPr>
              <w:t xml:space="preserve"> </w:t>
            </w:r>
            <w:r w:rsidRPr="00CE70CB">
              <w:rPr>
                <w:sz w:val="18"/>
                <w:szCs w:val="18"/>
                <w:lang w:val="fr-FR"/>
              </w:rPr>
              <w:t>1</w:t>
            </w:r>
            <w:r w:rsidRPr="00CE70CB">
              <w:rPr>
                <w:spacing w:val="-1"/>
                <w:sz w:val="18"/>
                <w:szCs w:val="18"/>
                <w:lang w:val="fr-FR"/>
              </w:rPr>
              <w:t>0</w:t>
            </w:r>
            <w:r w:rsidRPr="00CE70CB">
              <w:rPr>
                <w:sz w:val="18"/>
                <w:vertAlign w:val="superscript"/>
                <w:lang w:val="fr-FR" w:eastAsia="en-GB"/>
              </w:rPr>
              <w:t>1</w:t>
            </w:r>
          </w:p>
        </w:tc>
        <w:tc>
          <w:tcPr>
            <w:tcW w:w="992" w:type="dxa"/>
            <w:shd w:val="clear" w:color="auto" w:fill="auto"/>
          </w:tcPr>
          <w:p w:rsidR="00267DA7" w:rsidRPr="00CE70CB" w:rsidRDefault="00267DA7" w:rsidP="00267DA7">
            <w:pPr>
              <w:spacing w:line="280" w:lineRule="atLeast"/>
              <w:ind w:left="57" w:right="57"/>
              <w:rPr>
                <w:sz w:val="18"/>
                <w:szCs w:val="18"/>
                <w:lang w:val="fr-FR"/>
              </w:rPr>
            </w:pPr>
            <w:r w:rsidRPr="00CE70CB">
              <w:rPr>
                <w:sz w:val="18"/>
                <w:szCs w:val="18"/>
                <w:lang w:val="fr-FR"/>
              </w:rPr>
              <w:t>4</w:t>
            </w:r>
            <w:r w:rsidRPr="00CE70CB">
              <w:rPr>
                <w:spacing w:val="-1"/>
                <w:sz w:val="18"/>
                <w:szCs w:val="18"/>
                <w:lang w:val="fr-FR"/>
              </w:rPr>
              <w:t xml:space="preserve"> </w:t>
            </w:r>
            <w:r w:rsidRPr="00CE70CB">
              <w:rPr>
                <w:sz w:val="18"/>
                <w:szCs w:val="18"/>
                <w:lang w:val="fr-FR"/>
              </w:rPr>
              <w:t>×</w:t>
            </w:r>
            <w:r w:rsidRPr="00CE70CB">
              <w:rPr>
                <w:spacing w:val="-1"/>
                <w:sz w:val="18"/>
                <w:szCs w:val="18"/>
                <w:lang w:val="fr-FR"/>
              </w:rPr>
              <w:t xml:space="preserve"> </w:t>
            </w:r>
            <w:r w:rsidRPr="00CE70CB">
              <w:rPr>
                <w:sz w:val="18"/>
                <w:szCs w:val="18"/>
                <w:lang w:val="fr-FR"/>
              </w:rPr>
              <w:t>10</w:t>
            </w:r>
            <w:r w:rsidRPr="00CE70CB">
              <w:rPr>
                <w:sz w:val="18"/>
                <w:vertAlign w:val="superscript"/>
                <w:lang w:val="fr-FR" w:eastAsia="en-GB"/>
              </w:rPr>
              <w:t>0</w:t>
            </w:r>
          </w:p>
        </w:tc>
        <w:tc>
          <w:tcPr>
            <w:tcW w:w="992" w:type="dxa"/>
            <w:shd w:val="clear" w:color="auto" w:fill="auto"/>
          </w:tcPr>
          <w:p w:rsidR="00267DA7" w:rsidRPr="00CE70CB" w:rsidRDefault="00267DA7" w:rsidP="00267DA7">
            <w:pPr>
              <w:spacing w:line="280" w:lineRule="atLeast"/>
              <w:ind w:left="57" w:right="57"/>
              <w:jc w:val="both"/>
              <w:rPr>
                <w:sz w:val="18"/>
                <w:szCs w:val="18"/>
                <w:lang w:val="fr-FR"/>
              </w:rPr>
            </w:pPr>
            <w:r w:rsidRPr="00CE70CB">
              <w:rPr>
                <w:sz w:val="18"/>
                <w:szCs w:val="18"/>
                <w:lang w:val="fr-FR"/>
              </w:rPr>
              <w:t>1 ×</w:t>
            </w:r>
            <w:r w:rsidRPr="00CE70CB">
              <w:rPr>
                <w:spacing w:val="-1"/>
                <w:sz w:val="18"/>
                <w:szCs w:val="18"/>
                <w:lang w:val="fr-FR"/>
              </w:rPr>
              <w:t xml:space="preserve"> </w:t>
            </w:r>
            <w:r w:rsidRPr="00CE70CB">
              <w:rPr>
                <w:sz w:val="18"/>
                <w:szCs w:val="18"/>
                <w:lang w:val="fr-FR"/>
              </w:rPr>
              <w:t>10</w:t>
            </w:r>
            <w:r w:rsidRPr="00CE70CB">
              <w:rPr>
                <w:sz w:val="18"/>
                <w:vertAlign w:val="superscript"/>
                <w:lang w:val="fr-FR" w:eastAsia="en-GB"/>
              </w:rPr>
              <w:t>4</w:t>
            </w:r>
          </w:p>
        </w:tc>
        <w:tc>
          <w:tcPr>
            <w:tcW w:w="992" w:type="dxa"/>
            <w:shd w:val="clear" w:color="auto" w:fill="auto"/>
          </w:tcPr>
          <w:p w:rsidR="00267DA7" w:rsidRPr="00CE70CB" w:rsidRDefault="00267DA7" w:rsidP="00267DA7">
            <w:pPr>
              <w:tabs>
                <w:tab w:val="left" w:pos="2460"/>
                <w:tab w:val="left" w:pos="3640"/>
                <w:tab w:val="left" w:pos="4700"/>
                <w:tab w:val="left" w:pos="6040"/>
              </w:tabs>
              <w:ind w:left="57" w:right="57" w:firstLine="205"/>
              <w:rPr>
                <w:sz w:val="18"/>
                <w:szCs w:val="18"/>
                <w:lang w:val="fr-FR" w:eastAsia="en-GB"/>
              </w:rPr>
            </w:pPr>
            <w:r w:rsidRPr="00CE70CB">
              <w:rPr>
                <w:sz w:val="18"/>
                <w:szCs w:val="18"/>
                <w:lang w:val="fr-FR" w:eastAsia="en-GB"/>
              </w:rPr>
              <w:t>1 ×</w:t>
            </w:r>
            <w:r w:rsidRPr="00CE70CB">
              <w:rPr>
                <w:spacing w:val="-1"/>
                <w:sz w:val="18"/>
                <w:szCs w:val="18"/>
                <w:lang w:val="fr-FR" w:eastAsia="en-GB"/>
              </w:rPr>
              <w:t xml:space="preserve"> </w:t>
            </w:r>
            <w:r w:rsidRPr="00CE70CB">
              <w:rPr>
                <w:sz w:val="18"/>
                <w:szCs w:val="18"/>
                <w:lang w:val="fr-FR" w:eastAsia="en-GB"/>
              </w:rPr>
              <w:t>10</w:t>
            </w:r>
            <w:r w:rsidRPr="00CE70CB">
              <w:rPr>
                <w:sz w:val="18"/>
                <w:vertAlign w:val="superscript"/>
                <w:lang w:val="fr-FR" w:eastAsia="en-GB"/>
              </w:rPr>
              <w:t>7</w:t>
            </w:r>
          </w:p>
        </w:tc>
      </w:tr>
      <w:tr w:rsidR="00267DA7" w:rsidRPr="00CE70CB" w:rsidTr="00267DA7">
        <w:trPr>
          <w:trHeight w:hRule="exact" w:val="300"/>
        </w:trPr>
        <w:tc>
          <w:tcPr>
            <w:tcW w:w="1526" w:type="dxa"/>
            <w:shd w:val="clear" w:color="auto" w:fill="auto"/>
          </w:tcPr>
          <w:p w:rsidR="00267DA7" w:rsidRPr="00CE70CB" w:rsidRDefault="00267DA7" w:rsidP="00267DA7">
            <w:pPr>
              <w:ind w:left="57" w:right="57"/>
              <w:rPr>
                <w:sz w:val="18"/>
                <w:szCs w:val="18"/>
                <w:lang w:val="fr-FR" w:eastAsia="en-GB"/>
              </w:rPr>
            </w:pPr>
            <w:r w:rsidRPr="00CE70CB">
              <w:rPr>
                <w:sz w:val="18"/>
                <w:szCs w:val="18"/>
                <w:lang w:val="fr-FR" w:eastAsia="en-GB"/>
              </w:rPr>
              <w:t>Ni-57</w:t>
            </w:r>
          </w:p>
        </w:tc>
        <w:tc>
          <w:tcPr>
            <w:tcW w:w="1060" w:type="dxa"/>
            <w:shd w:val="clear" w:color="auto" w:fill="auto"/>
          </w:tcPr>
          <w:p w:rsidR="00267DA7" w:rsidRPr="00CE70CB" w:rsidRDefault="00267DA7" w:rsidP="00267DA7">
            <w:pPr>
              <w:ind w:left="57" w:right="57"/>
              <w:rPr>
                <w:sz w:val="18"/>
                <w:szCs w:val="18"/>
                <w:lang w:val="fr-FR" w:eastAsia="en-GB"/>
              </w:rPr>
            </w:pPr>
            <w:r w:rsidRPr="00CE70CB">
              <w:rPr>
                <w:sz w:val="18"/>
                <w:szCs w:val="18"/>
                <w:lang w:val="fr-FR" w:eastAsia="en-GB"/>
              </w:rPr>
              <w:t>6 ×</w:t>
            </w:r>
            <w:r w:rsidRPr="00CE70CB">
              <w:rPr>
                <w:spacing w:val="-1"/>
                <w:sz w:val="18"/>
                <w:szCs w:val="18"/>
                <w:lang w:val="fr-FR" w:eastAsia="en-GB"/>
              </w:rPr>
              <w:t xml:space="preserve"> </w:t>
            </w:r>
            <w:r w:rsidRPr="00CE70CB">
              <w:rPr>
                <w:sz w:val="18"/>
                <w:szCs w:val="18"/>
                <w:lang w:val="fr-FR" w:eastAsia="en-GB"/>
              </w:rPr>
              <w:t>1</w:t>
            </w:r>
            <w:r w:rsidRPr="00CE70CB">
              <w:rPr>
                <w:spacing w:val="-1"/>
                <w:sz w:val="18"/>
                <w:szCs w:val="18"/>
                <w:lang w:val="fr-FR" w:eastAsia="en-GB"/>
              </w:rPr>
              <w:t>0</w:t>
            </w:r>
            <w:r w:rsidRPr="00CE70CB">
              <w:rPr>
                <w:sz w:val="18"/>
                <w:vertAlign w:val="superscript"/>
                <w:lang w:val="fr-FR" w:eastAsia="en-GB"/>
              </w:rPr>
              <w:t>–1</w:t>
            </w:r>
          </w:p>
        </w:tc>
        <w:tc>
          <w:tcPr>
            <w:tcW w:w="992" w:type="dxa"/>
            <w:shd w:val="clear" w:color="auto" w:fill="auto"/>
          </w:tcPr>
          <w:p w:rsidR="00267DA7" w:rsidRPr="00CE70CB" w:rsidRDefault="00267DA7" w:rsidP="00267DA7">
            <w:pPr>
              <w:ind w:left="57" w:right="57"/>
              <w:rPr>
                <w:sz w:val="18"/>
                <w:szCs w:val="18"/>
                <w:lang w:val="fr-FR" w:eastAsia="en-GB"/>
              </w:rPr>
            </w:pPr>
            <w:r w:rsidRPr="00CE70CB">
              <w:rPr>
                <w:sz w:val="18"/>
                <w:szCs w:val="18"/>
                <w:lang w:val="fr-FR" w:eastAsia="en-GB"/>
              </w:rPr>
              <w:t>6 ×</w:t>
            </w:r>
            <w:r w:rsidRPr="00CE70CB">
              <w:rPr>
                <w:spacing w:val="-1"/>
                <w:sz w:val="18"/>
                <w:szCs w:val="18"/>
                <w:lang w:val="fr-FR" w:eastAsia="en-GB"/>
              </w:rPr>
              <w:t xml:space="preserve"> </w:t>
            </w:r>
            <w:r w:rsidRPr="00CE70CB">
              <w:rPr>
                <w:sz w:val="18"/>
                <w:szCs w:val="18"/>
                <w:lang w:val="fr-FR" w:eastAsia="en-GB"/>
              </w:rPr>
              <w:t>1</w:t>
            </w:r>
            <w:r w:rsidRPr="00CE70CB">
              <w:rPr>
                <w:spacing w:val="-1"/>
                <w:sz w:val="18"/>
                <w:szCs w:val="18"/>
                <w:lang w:val="fr-FR" w:eastAsia="en-GB"/>
              </w:rPr>
              <w:t>0</w:t>
            </w:r>
            <w:r w:rsidRPr="00CE70CB">
              <w:rPr>
                <w:sz w:val="18"/>
                <w:vertAlign w:val="superscript"/>
                <w:lang w:val="fr-FR" w:eastAsia="en-GB"/>
              </w:rPr>
              <w:t>–1</w:t>
            </w:r>
          </w:p>
        </w:tc>
        <w:tc>
          <w:tcPr>
            <w:tcW w:w="992" w:type="dxa"/>
            <w:shd w:val="clear" w:color="auto" w:fill="auto"/>
            <w:hideMark/>
          </w:tcPr>
          <w:p w:rsidR="00267DA7" w:rsidRPr="00CE70CB" w:rsidRDefault="00267DA7" w:rsidP="00267DA7">
            <w:pPr>
              <w:ind w:left="57" w:right="57"/>
              <w:jc w:val="both"/>
              <w:rPr>
                <w:sz w:val="18"/>
                <w:szCs w:val="18"/>
                <w:lang w:val="fr-FR" w:eastAsia="en-GB"/>
              </w:rPr>
            </w:pPr>
            <w:r w:rsidRPr="00CE70CB">
              <w:rPr>
                <w:sz w:val="18"/>
                <w:szCs w:val="18"/>
                <w:lang w:val="fr-FR" w:eastAsia="en-GB"/>
              </w:rPr>
              <w:t>1 ×</w:t>
            </w:r>
            <w:r w:rsidRPr="00CE70CB">
              <w:rPr>
                <w:spacing w:val="-1"/>
                <w:sz w:val="18"/>
                <w:szCs w:val="18"/>
                <w:lang w:val="fr-FR" w:eastAsia="en-GB"/>
              </w:rPr>
              <w:t xml:space="preserve"> </w:t>
            </w:r>
            <w:r w:rsidRPr="00CE70CB">
              <w:rPr>
                <w:sz w:val="18"/>
                <w:szCs w:val="18"/>
                <w:lang w:val="fr-FR" w:eastAsia="en-GB"/>
              </w:rPr>
              <w:t>1</w:t>
            </w:r>
            <w:r w:rsidRPr="00CE70CB">
              <w:rPr>
                <w:spacing w:val="-1"/>
                <w:sz w:val="18"/>
                <w:szCs w:val="18"/>
                <w:lang w:val="fr-FR" w:eastAsia="en-GB"/>
              </w:rPr>
              <w:t>0</w:t>
            </w:r>
            <w:r w:rsidRPr="00CE70CB">
              <w:rPr>
                <w:sz w:val="18"/>
                <w:vertAlign w:val="superscript"/>
                <w:lang w:val="fr-FR" w:eastAsia="en-GB"/>
              </w:rPr>
              <w:t>1</w:t>
            </w:r>
          </w:p>
        </w:tc>
        <w:tc>
          <w:tcPr>
            <w:tcW w:w="992" w:type="dxa"/>
            <w:shd w:val="clear" w:color="auto" w:fill="auto"/>
            <w:hideMark/>
          </w:tcPr>
          <w:p w:rsidR="00267DA7" w:rsidRPr="00CE70CB" w:rsidRDefault="00267DA7" w:rsidP="00267DA7">
            <w:pPr>
              <w:ind w:left="57" w:right="57" w:firstLine="205"/>
              <w:rPr>
                <w:sz w:val="18"/>
                <w:szCs w:val="18"/>
                <w:lang w:val="fr-FR" w:eastAsia="en-GB"/>
              </w:rPr>
            </w:pPr>
            <w:r w:rsidRPr="00CE70CB">
              <w:rPr>
                <w:sz w:val="18"/>
                <w:szCs w:val="18"/>
                <w:lang w:val="fr-FR" w:eastAsia="en-GB"/>
              </w:rPr>
              <w:t>1 ×</w:t>
            </w:r>
            <w:r w:rsidRPr="00CE70CB">
              <w:rPr>
                <w:spacing w:val="-1"/>
                <w:sz w:val="18"/>
                <w:szCs w:val="18"/>
                <w:lang w:val="fr-FR" w:eastAsia="en-GB"/>
              </w:rPr>
              <w:t xml:space="preserve"> </w:t>
            </w:r>
            <w:r w:rsidRPr="00CE70CB">
              <w:rPr>
                <w:sz w:val="18"/>
                <w:szCs w:val="18"/>
                <w:lang w:val="fr-FR" w:eastAsia="en-GB"/>
              </w:rPr>
              <w:t>10</w:t>
            </w:r>
            <w:r w:rsidRPr="00CE70CB">
              <w:rPr>
                <w:sz w:val="18"/>
                <w:vertAlign w:val="superscript"/>
                <w:lang w:val="fr-FR" w:eastAsia="en-GB"/>
              </w:rPr>
              <w:t>6</w:t>
            </w:r>
          </w:p>
        </w:tc>
      </w:tr>
      <w:tr w:rsidR="00267DA7" w:rsidRPr="00CE70CB" w:rsidTr="00267DA7">
        <w:trPr>
          <w:trHeight w:hRule="exact" w:val="300"/>
        </w:trPr>
        <w:tc>
          <w:tcPr>
            <w:tcW w:w="1526" w:type="dxa"/>
            <w:shd w:val="clear" w:color="auto" w:fill="auto"/>
            <w:hideMark/>
          </w:tcPr>
          <w:p w:rsidR="00267DA7" w:rsidRPr="00CE70CB" w:rsidRDefault="00267DA7" w:rsidP="00267DA7">
            <w:pPr>
              <w:ind w:left="57" w:right="57"/>
              <w:rPr>
                <w:sz w:val="18"/>
                <w:szCs w:val="18"/>
                <w:lang w:val="fr-FR" w:eastAsia="en-GB"/>
              </w:rPr>
            </w:pPr>
            <w:r w:rsidRPr="00CE70CB">
              <w:rPr>
                <w:sz w:val="18"/>
                <w:szCs w:val="18"/>
                <w:lang w:val="fr-FR" w:eastAsia="en-GB"/>
              </w:rPr>
              <w:t>S</w:t>
            </w:r>
            <w:r w:rsidRPr="00CE70CB">
              <w:rPr>
                <w:spacing w:val="-4"/>
                <w:sz w:val="18"/>
                <w:szCs w:val="18"/>
                <w:lang w:val="fr-FR" w:eastAsia="en-GB"/>
              </w:rPr>
              <w:t>r</w:t>
            </w:r>
            <w:r w:rsidRPr="00CE70CB">
              <w:rPr>
                <w:sz w:val="18"/>
                <w:szCs w:val="18"/>
                <w:lang w:val="fr-FR" w:eastAsia="en-GB"/>
              </w:rPr>
              <w:t>-83</w:t>
            </w:r>
          </w:p>
        </w:tc>
        <w:tc>
          <w:tcPr>
            <w:tcW w:w="1060" w:type="dxa"/>
            <w:shd w:val="clear" w:color="auto" w:fill="auto"/>
            <w:hideMark/>
          </w:tcPr>
          <w:p w:rsidR="00267DA7" w:rsidRPr="00CE70CB" w:rsidRDefault="00267DA7" w:rsidP="00267DA7">
            <w:pPr>
              <w:ind w:left="57" w:right="57"/>
              <w:rPr>
                <w:sz w:val="18"/>
                <w:szCs w:val="18"/>
                <w:lang w:val="fr-FR" w:eastAsia="en-GB"/>
              </w:rPr>
            </w:pPr>
            <w:r w:rsidRPr="00CE70CB">
              <w:rPr>
                <w:sz w:val="18"/>
                <w:szCs w:val="18"/>
                <w:lang w:val="fr-FR" w:eastAsia="en-GB"/>
              </w:rPr>
              <w:t>1</w:t>
            </w:r>
            <w:r w:rsidRPr="00CE70CB">
              <w:rPr>
                <w:spacing w:val="1"/>
                <w:sz w:val="18"/>
                <w:szCs w:val="18"/>
                <w:lang w:val="fr-FR" w:eastAsia="en-GB"/>
              </w:rPr>
              <w:t xml:space="preserve"> </w:t>
            </w:r>
            <w:r w:rsidRPr="00CE70CB">
              <w:rPr>
                <w:sz w:val="18"/>
                <w:szCs w:val="18"/>
                <w:lang w:val="fr-FR" w:eastAsia="en-GB"/>
              </w:rPr>
              <w:t>×</w:t>
            </w:r>
            <w:r w:rsidRPr="00CE70CB">
              <w:rPr>
                <w:spacing w:val="-1"/>
                <w:sz w:val="18"/>
                <w:szCs w:val="18"/>
                <w:lang w:val="fr-FR" w:eastAsia="en-GB"/>
              </w:rPr>
              <w:t xml:space="preserve"> </w:t>
            </w:r>
            <w:r w:rsidRPr="00CE70CB">
              <w:rPr>
                <w:sz w:val="18"/>
                <w:szCs w:val="18"/>
                <w:lang w:val="fr-FR" w:eastAsia="en-GB"/>
              </w:rPr>
              <w:t>1</w:t>
            </w:r>
            <w:r w:rsidRPr="00CE70CB">
              <w:rPr>
                <w:spacing w:val="-2"/>
                <w:sz w:val="18"/>
                <w:szCs w:val="18"/>
                <w:lang w:val="fr-FR" w:eastAsia="en-GB"/>
              </w:rPr>
              <w:t>0</w:t>
            </w:r>
            <w:r w:rsidRPr="00CE70CB">
              <w:rPr>
                <w:sz w:val="18"/>
                <w:vertAlign w:val="superscript"/>
                <w:lang w:val="fr-FR" w:eastAsia="en-GB"/>
              </w:rPr>
              <w:t>0</w:t>
            </w:r>
          </w:p>
        </w:tc>
        <w:tc>
          <w:tcPr>
            <w:tcW w:w="992" w:type="dxa"/>
            <w:shd w:val="clear" w:color="auto" w:fill="auto"/>
            <w:hideMark/>
          </w:tcPr>
          <w:p w:rsidR="00267DA7" w:rsidRPr="00CE70CB" w:rsidRDefault="00267DA7" w:rsidP="00267DA7">
            <w:pPr>
              <w:ind w:left="57" w:right="57"/>
              <w:rPr>
                <w:sz w:val="18"/>
                <w:szCs w:val="18"/>
                <w:lang w:val="fr-FR" w:eastAsia="en-GB"/>
              </w:rPr>
            </w:pPr>
            <w:r w:rsidRPr="00CE70CB">
              <w:rPr>
                <w:sz w:val="18"/>
                <w:szCs w:val="18"/>
                <w:lang w:val="fr-FR" w:eastAsia="en-GB"/>
              </w:rPr>
              <w:t>1</w:t>
            </w:r>
            <w:r w:rsidRPr="00CE70CB">
              <w:rPr>
                <w:spacing w:val="1"/>
                <w:sz w:val="18"/>
                <w:szCs w:val="18"/>
                <w:lang w:val="fr-FR" w:eastAsia="en-GB"/>
              </w:rPr>
              <w:t xml:space="preserve"> </w:t>
            </w:r>
            <w:r w:rsidRPr="00CE70CB">
              <w:rPr>
                <w:sz w:val="18"/>
                <w:szCs w:val="18"/>
                <w:lang w:val="fr-FR" w:eastAsia="en-GB"/>
              </w:rPr>
              <w:t>×</w:t>
            </w:r>
            <w:r w:rsidRPr="00CE70CB">
              <w:rPr>
                <w:spacing w:val="-1"/>
                <w:sz w:val="18"/>
                <w:szCs w:val="18"/>
                <w:lang w:val="fr-FR" w:eastAsia="en-GB"/>
              </w:rPr>
              <w:t xml:space="preserve"> </w:t>
            </w:r>
            <w:r w:rsidRPr="00CE70CB">
              <w:rPr>
                <w:sz w:val="18"/>
                <w:szCs w:val="18"/>
                <w:lang w:val="fr-FR" w:eastAsia="en-GB"/>
              </w:rPr>
              <w:t>1</w:t>
            </w:r>
            <w:r w:rsidRPr="00CE70CB">
              <w:rPr>
                <w:spacing w:val="-2"/>
                <w:sz w:val="18"/>
                <w:szCs w:val="18"/>
                <w:lang w:val="fr-FR" w:eastAsia="en-GB"/>
              </w:rPr>
              <w:t>0</w:t>
            </w:r>
            <w:r w:rsidRPr="00CE70CB">
              <w:rPr>
                <w:sz w:val="18"/>
                <w:vertAlign w:val="superscript"/>
                <w:lang w:val="fr-FR" w:eastAsia="en-GB"/>
              </w:rPr>
              <w:t>0</w:t>
            </w:r>
          </w:p>
        </w:tc>
        <w:tc>
          <w:tcPr>
            <w:tcW w:w="992" w:type="dxa"/>
            <w:shd w:val="clear" w:color="auto" w:fill="auto"/>
            <w:hideMark/>
          </w:tcPr>
          <w:p w:rsidR="00267DA7" w:rsidRPr="00CE70CB" w:rsidRDefault="00267DA7" w:rsidP="00267DA7">
            <w:pPr>
              <w:ind w:left="57" w:right="57"/>
              <w:jc w:val="both"/>
              <w:rPr>
                <w:sz w:val="18"/>
                <w:szCs w:val="18"/>
                <w:lang w:val="fr-FR" w:eastAsia="en-GB"/>
              </w:rPr>
            </w:pPr>
            <w:r w:rsidRPr="00CE70CB">
              <w:rPr>
                <w:sz w:val="18"/>
                <w:szCs w:val="18"/>
                <w:lang w:val="fr-FR" w:eastAsia="en-GB"/>
              </w:rPr>
              <w:t>1 ×</w:t>
            </w:r>
            <w:r w:rsidRPr="00CE70CB">
              <w:rPr>
                <w:spacing w:val="-1"/>
                <w:sz w:val="18"/>
                <w:szCs w:val="18"/>
                <w:lang w:val="fr-FR" w:eastAsia="en-GB"/>
              </w:rPr>
              <w:t xml:space="preserve"> </w:t>
            </w:r>
            <w:r w:rsidRPr="00CE70CB">
              <w:rPr>
                <w:sz w:val="18"/>
                <w:szCs w:val="18"/>
                <w:lang w:val="fr-FR" w:eastAsia="en-GB"/>
              </w:rPr>
              <w:t>10</w:t>
            </w:r>
            <w:r w:rsidRPr="00CE70CB">
              <w:rPr>
                <w:sz w:val="18"/>
                <w:vertAlign w:val="superscript"/>
                <w:lang w:val="fr-FR" w:eastAsia="en-GB"/>
              </w:rPr>
              <w:t>1</w:t>
            </w:r>
          </w:p>
        </w:tc>
        <w:tc>
          <w:tcPr>
            <w:tcW w:w="992" w:type="dxa"/>
            <w:shd w:val="clear" w:color="auto" w:fill="auto"/>
            <w:hideMark/>
          </w:tcPr>
          <w:p w:rsidR="00267DA7" w:rsidRPr="00CE70CB" w:rsidRDefault="00267DA7" w:rsidP="00267DA7">
            <w:pPr>
              <w:ind w:left="57" w:right="57" w:firstLine="205"/>
              <w:rPr>
                <w:sz w:val="18"/>
                <w:szCs w:val="18"/>
                <w:lang w:val="fr-FR" w:eastAsia="en-GB"/>
              </w:rPr>
            </w:pPr>
            <w:r w:rsidRPr="00CE70CB">
              <w:rPr>
                <w:sz w:val="18"/>
                <w:szCs w:val="18"/>
                <w:lang w:val="fr-FR" w:eastAsia="en-GB"/>
              </w:rPr>
              <w:t>1 ×</w:t>
            </w:r>
            <w:r w:rsidRPr="00CE70CB">
              <w:rPr>
                <w:spacing w:val="-1"/>
                <w:sz w:val="18"/>
                <w:szCs w:val="18"/>
                <w:lang w:val="fr-FR" w:eastAsia="en-GB"/>
              </w:rPr>
              <w:t xml:space="preserve"> </w:t>
            </w:r>
            <w:r w:rsidRPr="00CE70CB">
              <w:rPr>
                <w:sz w:val="18"/>
                <w:szCs w:val="18"/>
                <w:lang w:val="fr-FR" w:eastAsia="en-GB"/>
              </w:rPr>
              <w:t>10</w:t>
            </w:r>
            <w:r w:rsidRPr="00CE70CB">
              <w:rPr>
                <w:sz w:val="18"/>
                <w:vertAlign w:val="superscript"/>
                <w:lang w:val="fr-FR" w:eastAsia="en-GB"/>
              </w:rPr>
              <w:t>6</w:t>
            </w:r>
          </w:p>
        </w:tc>
      </w:tr>
      <w:tr w:rsidR="00267DA7" w:rsidRPr="00CE70CB" w:rsidTr="00267DA7">
        <w:trPr>
          <w:trHeight w:hRule="exact" w:val="300"/>
        </w:trPr>
        <w:tc>
          <w:tcPr>
            <w:tcW w:w="1526" w:type="dxa"/>
            <w:shd w:val="clear" w:color="auto" w:fill="auto"/>
          </w:tcPr>
          <w:p w:rsidR="00267DA7" w:rsidRPr="00CE70CB" w:rsidRDefault="00267DA7" w:rsidP="00267DA7">
            <w:pPr>
              <w:ind w:left="57" w:right="57"/>
              <w:rPr>
                <w:sz w:val="18"/>
                <w:szCs w:val="18"/>
                <w:lang w:val="fr-FR" w:eastAsia="en-GB"/>
              </w:rPr>
            </w:pPr>
            <w:r w:rsidRPr="00CE70CB">
              <w:rPr>
                <w:sz w:val="18"/>
                <w:szCs w:val="18"/>
                <w:lang w:val="fr-FR" w:eastAsia="en-GB"/>
              </w:rPr>
              <w:t>Tb-149</w:t>
            </w:r>
          </w:p>
        </w:tc>
        <w:tc>
          <w:tcPr>
            <w:tcW w:w="1060" w:type="dxa"/>
            <w:shd w:val="clear" w:color="auto" w:fill="auto"/>
          </w:tcPr>
          <w:p w:rsidR="00267DA7" w:rsidRPr="00CE70CB" w:rsidRDefault="00267DA7" w:rsidP="00267DA7">
            <w:pPr>
              <w:ind w:left="57" w:right="57"/>
              <w:rPr>
                <w:sz w:val="18"/>
                <w:szCs w:val="18"/>
                <w:lang w:val="fr-FR" w:eastAsia="en-GB"/>
              </w:rPr>
            </w:pPr>
            <w:r w:rsidRPr="00CE70CB">
              <w:rPr>
                <w:sz w:val="18"/>
                <w:szCs w:val="18"/>
                <w:lang w:val="fr-FR" w:eastAsia="en-GB"/>
              </w:rPr>
              <w:t>8 ×</w:t>
            </w:r>
            <w:r w:rsidRPr="00CE70CB">
              <w:rPr>
                <w:spacing w:val="-1"/>
                <w:sz w:val="18"/>
                <w:szCs w:val="18"/>
                <w:lang w:val="fr-FR" w:eastAsia="en-GB"/>
              </w:rPr>
              <w:t xml:space="preserve"> </w:t>
            </w:r>
            <w:r w:rsidRPr="00CE70CB">
              <w:rPr>
                <w:sz w:val="18"/>
                <w:szCs w:val="18"/>
                <w:lang w:val="fr-FR" w:eastAsia="en-GB"/>
              </w:rPr>
              <w:t>1</w:t>
            </w:r>
            <w:r w:rsidRPr="00CE70CB">
              <w:rPr>
                <w:spacing w:val="-1"/>
                <w:sz w:val="18"/>
                <w:szCs w:val="18"/>
                <w:lang w:val="fr-FR" w:eastAsia="en-GB"/>
              </w:rPr>
              <w:t>0</w:t>
            </w:r>
            <w:r w:rsidRPr="00CE70CB">
              <w:rPr>
                <w:sz w:val="18"/>
                <w:vertAlign w:val="superscript"/>
                <w:lang w:val="fr-FR" w:eastAsia="en-GB"/>
              </w:rPr>
              <w:t>–1</w:t>
            </w:r>
          </w:p>
        </w:tc>
        <w:tc>
          <w:tcPr>
            <w:tcW w:w="992" w:type="dxa"/>
            <w:shd w:val="clear" w:color="auto" w:fill="auto"/>
          </w:tcPr>
          <w:p w:rsidR="00267DA7" w:rsidRPr="00CE70CB" w:rsidRDefault="00267DA7" w:rsidP="00267DA7">
            <w:pPr>
              <w:ind w:left="57" w:right="57"/>
              <w:rPr>
                <w:sz w:val="18"/>
                <w:szCs w:val="18"/>
                <w:lang w:val="fr-FR" w:eastAsia="en-GB"/>
              </w:rPr>
            </w:pPr>
            <w:r w:rsidRPr="00CE70CB">
              <w:rPr>
                <w:sz w:val="18"/>
                <w:szCs w:val="18"/>
                <w:lang w:val="fr-FR" w:eastAsia="en-GB"/>
              </w:rPr>
              <w:t>8 ×</w:t>
            </w:r>
            <w:r w:rsidRPr="00CE70CB">
              <w:rPr>
                <w:spacing w:val="-1"/>
                <w:sz w:val="18"/>
                <w:szCs w:val="18"/>
                <w:lang w:val="fr-FR" w:eastAsia="en-GB"/>
              </w:rPr>
              <w:t xml:space="preserve"> </w:t>
            </w:r>
            <w:r w:rsidRPr="00CE70CB">
              <w:rPr>
                <w:sz w:val="18"/>
                <w:szCs w:val="18"/>
                <w:lang w:val="fr-FR" w:eastAsia="en-GB"/>
              </w:rPr>
              <w:t>1</w:t>
            </w:r>
            <w:r w:rsidRPr="00CE70CB">
              <w:rPr>
                <w:spacing w:val="-1"/>
                <w:sz w:val="18"/>
                <w:szCs w:val="18"/>
                <w:lang w:val="fr-FR" w:eastAsia="en-GB"/>
              </w:rPr>
              <w:t>0</w:t>
            </w:r>
            <w:r w:rsidRPr="00CE70CB">
              <w:rPr>
                <w:sz w:val="18"/>
                <w:vertAlign w:val="superscript"/>
                <w:lang w:val="fr-FR" w:eastAsia="en-GB"/>
              </w:rPr>
              <w:t>–1</w:t>
            </w:r>
          </w:p>
        </w:tc>
        <w:tc>
          <w:tcPr>
            <w:tcW w:w="992" w:type="dxa"/>
            <w:shd w:val="clear" w:color="auto" w:fill="auto"/>
          </w:tcPr>
          <w:p w:rsidR="00267DA7" w:rsidRPr="00CE70CB" w:rsidRDefault="00267DA7" w:rsidP="00267DA7">
            <w:pPr>
              <w:ind w:left="57" w:right="57"/>
              <w:jc w:val="both"/>
              <w:rPr>
                <w:sz w:val="18"/>
                <w:szCs w:val="18"/>
                <w:lang w:val="fr-FR" w:eastAsia="en-GB"/>
              </w:rPr>
            </w:pPr>
            <w:r w:rsidRPr="00CE70CB">
              <w:rPr>
                <w:sz w:val="18"/>
                <w:szCs w:val="18"/>
                <w:lang w:val="fr-FR" w:eastAsia="en-GB"/>
              </w:rPr>
              <w:t>1 ×</w:t>
            </w:r>
            <w:r w:rsidRPr="00CE70CB">
              <w:rPr>
                <w:spacing w:val="-1"/>
                <w:sz w:val="18"/>
                <w:szCs w:val="18"/>
                <w:lang w:val="fr-FR" w:eastAsia="en-GB"/>
              </w:rPr>
              <w:t xml:space="preserve"> </w:t>
            </w:r>
            <w:r w:rsidRPr="00CE70CB">
              <w:rPr>
                <w:sz w:val="18"/>
                <w:szCs w:val="18"/>
                <w:lang w:val="fr-FR" w:eastAsia="en-GB"/>
              </w:rPr>
              <w:t>1</w:t>
            </w:r>
            <w:r w:rsidRPr="00CE70CB">
              <w:rPr>
                <w:spacing w:val="-1"/>
                <w:sz w:val="18"/>
                <w:szCs w:val="18"/>
                <w:lang w:val="fr-FR" w:eastAsia="en-GB"/>
              </w:rPr>
              <w:t>0</w:t>
            </w:r>
            <w:r w:rsidRPr="00CE70CB">
              <w:rPr>
                <w:sz w:val="18"/>
                <w:vertAlign w:val="superscript"/>
                <w:lang w:val="fr-FR" w:eastAsia="en-GB"/>
              </w:rPr>
              <w:t>1</w:t>
            </w:r>
          </w:p>
        </w:tc>
        <w:tc>
          <w:tcPr>
            <w:tcW w:w="992" w:type="dxa"/>
            <w:shd w:val="clear" w:color="auto" w:fill="auto"/>
          </w:tcPr>
          <w:p w:rsidR="00267DA7" w:rsidRPr="00CE70CB" w:rsidRDefault="00267DA7" w:rsidP="00267DA7">
            <w:pPr>
              <w:ind w:left="57" w:right="57" w:firstLine="205"/>
              <w:rPr>
                <w:sz w:val="18"/>
                <w:szCs w:val="18"/>
                <w:lang w:val="fr-FR" w:eastAsia="en-GB"/>
              </w:rPr>
            </w:pPr>
            <w:r w:rsidRPr="00CE70CB">
              <w:rPr>
                <w:sz w:val="18"/>
                <w:szCs w:val="18"/>
                <w:lang w:val="fr-FR" w:eastAsia="en-GB"/>
              </w:rPr>
              <w:t>1 ×</w:t>
            </w:r>
            <w:r w:rsidRPr="00CE70CB">
              <w:rPr>
                <w:spacing w:val="-1"/>
                <w:sz w:val="18"/>
                <w:szCs w:val="18"/>
                <w:lang w:val="fr-FR" w:eastAsia="en-GB"/>
              </w:rPr>
              <w:t xml:space="preserve"> </w:t>
            </w:r>
            <w:r w:rsidRPr="00CE70CB">
              <w:rPr>
                <w:sz w:val="18"/>
                <w:szCs w:val="18"/>
                <w:lang w:val="fr-FR" w:eastAsia="en-GB"/>
              </w:rPr>
              <w:t>1</w:t>
            </w:r>
            <w:r w:rsidRPr="00CE70CB">
              <w:rPr>
                <w:spacing w:val="-1"/>
                <w:sz w:val="18"/>
                <w:szCs w:val="18"/>
                <w:lang w:val="fr-FR" w:eastAsia="en-GB"/>
              </w:rPr>
              <w:t>0</w:t>
            </w:r>
            <w:r w:rsidRPr="00CE70CB">
              <w:rPr>
                <w:sz w:val="18"/>
                <w:vertAlign w:val="superscript"/>
                <w:lang w:val="fr-FR" w:eastAsia="en-GB"/>
              </w:rPr>
              <w:t>6</w:t>
            </w:r>
          </w:p>
        </w:tc>
      </w:tr>
      <w:tr w:rsidR="00267DA7" w:rsidRPr="00CE70CB" w:rsidTr="00267DA7">
        <w:trPr>
          <w:trHeight w:hRule="exact" w:val="288"/>
        </w:trPr>
        <w:tc>
          <w:tcPr>
            <w:tcW w:w="1526" w:type="dxa"/>
            <w:shd w:val="clear" w:color="auto" w:fill="auto"/>
          </w:tcPr>
          <w:p w:rsidR="00267DA7" w:rsidRPr="00CE70CB" w:rsidRDefault="00267DA7" w:rsidP="00267DA7">
            <w:pPr>
              <w:ind w:left="57" w:right="57"/>
              <w:rPr>
                <w:sz w:val="18"/>
                <w:szCs w:val="18"/>
                <w:lang w:val="fr-FR" w:eastAsia="en-GB"/>
              </w:rPr>
            </w:pPr>
            <w:r w:rsidRPr="00CE70CB">
              <w:rPr>
                <w:sz w:val="18"/>
                <w:szCs w:val="18"/>
                <w:lang w:val="fr-FR" w:eastAsia="en-GB"/>
              </w:rPr>
              <w:t>Tb-161</w:t>
            </w:r>
          </w:p>
        </w:tc>
        <w:tc>
          <w:tcPr>
            <w:tcW w:w="1060" w:type="dxa"/>
            <w:shd w:val="clear" w:color="auto" w:fill="auto"/>
          </w:tcPr>
          <w:p w:rsidR="00267DA7" w:rsidRPr="00CE70CB" w:rsidRDefault="00267DA7" w:rsidP="00267DA7">
            <w:pPr>
              <w:ind w:left="57" w:right="57"/>
              <w:rPr>
                <w:sz w:val="18"/>
                <w:szCs w:val="18"/>
                <w:lang w:val="fr-FR" w:eastAsia="en-GB"/>
              </w:rPr>
            </w:pPr>
            <w:r w:rsidRPr="00CE70CB">
              <w:rPr>
                <w:sz w:val="18"/>
                <w:szCs w:val="18"/>
                <w:lang w:val="fr-FR" w:eastAsia="en-GB"/>
              </w:rPr>
              <w:t>3 × 10</w:t>
            </w:r>
            <w:r w:rsidRPr="00CE70CB">
              <w:rPr>
                <w:sz w:val="18"/>
                <w:vertAlign w:val="superscript"/>
                <w:lang w:val="fr-FR" w:eastAsia="en-GB"/>
              </w:rPr>
              <w:t>1</w:t>
            </w:r>
          </w:p>
        </w:tc>
        <w:tc>
          <w:tcPr>
            <w:tcW w:w="992" w:type="dxa"/>
            <w:shd w:val="clear" w:color="auto" w:fill="auto"/>
          </w:tcPr>
          <w:p w:rsidR="00267DA7" w:rsidRPr="00CE70CB" w:rsidRDefault="00267DA7" w:rsidP="00267DA7">
            <w:pPr>
              <w:ind w:left="57" w:right="57"/>
              <w:rPr>
                <w:sz w:val="18"/>
                <w:szCs w:val="18"/>
                <w:lang w:val="fr-FR" w:eastAsia="en-GB"/>
              </w:rPr>
            </w:pPr>
            <w:r w:rsidRPr="00CE70CB">
              <w:rPr>
                <w:sz w:val="18"/>
                <w:szCs w:val="18"/>
                <w:lang w:val="fr-FR" w:eastAsia="en-GB"/>
              </w:rPr>
              <w:t>7 × 10</w:t>
            </w:r>
            <w:r w:rsidRPr="00CE70CB">
              <w:rPr>
                <w:sz w:val="18"/>
                <w:szCs w:val="18"/>
                <w:vertAlign w:val="superscript"/>
                <w:lang w:val="fr-FR" w:eastAsia="en-GB"/>
              </w:rPr>
              <w:t>-1</w:t>
            </w:r>
          </w:p>
        </w:tc>
        <w:tc>
          <w:tcPr>
            <w:tcW w:w="992" w:type="dxa"/>
            <w:shd w:val="clear" w:color="auto" w:fill="auto"/>
          </w:tcPr>
          <w:p w:rsidR="00267DA7" w:rsidRPr="00CE70CB" w:rsidRDefault="00267DA7" w:rsidP="00267DA7">
            <w:pPr>
              <w:ind w:left="57" w:right="57"/>
              <w:jc w:val="both"/>
              <w:rPr>
                <w:sz w:val="18"/>
                <w:szCs w:val="18"/>
                <w:lang w:val="fr-FR" w:eastAsia="en-GB"/>
              </w:rPr>
            </w:pPr>
            <w:r w:rsidRPr="00CE70CB">
              <w:rPr>
                <w:sz w:val="18"/>
                <w:szCs w:val="18"/>
                <w:lang w:val="fr-FR" w:eastAsia="en-GB"/>
              </w:rPr>
              <w:t>1 × 10</w:t>
            </w:r>
            <w:r w:rsidRPr="00CE70CB">
              <w:rPr>
                <w:sz w:val="18"/>
                <w:vertAlign w:val="superscript"/>
                <w:lang w:val="fr-FR" w:eastAsia="en-GB"/>
              </w:rPr>
              <w:t>3</w:t>
            </w:r>
          </w:p>
        </w:tc>
        <w:tc>
          <w:tcPr>
            <w:tcW w:w="992" w:type="dxa"/>
            <w:shd w:val="clear" w:color="auto" w:fill="auto"/>
          </w:tcPr>
          <w:p w:rsidR="00267DA7" w:rsidRPr="00CE70CB" w:rsidRDefault="00267DA7" w:rsidP="00267DA7">
            <w:pPr>
              <w:ind w:left="57" w:right="57" w:firstLine="205"/>
              <w:rPr>
                <w:sz w:val="18"/>
                <w:szCs w:val="18"/>
                <w:lang w:val="fr-FR" w:eastAsia="en-GB"/>
              </w:rPr>
            </w:pPr>
            <w:r w:rsidRPr="00CE70CB">
              <w:rPr>
                <w:sz w:val="18"/>
                <w:szCs w:val="18"/>
                <w:lang w:val="fr-FR" w:eastAsia="en-GB"/>
              </w:rPr>
              <w:t>1 × 10</w:t>
            </w:r>
            <w:r w:rsidRPr="00CE70CB">
              <w:rPr>
                <w:sz w:val="18"/>
                <w:vertAlign w:val="superscript"/>
                <w:lang w:val="fr-FR" w:eastAsia="en-GB"/>
              </w:rPr>
              <w:t>6</w:t>
            </w:r>
          </w:p>
        </w:tc>
      </w:tr>
    </w:tbl>
    <w:p w:rsidR="00267DA7" w:rsidRPr="00CE70CB" w:rsidRDefault="00267DA7" w:rsidP="00267DA7">
      <w:pPr>
        <w:pStyle w:val="SingleTxtG"/>
        <w:tabs>
          <w:tab w:val="left" w:pos="2268"/>
        </w:tabs>
        <w:spacing w:before="120"/>
        <w:ind w:left="2257" w:hanging="1123"/>
        <w:rPr>
          <w:lang w:val="fr-FR" w:eastAsia="en-GB"/>
        </w:rPr>
      </w:pPr>
      <w:r w:rsidRPr="00CE70CB">
        <w:rPr>
          <w:szCs w:val="24"/>
          <w:lang w:val="fr-FR"/>
        </w:rPr>
        <w:lastRenderedPageBreak/>
        <w:t xml:space="preserve">Tableau </w:t>
      </w:r>
      <w:r w:rsidRPr="00CE70CB">
        <w:rPr>
          <w:lang w:val="fr-FR" w:eastAsia="en-GB"/>
        </w:rPr>
        <w:t>2.2.7.2.2.1</w:t>
      </w:r>
    </w:p>
    <w:p w:rsidR="00267DA7" w:rsidRPr="00CE70CB" w:rsidRDefault="00267DA7" w:rsidP="00267DA7">
      <w:pPr>
        <w:pStyle w:val="SingleTxtG"/>
        <w:tabs>
          <w:tab w:val="left" w:pos="2268"/>
        </w:tabs>
        <w:ind w:left="2259" w:hanging="1125"/>
        <w:rPr>
          <w:szCs w:val="24"/>
          <w:lang w:val="fr-FR"/>
        </w:rPr>
      </w:pPr>
      <w:r w:rsidRPr="00CE70CB">
        <w:rPr>
          <w:lang w:val="fr-FR" w:eastAsia="en-GB"/>
        </w:rPr>
        <w:tab/>
      </w:r>
      <w:r w:rsidRPr="00CE70CB">
        <w:rPr>
          <w:szCs w:val="24"/>
          <w:lang w:val="fr-FR"/>
        </w:rPr>
        <w:t>Dans la note b) du tableau, ajouter, à la fin de la phrase d’introduction « </w:t>
      </w:r>
      <w:bookmarkStart w:id="49" w:name="_Hlk2256472"/>
      <w:r w:rsidRPr="00CE70CB">
        <w:rPr>
          <w:szCs w:val="24"/>
          <w:lang w:val="fr-FR"/>
        </w:rPr>
        <w:t>(l’activité à prendre en considération est celle du nucléide parent uniquement)</w:t>
      </w:r>
      <w:bookmarkEnd w:id="49"/>
      <w:r w:rsidRPr="00CE70CB">
        <w:rPr>
          <w:szCs w:val="24"/>
          <w:lang w:val="fr-FR"/>
        </w:rPr>
        <w:t> ». Après « Th-</w:t>
      </w:r>
      <w:proofErr w:type="spellStart"/>
      <w:r w:rsidRPr="00CE70CB">
        <w:rPr>
          <w:szCs w:val="24"/>
          <w:lang w:val="fr-FR"/>
        </w:rPr>
        <w:t>nat</w:t>
      </w:r>
      <w:proofErr w:type="spellEnd"/>
      <w:r w:rsidRPr="00CE70CB">
        <w:rPr>
          <w:szCs w:val="24"/>
          <w:lang w:val="fr-FR"/>
        </w:rPr>
        <w:t> » et « U-</w:t>
      </w:r>
      <w:proofErr w:type="spellStart"/>
      <w:r w:rsidRPr="00CE70CB">
        <w:rPr>
          <w:szCs w:val="24"/>
          <w:lang w:val="fr-FR"/>
        </w:rPr>
        <w:t>nat</w:t>
      </w:r>
      <w:proofErr w:type="spellEnd"/>
      <w:r w:rsidRPr="00CE70CB">
        <w:rPr>
          <w:szCs w:val="24"/>
          <w:lang w:val="fr-FR"/>
        </w:rPr>
        <w:t xml:space="preserve"> », insérer un appel </w:t>
      </w:r>
      <w:r w:rsidR="00D559D1" w:rsidRPr="00CE70CB">
        <w:rPr>
          <w:szCs w:val="24"/>
          <w:lang w:val="fr-FR"/>
        </w:rPr>
        <w:t xml:space="preserve">à la </w:t>
      </w:r>
      <w:r w:rsidRPr="00CE70CB">
        <w:rPr>
          <w:szCs w:val="24"/>
          <w:lang w:val="fr-FR"/>
        </w:rPr>
        <w:t>note de bas de page</w:t>
      </w:r>
      <w:r w:rsidR="00D559D1" w:rsidRPr="00CE70CB">
        <w:rPr>
          <w:szCs w:val="24"/>
          <w:lang w:val="fr-FR"/>
        </w:rPr>
        <w:t xml:space="preserve"> 5</w:t>
      </w:r>
      <w:r w:rsidRPr="00CE70CB">
        <w:rPr>
          <w:szCs w:val="24"/>
          <w:lang w:val="fr-FR"/>
        </w:rPr>
        <w:t>. La note de bas de page se lit comme suit : « </w:t>
      </w:r>
      <w:bookmarkStart w:id="50" w:name="_Hlk2256668"/>
      <w:r w:rsidR="00D559D1" w:rsidRPr="00CE70CB">
        <w:rPr>
          <w:b/>
          <w:bCs/>
          <w:vertAlign w:val="superscript"/>
        </w:rPr>
        <w:t>5</w:t>
      </w:r>
      <w:r w:rsidR="00D559D1" w:rsidRPr="00CE70CB">
        <w:rPr>
          <w:vertAlign w:val="superscript"/>
        </w:rPr>
        <w:tab/>
      </w:r>
      <w:r w:rsidRPr="00CE70CB">
        <w:rPr>
          <w:szCs w:val="24"/>
          <w:lang w:val="fr-FR"/>
        </w:rPr>
        <w:t>Dans le cas du thorium naturel, le nucléide parent est Th-232 ; dans le cas de l’uranium naturel, le nucléide parent est U-238. </w:t>
      </w:r>
      <w:bookmarkEnd w:id="50"/>
      <w:r w:rsidRPr="00CE70CB">
        <w:rPr>
          <w:szCs w:val="24"/>
          <w:lang w:val="fr-FR"/>
        </w:rPr>
        <w:t>».</w:t>
      </w:r>
      <w:r w:rsidR="00D559D1" w:rsidRPr="00CE70CB">
        <w:rPr>
          <w:szCs w:val="24"/>
          <w:lang w:val="fr-FR"/>
        </w:rPr>
        <w:t xml:space="preserve"> </w:t>
      </w:r>
    </w:p>
    <w:p w:rsidR="00267DA7" w:rsidRPr="00CE70CB" w:rsidRDefault="00267DA7" w:rsidP="00267DA7">
      <w:pPr>
        <w:pStyle w:val="SingleTxtG"/>
        <w:tabs>
          <w:tab w:val="left" w:pos="2268"/>
        </w:tabs>
        <w:ind w:left="2259" w:hanging="1125"/>
        <w:rPr>
          <w:lang w:val="fr-FR" w:eastAsia="en-GB"/>
        </w:rPr>
      </w:pPr>
      <w:r w:rsidRPr="00CE70CB">
        <w:rPr>
          <w:szCs w:val="24"/>
          <w:lang w:val="fr-FR"/>
        </w:rPr>
        <w:t xml:space="preserve">Tableau </w:t>
      </w:r>
      <w:r w:rsidRPr="00CE70CB">
        <w:rPr>
          <w:lang w:val="fr-FR" w:eastAsia="en-GB"/>
        </w:rPr>
        <w:t>2.2.7.2.2.1</w:t>
      </w:r>
    </w:p>
    <w:p w:rsidR="00267DA7" w:rsidRPr="00CE70CB" w:rsidRDefault="00267DA7" w:rsidP="00267DA7">
      <w:pPr>
        <w:pStyle w:val="SingleTxtG"/>
        <w:tabs>
          <w:tab w:val="left" w:pos="2268"/>
        </w:tabs>
        <w:ind w:left="2259" w:hanging="1125"/>
        <w:rPr>
          <w:szCs w:val="24"/>
          <w:lang w:val="fr-FR"/>
        </w:rPr>
      </w:pPr>
      <w:r w:rsidRPr="00CE70CB">
        <w:rPr>
          <w:lang w:val="fr-FR" w:eastAsia="en-GB"/>
        </w:rPr>
        <w:tab/>
        <w:t xml:space="preserve">Dans la note de bas de tableau c), remplacer </w:t>
      </w:r>
      <w:r w:rsidRPr="00CE70CB">
        <w:rPr>
          <w:szCs w:val="24"/>
          <w:lang w:val="fr-FR"/>
        </w:rPr>
        <w:t>« de l’intensité de rayonnement » par « du débit de dose ».</w:t>
      </w:r>
    </w:p>
    <w:p w:rsidR="00D85BD3" w:rsidRPr="00CE70CB" w:rsidRDefault="00D85BD3" w:rsidP="00D85BD3">
      <w:pPr>
        <w:pStyle w:val="SingleTxtG"/>
        <w:tabs>
          <w:tab w:val="left" w:pos="2268"/>
        </w:tabs>
        <w:ind w:left="2259" w:hanging="1125"/>
        <w:rPr>
          <w:szCs w:val="24"/>
          <w:lang w:val="fr-FR"/>
        </w:rPr>
      </w:pPr>
      <w:r w:rsidRPr="00CE70CB">
        <w:rPr>
          <w:szCs w:val="24"/>
          <w:lang w:val="fr-FR"/>
        </w:rPr>
        <w:t xml:space="preserve">2.2.7.2.2.2 </w:t>
      </w:r>
      <w:r w:rsidRPr="00CE70CB">
        <w:rPr>
          <w:szCs w:val="24"/>
          <w:lang w:val="fr-FR"/>
        </w:rPr>
        <w:tab/>
        <w:t xml:space="preserve">À l’alinéa a), remplacer « les </w:t>
      </w:r>
      <w:r w:rsidRPr="00CE70CB">
        <w:rPr>
          <w:iCs/>
          <w:szCs w:val="24"/>
          <w:lang w:val="fr-FR"/>
        </w:rPr>
        <w:t>Normes fondamentales internationales de protection contre les rayonnements ionisants et de sûreté des sources de rayonnements</w:t>
      </w:r>
      <w:r w:rsidRPr="00CE70CB">
        <w:rPr>
          <w:i/>
          <w:iCs/>
          <w:szCs w:val="24"/>
          <w:lang w:val="fr-FR"/>
        </w:rPr>
        <w:t xml:space="preserve">, </w:t>
      </w:r>
      <w:r w:rsidRPr="00CE70CB">
        <w:rPr>
          <w:szCs w:val="24"/>
          <w:lang w:val="fr-FR"/>
        </w:rPr>
        <w:t>collection Sécurité, No 115, AIEA, Vienne (1996) » par « </w:t>
      </w:r>
      <w:bookmarkStart w:id="51" w:name="_Hlk2246306"/>
      <w:r w:rsidRPr="00CE70CB">
        <w:rPr>
          <w:i/>
          <w:iCs/>
          <w:szCs w:val="24"/>
          <w:lang w:val="fr-FR"/>
        </w:rPr>
        <w:t>"</w:t>
      </w:r>
      <w:r w:rsidRPr="00CE70CB">
        <w:rPr>
          <w:i/>
          <w:szCs w:val="24"/>
          <w:lang w:val="fr-FR"/>
        </w:rPr>
        <w:t>R</w:t>
      </w:r>
      <w:r w:rsidRPr="00CE70CB">
        <w:rPr>
          <w:i/>
          <w:iCs/>
          <w:szCs w:val="24"/>
          <w:lang w:val="fr-FR"/>
        </w:rPr>
        <w:t>adioprotection et sûreté des sources de rayonnements : normes fondamentales internationales de sûreté″</w:t>
      </w:r>
      <w:r w:rsidRPr="00CE70CB">
        <w:rPr>
          <w:iCs/>
          <w:szCs w:val="24"/>
          <w:lang w:val="fr-FR"/>
        </w:rPr>
        <w:t>,</w:t>
      </w:r>
      <w:r w:rsidRPr="00CE70CB">
        <w:rPr>
          <w:i/>
          <w:iCs/>
          <w:szCs w:val="24"/>
          <w:lang w:val="fr-FR"/>
        </w:rPr>
        <w:t xml:space="preserve"> </w:t>
      </w:r>
      <w:r w:rsidRPr="00CE70CB">
        <w:rPr>
          <w:szCs w:val="24"/>
          <w:lang w:val="fr-FR"/>
        </w:rPr>
        <w:t xml:space="preserve">collection Normes de sûreté de l’AIEA, </w:t>
      </w:r>
      <w:r w:rsidRPr="00CE70CB">
        <w:rPr>
          <w:rFonts w:eastAsia="MS Mincho"/>
          <w:szCs w:val="22"/>
          <w:lang w:val="fr-FR"/>
        </w:rPr>
        <w:t>n</w:t>
      </w:r>
      <w:r w:rsidRPr="00CE70CB">
        <w:rPr>
          <w:rFonts w:eastAsia="MS Mincho"/>
          <w:szCs w:val="22"/>
          <w:vertAlign w:val="superscript"/>
          <w:lang w:val="fr-FR"/>
        </w:rPr>
        <w:t>o</w:t>
      </w:r>
      <w:r w:rsidRPr="00CE70CB">
        <w:rPr>
          <w:szCs w:val="24"/>
          <w:lang w:val="fr-FR"/>
        </w:rPr>
        <w:t> GSR Partie 3, AIEA, Vienne (2014)</w:t>
      </w:r>
      <w:bookmarkEnd w:id="51"/>
      <w:r w:rsidRPr="00CE70CB">
        <w:rPr>
          <w:szCs w:val="24"/>
          <w:lang w:val="fr-FR"/>
        </w:rPr>
        <w:t> ».</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 xml:space="preserve">À la fin de l’alinéa b), remplacer </w:t>
      </w:r>
      <w:r w:rsidRPr="00CE70CB">
        <w:rPr>
          <w:iCs/>
          <w:szCs w:val="24"/>
          <w:lang w:val="fr-FR"/>
        </w:rPr>
        <w:t>« </w:t>
      </w:r>
      <w:r w:rsidR="00D85BD3" w:rsidRPr="00CE70CB">
        <w:rPr>
          <w:iCs/>
          <w:szCs w:val="24"/>
          <w:lang w:val="fr-FR"/>
        </w:rPr>
        <w:t xml:space="preserve">les </w:t>
      </w:r>
      <w:r w:rsidRPr="00CE70CB">
        <w:rPr>
          <w:szCs w:val="24"/>
          <w:lang w:val="fr-FR"/>
        </w:rPr>
        <w:t>Normes fondamentales internationales de protection contre les rayonnements ionisants et de sûreté des sources de rayonnements, Collection Sécurité, n</w:t>
      </w:r>
      <w:r w:rsidRPr="00CE70CB">
        <w:rPr>
          <w:szCs w:val="24"/>
          <w:vertAlign w:val="superscript"/>
          <w:lang w:val="fr-FR"/>
        </w:rPr>
        <w:t>o</w:t>
      </w:r>
      <w:r w:rsidRPr="00CE70CB">
        <w:rPr>
          <w:szCs w:val="24"/>
          <w:lang w:val="fr-FR"/>
        </w:rPr>
        <w:t> 115, AIEA, Vienne (1996) » par « </w:t>
      </w:r>
      <w:bookmarkStart w:id="52" w:name="_Hlk2246516"/>
      <w:r w:rsidR="00D85BD3" w:rsidRPr="00CE70CB">
        <w:rPr>
          <w:szCs w:val="24"/>
          <w:lang w:val="fr-FR"/>
        </w:rPr>
        <w:t xml:space="preserve">le </w:t>
      </w:r>
      <w:r w:rsidRPr="00CE70CB">
        <w:rPr>
          <w:szCs w:val="24"/>
          <w:lang w:val="fr-FR"/>
        </w:rPr>
        <w:t>GSR Partie 3 </w:t>
      </w:r>
      <w:bookmarkEnd w:id="52"/>
      <w:r w:rsidRPr="00CE70CB">
        <w:rPr>
          <w:szCs w:val="24"/>
          <w:lang w:val="fr-FR"/>
        </w:rPr>
        <w:t>»</w:t>
      </w:r>
    </w:p>
    <w:p w:rsidR="00267DA7" w:rsidRPr="00CE70CB" w:rsidRDefault="00267DA7" w:rsidP="00267DA7">
      <w:pPr>
        <w:pStyle w:val="SingleTxtG"/>
        <w:tabs>
          <w:tab w:val="left" w:pos="2268"/>
        </w:tabs>
        <w:ind w:left="2259" w:hanging="1125"/>
        <w:rPr>
          <w:szCs w:val="24"/>
          <w:lang w:val="fr-FR"/>
        </w:rPr>
      </w:pPr>
      <w:r w:rsidRPr="00CE70CB">
        <w:rPr>
          <w:szCs w:val="24"/>
          <w:lang w:val="fr-FR"/>
        </w:rPr>
        <w:t>2.2.7.2.2.3</w:t>
      </w:r>
      <w:r w:rsidRPr="00CE70CB">
        <w:rPr>
          <w:szCs w:val="24"/>
          <w:lang w:val="fr-FR"/>
        </w:rPr>
        <w:tab/>
        <w:t>L’amendement est sans objet en français.</w:t>
      </w:r>
    </w:p>
    <w:p w:rsidR="00267DA7" w:rsidRPr="00CE70CB" w:rsidRDefault="00267DA7" w:rsidP="00267DA7">
      <w:pPr>
        <w:pStyle w:val="SingleTxtG"/>
        <w:tabs>
          <w:tab w:val="left" w:pos="2268"/>
        </w:tabs>
        <w:ind w:left="2259" w:hanging="1125"/>
        <w:rPr>
          <w:szCs w:val="24"/>
          <w:lang w:val="fr-FR"/>
        </w:rPr>
      </w:pPr>
      <w:r w:rsidRPr="00CE70CB">
        <w:rPr>
          <w:lang w:val="fr-FR" w:eastAsia="en-GB"/>
        </w:rPr>
        <w:t>2.2.7.2.3.1.2</w:t>
      </w:r>
      <w:r w:rsidRPr="00CE70CB">
        <w:rPr>
          <w:szCs w:val="24"/>
          <w:lang w:val="fr-FR"/>
        </w:rPr>
        <w:t xml:space="preserve"> c)</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 xml:space="preserve">Supprimer « satisfaisant aux prescriptions du 2.2.7.2.3.1.3, ». Supprimer </w:t>
      </w:r>
      <w:r w:rsidR="002D4449" w:rsidRPr="00CE70CB">
        <w:rPr>
          <w:szCs w:val="24"/>
          <w:lang w:val="fr-FR"/>
        </w:rPr>
        <w:t>l’alinéa</w:t>
      </w:r>
      <w:r w:rsidRPr="00CE70CB">
        <w:rPr>
          <w:szCs w:val="24"/>
          <w:lang w:val="fr-FR"/>
        </w:rPr>
        <w:t xml:space="preserve"> ii) et renuméroter (iii) en tant que (ii). </w:t>
      </w:r>
    </w:p>
    <w:p w:rsidR="00267DA7" w:rsidRPr="00CE70CB" w:rsidRDefault="00267DA7" w:rsidP="00267DA7">
      <w:pPr>
        <w:pStyle w:val="SingleTxtG"/>
        <w:tabs>
          <w:tab w:val="left" w:pos="2268"/>
        </w:tabs>
        <w:ind w:left="2259" w:hanging="1125"/>
        <w:rPr>
          <w:szCs w:val="24"/>
          <w:lang w:val="fr-FR"/>
        </w:rPr>
      </w:pPr>
      <w:r w:rsidRPr="00CE70CB">
        <w:rPr>
          <w:szCs w:val="24"/>
          <w:lang w:val="fr-FR"/>
        </w:rPr>
        <w:t>2.2.7.2.3.1.3</w:t>
      </w:r>
      <w:r w:rsidRPr="00CE70CB">
        <w:rPr>
          <w:szCs w:val="24"/>
          <w:lang w:val="fr-FR"/>
        </w:rPr>
        <w:tab/>
        <w:t xml:space="preserve">Supprimer et ajouter « 2.2.7.2.3.1.3 </w:t>
      </w:r>
      <w:r w:rsidRPr="00CE70CB">
        <w:rPr>
          <w:szCs w:val="24"/>
          <w:lang w:val="fr-FR"/>
        </w:rPr>
        <w:tab/>
      </w:r>
      <w:r w:rsidRPr="00CE70CB">
        <w:rPr>
          <w:i/>
          <w:iCs/>
          <w:szCs w:val="24"/>
          <w:lang w:val="fr-FR"/>
        </w:rPr>
        <w:t>(Supprimé)</w:t>
      </w:r>
      <w:r w:rsidRPr="00CE70CB">
        <w:rPr>
          <w:szCs w:val="24"/>
          <w:lang w:val="fr-FR"/>
        </w:rPr>
        <w:t> ».</w:t>
      </w:r>
    </w:p>
    <w:p w:rsidR="00267DA7" w:rsidRPr="00CE70CB" w:rsidRDefault="00267DA7" w:rsidP="00267DA7">
      <w:pPr>
        <w:pStyle w:val="SingleTxtG"/>
        <w:tabs>
          <w:tab w:val="left" w:pos="2268"/>
        </w:tabs>
        <w:ind w:left="2259" w:hanging="1125"/>
        <w:rPr>
          <w:szCs w:val="24"/>
          <w:lang w:val="fr-FR"/>
        </w:rPr>
      </w:pPr>
      <w:r w:rsidRPr="00CE70CB">
        <w:rPr>
          <w:lang w:val="fr-FR"/>
        </w:rPr>
        <w:t>2.2.7.2.3.2</w:t>
      </w:r>
      <w:r w:rsidRPr="00CE70CB">
        <w:rPr>
          <w:szCs w:val="24"/>
          <w:lang w:val="fr-FR"/>
        </w:rPr>
        <w:tab/>
        <w:t>Dans la phrase d’introduction précédant l’alinéa a), remplacer « deux » par « trois ». Ajouter un nouvel alinéa c), comme suit :</w:t>
      </w:r>
    </w:p>
    <w:p w:rsidR="00267DA7" w:rsidRPr="00CE70CB" w:rsidRDefault="00267DA7" w:rsidP="00267DA7">
      <w:pPr>
        <w:pStyle w:val="SingleTxtG"/>
        <w:tabs>
          <w:tab w:val="left" w:pos="2268"/>
        </w:tabs>
        <w:ind w:left="2268"/>
        <w:rPr>
          <w:szCs w:val="24"/>
          <w:lang w:val="fr-FR"/>
        </w:rPr>
      </w:pPr>
      <w:bookmarkStart w:id="53" w:name="_Hlk2257168"/>
      <w:r w:rsidRPr="00CE70CB">
        <w:rPr>
          <w:szCs w:val="24"/>
          <w:lang w:val="fr-FR"/>
        </w:rPr>
        <w:t>« c)</w:t>
      </w:r>
      <w:r w:rsidRPr="00CE70CB">
        <w:rPr>
          <w:szCs w:val="24"/>
          <w:lang w:val="fr-FR"/>
        </w:rPr>
        <w:tab/>
        <w:t>SCO-III : Objet solide de grande taille qui, en raison de celle-ci, ne peut être transporté dans un colis du type décrit dans l’ADR et dont :</w:t>
      </w:r>
    </w:p>
    <w:p w:rsidR="00267DA7" w:rsidRPr="00CE70CB" w:rsidRDefault="00267DA7" w:rsidP="00267DA7">
      <w:pPr>
        <w:pStyle w:val="SingleTxtG"/>
        <w:tabs>
          <w:tab w:val="left" w:pos="2268"/>
        </w:tabs>
        <w:ind w:left="3402" w:hanging="567"/>
        <w:rPr>
          <w:szCs w:val="24"/>
          <w:lang w:val="fr-FR"/>
        </w:rPr>
      </w:pPr>
      <w:r w:rsidRPr="00CE70CB">
        <w:rPr>
          <w:szCs w:val="24"/>
          <w:lang w:val="fr-FR"/>
        </w:rPr>
        <w:t>i)</w:t>
      </w:r>
      <w:r w:rsidRPr="00CE70CB">
        <w:rPr>
          <w:szCs w:val="24"/>
          <w:lang w:val="fr-FR"/>
        </w:rPr>
        <w:tab/>
        <w:t>Tous les orifices sont scellés pour éviter la libération de matières radioactives dans les conditions définies au 4.1.9.2.4 e) ;</w:t>
      </w:r>
    </w:p>
    <w:p w:rsidR="00267DA7" w:rsidRPr="00CE70CB" w:rsidRDefault="00267DA7" w:rsidP="00267DA7">
      <w:pPr>
        <w:pStyle w:val="SingleTxtG"/>
        <w:tabs>
          <w:tab w:val="left" w:pos="2268"/>
        </w:tabs>
        <w:ind w:left="3402" w:hanging="567"/>
        <w:rPr>
          <w:szCs w:val="24"/>
          <w:lang w:val="fr-FR"/>
        </w:rPr>
      </w:pPr>
      <w:r w:rsidRPr="00CE70CB">
        <w:rPr>
          <w:szCs w:val="24"/>
          <w:lang w:val="fr-FR"/>
        </w:rPr>
        <w:t>ii)</w:t>
      </w:r>
      <w:r w:rsidRPr="00CE70CB">
        <w:rPr>
          <w:szCs w:val="24"/>
          <w:lang w:val="fr-FR"/>
        </w:rPr>
        <w:tab/>
        <w:t>L’intérieur de l’objet est le plus sec possible ;</w:t>
      </w:r>
    </w:p>
    <w:p w:rsidR="00267DA7" w:rsidRPr="00CE70CB" w:rsidRDefault="00267DA7" w:rsidP="00267DA7">
      <w:pPr>
        <w:pStyle w:val="SingleTxtG"/>
        <w:tabs>
          <w:tab w:val="left" w:pos="2268"/>
        </w:tabs>
        <w:ind w:left="3402" w:hanging="567"/>
        <w:rPr>
          <w:szCs w:val="24"/>
          <w:lang w:val="fr-FR"/>
        </w:rPr>
      </w:pPr>
      <w:r w:rsidRPr="00CE70CB">
        <w:rPr>
          <w:szCs w:val="24"/>
          <w:lang w:val="fr-FR"/>
        </w:rPr>
        <w:t>iii)</w:t>
      </w:r>
      <w:r w:rsidRPr="00CE70CB">
        <w:rPr>
          <w:szCs w:val="24"/>
          <w:lang w:val="fr-FR"/>
        </w:rPr>
        <w:tab/>
        <w:t>La contamination non fixée sur les surfaces externes ne dépasse pas les limites spécifiées au 4.1.9.1.2 ; et</w:t>
      </w:r>
    </w:p>
    <w:p w:rsidR="00267DA7" w:rsidRPr="00CE70CB" w:rsidRDefault="00267DA7" w:rsidP="00267DA7">
      <w:pPr>
        <w:pStyle w:val="SingleTxtG"/>
        <w:tabs>
          <w:tab w:val="left" w:pos="2268"/>
        </w:tabs>
        <w:ind w:left="3402" w:hanging="567"/>
        <w:rPr>
          <w:szCs w:val="24"/>
          <w:lang w:val="fr-FR"/>
        </w:rPr>
      </w:pPr>
      <w:r w:rsidRPr="00CE70CB">
        <w:rPr>
          <w:szCs w:val="24"/>
          <w:lang w:val="fr-FR"/>
        </w:rPr>
        <w:t xml:space="preserve">iv) </w:t>
      </w:r>
      <w:r w:rsidRPr="00CE70CB">
        <w:rPr>
          <w:szCs w:val="24"/>
          <w:lang w:val="fr-FR"/>
        </w:rPr>
        <w:tab/>
        <w:t>Pour la surface inaccessible, la moyenne de la contamination non fixée et de la contamination fixée sur 300 cm</w:t>
      </w:r>
      <w:r w:rsidRPr="00CE70CB">
        <w:rPr>
          <w:szCs w:val="24"/>
          <w:vertAlign w:val="superscript"/>
          <w:lang w:val="fr-FR"/>
        </w:rPr>
        <w:t>2</w:t>
      </w:r>
      <w:r w:rsidRPr="00CE70CB">
        <w:rPr>
          <w:szCs w:val="24"/>
          <w:lang w:val="fr-FR"/>
        </w:rPr>
        <w:t xml:space="preserve"> ne dépasse pas 8 × 10</w:t>
      </w:r>
      <w:r w:rsidRPr="00CE70CB">
        <w:rPr>
          <w:szCs w:val="24"/>
          <w:vertAlign w:val="superscript"/>
          <w:lang w:val="fr-FR"/>
        </w:rPr>
        <w:t>5</w:t>
      </w:r>
      <w:r w:rsidRPr="00CE70CB">
        <w:rPr>
          <w:szCs w:val="24"/>
          <w:lang w:val="fr-FR"/>
        </w:rPr>
        <w:t> Bq/cm</w:t>
      </w:r>
      <w:r w:rsidRPr="00CE70CB">
        <w:rPr>
          <w:szCs w:val="24"/>
          <w:vertAlign w:val="superscript"/>
          <w:lang w:val="fr-FR"/>
        </w:rPr>
        <w:t>2</w:t>
      </w:r>
      <w:r w:rsidRPr="00CE70CB">
        <w:rPr>
          <w:szCs w:val="24"/>
          <w:lang w:val="fr-FR"/>
        </w:rPr>
        <w:t xml:space="preserve"> pour les émetteurs bêta et gamma et les émetteurs alpha de faible toxicité ou 8 × 10</w:t>
      </w:r>
      <w:r w:rsidRPr="00CE70CB">
        <w:rPr>
          <w:szCs w:val="24"/>
          <w:vertAlign w:val="superscript"/>
          <w:lang w:val="fr-FR"/>
        </w:rPr>
        <w:t>4</w:t>
      </w:r>
      <w:r w:rsidRPr="00CE70CB">
        <w:rPr>
          <w:szCs w:val="24"/>
          <w:lang w:val="fr-FR"/>
        </w:rPr>
        <w:t> Bq/cm</w:t>
      </w:r>
      <w:r w:rsidRPr="00CE70CB">
        <w:rPr>
          <w:szCs w:val="24"/>
          <w:vertAlign w:val="superscript"/>
          <w:lang w:val="fr-FR"/>
        </w:rPr>
        <w:t>2</w:t>
      </w:r>
      <w:r w:rsidRPr="00CE70CB">
        <w:rPr>
          <w:szCs w:val="24"/>
          <w:lang w:val="fr-FR"/>
        </w:rPr>
        <w:t xml:space="preserve"> pour tous les autres émetteurs alpha.</w:t>
      </w:r>
      <w:bookmarkEnd w:id="53"/>
      <w:r w:rsidRPr="00CE70CB">
        <w:rPr>
          <w:szCs w:val="24"/>
          <w:lang w:val="fr-FR"/>
        </w:rPr>
        <w:t> »</w:t>
      </w:r>
    </w:p>
    <w:p w:rsidR="00267DA7" w:rsidRPr="00CE70CB" w:rsidRDefault="00267DA7" w:rsidP="00267DA7">
      <w:pPr>
        <w:pStyle w:val="SingleTxtG"/>
        <w:tabs>
          <w:tab w:val="left" w:pos="2268"/>
        </w:tabs>
        <w:ind w:left="2259" w:hanging="1125"/>
        <w:rPr>
          <w:szCs w:val="24"/>
          <w:lang w:val="fr-FR"/>
        </w:rPr>
      </w:pPr>
      <w:r w:rsidRPr="00CE70CB">
        <w:rPr>
          <w:lang w:val="fr-FR" w:eastAsia="en-GB"/>
        </w:rPr>
        <w:t>2.2.7.2.3.3.5</w:t>
      </w:r>
      <w:r w:rsidRPr="00CE70CB">
        <w:rPr>
          <w:szCs w:val="24"/>
          <w:lang w:val="fr-FR"/>
        </w:rPr>
        <w:t xml:space="preserve"> b)</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L’amendement est sans objet en français.</w:t>
      </w:r>
    </w:p>
    <w:p w:rsidR="00267DA7" w:rsidRPr="00CE70CB" w:rsidRDefault="00267DA7" w:rsidP="00267DA7">
      <w:pPr>
        <w:pStyle w:val="SingleTxtG"/>
        <w:tabs>
          <w:tab w:val="left" w:pos="2268"/>
        </w:tabs>
        <w:ind w:left="2259" w:hanging="1125"/>
        <w:rPr>
          <w:szCs w:val="24"/>
          <w:lang w:val="fr-FR"/>
        </w:rPr>
      </w:pPr>
      <w:r w:rsidRPr="00CE70CB">
        <w:rPr>
          <w:lang w:val="fr-FR" w:eastAsia="en-GB"/>
        </w:rPr>
        <w:t xml:space="preserve">2.2.7.2.3.3.5 </w:t>
      </w:r>
      <w:r w:rsidRPr="00CE70CB">
        <w:rPr>
          <w:szCs w:val="24"/>
          <w:lang w:val="fr-FR"/>
        </w:rPr>
        <w:t>c)</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L’amendement est sans objet en français.</w:t>
      </w:r>
    </w:p>
    <w:p w:rsidR="00267DA7" w:rsidRPr="00CE70CB" w:rsidRDefault="00267DA7" w:rsidP="00267DA7">
      <w:pPr>
        <w:pStyle w:val="SingleTxtG"/>
        <w:tabs>
          <w:tab w:val="left" w:pos="2268"/>
        </w:tabs>
        <w:ind w:left="2259" w:hanging="1125"/>
        <w:rPr>
          <w:szCs w:val="24"/>
          <w:lang w:val="fr-FR"/>
        </w:rPr>
      </w:pPr>
      <w:r w:rsidRPr="00CE70CB">
        <w:rPr>
          <w:szCs w:val="24"/>
          <w:lang w:val="fr-FR"/>
        </w:rPr>
        <w:t>2.2.7.2.3.3.7</w:t>
      </w:r>
      <w:r w:rsidRPr="00CE70CB">
        <w:rPr>
          <w:szCs w:val="24"/>
          <w:lang w:val="fr-FR"/>
        </w:rPr>
        <w:tab/>
        <w:t>L’amendement est sans objet en français.</w:t>
      </w:r>
    </w:p>
    <w:p w:rsidR="00267DA7" w:rsidRPr="00CE70CB" w:rsidRDefault="00267DA7" w:rsidP="00267DA7">
      <w:pPr>
        <w:pStyle w:val="SingleTxtG"/>
        <w:tabs>
          <w:tab w:val="left" w:pos="2268"/>
        </w:tabs>
        <w:ind w:left="2259" w:hanging="1125"/>
        <w:rPr>
          <w:szCs w:val="24"/>
          <w:lang w:val="fr-FR"/>
        </w:rPr>
      </w:pPr>
      <w:r w:rsidRPr="00CE70CB">
        <w:rPr>
          <w:szCs w:val="24"/>
          <w:lang w:val="fr-FR"/>
        </w:rPr>
        <w:t>2.2.7.2.3.3.8 a) ii)</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L’amendement est sans objet en français.</w:t>
      </w:r>
    </w:p>
    <w:p w:rsidR="00267DA7" w:rsidRPr="00CE70CB" w:rsidRDefault="00267DA7" w:rsidP="00267DA7">
      <w:pPr>
        <w:pStyle w:val="SingleTxtG"/>
        <w:tabs>
          <w:tab w:val="left" w:pos="2268"/>
        </w:tabs>
        <w:ind w:left="2259" w:hanging="1125"/>
        <w:rPr>
          <w:szCs w:val="24"/>
          <w:lang w:val="fr-FR"/>
        </w:rPr>
      </w:pPr>
      <w:r w:rsidRPr="00CE70CB">
        <w:rPr>
          <w:szCs w:val="24"/>
          <w:lang w:val="fr-FR"/>
        </w:rPr>
        <w:t>2.2.7.2.3.4.1 a)</w:t>
      </w:r>
    </w:p>
    <w:p w:rsidR="00267DA7" w:rsidRPr="00CE70CB" w:rsidRDefault="00267DA7" w:rsidP="00267DA7">
      <w:pPr>
        <w:pStyle w:val="SingleTxtG"/>
        <w:tabs>
          <w:tab w:val="left" w:pos="2268"/>
        </w:tabs>
        <w:ind w:left="2259" w:hanging="1125"/>
        <w:rPr>
          <w:szCs w:val="24"/>
          <w:lang w:val="fr-FR"/>
        </w:rPr>
      </w:pPr>
      <w:r w:rsidRPr="00CE70CB">
        <w:rPr>
          <w:szCs w:val="24"/>
          <w:lang w:val="fr-FR"/>
        </w:rPr>
        <w:lastRenderedPageBreak/>
        <w:tab/>
        <w:t>Remplacer « L’intensité de rayonnement » par « Le débit de dose ».</w:t>
      </w:r>
    </w:p>
    <w:p w:rsidR="00267DA7" w:rsidRPr="00CE70CB" w:rsidRDefault="00267DA7" w:rsidP="00267DA7">
      <w:pPr>
        <w:pStyle w:val="SingleTxtG"/>
        <w:tabs>
          <w:tab w:val="left" w:pos="2268"/>
        </w:tabs>
        <w:ind w:left="2259" w:hanging="1125"/>
        <w:rPr>
          <w:szCs w:val="24"/>
          <w:lang w:val="fr-FR"/>
        </w:rPr>
      </w:pPr>
      <w:r w:rsidRPr="00CE70CB">
        <w:rPr>
          <w:lang w:val="fr-FR"/>
        </w:rPr>
        <w:t xml:space="preserve">2.2.7.2.3.5 </w:t>
      </w:r>
      <w:r w:rsidRPr="00CE70CB">
        <w:rPr>
          <w:szCs w:val="24"/>
          <w:lang w:val="fr-FR"/>
        </w:rPr>
        <w:t>e)</w:t>
      </w:r>
      <w:r w:rsidRPr="00CE70CB">
        <w:rPr>
          <w:szCs w:val="24"/>
          <w:lang w:val="fr-FR"/>
        </w:rPr>
        <w:tab/>
        <w:t>Remplacer « limites prévues au » par « prescriptions du ».</w:t>
      </w:r>
    </w:p>
    <w:p w:rsidR="00267DA7" w:rsidRPr="00CE70CB" w:rsidRDefault="00267DA7" w:rsidP="00267DA7">
      <w:pPr>
        <w:pStyle w:val="SingleTxtG"/>
        <w:tabs>
          <w:tab w:val="left" w:pos="2268"/>
        </w:tabs>
        <w:ind w:left="2259" w:hanging="1125"/>
        <w:rPr>
          <w:szCs w:val="24"/>
          <w:lang w:val="fr-FR"/>
        </w:rPr>
      </w:pPr>
      <w:r w:rsidRPr="00CE70CB">
        <w:rPr>
          <w:lang w:val="fr-FR" w:eastAsia="en-GB"/>
        </w:rPr>
        <w:t>2.2.7.2.3.6</w:t>
      </w:r>
      <w:r w:rsidRPr="00CE70CB">
        <w:rPr>
          <w:szCs w:val="24"/>
          <w:lang w:val="fr-FR"/>
        </w:rPr>
        <w:tab/>
        <w:t>L’amendement est sans objet en français.</w:t>
      </w:r>
    </w:p>
    <w:p w:rsidR="00267DA7" w:rsidRPr="00CE70CB" w:rsidRDefault="00267DA7" w:rsidP="00267DA7">
      <w:pPr>
        <w:pStyle w:val="SingleTxtG"/>
        <w:tabs>
          <w:tab w:val="left" w:pos="2268"/>
        </w:tabs>
        <w:ind w:left="2259" w:hanging="1125"/>
        <w:rPr>
          <w:szCs w:val="24"/>
          <w:lang w:val="fr-FR"/>
        </w:rPr>
      </w:pPr>
      <w:r w:rsidRPr="00CE70CB">
        <w:rPr>
          <w:lang w:val="fr-FR"/>
        </w:rPr>
        <w:t>2.2.7.2.4.1.2</w:t>
      </w:r>
      <w:r w:rsidRPr="00CE70CB">
        <w:rPr>
          <w:szCs w:val="24"/>
          <w:lang w:val="fr-FR"/>
        </w:rPr>
        <w:tab/>
        <w:t>Remplacer « l’intensité de rayonnement » par « le débit de dose ».</w:t>
      </w:r>
    </w:p>
    <w:p w:rsidR="00267DA7" w:rsidRPr="00CE70CB" w:rsidRDefault="00267DA7" w:rsidP="00793299">
      <w:pPr>
        <w:pStyle w:val="SingleTxtG"/>
        <w:tabs>
          <w:tab w:val="left" w:pos="2268"/>
        </w:tabs>
        <w:ind w:left="2259" w:hanging="1125"/>
        <w:rPr>
          <w:szCs w:val="24"/>
          <w:lang w:val="fr-FR"/>
        </w:rPr>
      </w:pPr>
      <w:bookmarkStart w:id="54" w:name="_Hlk31029972"/>
      <w:r w:rsidRPr="00CE70CB">
        <w:rPr>
          <w:lang w:val="fr-FR"/>
        </w:rPr>
        <w:t>2.2.7.2.4.1.3</w:t>
      </w:r>
      <w:r w:rsidRPr="00CE70CB">
        <w:rPr>
          <w:szCs w:val="24"/>
          <w:lang w:val="fr-FR"/>
        </w:rPr>
        <w:t xml:space="preserve"> </w:t>
      </w:r>
      <w:r w:rsidR="00D559D1" w:rsidRPr="00CE70CB">
        <w:rPr>
          <w:szCs w:val="24"/>
          <w:lang w:val="fr-FR"/>
        </w:rPr>
        <w:tab/>
        <w:t xml:space="preserve">À l’alinéa </w:t>
      </w:r>
      <w:r w:rsidRPr="00CE70CB">
        <w:rPr>
          <w:szCs w:val="24"/>
          <w:lang w:val="fr-FR"/>
        </w:rPr>
        <w:t>a)</w:t>
      </w:r>
      <w:r w:rsidR="00D559D1" w:rsidRPr="00CE70CB">
        <w:rPr>
          <w:szCs w:val="24"/>
          <w:lang w:val="fr-FR"/>
        </w:rPr>
        <w:t>, r</w:t>
      </w:r>
      <w:r w:rsidRPr="00CE70CB">
        <w:rPr>
          <w:szCs w:val="24"/>
          <w:lang w:val="fr-FR"/>
        </w:rPr>
        <w:t>emplacer « L’intensité de rayonnement » par « Le débit de dose » et remplacer « supérieure » par « supérieur ».</w:t>
      </w:r>
      <w:r w:rsidR="00D559D1" w:rsidRPr="00CE70CB">
        <w:rPr>
          <w:szCs w:val="24"/>
          <w:lang w:val="fr-FR"/>
        </w:rPr>
        <w:t xml:space="preserve"> À l’alinéa </w:t>
      </w:r>
      <w:r w:rsidRPr="00CE70CB">
        <w:rPr>
          <w:szCs w:val="24"/>
          <w:lang w:val="fr-FR"/>
        </w:rPr>
        <w:t xml:space="preserve">c), à la fin, supprimer « et ». </w:t>
      </w:r>
      <w:r w:rsidR="008A3A9C" w:rsidRPr="00CE70CB">
        <w:rPr>
          <w:szCs w:val="24"/>
          <w:lang w:val="fr-FR"/>
        </w:rPr>
        <w:t>Dans l’alinéa d), remplacer « sont » par « soient »</w:t>
      </w:r>
      <w:r w:rsidR="00132675" w:rsidRPr="00CE70CB">
        <w:rPr>
          <w:szCs w:val="24"/>
          <w:lang w:val="fr-FR"/>
        </w:rPr>
        <w:t xml:space="preserve"> et, à</w:t>
      </w:r>
      <w:r w:rsidRPr="00CE70CB">
        <w:rPr>
          <w:szCs w:val="24"/>
          <w:lang w:val="fr-FR"/>
        </w:rPr>
        <w:t xml:space="preserve"> la fin, remplacer « . » par « ; ». Ajouter les nouveaux alinéas e) et f) suivants :</w:t>
      </w:r>
    </w:p>
    <w:p w:rsidR="00267DA7" w:rsidRPr="00CE70CB" w:rsidRDefault="00267DA7" w:rsidP="00267DA7">
      <w:pPr>
        <w:pStyle w:val="SingleTxtG"/>
        <w:tabs>
          <w:tab w:val="left" w:pos="2268"/>
        </w:tabs>
        <w:ind w:firstLine="1134"/>
        <w:rPr>
          <w:szCs w:val="24"/>
          <w:lang w:val="fr-FR"/>
        </w:rPr>
      </w:pPr>
      <w:r w:rsidRPr="00CE70CB">
        <w:rPr>
          <w:szCs w:val="24"/>
          <w:lang w:val="fr-FR"/>
        </w:rPr>
        <w:t>« </w:t>
      </w:r>
      <w:bookmarkStart w:id="55" w:name="_Hlk2258786"/>
      <w:r w:rsidRPr="00CE70CB">
        <w:rPr>
          <w:szCs w:val="24"/>
          <w:lang w:val="fr-FR"/>
        </w:rPr>
        <w:t>e)</w:t>
      </w:r>
      <w:r w:rsidRPr="00CE70CB">
        <w:rPr>
          <w:szCs w:val="24"/>
          <w:lang w:val="fr-FR"/>
        </w:rPr>
        <w:tab/>
      </w:r>
      <w:r w:rsidRPr="00CE70CB">
        <w:rPr>
          <w:i/>
          <w:iCs/>
          <w:szCs w:val="24"/>
          <w:lang w:val="fr-FR"/>
        </w:rPr>
        <w:t>(Réservé)</w:t>
      </w:r>
      <w:r w:rsidRPr="00CE70CB">
        <w:rPr>
          <w:szCs w:val="24"/>
          <w:lang w:val="fr-FR"/>
        </w:rPr>
        <w:t> ;</w:t>
      </w:r>
    </w:p>
    <w:p w:rsidR="00267DA7" w:rsidRPr="00CE70CB" w:rsidRDefault="00267DA7" w:rsidP="00267DA7">
      <w:pPr>
        <w:pStyle w:val="SingleTxtG"/>
        <w:tabs>
          <w:tab w:val="left" w:pos="2268"/>
        </w:tabs>
        <w:ind w:left="2268"/>
        <w:rPr>
          <w:szCs w:val="24"/>
          <w:lang w:val="fr-FR"/>
        </w:rPr>
      </w:pPr>
      <w:r w:rsidRPr="00CE70CB">
        <w:rPr>
          <w:szCs w:val="24"/>
          <w:lang w:val="fr-FR"/>
        </w:rPr>
        <w:t>f)</w:t>
      </w:r>
      <w:r w:rsidRPr="00CE70CB">
        <w:rPr>
          <w:szCs w:val="24"/>
          <w:lang w:val="fr-FR"/>
        </w:rPr>
        <w:tab/>
        <w:t>Si le colis contient des matières fissiles, l’une des dispositions du 2.2.7.2.3.5 a) à f) soit satisfaite. </w:t>
      </w:r>
      <w:bookmarkEnd w:id="55"/>
      <w:r w:rsidRPr="00CE70CB">
        <w:rPr>
          <w:szCs w:val="24"/>
          <w:lang w:val="fr-FR"/>
        </w:rPr>
        <w:t>»</w:t>
      </w:r>
    </w:p>
    <w:bookmarkEnd w:id="54"/>
    <w:p w:rsidR="00267DA7" w:rsidRPr="00CE70CB" w:rsidRDefault="00267DA7" w:rsidP="00267DA7">
      <w:pPr>
        <w:pStyle w:val="SingleTxtG"/>
        <w:tabs>
          <w:tab w:val="left" w:pos="2268"/>
        </w:tabs>
        <w:ind w:left="2259" w:hanging="1125"/>
        <w:rPr>
          <w:szCs w:val="24"/>
          <w:lang w:val="fr-FR"/>
        </w:rPr>
      </w:pPr>
      <w:r w:rsidRPr="00CE70CB">
        <w:rPr>
          <w:lang w:val="fr-FR"/>
        </w:rPr>
        <w:t>2.2.7.2.4.1.4</w:t>
      </w:r>
      <w:r w:rsidRPr="00CE70CB">
        <w:rPr>
          <w:szCs w:val="24"/>
          <w:lang w:val="fr-FR"/>
        </w:rPr>
        <w:t xml:space="preserve"> </w:t>
      </w:r>
      <w:r w:rsidRPr="00CE70CB">
        <w:rPr>
          <w:szCs w:val="24"/>
          <w:lang w:val="fr-FR"/>
        </w:rPr>
        <w:tab/>
        <w:t>À la fin du a), supprimer « et ». À la fin de l’alinéa b) ii), remplacer « . » par « ; et ». Ajouter le nouvel alinéa c) suivant :</w:t>
      </w:r>
    </w:p>
    <w:p w:rsidR="00267DA7" w:rsidRPr="00CE70CB" w:rsidRDefault="00267DA7" w:rsidP="00267DA7">
      <w:pPr>
        <w:pStyle w:val="SingleTxtG"/>
        <w:tabs>
          <w:tab w:val="left" w:pos="2268"/>
        </w:tabs>
        <w:ind w:left="2268"/>
        <w:rPr>
          <w:szCs w:val="24"/>
          <w:lang w:val="fr-FR"/>
        </w:rPr>
      </w:pPr>
      <w:r w:rsidRPr="00CE70CB">
        <w:rPr>
          <w:szCs w:val="24"/>
          <w:lang w:val="fr-FR"/>
        </w:rPr>
        <w:t>« </w:t>
      </w:r>
      <w:bookmarkStart w:id="56" w:name="_Hlk2258870"/>
      <w:r w:rsidRPr="00CE70CB">
        <w:rPr>
          <w:szCs w:val="24"/>
          <w:lang w:val="fr-FR"/>
        </w:rPr>
        <w:t xml:space="preserve">c) </w:t>
      </w:r>
      <w:r w:rsidRPr="00CE70CB">
        <w:rPr>
          <w:szCs w:val="24"/>
          <w:lang w:val="fr-FR"/>
        </w:rPr>
        <w:tab/>
        <w:t xml:space="preserve">Si le colis contient des matières fissiles, </w:t>
      </w:r>
      <w:bookmarkStart w:id="57" w:name="_Hlk19637631"/>
      <w:r w:rsidRPr="00CE70CB">
        <w:rPr>
          <w:szCs w:val="24"/>
          <w:lang w:val="fr-FR"/>
        </w:rPr>
        <w:t>l’une des dispositions du 2.2.7.2.3.5 a) à f) soit satisfaite</w:t>
      </w:r>
      <w:bookmarkEnd w:id="57"/>
      <w:r w:rsidRPr="00CE70CB">
        <w:rPr>
          <w:szCs w:val="24"/>
          <w:lang w:val="fr-FR"/>
        </w:rPr>
        <w:t>.</w:t>
      </w:r>
      <w:bookmarkEnd w:id="56"/>
      <w:r w:rsidRPr="00CE70CB">
        <w:rPr>
          <w:szCs w:val="24"/>
          <w:lang w:val="fr-FR"/>
        </w:rPr>
        <w:t> »</w:t>
      </w:r>
    </w:p>
    <w:p w:rsidR="00267DA7" w:rsidRPr="00CE70CB" w:rsidRDefault="00267DA7" w:rsidP="00267DA7">
      <w:pPr>
        <w:pStyle w:val="SingleTxtG"/>
        <w:tabs>
          <w:tab w:val="left" w:pos="2268"/>
        </w:tabs>
        <w:ind w:left="2259" w:hanging="1125"/>
        <w:rPr>
          <w:szCs w:val="24"/>
          <w:lang w:val="fr-FR"/>
        </w:rPr>
      </w:pPr>
      <w:r w:rsidRPr="00CE70CB">
        <w:rPr>
          <w:lang w:val="fr-FR" w:eastAsia="en-GB"/>
        </w:rPr>
        <w:t>2.2.7.2.4.1.7</w:t>
      </w:r>
      <w:r w:rsidRPr="00CE70CB">
        <w:rPr>
          <w:szCs w:val="24"/>
          <w:lang w:val="fr-FR"/>
        </w:rPr>
        <w:tab/>
        <w:t>À la fin du c) ii), supprimer « et ». À la fin de l’alinéa d), remplacer « . » par « ; et ». Ajouter le nouvel alinéa e) suivant :</w:t>
      </w:r>
    </w:p>
    <w:p w:rsidR="00267DA7" w:rsidRPr="00CE70CB" w:rsidRDefault="00267DA7" w:rsidP="00267DA7">
      <w:pPr>
        <w:pStyle w:val="SingleTxtG"/>
        <w:tabs>
          <w:tab w:val="left" w:pos="2268"/>
        </w:tabs>
        <w:ind w:left="2268"/>
        <w:rPr>
          <w:szCs w:val="24"/>
          <w:lang w:val="fr-FR"/>
        </w:rPr>
      </w:pPr>
      <w:r w:rsidRPr="00CE70CB">
        <w:rPr>
          <w:szCs w:val="24"/>
          <w:lang w:val="fr-FR"/>
        </w:rPr>
        <w:t>« </w:t>
      </w:r>
      <w:bookmarkStart w:id="58" w:name="_Hlk2258950"/>
      <w:r w:rsidRPr="00CE70CB">
        <w:rPr>
          <w:szCs w:val="24"/>
          <w:lang w:val="fr-FR"/>
        </w:rPr>
        <w:t>e)</w:t>
      </w:r>
      <w:r w:rsidRPr="00CE70CB">
        <w:rPr>
          <w:szCs w:val="24"/>
          <w:lang w:val="fr-FR"/>
        </w:rPr>
        <w:tab/>
        <w:t xml:space="preserve">Si le colis a contenu des matières fissiles, </w:t>
      </w:r>
      <w:bookmarkStart w:id="59" w:name="_Hlk19637680"/>
      <w:r w:rsidRPr="00CE70CB">
        <w:rPr>
          <w:szCs w:val="24"/>
          <w:lang w:val="fr-FR"/>
        </w:rPr>
        <w:t>l’une des dispositions du 2.2.7.2.3.5 a) à f) soit satisfaite ou l’une des dispositions d’exclusion du 2.2.7.1.3 soit satisfaite.</w:t>
      </w:r>
      <w:bookmarkEnd w:id="59"/>
      <w:r w:rsidRPr="00CE70CB">
        <w:rPr>
          <w:szCs w:val="24"/>
          <w:lang w:val="fr-FR"/>
        </w:rPr>
        <w:t> </w:t>
      </w:r>
      <w:bookmarkEnd w:id="58"/>
      <w:r w:rsidRPr="00CE70CB">
        <w:rPr>
          <w:szCs w:val="24"/>
          <w:lang w:val="fr-FR"/>
        </w:rPr>
        <w:t>»</w:t>
      </w:r>
    </w:p>
    <w:p w:rsidR="00267DA7" w:rsidRPr="00CE70CB" w:rsidRDefault="00267DA7" w:rsidP="00267DA7">
      <w:pPr>
        <w:pStyle w:val="SingleTxtG"/>
        <w:rPr>
          <w:lang w:val="fr-FR"/>
        </w:rPr>
      </w:pPr>
      <w:r w:rsidRPr="00CE70CB">
        <w:rPr>
          <w:lang w:val="fr-FR"/>
        </w:rPr>
        <w:t>2.2.8, Nota</w:t>
      </w:r>
      <w:r w:rsidRPr="00CE70CB">
        <w:rPr>
          <w:lang w:val="fr-FR"/>
        </w:rPr>
        <w:tab/>
        <w:t>Remplacer « du présent Règlement » par « de l’ADR ».</w:t>
      </w:r>
    </w:p>
    <w:p w:rsidR="00267DA7" w:rsidRPr="00CE70CB" w:rsidRDefault="00267DA7" w:rsidP="00267DA7">
      <w:pPr>
        <w:pStyle w:val="SingleTxtG"/>
        <w:tabs>
          <w:tab w:val="left" w:pos="2268"/>
        </w:tabs>
        <w:ind w:left="2259" w:hanging="1125"/>
        <w:rPr>
          <w:lang w:val="fr-FR"/>
        </w:rPr>
      </w:pPr>
      <w:r w:rsidRPr="00CE70CB">
        <w:rPr>
          <w:lang w:val="fr-FR"/>
        </w:rPr>
        <w:t>2.2.8.1.1</w:t>
      </w:r>
      <w:r w:rsidRPr="00CE70CB">
        <w:rPr>
          <w:lang w:val="fr-FR"/>
        </w:rPr>
        <w:tab/>
        <w:t>Remplacer « engins de transport » par « matériels de transport ».</w:t>
      </w:r>
    </w:p>
    <w:p w:rsidR="00267DA7" w:rsidRPr="00CE70CB" w:rsidRDefault="00267DA7" w:rsidP="00267DA7">
      <w:pPr>
        <w:pStyle w:val="SingleTxtG"/>
        <w:tabs>
          <w:tab w:val="left" w:pos="2268"/>
        </w:tabs>
        <w:ind w:left="2259" w:hanging="1125"/>
        <w:rPr>
          <w:lang w:val="fr-FR"/>
        </w:rPr>
      </w:pPr>
      <w:bookmarkStart w:id="60" w:name="_Hlk31032229"/>
      <w:r w:rsidRPr="00CE70CB">
        <w:rPr>
          <w:lang w:val="fr-FR" w:eastAsia="en-GB"/>
        </w:rPr>
        <w:t>2.2.8.1.5.2</w:t>
      </w:r>
      <w:r w:rsidRPr="00CE70CB">
        <w:rPr>
          <w:lang w:val="fr-FR"/>
        </w:rPr>
        <w:tab/>
      </w:r>
      <w:r w:rsidRPr="00CE70CB">
        <w:rPr>
          <w:lang w:val="fr-FR"/>
        </w:rPr>
        <w:tab/>
        <w:t>La première modification est sans objet en français. Dans la deuxième phrase, remplacer « conformément à la Ligne directrice de l’OCDE 404</w:t>
      </w:r>
      <w:r w:rsidRPr="00CE70CB">
        <w:rPr>
          <w:vertAlign w:val="superscript"/>
          <w:lang w:val="fr-FR"/>
        </w:rPr>
        <w:t>5</w:t>
      </w:r>
      <w:r w:rsidRPr="00CE70CB">
        <w:rPr>
          <w:lang w:val="fr-FR"/>
        </w:rPr>
        <w:t>, ou 435</w:t>
      </w:r>
      <w:r w:rsidRPr="00CE70CB">
        <w:rPr>
          <w:vertAlign w:val="superscript"/>
          <w:lang w:val="fr-FR"/>
        </w:rPr>
        <w:t>6</w:t>
      </w:r>
      <w:r w:rsidRPr="00CE70CB">
        <w:rPr>
          <w:lang w:val="fr-FR"/>
        </w:rPr>
        <w:t> » par « </w:t>
      </w:r>
      <w:bookmarkStart w:id="61" w:name="_Hlk2259932"/>
      <w:r w:rsidRPr="00CE70CB">
        <w:rPr>
          <w:lang w:val="fr-FR"/>
        </w:rPr>
        <w:t>conformément aux Lignes directrices de l’OCDE</w:t>
      </w:r>
      <w:r w:rsidRPr="00CE70CB">
        <w:rPr>
          <w:vertAlign w:val="superscript"/>
          <w:lang w:val="fr-FR"/>
        </w:rPr>
        <w:t>6,7,8</w:t>
      </w:r>
      <w:r w:rsidR="008F5920" w:rsidRPr="00CE70CB">
        <w:rPr>
          <w:vertAlign w:val="superscript"/>
          <w:lang w:val="fr-FR"/>
        </w:rPr>
        <w:t>,9</w:t>
      </w:r>
      <w:r w:rsidRPr="00CE70CB">
        <w:rPr>
          <w:lang w:val="fr-FR"/>
        </w:rPr>
        <w:t>.</w:t>
      </w:r>
      <w:bookmarkEnd w:id="61"/>
      <w:r w:rsidRPr="00CE70CB">
        <w:rPr>
          <w:lang w:val="fr-FR"/>
        </w:rPr>
        <w:t xml:space="preserve"> ». </w:t>
      </w:r>
    </w:p>
    <w:p w:rsidR="00267DA7" w:rsidRPr="00CE70CB" w:rsidRDefault="00267DA7" w:rsidP="00267DA7">
      <w:pPr>
        <w:pStyle w:val="SingleTxtG"/>
        <w:tabs>
          <w:tab w:val="left" w:pos="2268"/>
        </w:tabs>
        <w:ind w:left="2259" w:hanging="1125"/>
        <w:rPr>
          <w:lang w:val="fr-FR"/>
        </w:rPr>
      </w:pPr>
      <w:r w:rsidRPr="00CE70CB">
        <w:rPr>
          <w:lang w:val="fr-FR"/>
        </w:rPr>
        <w:tab/>
        <w:t>Dans la troisième phrase, remplacer « à la Ligne directrice 430</w:t>
      </w:r>
      <w:r w:rsidRPr="00CE70CB">
        <w:rPr>
          <w:vertAlign w:val="superscript"/>
          <w:lang w:val="fr-FR"/>
        </w:rPr>
        <w:t xml:space="preserve">7 </w:t>
      </w:r>
      <w:r w:rsidRPr="00CE70CB">
        <w:rPr>
          <w:lang w:val="fr-FR"/>
        </w:rPr>
        <w:t>ou 431</w:t>
      </w:r>
      <w:r w:rsidRPr="00CE70CB">
        <w:rPr>
          <w:vertAlign w:val="superscript"/>
          <w:lang w:val="fr-FR"/>
        </w:rPr>
        <w:t>8</w:t>
      </w:r>
      <w:r w:rsidRPr="00CE70CB">
        <w:rPr>
          <w:lang w:val="fr-FR"/>
        </w:rPr>
        <w:t> </w:t>
      </w:r>
      <w:r w:rsidR="00680C13" w:rsidRPr="00CE70CB">
        <w:rPr>
          <w:lang w:val="fr-FR"/>
        </w:rPr>
        <w:t>de l’OCDE </w:t>
      </w:r>
      <w:r w:rsidRPr="00CE70CB">
        <w:rPr>
          <w:lang w:val="fr-FR"/>
        </w:rPr>
        <w:t>» par « </w:t>
      </w:r>
      <w:bookmarkStart w:id="62" w:name="_Hlk2260120"/>
      <w:r w:rsidRPr="00CE70CB">
        <w:rPr>
          <w:lang w:val="fr-FR"/>
        </w:rPr>
        <w:t>aux Lignes directrices de l’OCDE</w:t>
      </w:r>
      <w:r w:rsidRPr="00CE70CB">
        <w:rPr>
          <w:vertAlign w:val="superscript"/>
          <w:lang w:val="fr-FR"/>
        </w:rPr>
        <w:t>6,7,8</w:t>
      </w:r>
      <w:r w:rsidR="008F5920" w:rsidRPr="00CE70CB">
        <w:rPr>
          <w:vertAlign w:val="superscript"/>
          <w:lang w:val="fr-FR"/>
        </w:rPr>
        <w:t>,9</w:t>
      </w:r>
      <w:r w:rsidRPr="00CE70CB">
        <w:rPr>
          <w:lang w:val="fr-FR"/>
        </w:rPr>
        <w:t> </w:t>
      </w:r>
      <w:bookmarkEnd w:id="62"/>
      <w:r w:rsidRPr="00CE70CB">
        <w:rPr>
          <w:lang w:val="fr-FR"/>
        </w:rPr>
        <w:t xml:space="preserve">». </w:t>
      </w:r>
    </w:p>
    <w:p w:rsidR="00267DA7" w:rsidRPr="00CE70CB" w:rsidRDefault="00267DA7" w:rsidP="00267DA7">
      <w:pPr>
        <w:pStyle w:val="SingleTxtG"/>
        <w:tabs>
          <w:tab w:val="left" w:pos="2268"/>
        </w:tabs>
        <w:ind w:left="2259" w:hanging="1125"/>
        <w:rPr>
          <w:lang w:val="fr-FR"/>
        </w:rPr>
      </w:pPr>
      <w:r w:rsidRPr="00CE70CB">
        <w:rPr>
          <w:lang w:val="fr-FR"/>
        </w:rPr>
        <w:tab/>
      </w:r>
      <w:r w:rsidR="008F5920" w:rsidRPr="00CE70CB">
        <w:rPr>
          <w:lang w:val="fr-FR"/>
        </w:rPr>
        <w:t>Renuméroter les notes de bas de page 5 et 6 en tant que notes de bas de page 6 et 7. N</w:t>
      </w:r>
      <w:r w:rsidRPr="00CE70CB">
        <w:rPr>
          <w:lang w:val="fr-FR"/>
        </w:rPr>
        <w:t xml:space="preserve">uméroter la note de bas de page 7 actuelle en tant que note de bas de page </w:t>
      </w:r>
      <w:r w:rsidR="008F5920" w:rsidRPr="00CE70CB">
        <w:rPr>
          <w:lang w:val="fr-FR"/>
        </w:rPr>
        <w:t>9</w:t>
      </w:r>
      <w:r w:rsidRPr="00CE70CB">
        <w:rPr>
          <w:lang w:val="fr-FR"/>
        </w:rPr>
        <w:t xml:space="preserve">.  La deuxième modification à cette note de bas de page est sans objet en français. </w:t>
      </w:r>
    </w:p>
    <w:p w:rsidR="008F5920" w:rsidRPr="00CE70CB" w:rsidRDefault="00267DA7">
      <w:pPr>
        <w:pStyle w:val="SingleTxtG"/>
        <w:tabs>
          <w:tab w:val="left" w:pos="2268"/>
        </w:tabs>
        <w:ind w:left="2259" w:hanging="1125"/>
        <w:rPr>
          <w:lang w:val="fr-FR"/>
        </w:rPr>
      </w:pPr>
      <w:r w:rsidRPr="00CE70CB">
        <w:rPr>
          <w:lang w:val="fr-FR"/>
        </w:rPr>
        <w:tab/>
      </w:r>
      <w:r w:rsidR="008F5920" w:rsidRPr="00CE70CB">
        <w:rPr>
          <w:lang w:val="fr-FR"/>
        </w:rPr>
        <w:t xml:space="preserve">Modifier </w:t>
      </w:r>
      <w:r w:rsidRPr="00CE70CB">
        <w:rPr>
          <w:lang w:val="fr-FR"/>
        </w:rPr>
        <w:t xml:space="preserve">la note de bas de page </w:t>
      </w:r>
      <w:r w:rsidR="008F5920" w:rsidRPr="00CE70CB">
        <w:rPr>
          <w:lang w:val="fr-FR"/>
        </w:rPr>
        <w:t xml:space="preserve">8 </w:t>
      </w:r>
      <w:r w:rsidRPr="00CE70CB">
        <w:rPr>
          <w:lang w:val="fr-FR"/>
        </w:rPr>
        <w:t>pour lire comme suit : « </w:t>
      </w:r>
      <w:bookmarkStart w:id="63" w:name="_Hlk2260170"/>
      <w:r w:rsidR="008F5920" w:rsidRPr="00CE70CB">
        <w:rPr>
          <w:vertAlign w:val="superscript"/>
          <w:lang w:val="fr-FR"/>
        </w:rPr>
        <w:t>8</w:t>
      </w:r>
      <w:r w:rsidR="008F5920" w:rsidRPr="00CE70CB">
        <w:rPr>
          <w:lang w:val="fr-FR"/>
        </w:rPr>
        <w:t xml:space="preserve"> </w:t>
      </w:r>
      <w:r w:rsidRPr="00CE70CB">
        <w:rPr>
          <w:i/>
          <w:iCs/>
          <w:lang w:val="fr-FR"/>
        </w:rPr>
        <w:t>Ligne directrice de l’OCDE pour les essais de produits chimiques n° 431 “Corrosion cutanée in vitro : essai sur modèle de peau humaine”, 2016. </w:t>
      </w:r>
      <w:bookmarkEnd w:id="63"/>
      <w:r w:rsidRPr="00CE70CB">
        <w:rPr>
          <w:lang w:val="fr-FR"/>
        </w:rPr>
        <w:t xml:space="preserve">». </w:t>
      </w:r>
    </w:p>
    <w:p w:rsidR="00267DA7" w:rsidRPr="00CE70CB" w:rsidRDefault="00267DA7" w:rsidP="00267DA7">
      <w:pPr>
        <w:pStyle w:val="SingleTxtG"/>
        <w:tabs>
          <w:tab w:val="left" w:pos="2268"/>
        </w:tabs>
        <w:ind w:left="2259" w:hanging="1125"/>
        <w:rPr>
          <w:lang w:val="fr-FR"/>
        </w:rPr>
      </w:pPr>
      <w:r w:rsidRPr="00CE70CB">
        <w:rPr>
          <w:lang w:val="fr-FR"/>
        </w:rPr>
        <w:tab/>
        <w:t>À la fin du paragraphe, ajouter la nouvelle phrase suivante : « </w:t>
      </w:r>
      <w:bookmarkStart w:id="64" w:name="_Hlk2264116"/>
      <w:r w:rsidRPr="00CE70CB">
        <w:rPr>
          <w:lang w:val="fr-FR"/>
        </w:rPr>
        <w:t xml:space="preserve">Lorsque les résultats de l’essai </w:t>
      </w:r>
      <w:r w:rsidRPr="00CE70CB">
        <w:rPr>
          <w:i/>
          <w:lang w:val="fr-FR"/>
        </w:rPr>
        <w:t>in vitro</w:t>
      </w:r>
      <w:r w:rsidRPr="00CE70CB">
        <w:rPr>
          <w:lang w:val="fr-FR"/>
        </w:rPr>
        <w:t xml:space="preserve"> indiquent que la matière est corrosive et non-affectée au groupe d’emballage I, mais que l’essai ne permet pas d’attribuer les matières soit au groupe II, soit au groupe III, on privilégiera le groupe d’emballage II. </w:t>
      </w:r>
      <w:bookmarkEnd w:id="64"/>
      <w:r w:rsidRPr="00CE70CB">
        <w:rPr>
          <w:lang w:val="fr-FR"/>
        </w:rPr>
        <w:t>».</w:t>
      </w:r>
    </w:p>
    <w:bookmarkEnd w:id="60"/>
    <w:p w:rsidR="00267DA7" w:rsidRPr="00CE70CB" w:rsidRDefault="00267DA7" w:rsidP="00267DA7">
      <w:pPr>
        <w:pStyle w:val="SingleTxtG"/>
        <w:tabs>
          <w:tab w:val="left" w:pos="2268"/>
        </w:tabs>
        <w:ind w:left="2259" w:hanging="1125"/>
        <w:rPr>
          <w:lang w:val="fr-FR"/>
        </w:rPr>
      </w:pPr>
      <w:r w:rsidRPr="00CE70CB">
        <w:rPr>
          <w:lang w:val="fr-FR"/>
        </w:rPr>
        <w:t>2.2.8.1.6.3.3</w:t>
      </w:r>
      <w:r w:rsidRPr="00CE70CB">
        <w:rPr>
          <w:lang w:val="fr-FR"/>
        </w:rPr>
        <w:tab/>
        <w:t>À la fin, ajouter la nouvelle phrase suivante : « Pour cette méthode de calcul, les limites de concentration génériques s’appliquent lorsque la valeur 1 % est utilisé dans la première étape pour l’évaluation des matières du groupe d’emballage I et puis 5 % est utilisé pour les étapes suivantes. ».</w:t>
      </w:r>
    </w:p>
    <w:p w:rsidR="00267DA7" w:rsidRPr="00CE70CB" w:rsidRDefault="00267DA7" w:rsidP="00267DA7">
      <w:pPr>
        <w:pStyle w:val="SingleTxtG"/>
        <w:tabs>
          <w:tab w:val="left" w:pos="2268"/>
        </w:tabs>
        <w:ind w:left="2259" w:hanging="1125"/>
        <w:rPr>
          <w:szCs w:val="24"/>
          <w:lang w:val="fr-FR"/>
        </w:rPr>
      </w:pPr>
      <w:r w:rsidRPr="00CE70CB">
        <w:rPr>
          <w:szCs w:val="24"/>
          <w:lang w:val="fr-FR"/>
        </w:rPr>
        <w:t>2.2.8.1.6.3.4</w:t>
      </w:r>
      <w:r w:rsidRPr="00CE70CB">
        <w:rPr>
          <w:szCs w:val="24"/>
          <w:lang w:val="fr-FR"/>
        </w:rPr>
        <w:tab/>
        <w:t>Supprimer la dernière phrase.</w:t>
      </w:r>
    </w:p>
    <w:p w:rsidR="008F5920" w:rsidRPr="00CE70CB" w:rsidRDefault="008F5920" w:rsidP="00267DA7">
      <w:pPr>
        <w:pStyle w:val="SingleTxtG"/>
        <w:tabs>
          <w:tab w:val="left" w:pos="2268"/>
        </w:tabs>
        <w:ind w:left="2259" w:hanging="1125"/>
        <w:rPr>
          <w:lang w:val="fr-FR"/>
        </w:rPr>
      </w:pPr>
      <w:bookmarkStart w:id="65" w:name="_Hlk31032244"/>
      <w:r w:rsidRPr="00CE70CB">
        <w:rPr>
          <w:lang w:val="fr-FR"/>
        </w:rPr>
        <w:t>2.2.9</w:t>
      </w:r>
      <w:r w:rsidRPr="00CE70CB">
        <w:rPr>
          <w:lang w:val="fr-FR"/>
        </w:rPr>
        <w:tab/>
        <w:t>Renuméroter les notes de bas de page 9 à 15 de la section 2.2.9 en tant que notes de bas de page 10 à 16.</w:t>
      </w:r>
    </w:p>
    <w:bookmarkEnd w:id="65"/>
    <w:p w:rsidR="00267DA7" w:rsidRPr="00CE70CB" w:rsidRDefault="00267DA7" w:rsidP="00267DA7">
      <w:pPr>
        <w:pStyle w:val="SingleTxtG"/>
        <w:tabs>
          <w:tab w:val="left" w:pos="2268"/>
        </w:tabs>
        <w:ind w:left="2259" w:hanging="1125"/>
        <w:rPr>
          <w:lang w:val="fr-FR"/>
        </w:rPr>
      </w:pPr>
      <w:r w:rsidRPr="00CE70CB">
        <w:rPr>
          <w:lang w:val="fr-FR"/>
        </w:rPr>
        <w:t>2.2.9.1.10.6</w:t>
      </w:r>
      <w:r w:rsidRPr="00CE70CB">
        <w:rPr>
          <w:lang w:val="fr-FR"/>
        </w:rPr>
        <w:tab/>
        <w:t>Remplacer « non classés ailleurs dans l’ADR » par « ne satisfaisant aux critères de classement d’aucune autre classe ou d’aucune autre matière de la classe 9 ».</w:t>
      </w:r>
    </w:p>
    <w:p w:rsidR="00267DA7" w:rsidRPr="00CE70CB" w:rsidRDefault="00267DA7" w:rsidP="00267DA7">
      <w:pPr>
        <w:pStyle w:val="SingleTxtG"/>
        <w:tabs>
          <w:tab w:val="left" w:pos="2268"/>
        </w:tabs>
        <w:ind w:left="2259" w:hanging="1125"/>
        <w:rPr>
          <w:i/>
          <w:iCs/>
          <w:lang w:val="fr-FR"/>
        </w:rPr>
      </w:pPr>
      <w:bookmarkStart w:id="66" w:name="_Hlk31032257"/>
      <w:r w:rsidRPr="00CE70CB">
        <w:rPr>
          <w:lang w:val="fr-FR"/>
        </w:rPr>
        <w:lastRenderedPageBreak/>
        <w:t>2.2.9.1.14 Nota</w:t>
      </w:r>
      <w:r w:rsidRPr="00CE70CB">
        <w:rPr>
          <w:lang w:val="fr-FR"/>
        </w:rPr>
        <w:tab/>
        <w:t>Dans la note de bas de page 15</w:t>
      </w:r>
      <w:r w:rsidR="008F5920" w:rsidRPr="00CE70CB">
        <w:rPr>
          <w:lang w:val="fr-FR"/>
        </w:rPr>
        <w:t xml:space="preserve"> existante (renumérotée 16)</w:t>
      </w:r>
      <w:r w:rsidRPr="00CE70CB">
        <w:rPr>
          <w:lang w:val="fr-FR"/>
        </w:rPr>
        <w:t>, supprimer « utilisé en tant qu'agent de réfrigération ».</w:t>
      </w:r>
    </w:p>
    <w:bookmarkEnd w:id="66"/>
    <w:p w:rsidR="00267DA7" w:rsidRPr="00CE70CB" w:rsidRDefault="00267DA7" w:rsidP="00267DA7">
      <w:pPr>
        <w:pStyle w:val="SingleTxtG"/>
        <w:tabs>
          <w:tab w:val="left" w:pos="2268"/>
        </w:tabs>
        <w:ind w:left="2259" w:hanging="1125"/>
        <w:rPr>
          <w:lang w:val="fr-FR"/>
        </w:rPr>
      </w:pPr>
      <w:r w:rsidRPr="00CE70CB">
        <w:rPr>
          <w:lang w:val="fr-FR"/>
        </w:rPr>
        <w:t>2.2.9.3</w:t>
      </w:r>
      <w:r w:rsidRPr="00CE70CB">
        <w:rPr>
          <w:lang w:val="fr-FR"/>
        </w:rPr>
        <w:tab/>
        <w:t>Pour M11 « Autres matières et objets présentant un danger au cours du transport… », après « 3359 ENGIN DE TRANSPORT SOUS FUMIGATION » ajouter « </w:t>
      </w:r>
      <w:bookmarkStart w:id="67" w:name="_Hlk2264231"/>
      <w:r w:rsidRPr="00CE70CB">
        <w:rPr>
          <w:lang w:val="fr-FR"/>
        </w:rPr>
        <w:t>3363 MARCHANDISES DANGEREUSES CONTENUES DANS DES OBJETS ou </w:t>
      </w:r>
      <w:bookmarkEnd w:id="67"/>
      <w:r w:rsidRPr="00CE70CB">
        <w:rPr>
          <w:lang w:val="fr-FR"/>
        </w:rPr>
        <w:t>».</w:t>
      </w:r>
    </w:p>
    <w:p w:rsidR="00267DA7" w:rsidRPr="00CE70CB" w:rsidRDefault="00267DA7" w:rsidP="00267DA7">
      <w:pPr>
        <w:pStyle w:val="H23G"/>
        <w:rPr>
          <w:lang w:val="fr-FR"/>
        </w:rPr>
      </w:pPr>
      <w:r w:rsidRPr="00CE70CB">
        <w:rPr>
          <w:lang w:val="fr-FR"/>
        </w:rPr>
        <w:tab/>
      </w:r>
      <w:r w:rsidRPr="00CE70CB">
        <w:rPr>
          <w:lang w:val="fr-FR"/>
        </w:rPr>
        <w:tab/>
        <w:t>Chapitre 2.3</w:t>
      </w:r>
    </w:p>
    <w:p w:rsidR="00267DA7" w:rsidRPr="00CE70CB" w:rsidRDefault="00267DA7" w:rsidP="00267DA7">
      <w:pPr>
        <w:pStyle w:val="SingleTxtG"/>
        <w:rPr>
          <w:lang w:val="fr-FR"/>
        </w:rPr>
      </w:pPr>
      <w:r w:rsidRPr="00CE70CB">
        <w:rPr>
          <w:lang w:val="fr-FR"/>
        </w:rPr>
        <w:t>2.3.2</w:t>
      </w:r>
      <w:r w:rsidRPr="00CE70CB">
        <w:rPr>
          <w:lang w:val="fr-FR"/>
        </w:rPr>
        <w:tab/>
      </w:r>
      <w:r w:rsidRPr="00CE70CB">
        <w:rPr>
          <w:lang w:val="fr-FR"/>
        </w:rPr>
        <w:tab/>
        <w:t>Dans le titre, remplacer « classe 4.1 » par « classe 1 et classe 4.1 ».</w:t>
      </w:r>
    </w:p>
    <w:p w:rsidR="00267DA7" w:rsidRPr="00CE70CB" w:rsidRDefault="00267DA7" w:rsidP="00267DA7">
      <w:pPr>
        <w:pStyle w:val="SingleTxtG"/>
        <w:rPr>
          <w:lang w:val="fr-FR"/>
        </w:rPr>
      </w:pPr>
      <w:r w:rsidRPr="00CE70CB">
        <w:rPr>
          <w:lang w:val="fr-FR"/>
        </w:rPr>
        <w:t>2.3.2.1</w:t>
      </w:r>
      <w:r w:rsidRPr="00CE70CB">
        <w:rPr>
          <w:lang w:val="fr-FR"/>
        </w:rPr>
        <w:tab/>
      </w:r>
      <w:r w:rsidRPr="00CE70CB">
        <w:rPr>
          <w:lang w:val="fr-FR"/>
        </w:rPr>
        <w:tab/>
        <w:t>Modifier pour lire comme suit :</w:t>
      </w:r>
    </w:p>
    <w:p w:rsidR="00267DA7" w:rsidRPr="00CE70CB" w:rsidRDefault="00267DA7" w:rsidP="00267DA7">
      <w:pPr>
        <w:pStyle w:val="SingleTxtG"/>
        <w:tabs>
          <w:tab w:val="left" w:pos="2268"/>
        </w:tabs>
        <w:ind w:left="2259" w:hanging="1125"/>
        <w:rPr>
          <w:lang w:val="fr-FR"/>
        </w:rPr>
      </w:pPr>
      <w:r w:rsidRPr="00CE70CB">
        <w:rPr>
          <w:lang w:val="fr-FR"/>
        </w:rPr>
        <w:tab/>
        <w:t>« 2.3.2.1</w:t>
      </w:r>
      <w:r w:rsidRPr="00CE70CB">
        <w:rPr>
          <w:lang w:val="fr-FR"/>
        </w:rPr>
        <w:tab/>
        <w:t>Afin de déterminer les caractéristiques de la nitrocellulose, l’épreuve de Bergmann-Junk ou l’épreuve au violet de méthyle figurant à l’appendice 10 du Manuel d’épreuves et de critères doivent être effectuées (voir dispositions spéciales 393 et 394, chapitre 3.3). En cas de doute quant au fait que la température d’inflammation de la nitrocellulose soit nettement supérieure à 132 °C, dans le cas de l’épreuve de Bergmann-Junk, ou supérieure à 134,5 °C, dans le cas de l’épreuve au violet de méthyle, il convient de soumettre, au préalable, la matière à l’épreuve visant à déterminer la température d’inflammation spontanée décrite au 2.3.2.5. Si la température d’inflammation est supérieure à 180 °C pour les mélanges de nitrocellulose ou à 170 °C pour la nitrocellulose plastifiée, l’épreuve de Bergmann-Junk ou l’épreuve violet de méthyle peuvent être effectuées en toute sécurité. »</w:t>
      </w:r>
    </w:p>
    <w:p w:rsidR="00267DA7" w:rsidRPr="00CE70CB" w:rsidRDefault="00267DA7" w:rsidP="00267DA7">
      <w:pPr>
        <w:pStyle w:val="SingleTxtG"/>
        <w:rPr>
          <w:lang w:val="fr-FR"/>
        </w:rPr>
      </w:pPr>
      <w:r w:rsidRPr="00CE70CB">
        <w:rPr>
          <w:lang w:val="fr-FR"/>
        </w:rPr>
        <w:t>2.3.2.2</w:t>
      </w:r>
      <w:r w:rsidRPr="00CE70CB">
        <w:rPr>
          <w:lang w:val="fr-FR"/>
        </w:rPr>
        <w:tab/>
      </w:r>
      <w:r w:rsidRPr="00CE70CB">
        <w:rPr>
          <w:lang w:val="fr-FR"/>
        </w:rPr>
        <w:tab/>
        <w:t>Supprimer.</w:t>
      </w:r>
    </w:p>
    <w:p w:rsidR="00267DA7" w:rsidRPr="00CE70CB" w:rsidRDefault="00267DA7" w:rsidP="00267DA7">
      <w:pPr>
        <w:pStyle w:val="SingleTxtG"/>
        <w:rPr>
          <w:lang w:val="fr-FR"/>
        </w:rPr>
      </w:pPr>
      <w:r w:rsidRPr="00CE70CB">
        <w:rPr>
          <w:lang w:val="fr-FR"/>
        </w:rPr>
        <w:t>2.3.2.3</w:t>
      </w:r>
      <w:r w:rsidRPr="00CE70CB">
        <w:rPr>
          <w:lang w:val="fr-FR"/>
        </w:rPr>
        <w:tab/>
      </w:r>
      <w:r w:rsidRPr="00CE70CB">
        <w:rPr>
          <w:lang w:val="fr-FR"/>
        </w:rPr>
        <w:tab/>
        <w:t>Supprimer.</w:t>
      </w:r>
    </w:p>
    <w:p w:rsidR="00267DA7" w:rsidRPr="00CE70CB" w:rsidRDefault="00267DA7" w:rsidP="00267DA7">
      <w:pPr>
        <w:pStyle w:val="SingleTxtG"/>
        <w:rPr>
          <w:lang w:val="fr-FR"/>
        </w:rPr>
      </w:pPr>
      <w:r w:rsidRPr="00CE70CB">
        <w:rPr>
          <w:lang w:val="fr-FR"/>
        </w:rPr>
        <w:t>2.3.2.4</w:t>
      </w:r>
      <w:r w:rsidRPr="00CE70CB">
        <w:rPr>
          <w:lang w:val="fr-FR"/>
        </w:rPr>
        <w:tab/>
      </w:r>
      <w:r w:rsidRPr="00CE70CB">
        <w:rPr>
          <w:lang w:val="fr-FR"/>
        </w:rPr>
        <w:tab/>
        <w:t>Supprimer.</w:t>
      </w:r>
    </w:p>
    <w:p w:rsidR="00267DA7" w:rsidRPr="00CE70CB" w:rsidRDefault="00267DA7" w:rsidP="00267DA7">
      <w:pPr>
        <w:pStyle w:val="SingleTxtG"/>
        <w:rPr>
          <w:lang w:val="fr-FR"/>
        </w:rPr>
      </w:pPr>
      <w:r w:rsidRPr="00CE70CB">
        <w:rPr>
          <w:lang w:val="fr-FR"/>
        </w:rPr>
        <w:t>2.3.2.5</w:t>
      </w:r>
      <w:r w:rsidRPr="00CE70CB">
        <w:rPr>
          <w:lang w:val="fr-FR"/>
        </w:rPr>
        <w:tab/>
      </w:r>
      <w:r w:rsidRPr="00CE70CB">
        <w:rPr>
          <w:lang w:val="fr-FR"/>
        </w:rPr>
        <w:tab/>
        <w:t>Supprimer.</w:t>
      </w:r>
    </w:p>
    <w:p w:rsidR="00267DA7" w:rsidRPr="00CE70CB" w:rsidRDefault="00267DA7" w:rsidP="00267DA7">
      <w:pPr>
        <w:pStyle w:val="SingleTxtG"/>
        <w:tabs>
          <w:tab w:val="left" w:pos="2268"/>
        </w:tabs>
        <w:ind w:left="2259" w:hanging="1125"/>
        <w:rPr>
          <w:lang w:val="fr-FR"/>
        </w:rPr>
      </w:pPr>
      <w:r w:rsidRPr="00CE70CB">
        <w:rPr>
          <w:lang w:val="fr-FR"/>
        </w:rPr>
        <w:t>2.3.2.6</w:t>
      </w:r>
      <w:r w:rsidRPr="00CE70CB">
        <w:rPr>
          <w:lang w:val="fr-FR"/>
        </w:rPr>
        <w:tab/>
      </w:r>
      <w:r w:rsidRPr="00CE70CB">
        <w:rPr>
          <w:lang w:val="fr-FR"/>
        </w:rPr>
        <w:tab/>
        <w:t xml:space="preserve">Le 2.3.2.6 devient le 2.3.2.2. Dans le texte, remplacer « </w:t>
      </w:r>
      <w:r w:rsidR="00D35960" w:rsidRPr="00CE70CB">
        <w:rPr>
          <w:lang w:val="fr-FR"/>
        </w:rPr>
        <w:t xml:space="preserve">des </w:t>
      </w:r>
      <w:r w:rsidRPr="00CE70CB">
        <w:rPr>
          <w:lang w:val="fr-FR"/>
        </w:rPr>
        <w:t>2.3.2.9 et 2.3.2.10</w:t>
      </w:r>
      <w:r w:rsidR="00D35960" w:rsidRPr="00CE70CB">
        <w:rPr>
          <w:lang w:val="fr-FR"/>
        </w:rPr>
        <w:t> </w:t>
      </w:r>
      <w:r w:rsidRPr="00CE70CB">
        <w:rPr>
          <w:lang w:val="fr-FR"/>
        </w:rPr>
        <w:t xml:space="preserve">» par « </w:t>
      </w:r>
      <w:r w:rsidR="00D35960" w:rsidRPr="00CE70CB">
        <w:rPr>
          <w:lang w:val="fr-FR"/>
        </w:rPr>
        <w:t xml:space="preserve">du </w:t>
      </w:r>
      <w:r w:rsidRPr="00CE70CB">
        <w:rPr>
          <w:lang w:val="fr-FR"/>
        </w:rPr>
        <w:t>2.3.2.5 ».</w:t>
      </w:r>
    </w:p>
    <w:p w:rsidR="00267DA7" w:rsidRPr="00CE70CB" w:rsidRDefault="00267DA7" w:rsidP="00267DA7">
      <w:pPr>
        <w:pStyle w:val="SingleTxtG"/>
        <w:tabs>
          <w:tab w:val="left" w:pos="2268"/>
        </w:tabs>
        <w:ind w:left="2259" w:hanging="1125"/>
        <w:rPr>
          <w:lang w:val="fr-FR"/>
        </w:rPr>
      </w:pPr>
      <w:r w:rsidRPr="00CE70CB">
        <w:rPr>
          <w:lang w:val="fr-FR"/>
        </w:rPr>
        <w:t>2.3.2.7</w:t>
      </w:r>
      <w:r w:rsidRPr="00CE70CB">
        <w:rPr>
          <w:lang w:val="fr-FR"/>
        </w:rPr>
        <w:tab/>
      </w:r>
      <w:r w:rsidRPr="00CE70CB">
        <w:rPr>
          <w:lang w:val="fr-FR"/>
        </w:rPr>
        <w:tab/>
        <w:t>Le 2.3.2.7 devient le 2.3.2.3. Remplacer « Avant d’être séchées dans les conditions indiquées au 2.3.2.6 ci-dessus, les matières conformes au 2.3.2.2 ci-dessus sont</w:t>
      </w:r>
      <w:r w:rsidR="00D35960" w:rsidRPr="00CE70CB">
        <w:rPr>
          <w:lang w:val="fr-FR"/>
        </w:rPr>
        <w:t xml:space="preserve"> soumises</w:t>
      </w:r>
      <w:r w:rsidRPr="00CE70CB">
        <w:rPr>
          <w:lang w:val="fr-FR"/>
        </w:rPr>
        <w:t xml:space="preserve"> » par « </w:t>
      </w:r>
      <w:bookmarkStart w:id="68" w:name="_Hlk30778417"/>
      <w:r w:rsidRPr="00CE70CB">
        <w:rPr>
          <w:lang w:val="fr-FR"/>
        </w:rPr>
        <w:t>Avant d’être séchée dans les conditions indiquées au 2.3.2.2 ci-dessus, la nitrocellulose plastifiée est</w:t>
      </w:r>
      <w:bookmarkEnd w:id="68"/>
      <w:r w:rsidR="00D35960" w:rsidRPr="00CE70CB">
        <w:rPr>
          <w:lang w:val="fr-FR"/>
        </w:rPr>
        <w:t xml:space="preserve"> soumise</w:t>
      </w:r>
      <w:r w:rsidRPr="00CE70CB">
        <w:rPr>
          <w:lang w:val="fr-FR"/>
        </w:rPr>
        <w:t xml:space="preserve"> ».</w:t>
      </w:r>
    </w:p>
    <w:p w:rsidR="00267DA7" w:rsidRPr="00CE70CB" w:rsidRDefault="00267DA7" w:rsidP="00267DA7">
      <w:pPr>
        <w:pStyle w:val="SingleTxtG"/>
        <w:tabs>
          <w:tab w:val="left" w:pos="2268"/>
        </w:tabs>
        <w:ind w:left="2259" w:hanging="1125"/>
        <w:rPr>
          <w:lang w:val="fr-FR"/>
        </w:rPr>
      </w:pPr>
      <w:r w:rsidRPr="00CE70CB">
        <w:rPr>
          <w:lang w:val="fr-FR"/>
        </w:rPr>
        <w:t>2.3.2.8</w:t>
      </w:r>
      <w:r w:rsidRPr="00CE70CB">
        <w:rPr>
          <w:lang w:val="fr-FR"/>
        </w:rPr>
        <w:tab/>
      </w:r>
      <w:r w:rsidRPr="00CE70CB">
        <w:rPr>
          <w:lang w:val="fr-FR"/>
        </w:rPr>
        <w:tab/>
        <w:t xml:space="preserve">Le 2.3.2.8 devient le 2.3.2.4. Remplacer « La nitrocellulose faiblement nitrée conforme au 2.3.2.1 ci-dessus, subit d’abord un séchage préalable dans les conditions indiquées au 2.3.2.7 ci-dessus » par « </w:t>
      </w:r>
      <w:bookmarkStart w:id="69" w:name="_Hlk30778492"/>
      <w:r w:rsidRPr="00CE70CB">
        <w:rPr>
          <w:lang w:val="fr-FR"/>
        </w:rPr>
        <w:t>La nitrocellulose faiblement nitrée subit d’abord un séchage préalable dans les conditions indiquées au 2</w:t>
      </w:r>
      <w:r w:rsidR="00D35960" w:rsidRPr="00CE70CB">
        <w:rPr>
          <w:lang w:val="fr-FR"/>
        </w:rPr>
        <w:t>.</w:t>
      </w:r>
      <w:r w:rsidRPr="00CE70CB">
        <w:rPr>
          <w:lang w:val="fr-FR"/>
        </w:rPr>
        <w:t>3.2.3 ci-dessus</w:t>
      </w:r>
      <w:bookmarkEnd w:id="69"/>
      <w:r w:rsidRPr="00CE70CB">
        <w:rPr>
          <w:lang w:val="fr-FR"/>
        </w:rPr>
        <w:t xml:space="preserve"> ».</w:t>
      </w:r>
    </w:p>
    <w:p w:rsidR="00267DA7" w:rsidRPr="00CE70CB" w:rsidRDefault="00267DA7" w:rsidP="00267DA7">
      <w:pPr>
        <w:pStyle w:val="SingleTxtG"/>
        <w:rPr>
          <w:lang w:val="fr-FR"/>
        </w:rPr>
      </w:pPr>
      <w:r w:rsidRPr="00CE70CB">
        <w:rPr>
          <w:lang w:val="fr-FR"/>
        </w:rPr>
        <w:t>2.3.2.9</w:t>
      </w:r>
      <w:r w:rsidRPr="00CE70CB">
        <w:rPr>
          <w:lang w:val="fr-FR"/>
        </w:rPr>
        <w:tab/>
      </w:r>
      <w:r w:rsidRPr="00CE70CB">
        <w:rPr>
          <w:lang w:val="fr-FR"/>
        </w:rPr>
        <w:tab/>
        <w:t>Supprimer.</w:t>
      </w:r>
    </w:p>
    <w:p w:rsidR="00267DA7" w:rsidRPr="00CE70CB" w:rsidRDefault="00267DA7" w:rsidP="00267DA7">
      <w:pPr>
        <w:pStyle w:val="SingleTxtG"/>
        <w:rPr>
          <w:lang w:val="fr-FR"/>
        </w:rPr>
      </w:pPr>
      <w:bookmarkStart w:id="70" w:name="_Hlk30778672"/>
      <w:r w:rsidRPr="00CE70CB">
        <w:rPr>
          <w:lang w:val="fr-FR"/>
        </w:rPr>
        <w:t>2.3.2.10</w:t>
      </w:r>
      <w:r w:rsidRPr="00CE70CB">
        <w:rPr>
          <w:lang w:val="fr-FR"/>
        </w:rPr>
        <w:tab/>
        <w:t>Le 2.3.2.10 devient le 2.3.2.5.</w:t>
      </w:r>
      <w:r w:rsidR="00D35960" w:rsidRPr="00CE70CB">
        <w:rPr>
          <w:lang w:val="fr-FR"/>
        </w:rPr>
        <w:t xml:space="preserve"> Dans le titre, supprimer « et 2.3.2.2 ».</w:t>
      </w:r>
    </w:p>
    <w:bookmarkEnd w:id="70"/>
    <w:p w:rsidR="00267DA7" w:rsidRPr="00CE70CB" w:rsidRDefault="00267DA7" w:rsidP="00267DA7">
      <w:pPr>
        <w:pStyle w:val="H1G"/>
        <w:rPr>
          <w:lang w:val="fr-FR"/>
        </w:rPr>
      </w:pPr>
      <w:r w:rsidRPr="00CE70CB">
        <w:rPr>
          <w:lang w:val="fr-FR"/>
        </w:rPr>
        <w:tab/>
      </w:r>
      <w:r w:rsidRPr="00CE70CB">
        <w:rPr>
          <w:lang w:val="fr-FR"/>
        </w:rPr>
        <w:tab/>
        <w:t>Chapitre 3.1</w:t>
      </w:r>
    </w:p>
    <w:p w:rsidR="00267DA7" w:rsidRPr="00CE70CB" w:rsidRDefault="00267DA7" w:rsidP="00267DA7">
      <w:pPr>
        <w:pStyle w:val="SingleTxtG"/>
        <w:tabs>
          <w:tab w:val="left" w:pos="2268"/>
        </w:tabs>
        <w:ind w:left="2259" w:hanging="1125"/>
        <w:rPr>
          <w:lang w:val="fr-FR"/>
        </w:rPr>
      </w:pPr>
      <w:r w:rsidRPr="00CE70CB">
        <w:rPr>
          <w:lang w:val="fr-FR"/>
        </w:rPr>
        <w:t>3.1.2.8.1.4</w:t>
      </w:r>
      <w:r w:rsidRPr="00CE70CB">
        <w:rPr>
          <w:lang w:val="fr-FR"/>
        </w:rPr>
        <w:tab/>
        <w:t>Ajouter le nouveau paragraphe 3.1.2.8.1.4 suivant :</w:t>
      </w:r>
    </w:p>
    <w:p w:rsidR="00267DA7" w:rsidRPr="00CE70CB" w:rsidRDefault="00267DA7" w:rsidP="00267DA7">
      <w:pPr>
        <w:pStyle w:val="SingleTxtG"/>
        <w:tabs>
          <w:tab w:val="left" w:pos="2268"/>
        </w:tabs>
        <w:ind w:left="2259" w:hanging="1125"/>
        <w:rPr>
          <w:lang w:val="fr-FR"/>
        </w:rPr>
      </w:pPr>
      <w:r w:rsidRPr="00CE70CB">
        <w:rPr>
          <w:lang w:val="fr-FR"/>
        </w:rPr>
        <w:tab/>
        <w:t>« 3.1.2.8.1.4</w:t>
      </w:r>
      <w:r w:rsidRPr="00CE70CB">
        <w:rPr>
          <w:lang w:val="fr-FR"/>
        </w:rPr>
        <w:tab/>
        <w:t xml:space="preserve">Pour les Nos ONU 3077 et 3082 seulement, le nom technique peut être un nom figurant en lettres majuscules dans la colonne 2 du tableau A du chapitre 3.2, sous réserve que ce nom ne contienne pas « N.S.A. » et que la disposition spéciale 274 ne soit pas attribuée. Le nom qui décrit au mieux la substance ou le mélange doit être utilisé, par exemple : </w:t>
      </w:r>
    </w:p>
    <w:p w:rsidR="00267DA7" w:rsidRPr="00CE70CB" w:rsidRDefault="00267DA7" w:rsidP="00267DA7">
      <w:pPr>
        <w:pStyle w:val="SingleTxtG"/>
        <w:tabs>
          <w:tab w:val="left" w:pos="2268"/>
        </w:tabs>
        <w:ind w:left="2259" w:hanging="1125"/>
        <w:rPr>
          <w:lang w:val="fr-FR"/>
        </w:rPr>
      </w:pPr>
      <w:r w:rsidRPr="00CE70CB">
        <w:rPr>
          <w:lang w:val="fr-FR"/>
        </w:rPr>
        <w:tab/>
      </w:r>
      <w:r w:rsidRPr="00CE70CB">
        <w:rPr>
          <w:lang w:val="fr-FR"/>
        </w:rPr>
        <w:tab/>
        <w:t>UN 3082, MATIÈRE DANGEREUSE DU POINT DE VUE DE L’ENVIRONNEMENT, LIQUIDE, N.S.A (PEINTURE)</w:t>
      </w:r>
    </w:p>
    <w:p w:rsidR="00267DA7" w:rsidRPr="00CE70CB" w:rsidRDefault="00267DA7" w:rsidP="00267DA7">
      <w:pPr>
        <w:pStyle w:val="SingleTxtG"/>
        <w:tabs>
          <w:tab w:val="left" w:pos="2268"/>
        </w:tabs>
        <w:ind w:left="2259" w:hanging="1125"/>
        <w:rPr>
          <w:lang w:val="fr-FR"/>
        </w:rPr>
      </w:pPr>
      <w:r w:rsidRPr="00CE70CB">
        <w:rPr>
          <w:lang w:val="fr-FR"/>
        </w:rPr>
        <w:lastRenderedPageBreak/>
        <w:tab/>
        <w:t>UN 3082, MATIÈRE DANGEREUSE DU POINT DE VUE DE L’ENVIRONNEMENT, LIQUIDE, N.S.A (PRODUITS DE PARFUMERIE) »</w:t>
      </w:r>
    </w:p>
    <w:p w:rsidR="00267DA7" w:rsidRPr="00CE70CB" w:rsidRDefault="00267DA7" w:rsidP="00267DA7">
      <w:pPr>
        <w:pStyle w:val="H1G"/>
        <w:rPr>
          <w:lang w:val="fr-FR"/>
        </w:rPr>
      </w:pPr>
      <w:r w:rsidRPr="00CE70CB">
        <w:rPr>
          <w:lang w:val="fr-FR"/>
        </w:rPr>
        <w:tab/>
      </w:r>
      <w:r w:rsidRPr="00CE70CB">
        <w:rPr>
          <w:lang w:val="fr-FR"/>
        </w:rPr>
        <w:tab/>
        <w:t>Chapitre 3.2</w:t>
      </w:r>
      <w:r w:rsidRPr="00CE70CB">
        <w:rPr>
          <w:iCs/>
          <w:lang w:val="fr-FR"/>
        </w:rPr>
        <w:t>, tableau A</w:t>
      </w:r>
    </w:p>
    <w:p w:rsidR="00267DA7" w:rsidRPr="00CE70CB" w:rsidRDefault="00267DA7" w:rsidP="00267DA7">
      <w:pPr>
        <w:pStyle w:val="SingleTxtG"/>
        <w:tabs>
          <w:tab w:val="left" w:pos="2268"/>
        </w:tabs>
        <w:ind w:left="2259" w:hanging="1125"/>
        <w:rPr>
          <w:iCs/>
          <w:lang w:val="fr-FR"/>
        </w:rPr>
      </w:pPr>
      <w:r w:rsidRPr="00CE70CB">
        <w:rPr>
          <w:iCs/>
          <w:lang w:val="fr-FR"/>
        </w:rPr>
        <w:t>Insérer les nouvelles rubriques suivantes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6"/>
        <w:gridCol w:w="1275"/>
        <w:gridCol w:w="314"/>
        <w:gridCol w:w="364"/>
        <w:gridCol w:w="243"/>
        <w:gridCol w:w="840"/>
        <w:gridCol w:w="474"/>
        <w:gridCol w:w="314"/>
        <w:gridCol w:w="324"/>
        <w:gridCol w:w="483"/>
        <w:gridCol w:w="314"/>
        <w:gridCol w:w="680"/>
        <w:gridCol w:w="376"/>
        <w:gridCol w:w="928"/>
        <w:gridCol w:w="528"/>
        <w:gridCol w:w="324"/>
        <w:gridCol w:w="474"/>
        <w:gridCol w:w="464"/>
        <w:gridCol w:w="483"/>
      </w:tblGrid>
      <w:tr w:rsidR="00267DA7" w:rsidRPr="00CE70CB" w:rsidTr="00267DA7">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(1)</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(2)</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(3a)</w:t>
            </w:r>
          </w:p>
        </w:tc>
        <w:tc>
          <w:tcPr>
            <w:tcW w:w="189"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(3b)</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(4)</w:t>
            </w:r>
          </w:p>
        </w:tc>
        <w:tc>
          <w:tcPr>
            <w:tcW w:w="436"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(5)</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(6)</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(7a)</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(7b)</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(8)</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(9a)</w:t>
            </w:r>
          </w:p>
        </w:tc>
        <w:tc>
          <w:tcPr>
            <w:tcW w:w="353"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(9b)</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(10)-(14)</w:t>
            </w:r>
          </w:p>
        </w:tc>
        <w:tc>
          <w:tcPr>
            <w:tcW w:w="482"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(15)</w:t>
            </w:r>
          </w:p>
        </w:tc>
        <w:tc>
          <w:tcPr>
            <w:tcW w:w="274"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(16)</w:t>
            </w:r>
          </w:p>
        </w:tc>
        <w:tc>
          <w:tcPr>
            <w:tcW w:w="168"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(17)</w:t>
            </w:r>
          </w:p>
        </w:tc>
        <w:tc>
          <w:tcPr>
            <w:tcW w:w="246"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(18)</w:t>
            </w:r>
          </w:p>
        </w:tc>
        <w:tc>
          <w:tcPr>
            <w:tcW w:w="241"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(19)</w:t>
            </w:r>
          </w:p>
        </w:tc>
        <w:tc>
          <w:tcPr>
            <w:tcW w:w="251"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(20)</w:t>
            </w:r>
          </w:p>
        </w:tc>
      </w:tr>
      <w:tr w:rsidR="00267DA7" w:rsidRPr="00CE70CB" w:rsidTr="00267DA7">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0511</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rPr>
                <w:rFonts w:asciiTheme="majorBidi" w:hAnsiTheme="majorBidi" w:cstheme="majorBidi"/>
                <w:bCs/>
                <w:sz w:val="16"/>
                <w:szCs w:val="16"/>
                <w:lang w:val="fr-FR"/>
              </w:rPr>
            </w:pPr>
            <w:r w:rsidRPr="00CE70CB">
              <w:rPr>
                <w:sz w:val="16"/>
                <w:szCs w:val="16"/>
                <w:lang w:val="fr-FR"/>
              </w:rPr>
              <w:t>DÉTONATEURS de mine (de sautage) ÉLECTRONIQUE programmables</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1</w:t>
            </w:r>
          </w:p>
        </w:tc>
        <w:tc>
          <w:tcPr>
            <w:tcW w:w="189"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sz w:val="16"/>
                <w:szCs w:val="16"/>
                <w:lang w:val="fr-FR"/>
              </w:rPr>
              <w:t>1.1B</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p>
        </w:tc>
        <w:tc>
          <w:tcPr>
            <w:tcW w:w="436"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 xml:space="preserve">1 </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E0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sz w:val="16"/>
                <w:szCs w:val="16"/>
                <w:lang w:val="fr-FR"/>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p>
        </w:tc>
        <w:tc>
          <w:tcPr>
            <w:tcW w:w="353"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MP23</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p>
        </w:tc>
        <w:tc>
          <w:tcPr>
            <w:tcW w:w="482"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1</w:t>
            </w:r>
            <w:r w:rsidRPr="00CE70CB">
              <w:rPr>
                <w:rFonts w:asciiTheme="majorBidi" w:hAnsiTheme="majorBidi" w:cstheme="majorBidi"/>
                <w:bCs/>
                <w:iCs/>
                <w:sz w:val="16"/>
                <w:szCs w:val="16"/>
                <w:lang w:val="fr-FR"/>
              </w:rPr>
              <w:br/>
              <w:t>(B1000C)</w:t>
            </w:r>
          </w:p>
        </w:tc>
        <w:tc>
          <w:tcPr>
            <w:tcW w:w="274"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V2</w:t>
            </w:r>
          </w:p>
        </w:tc>
        <w:tc>
          <w:tcPr>
            <w:tcW w:w="168"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p>
        </w:tc>
        <w:tc>
          <w:tcPr>
            <w:tcW w:w="246"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CV1</w:t>
            </w:r>
            <w:r w:rsidRPr="00CE70CB">
              <w:rPr>
                <w:rFonts w:asciiTheme="majorBidi" w:hAnsiTheme="majorBidi" w:cstheme="majorBidi"/>
                <w:bCs/>
                <w:iCs/>
                <w:sz w:val="16"/>
                <w:szCs w:val="16"/>
                <w:lang w:val="fr-FR"/>
              </w:rPr>
              <w:br/>
              <w:t>CV2</w:t>
            </w:r>
            <w:r w:rsidRPr="00CE70CB">
              <w:rPr>
                <w:rFonts w:asciiTheme="majorBidi" w:hAnsiTheme="majorBidi" w:cstheme="majorBidi"/>
                <w:bCs/>
                <w:iCs/>
                <w:sz w:val="16"/>
                <w:szCs w:val="16"/>
                <w:lang w:val="fr-FR"/>
              </w:rPr>
              <w:br/>
              <w:t>CV3</w:t>
            </w:r>
          </w:p>
        </w:tc>
        <w:tc>
          <w:tcPr>
            <w:tcW w:w="241"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S1</w:t>
            </w:r>
          </w:p>
        </w:tc>
        <w:tc>
          <w:tcPr>
            <w:tcW w:w="251"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p>
        </w:tc>
      </w:tr>
      <w:tr w:rsidR="00267DA7" w:rsidRPr="00CE70CB" w:rsidTr="00267DA7">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0512</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rPr>
                <w:rFonts w:asciiTheme="majorBidi" w:hAnsiTheme="majorBidi" w:cstheme="majorBidi"/>
                <w:bCs/>
                <w:sz w:val="16"/>
                <w:szCs w:val="16"/>
                <w:lang w:val="fr-FR"/>
              </w:rPr>
            </w:pPr>
            <w:bookmarkStart w:id="71" w:name="_Hlk10536116"/>
            <w:r w:rsidRPr="00CE70CB">
              <w:rPr>
                <w:sz w:val="16"/>
                <w:szCs w:val="16"/>
                <w:lang w:val="fr-FR"/>
              </w:rPr>
              <w:t>DÉTONATEURS de mine (de sautage) ÉLECTRONIQUE programmables</w:t>
            </w:r>
            <w:bookmarkEnd w:id="71"/>
          </w:p>
        </w:tc>
        <w:tc>
          <w:tcPr>
            <w:tcW w:w="163"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1</w:t>
            </w:r>
          </w:p>
        </w:tc>
        <w:tc>
          <w:tcPr>
            <w:tcW w:w="189"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sz w:val="16"/>
                <w:szCs w:val="16"/>
                <w:lang w:val="fr-FR"/>
              </w:rPr>
              <w:t>1.4B</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p>
        </w:tc>
        <w:tc>
          <w:tcPr>
            <w:tcW w:w="436"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1.4</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E0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sz w:val="16"/>
                <w:szCs w:val="16"/>
                <w:lang w:val="fr-FR"/>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p>
        </w:tc>
        <w:tc>
          <w:tcPr>
            <w:tcW w:w="353"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MP23</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p>
        </w:tc>
        <w:tc>
          <w:tcPr>
            <w:tcW w:w="482"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2</w:t>
            </w:r>
            <w:r w:rsidRPr="00CE70CB">
              <w:rPr>
                <w:rFonts w:asciiTheme="majorBidi" w:hAnsiTheme="majorBidi" w:cstheme="majorBidi"/>
                <w:bCs/>
                <w:iCs/>
                <w:sz w:val="16"/>
                <w:szCs w:val="16"/>
                <w:lang w:val="fr-FR"/>
              </w:rPr>
              <w:br/>
              <w:t>(E)</w:t>
            </w:r>
          </w:p>
        </w:tc>
        <w:tc>
          <w:tcPr>
            <w:tcW w:w="274"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V2</w:t>
            </w:r>
          </w:p>
        </w:tc>
        <w:tc>
          <w:tcPr>
            <w:tcW w:w="168"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p>
        </w:tc>
        <w:tc>
          <w:tcPr>
            <w:tcW w:w="246"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CV1</w:t>
            </w:r>
            <w:r w:rsidRPr="00CE70CB">
              <w:rPr>
                <w:rFonts w:asciiTheme="majorBidi" w:hAnsiTheme="majorBidi" w:cstheme="majorBidi"/>
                <w:bCs/>
                <w:iCs/>
                <w:sz w:val="16"/>
                <w:szCs w:val="16"/>
                <w:lang w:val="fr-FR"/>
              </w:rPr>
              <w:br/>
              <w:t>CV2</w:t>
            </w:r>
            <w:r w:rsidRPr="00CE70CB">
              <w:rPr>
                <w:rFonts w:asciiTheme="majorBidi" w:hAnsiTheme="majorBidi" w:cstheme="majorBidi"/>
                <w:bCs/>
                <w:iCs/>
                <w:sz w:val="16"/>
                <w:szCs w:val="16"/>
                <w:lang w:val="fr-FR"/>
              </w:rPr>
              <w:br/>
              <w:t>CV3</w:t>
            </w:r>
          </w:p>
        </w:tc>
        <w:tc>
          <w:tcPr>
            <w:tcW w:w="241"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S1</w:t>
            </w:r>
          </w:p>
        </w:tc>
        <w:tc>
          <w:tcPr>
            <w:tcW w:w="251"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p>
        </w:tc>
      </w:tr>
      <w:tr w:rsidR="00267DA7" w:rsidRPr="00CE70CB" w:rsidTr="00267DA7">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0513</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rPr>
                <w:rFonts w:asciiTheme="majorBidi" w:hAnsiTheme="majorBidi" w:cstheme="majorBidi"/>
                <w:bCs/>
                <w:sz w:val="16"/>
                <w:szCs w:val="16"/>
                <w:lang w:val="fr-FR"/>
              </w:rPr>
            </w:pPr>
            <w:r w:rsidRPr="00CE70CB">
              <w:rPr>
                <w:sz w:val="16"/>
                <w:szCs w:val="16"/>
                <w:lang w:val="fr-FR"/>
              </w:rPr>
              <w:t>DÉTONATEURS de mine (de sautage) ÉLECTRONIQUE programmables</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1</w:t>
            </w:r>
          </w:p>
        </w:tc>
        <w:tc>
          <w:tcPr>
            <w:tcW w:w="189"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sz w:val="16"/>
                <w:szCs w:val="16"/>
                <w:lang w:val="fr-FR"/>
              </w:rPr>
              <w:t>1.4S</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p>
        </w:tc>
        <w:tc>
          <w:tcPr>
            <w:tcW w:w="436"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1.4</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sz w:val="16"/>
                <w:szCs w:val="16"/>
                <w:lang w:val="fr-FR"/>
              </w:rPr>
              <w:t>347</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E0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sz w:val="16"/>
                <w:szCs w:val="16"/>
                <w:lang w:val="fr-FR"/>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p>
        </w:tc>
        <w:tc>
          <w:tcPr>
            <w:tcW w:w="353"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MP23</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p>
        </w:tc>
        <w:tc>
          <w:tcPr>
            <w:tcW w:w="482"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4</w:t>
            </w:r>
            <w:r w:rsidRPr="00CE70CB">
              <w:rPr>
                <w:rFonts w:asciiTheme="majorBidi" w:hAnsiTheme="majorBidi" w:cstheme="majorBidi"/>
                <w:bCs/>
                <w:iCs/>
                <w:sz w:val="16"/>
                <w:szCs w:val="16"/>
                <w:lang w:val="fr-FR"/>
              </w:rPr>
              <w:br/>
              <w:t>(E)</w:t>
            </w:r>
          </w:p>
        </w:tc>
        <w:tc>
          <w:tcPr>
            <w:tcW w:w="274"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p>
        </w:tc>
        <w:tc>
          <w:tcPr>
            <w:tcW w:w="168"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p>
        </w:tc>
        <w:tc>
          <w:tcPr>
            <w:tcW w:w="246"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CV1</w:t>
            </w:r>
            <w:r w:rsidRPr="00CE70CB">
              <w:rPr>
                <w:rFonts w:asciiTheme="majorBidi" w:hAnsiTheme="majorBidi" w:cstheme="majorBidi"/>
                <w:bCs/>
                <w:iCs/>
                <w:sz w:val="16"/>
                <w:szCs w:val="16"/>
                <w:lang w:val="fr-FR"/>
              </w:rPr>
              <w:br/>
              <w:t>CV2</w:t>
            </w:r>
            <w:r w:rsidRPr="00CE70CB">
              <w:rPr>
                <w:rFonts w:asciiTheme="majorBidi" w:hAnsiTheme="majorBidi" w:cstheme="majorBidi"/>
                <w:bCs/>
                <w:iCs/>
                <w:sz w:val="16"/>
                <w:szCs w:val="16"/>
                <w:lang w:val="fr-FR"/>
              </w:rPr>
              <w:br/>
              <w:t>CV3</w:t>
            </w:r>
          </w:p>
        </w:tc>
        <w:tc>
          <w:tcPr>
            <w:tcW w:w="241"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S1</w:t>
            </w:r>
          </w:p>
        </w:tc>
        <w:tc>
          <w:tcPr>
            <w:tcW w:w="251"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p>
        </w:tc>
      </w:tr>
      <w:tr w:rsidR="00267DA7" w:rsidRPr="00CE70CB" w:rsidTr="00267DA7">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sz w:val="16"/>
                <w:szCs w:val="16"/>
                <w:lang w:val="fr-FR"/>
              </w:rPr>
              <w:t>3549</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rPr>
                <w:rFonts w:asciiTheme="majorBidi" w:hAnsiTheme="majorBidi" w:cstheme="majorBidi"/>
                <w:bCs/>
                <w:sz w:val="16"/>
                <w:szCs w:val="16"/>
                <w:lang w:val="fr-FR"/>
              </w:rPr>
            </w:pPr>
            <w:r w:rsidRPr="00CE70CB">
              <w:rPr>
                <w:sz w:val="16"/>
                <w:szCs w:val="16"/>
                <w:lang w:val="fr-FR"/>
              </w:rPr>
              <w:t xml:space="preserve">DÉCHETS MÉDICAUX </w:t>
            </w:r>
            <w:r w:rsidRPr="00CE70CB">
              <w:rPr>
                <w:sz w:val="16"/>
                <w:szCs w:val="16"/>
                <w:lang w:val="fr-FR"/>
              </w:rPr>
              <w:br/>
              <w:t>INFECTIEUX POUR L’HOMME, CATÉGORIE A, solides ou DÉCHETS MÉDICAUX INFECTIEUX POUR LES ANIMAUX uniquement, CATÉGORIE A, solides</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sz w:val="16"/>
                <w:szCs w:val="16"/>
                <w:lang w:val="fr-FR"/>
              </w:rPr>
              <w:t>6.2</w:t>
            </w:r>
          </w:p>
        </w:tc>
        <w:tc>
          <w:tcPr>
            <w:tcW w:w="189"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I3</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p>
        </w:tc>
        <w:tc>
          <w:tcPr>
            <w:tcW w:w="436"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6.2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sz w:val="16"/>
                <w:szCs w:val="16"/>
                <w:lang w:val="fr-FR"/>
              </w:rPr>
              <w:t>395</w:t>
            </w:r>
            <w:r w:rsidRPr="00CE70CB">
              <w:rPr>
                <w:rFonts w:asciiTheme="majorBidi" w:hAnsiTheme="majorBidi" w:cstheme="majorBidi"/>
                <w:sz w:val="16"/>
                <w:szCs w:val="16"/>
                <w:lang w:val="fr-FR"/>
              </w:rPr>
              <w:br/>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E0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sz w:val="16"/>
                <w:szCs w:val="16"/>
                <w:lang w:val="fr-FR"/>
              </w:rPr>
            </w:pPr>
            <w:r w:rsidRPr="00CE70CB">
              <w:rPr>
                <w:rFonts w:asciiTheme="majorBidi" w:hAnsiTheme="majorBidi" w:cstheme="majorBidi"/>
                <w:sz w:val="16"/>
                <w:szCs w:val="16"/>
                <w:lang w:val="fr-FR"/>
              </w:rPr>
              <w:t>P622</w:t>
            </w:r>
            <w:r w:rsidRPr="00CE70CB">
              <w:rPr>
                <w:rFonts w:asciiTheme="majorBidi" w:hAnsiTheme="majorBidi" w:cstheme="majorBidi"/>
                <w:sz w:val="16"/>
                <w:szCs w:val="16"/>
                <w:lang w:val="fr-FR"/>
              </w:rPr>
              <w:br/>
              <w:t>LP622</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p>
        </w:tc>
        <w:tc>
          <w:tcPr>
            <w:tcW w:w="353"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r w:rsidRPr="00CE70CB">
              <w:rPr>
                <w:rFonts w:asciiTheme="majorBidi" w:hAnsiTheme="majorBidi" w:cstheme="majorBidi"/>
                <w:bCs/>
                <w:sz w:val="16"/>
                <w:szCs w:val="16"/>
                <w:lang w:val="fr-FR"/>
              </w:rPr>
              <w:t>MP2</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267DA7" w:rsidRPr="00CE70CB" w:rsidRDefault="00267DA7" w:rsidP="00267DA7">
            <w:pPr>
              <w:suppressAutoHyphens w:val="0"/>
              <w:spacing w:after="60" w:line="240" w:lineRule="auto"/>
              <w:jc w:val="center"/>
              <w:rPr>
                <w:rFonts w:asciiTheme="majorBidi" w:hAnsiTheme="majorBidi" w:cstheme="majorBidi"/>
                <w:bCs/>
                <w:sz w:val="16"/>
                <w:szCs w:val="16"/>
                <w:lang w:val="fr-FR"/>
              </w:rPr>
            </w:pPr>
          </w:p>
        </w:tc>
        <w:tc>
          <w:tcPr>
            <w:tcW w:w="482"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0</w:t>
            </w:r>
            <w:r w:rsidRPr="00CE70CB">
              <w:rPr>
                <w:rFonts w:asciiTheme="majorBidi" w:hAnsiTheme="majorBidi" w:cstheme="majorBidi"/>
                <w:bCs/>
                <w:iCs/>
                <w:sz w:val="16"/>
                <w:szCs w:val="16"/>
                <w:lang w:val="fr-FR"/>
              </w:rPr>
              <w:br/>
              <w:t>(-)</w:t>
            </w:r>
          </w:p>
        </w:tc>
        <w:tc>
          <w:tcPr>
            <w:tcW w:w="274"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V1</w:t>
            </w:r>
          </w:p>
        </w:tc>
        <w:tc>
          <w:tcPr>
            <w:tcW w:w="168"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p>
        </w:tc>
        <w:tc>
          <w:tcPr>
            <w:tcW w:w="246"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CV13</w:t>
            </w:r>
            <w:r w:rsidRPr="00CE70CB">
              <w:rPr>
                <w:rFonts w:asciiTheme="majorBidi" w:hAnsiTheme="majorBidi" w:cstheme="majorBidi"/>
                <w:bCs/>
                <w:iCs/>
                <w:sz w:val="16"/>
                <w:szCs w:val="16"/>
                <w:lang w:val="fr-FR"/>
              </w:rPr>
              <w:br/>
              <w:t>CV25</w:t>
            </w:r>
            <w:r w:rsidRPr="00CE70CB">
              <w:rPr>
                <w:rFonts w:asciiTheme="majorBidi" w:hAnsiTheme="majorBidi" w:cstheme="majorBidi"/>
                <w:bCs/>
                <w:iCs/>
                <w:sz w:val="16"/>
                <w:szCs w:val="16"/>
                <w:lang w:val="fr-FR"/>
              </w:rPr>
              <w:br/>
              <w:t>CV26</w:t>
            </w:r>
            <w:r w:rsidRPr="00CE70CB">
              <w:rPr>
                <w:rFonts w:asciiTheme="majorBidi" w:hAnsiTheme="majorBidi" w:cstheme="majorBidi"/>
                <w:bCs/>
                <w:iCs/>
                <w:sz w:val="16"/>
                <w:szCs w:val="16"/>
                <w:lang w:val="fr-FR"/>
              </w:rPr>
              <w:br/>
              <w:t>CV28</w:t>
            </w:r>
          </w:p>
        </w:tc>
        <w:tc>
          <w:tcPr>
            <w:tcW w:w="241"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r w:rsidRPr="00CE70CB">
              <w:rPr>
                <w:rFonts w:asciiTheme="majorBidi" w:hAnsiTheme="majorBidi" w:cstheme="majorBidi"/>
                <w:bCs/>
                <w:iCs/>
                <w:sz w:val="16"/>
                <w:szCs w:val="16"/>
                <w:lang w:val="fr-FR"/>
              </w:rPr>
              <w:t>S3</w:t>
            </w:r>
            <w:r w:rsidRPr="00CE70CB">
              <w:rPr>
                <w:rFonts w:asciiTheme="majorBidi" w:hAnsiTheme="majorBidi" w:cstheme="majorBidi"/>
                <w:bCs/>
                <w:iCs/>
                <w:sz w:val="16"/>
                <w:szCs w:val="16"/>
                <w:lang w:val="fr-FR"/>
              </w:rPr>
              <w:br/>
              <w:t>S9</w:t>
            </w:r>
            <w:r w:rsidRPr="00CE70CB">
              <w:rPr>
                <w:rFonts w:asciiTheme="majorBidi" w:hAnsiTheme="majorBidi" w:cstheme="majorBidi"/>
                <w:bCs/>
                <w:iCs/>
                <w:sz w:val="16"/>
                <w:szCs w:val="16"/>
                <w:lang w:val="fr-FR"/>
              </w:rPr>
              <w:br/>
              <w:t>S15</w:t>
            </w:r>
          </w:p>
        </w:tc>
        <w:tc>
          <w:tcPr>
            <w:tcW w:w="251" w:type="pct"/>
            <w:tcBorders>
              <w:top w:val="single" w:sz="4" w:space="0" w:color="auto"/>
              <w:left w:val="single" w:sz="4" w:space="0" w:color="auto"/>
              <w:bottom w:val="single" w:sz="4" w:space="0" w:color="auto"/>
              <w:right w:val="single" w:sz="4" w:space="0" w:color="auto"/>
            </w:tcBorders>
          </w:tcPr>
          <w:p w:rsidR="00267DA7" w:rsidRPr="00CE70CB" w:rsidRDefault="00267DA7" w:rsidP="00267DA7">
            <w:pPr>
              <w:suppressAutoHyphens w:val="0"/>
              <w:spacing w:after="60" w:line="240" w:lineRule="auto"/>
              <w:jc w:val="center"/>
              <w:rPr>
                <w:rFonts w:asciiTheme="majorBidi" w:hAnsiTheme="majorBidi" w:cstheme="majorBidi"/>
                <w:bCs/>
                <w:iCs/>
                <w:sz w:val="16"/>
                <w:szCs w:val="16"/>
                <w:lang w:val="fr-FR"/>
              </w:rPr>
            </w:pPr>
          </w:p>
        </w:tc>
      </w:tr>
    </w:tbl>
    <w:p w:rsidR="00267DA7" w:rsidRPr="00CE70CB" w:rsidRDefault="00267DA7" w:rsidP="00267DA7">
      <w:pPr>
        <w:pStyle w:val="SingleTxtG"/>
        <w:spacing w:before="240"/>
        <w:rPr>
          <w:lang w:val="fr-FR"/>
        </w:rPr>
      </w:pPr>
      <w:r w:rsidRPr="00CE70CB">
        <w:rPr>
          <w:lang w:val="fr-FR"/>
        </w:rPr>
        <w:t>Pour les Nos ONU 0005, 0007, 0012, 0014, 0033, 0037, 0136, 0167, 0180, 0238, 0240, 0242, 0279, 0291, 0294, 0295, 0324, 0326, 0327, 0330, 0338, 0339, 0348, 0369, 0371, 0413, 0414, 0417, 0426, 0427, 0453, 0457, 0458, 0459 et 0460, ajouter « LP101 » dans la colonne (8), sous « P130 ».</w:t>
      </w:r>
    </w:p>
    <w:p w:rsidR="00267DA7" w:rsidRPr="00CE70CB" w:rsidRDefault="00267DA7" w:rsidP="00267DA7">
      <w:pPr>
        <w:pStyle w:val="SingleTxtG"/>
        <w:rPr>
          <w:lang w:val="fr-FR"/>
        </w:rPr>
      </w:pPr>
      <w:r w:rsidRPr="00CE70CB">
        <w:rPr>
          <w:lang w:val="fr-FR"/>
        </w:rPr>
        <w:t>Pour les Nos ONU 0340, 0341, 0342 et 0343, insérer « 393 » dans la colonne (6).</w:t>
      </w:r>
    </w:p>
    <w:p w:rsidR="00267DA7" w:rsidRPr="00CE70CB" w:rsidRDefault="00267DA7" w:rsidP="00267DA7">
      <w:pPr>
        <w:pStyle w:val="SingleTxtG"/>
        <w:rPr>
          <w:lang w:val="fr-FR"/>
        </w:rPr>
      </w:pPr>
      <w:r w:rsidRPr="00CE70CB">
        <w:rPr>
          <w:lang w:val="fr-FR"/>
        </w:rPr>
        <w:t xml:space="preserve">Pour les Nos ONU 1002, 1006, 1013, 1046, 1056, 1058, 1065, 1066, 1080, 1952, 1956, 2036, 3070, 3163, 3297, 3298 et 3299, </w:t>
      </w:r>
      <w:r w:rsidR="00CB6B70" w:rsidRPr="00CE70CB">
        <w:rPr>
          <w:lang w:val="fr-FR"/>
        </w:rPr>
        <w:t>supprimer</w:t>
      </w:r>
      <w:r w:rsidRPr="00CE70CB">
        <w:rPr>
          <w:lang w:val="fr-FR"/>
        </w:rPr>
        <w:t xml:space="preserve"> « 660 » </w:t>
      </w:r>
      <w:r w:rsidR="00CB6B70" w:rsidRPr="00CE70CB">
        <w:rPr>
          <w:lang w:val="fr-FR"/>
        </w:rPr>
        <w:t>et ajouter</w:t>
      </w:r>
      <w:r w:rsidRPr="00CE70CB">
        <w:rPr>
          <w:lang w:val="fr-FR"/>
        </w:rPr>
        <w:t xml:space="preserve"> « 392 » dans la colonne (6).</w:t>
      </w:r>
    </w:p>
    <w:p w:rsidR="00267DA7" w:rsidRPr="00CE70CB" w:rsidRDefault="00267DA7" w:rsidP="00267DA7">
      <w:pPr>
        <w:pStyle w:val="SingleTxtG"/>
        <w:rPr>
          <w:lang w:val="fr-FR"/>
        </w:rPr>
      </w:pPr>
      <w:r w:rsidRPr="00CE70CB">
        <w:rPr>
          <w:lang w:val="fr-FR"/>
        </w:rPr>
        <w:t xml:space="preserve">Pour le </w:t>
      </w:r>
      <w:r w:rsidRPr="00CE70CB">
        <w:rPr>
          <w:bCs/>
          <w:lang w:val="fr-FR"/>
        </w:rPr>
        <w:t>No ONU 1010, m</w:t>
      </w:r>
      <w:r w:rsidRPr="00CE70CB">
        <w:rPr>
          <w:lang w:val="fr-FR"/>
        </w:rPr>
        <w:t>odifier le nom et la description en colonne (2) pour lire comme suit : « BUTADIÈNES STABILISÉS ou BUTADIÈNES ET HYDROCARBURES EN MÉLANGE STABILISÉ, contenant plus de 40 % de butadiènes ».</w:t>
      </w:r>
    </w:p>
    <w:p w:rsidR="00267DA7" w:rsidRPr="00CE70CB" w:rsidRDefault="00267DA7" w:rsidP="00267DA7">
      <w:pPr>
        <w:pStyle w:val="SingleTxtG"/>
        <w:tabs>
          <w:tab w:val="left" w:pos="2268"/>
        </w:tabs>
        <w:rPr>
          <w:lang w:val="fr-FR"/>
        </w:rPr>
      </w:pPr>
      <w:r w:rsidRPr="00CE70CB">
        <w:rPr>
          <w:lang w:val="fr-FR"/>
        </w:rPr>
        <w:t>Pour le No ONU 2037, toutes les rubriques</w:t>
      </w:r>
      <w:r w:rsidRPr="00CE70CB">
        <w:rPr>
          <w:lang w:val="fr-FR"/>
        </w:rPr>
        <w:tab/>
        <w:t>Dans la colonne (6), insérer « 327 ». Dans la colonne (8), ajouter « LP200 ». Dans la colonne (9a) insérer « PP96 » en regard de « P003 » et « L2 » en regard de « LP200 ».</w:t>
      </w:r>
    </w:p>
    <w:p w:rsidR="00267DA7" w:rsidRPr="00CE70CB" w:rsidRDefault="00267DA7" w:rsidP="00267DA7">
      <w:pPr>
        <w:pStyle w:val="SingleTxtG"/>
        <w:rPr>
          <w:iCs/>
          <w:lang w:val="fr-FR"/>
        </w:rPr>
      </w:pPr>
      <w:bookmarkStart w:id="72" w:name="_Hlk19638085"/>
      <w:r w:rsidRPr="00CE70CB">
        <w:rPr>
          <w:lang w:val="fr-FR"/>
        </w:rPr>
        <w:t>Pour les Nos ONU 2211 et 3314, insérer « 675 » dans la colonne (6).</w:t>
      </w:r>
    </w:p>
    <w:p w:rsidR="00267DA7" w:rsidRPr="00CE70CB" w:rsidRDefault="00267DA7" w:rsidP="00267DA7">
      <w:pPr>
        <w:pStyle w:val="SingleTxtG"/>
        <w:rPr>
          <w:lang w:val="fr-FR"/>
        </w:rPr>
      </w:pPr>
      <w:r w:rsidRPr="00CE70CB">
        <w:rPr>
          <w:lang w:val="fr-FR"/>
        </w:rPr>
        <w:t xml:space="preserve">Pour le No ONU 2383, dans la colonne (6), supprimer « 386 ». </w:t>
      </w:r>
      <w:bookmarkEnd w:id="72"/>
      <w:r w:rsidRPr="00CE70CB">
        <w:rPr>
          <w:lang w:val="fr-FR"/>
        </w:rPr>
        <w:t>Dans la colonne (16), supprimer « V8 » et dans la colonne (19) supprimer « S4 ».</w:t>
      </w:r>
    </w:p>
    <w:p w:rsidR="00267DA7" w:rsidRPr="00CE70CB" w:rsidRDefault="00267DA7" w:rsidP="00267DA7">
      <w:pPr>
        <w:pStyle w:val="SingleTxtG"/>
        <w:rPr>
          <w:lang w:val="fr-FR"/>
        </w:rPr>
      </w:pPr>
      <w:bookmarkStart w:id="73" w:name="_Hlk19638171"/>
      <w:r w:rsidRPr="00CE70CB">
        <w:rPr>
          <w:lang w:val="fr-FR"/>
        </w:rPr>
        <w:t>Pour le No ONU 2522, dans la colonne (2), ajouter « STABILISÉ » à la fin de la désignation et, dans la colonne (6), ajouter « 386 ». Dans la colonne (16), insérer « V8 » et dans la colonne (19) insérer « S4 ».</w:t>
      </w:r>
    </w:p>
    <w:bookmarkEnd w:id="73"/>
    <w:p w:rsidR="00267DA7" w:rsidRPr="00CE70CB" w:rsidRDefault="00267DA7" w:rsidP="00267DA7">
      <w:pPr>
        <w:spacing w:before="120" w:after="120" w:line="240" w:lineRule="auto"/>
        <w:ind w:left="1134" w:right="1134"/>
        <w:jc w:val="both"/>
        <w:rPr>
          <w:lang w:val="fr-FR"/>
        </w:rPr>
      </w:pPr>
      <w:r w:rsidRPr="00CE70CB">
        <w:rPr>
          <w:lang w:val="fr-FR"/>
        </w:rPr>
        <w:lastRenderedPageBreak/>
        <w:t>Pour les Nos ONU 2555, 2556, 2557 et 3380, insérer « 394 » dans la colonne (6).</w:t>
      </w:r>
    </w:p>
    <w:p w:rsidR="00267DA7" w:rsidRPr="00CE70CB" w:rsidRDefault="00267DA7" w:rsidP="00267DA7">
      <w:pPr>
        <w:pStyle w:val="SingleTxtG"/>
        <w:rPr>
          <w:lang w:val="fr-FR"/>
        </w:rPr>
      </w:pPr>
      <w:r w:rsidRPr="00CE70CB">
        <w:rPr>
          <w:lang w:val="fr-FR"/>
        </w:rPr>
        <w:t xml:space="preserve">Pour le No ONU 2683, dans la colonne (20), remplacer « 86 » par « 836 ». </w:t>
      </w:r>
    </w:p>
    <w:p w:rsidR="00267DA7" w:rsidRPr="00CE70CB" w:rsidRDefault="00267DA7" w:rsidP="00267DA7">
      <w:pPr>
        <w:pStyle w:val="SingleTxtG"/>
        <w:rPr>
          <w:lang w:val="fr-FR"/>
        </w:rPr>
      </w:pPr>
      <w:r w:rsidRPr="00CE70CB">
        <w:rPr>
          <w:lang w:val="fr-FR"/>
        </w:rPr>
        <w:t>Pour les Nos ONU 2794, 2795, 2800 et 3028, supprimer « P801a » en colonne (8).</w:t>
      </w:r>
    </w:p>
    <w:p w:rsidR="00267DA7" w:rsidRPr="00CE70CB" w:rsidRDefault="00267DA7" w:rsidP="00267DA7">
      <w:pPr>
        <w:pStyle w:val="SingleTxtG"/>
        <w:rPr>
          <w:lang w:val="fr-FR"/>
        </w:rPr>
      </w:pPr>
      <w:r w:rsidRPr="00CE70CB">
        <w:rPr>
          <w:lang w:val="fr-FR"/>
        </w:rPr>
        <w:t>Pour le No ONU 2800, ajouter « P801 » en colonne (8).</w:t>
      </w:r>
    </w:p>
    <w:p w:rsidR="00267DA7" w:rsidRPr="00CE70CB" w:rsidRDefault="00267DA7" w:rsidP="00267DA7">
      <w:pPr>
        <w:pStyle w:val="SingleTxtG"/>
        <w:rPr>
          <w:lang w:val="fr-FR"/>
        </w:rPr>
      </w:pPr>
      <w:bookmarkStart w:id="74" w:name="_Hlk19638235"/>
      <w:r w:rsidRPr="00CE70CB">
        <w:rPr>
          <w:lang w:val="fr-FR"/>
        </w:rPr>
        <w:t>Pour le No ONU 2913, remplacer « (SCO-I ou SCO-II) » par « (SCO-I, SCO-II ou SCO-III) » dans la colonne (2).</w:t>
      </w:r>
    </w:p>
    <w:bookmarkEnd w:id="74"/>
    <w:p w:rsidR="00267DA7" w:rsidRPr="00CE70CB" w:rsidRDefault="00267DA7" w:rsidP="00267DA7">
      <w:pPr>
        <w:pStyle w:val="SingleTxtG"/>
        <w:rPr>
          <w:lang w:val="fr-FR"/>
        </w:rPr>
      </w:pPr>
      <w:r w:rsidRPr="00CE70CB">
        <w:rPr>
          <w:lang w:val="fr-FR"/>
        </w:rPr>
        <w:t>Pour les Nos ONU 3091 et 3481, insérer « 390 » dans la colonne (6).</w:t>
      </w:r>
    </w:p>
    <w:p w:rsidR="00267DA7" w:rsidRPr="00CE70CB" w:rsidRDefault="00267DA7" w:rsidP="00267DA7">
      <w:pPr>
        <w:pStyle w:val="SingleTxtG"/>
        <w:rPr>
          <w:lang w:val="fr-FR"/>
        </w:rPr>
      </w:pPr>
      <w:r w:rsidRPr="00CE70CB">
        <w:rPr>
          <w:lang w:val="fr-FR"/>
        </w:rPr>
        <w:t>Pour le No ONU 3164, ajouter « PP32 » en colonne (9a).</w:t>
      </w:r>
    </w:p>
    <w:p w:rsidR="00267DA7" w:rsidRPr="00CE70CB" w:rsidRDefault="00267DA7" w:rsidP="00267DA7">
      <w:pPr>
        <w:pStyle w:val="SingleTxtG"/>
        <w:rPr>
          <w:lang w:val="fr-FR"/>
        </w:rPr>
      </w:pPr>
      <w:r w:rsidRPr="00CE70CB">
        <w:rPr>
          <w:szCs w:val="24"/>
          <w:lang w:val="fr-FR"/>
        </w:rPr>
        <w:t>L’amendement pour le No ONU 3325 est sans objet en français.</w:t>
      </w:r>
    </w:p>
    <w:p w:rsidR="00267DA7" w:rsidRPr="00CE70CB" w:rsidRDefault="00267DA7" w:rsidP="00267DA7">
      <w:pPr>
        <w:pStyle w:val="SingleTxtG"/>
        <w:rPr>
          <w:lang w:val="fr-FR"/>
        </w:rPr>
      </w:pPr>
      <w:r w:rsidRPr="00CE70CB">
        <w:rPr>
          <w:lang w:val="fr-FR"/>
        </w:rPr>
        <w:t>Pour le No ONU 3291, dans la colonne (4), supprimer « II » (deux fois).</w:t>
      </w:r>
    </w:p>
    <w:p w:rsidR="00267DA7" w:rsidRPr="00CE70CB" w:rsidRDefault="00267DA7" w:rsidP="00267DA7">
      <w:pPr>
        <w:pStyle w:val="SingleTxtG"/>
        <w:rPr>
          <w:lang w:val="fr-FR"/>
        </w:rPr>
      </w:pPr>
      <w:r w:rsidRPr="00CE70CB">
        <w:rPr>
          <w:lang w:val="fr-FR"/>
        </w:rPr>
        <w:t>Pour le No ONU 3363, dans la colonne (2), au début de la désignation, ajouter « MARCHANDISES DANGEREUSES CONTENUES DANS DES OBJETS ou ».</w:t>
      </w:r>
    </w:p>
    <w:p w:rsidR="00267DA7" w:rsidRPr="00CE70CB" w:rsidRDefault="00267DA7" w:rsidP="00267DA7">
      <w:pPr>
        <w:pStyle w:val="SingleTxtG"/>
        <w:ind w:left="2552" w:hanging="1418"/>
        <w:rPr>
          <w:lang w:val="fr-FR"/>
        </w:rPr>
      </w:pPr>
      <w:r w:rsidRPr="00CE70CB">
        <w:rPr>
          <w:lang w:val="fr-FR"/>
        </w:rPr>
        <w:t>Pour le No ONU 3500, dans la colonne (9a), insérer « PP97 ».</w:t>
      </w:r>
    </w:p>
    <w:p w:rsidR="00267DA7" w:rsidRPr="00CE70CB" w:rsidRDefault="00267DA7" w:rsidP="00267DA7">
      <w:pPr>
        <w:pStyle w:val="SingleTxtG"/>
        <w:rPr>
          <w:lang w:val="fr-FR"/>
        </w:rPr>
      </w:pPr>
      <w:r w:rsidRPr="00CE70CB">
        <w:rPr>
          <w:lang w:val="fr-FR"/>
        </w:rPr>
        <w:t>Pour les Nos ONU 3537 à 3548, supprimer « 667 » en colonne (6).</w:t>
      </w:r>
    </w:p>
    <w:p w:rsidR="00267DA7" w:rsidRPr="00CE70CB" w:rsidRDefault="00267DA7" w:rsidP="00267DA7">
      <w:pPr>
        <w:pStyle w:val="H1G"/>
        <w:rPr>
          <w:lang w:val="fr-FR"/>
        </w:rPr>
      </w:pPr>
      <w:r w:rsidRPr="00CE70CB">
        <w:rPr>
          <w:lang w:val="fr-FR"/>
        </w:rPr>
        <w:tab/>
      </w:r>
      <w:r w:rsidRPr="00CE70CB">
        <w:rPr>
          <w:lang w:val="fr-FR"/>
        </w:rPr>
        <w:tab/>
        <w:t>Chapitre 3.3</w:t>
      </w:r>
    </w:p>
    <w:p w:rsidR="00267DA7" w:rsidRPr="00CE70CB" w:rsidRDefault="00267DA7" w:rsidP="00267DA7">
      <w:pPr>
        <w:pStyle w:val="SingleTxtG"/>
        <w:tabs>
          <w:tab w:val="left" w:pos="2268"/>
        </w:tabs>
        <w:ind w:left="2259" w:hanging="1125"/>
        <w:rPr>
          <w:b/>
          <w:bCs/>
          <w:lang w:val="fr-FR"/>
        </w:rPr>
      </w:pPr>
      <w:r w:rsidRPr="00CE70CB">
        <w:rPr>
          <w:szCs w:val="24"/>
          <w:lang w:val="fr-FR"/>
        </w:rPr>
        <w:t>Disposition spéciale (DS) 188</w:t>
      </w:r>
      <w:r w:rsidRPr="00CE70CB">
        <w:rPr>
          <w:szCs w:val="24"/>
          <w:lang w:val="fr-FR"/>
        </w:rPr>
        <w:tab/>
        <w:t>L’amendement est sans objet en français.</w:t>
      </w:r>
    </w:p>
    <w:p w:rsidR="00267DA7" w:rsidRPr="00CE70CB" w:rsidRDefault="00267DA7" w:rsidP="00267DA7">
      <w:pPr>
        <w:pStyle w:val="SingleTxtG"/>
        <w:tabs>
          <w:tab w:val="left" w:pos="2268"/>
        </w:tabs>
        <w:ind w:left="2259" w:hanging="1125"/>
        <w:rPr>
          <w:rFonts w:asciiTheme="majorBidi" w:hAnsiTheme="majorBidi" w:cstheme="majorBidi"/>
          <w:lang w:val="fr-FR"/>
        </w:rPr>
      </w:pPr>
      <w:r w:rsidRPr="00CE70CB">
        <w:rPr>
          <w:rFonts w:asciiTheme="majorBidi" w:hAnsiTheme="majorBidi" w:cstheme="majorBidi"/>
          <w:lang w:val="fr-FR"/>
        </w:rPr>
        <w:t>DS 237</w:t>
      </w:r>
      <w:r w:rsidRPr="00CE70CB">
        <w:rPr>
          <w:rFonts w:asciiTheme="majorBidi" w:hAnsiTheme="majorBidi" w:cstheme="majorBidi"/>
          <w:lang w:val="fr-FR"/>
        </w:rPr>
        <w:tab/>
        <w:t>Remplacer « sous-section 33.2.1 »</w:t>
      </w:r>
      <w:r w:rsidRPr="00CE70CB">
        <w:rPr>
          <w:rFonts w:asciiTheme="majorBidi" w:hAnsiTheme="majorBidi" w:cstheme="majorBidi"/>
          <w:lang w:val="fr-FR" w:eastAsia="en-GB"/>
        </w:rPr>
        <w:t xml:space="preserve"> par « sous-section 33.2 ».</w:t>
      </w:r>
    </w:p>
    <w:p w:rsidR="00267DA7" w:rsidRPr="00CE70CB" w:rsidRDefault="00267DA7" w:rsidP="00267DA7">
      <w:pPr>
        <w:pStyle w:val="SingleTxtG"/>
        <w:tabs>
          <w:tab w:val="left" w:pos="2268"/>
        </w:tabs>
        <w:ind w:left="2259" w:hanging="1125"/>
        <w:rPr>
          <w:rFonts w:asciiTheme="majorBidi" w:hAnsiTheme="majorBidi" w:cstheme="majorBidi"/>
          <w:lang w:val="fr-FR"/>
        </w:rPr>
      </w:pPr>
      <w:r w:rsidRPr="00CE70CB">
        <w:rPr>
          <w:rFonts w:asciiTheme="majorBidi" w:hAnsiTheme="majorBidi" w:cstheme="majorBidi"/>
          <w:lang w:val="fr-FR"/>
        </w:rPr>
        <w:t>DS 241</w:t>
      </w:r>
      <w:r w:rsidRPr="00CE70CB">
        <w:rPr>
          <w:rFonts w:asciiTheme="majorBidi" w:hAnsiTheme="majorBidi" w:cstheme="majorBidi"/>
          <w:lang w:val="fr-FR"/>
        </w:rPr>
        <w:tab/>
        <w:t>Remplacer « sous-section 33.2.1.4 »</w:t>
      </w:r>
      <w:r w:rsidRPr="00CE70CB">
        <w:rPr>
          <w:rFonts w:asciiTheme="majorBidi" w:hAnsiTheme="majorBidi" w:cstheme="majorBidi"/>
          <w:lang w:val="fr-FR" w:eastAsia="en-GB"/>
        </w:rPr>
        <w:t xml:space="preserve"> par « sous-section 33.2.4 ».</w:t>
      </w:r>
    </w:p>
    <w:p w:rsidR="00267DA7" w:rsidRPr="00CE70CB" w:rsidRDefault="00267DA7" w:rsidP="00267DA7">
      <w:pPr>
        <w:pStyle w:val="SingleTxtG"/>
        <w:tabs>
          <w:tab w:val="left" w:pos="2268"/>
        </w:tabs>
        <w:ind w:left="2259" w:hanging="1125"/>
        <w:rPr>
          <w:lang w:val="fr-FR"/>
        </w:rPr>
      </w:pPr>
      <w:r w:rsidRPr="00CE70CB">
        <w:rPr>
          <w:lang w:val="fr-FR"/>
        </w:rPr>
        <w:t>DS 301 </w:t>
      </w:r>
      <w:r w:rsidRPr="00CE70CB">
        <w:rPr>
          <w:lang w:val="fr-FR"/>
        </w:rPr>
        <w:tab/>
        <w:t>Dans la première phrase, remplacer « machines ou appareils » par « objets tels que machines, appareils ou dispositifs ». Dans les deuxième, troisième, quatrième et cinquième phrases, remplacer « machines ou appareils » ou « machines et appareils » par « objets ».</w:t>
      </w:r>
    </w:p>
    <w:p w:rsidR="00267DA7" w:rsidRPr="00CE70CB" w:rsidRDefault="00267DA7" w:rsidP="00267DA7">
      <w:pPr>
        <w:pStyle w:val="SingleTxtG"/>
        <w:tabs>
          <w:tab w:val="left" w:pos="2268"/>
        </w:tabs>
        <w:ind w:left="2268" w:hanging="1134"/>
        <w:rPr>
          <w:lang w:val="fr-FR"/>
        </w:rPr>
      </w:pPr>
      <w:r w:rsidRPr="00CE70CB">
        <w:rPr>
          <w:lang w:val="fr-FR"/>
        </w:rPr>
        <w:t>DS 301</w:t>
      </w:r>
      <w:r w:rsidRPr="00CE70CB">
        <w:rPr>
          <w:lang w:val="fr-FR"/>
        </w:rPr>
        <w:tab/>
      </w:r>
      <w:bookmarkStart w:id="75" w:name="_Hlk23855324"/>
      <w:r w:rsidRPr="00CE70CB">
        <w:rPr>
          <w:lang w:val="fr-FR"/>
        </w:rPr>
        <w:t>Supprimer le Nota.</w:t>
      </w:r>
    </w:p>
    <w:bookmarkEnd w:id="75"/>
    <w:p w:rsidR="00267DA7" w:rsidRPr="00CE70CB" w:rsidRDefault="00267DA7" w:rsidP="00267DA7">
      <w:pPr>
        <w:pStyle w:val="SingleTxtG"/>
        <w:tabs>
          <w:tab w:val="left" w:pos="2268"/>
        </w:tabs>
        <w:ind w:left="2259" w:hanging="1125"/>
        <w:rPr>
          <w:iCs/>
          <w:lang w:val="fr-FR"/>
        </w:rPr>
      </w:pPr>
      <w:r w:rsidRPr="00CE70CB">
        <w:rPr>
          <w:iCs/>
          <w:lang w:val="fr-FR"/>
        </w:rPr>
        <w:t>DS 309</w:t>
      </w:r>
      <w:r w:rsidRPr="00CE70CB">
        <w:rPr>
          <w:iCs/>
          <w:lang w:val="fr-FR"/>
        </w:rPr>
        <w:tab/>
        <w:t>Dans le dernier paragraphe, remplacer « doivent satisfaire aux épreuves 8 a), 8 b) et 8 c) » par « doivent satisfaire aux critères de classification en tant qu’</w:t>
      </w:r>
      <w:bookmarkStart w:id="76" w:name="_Hlk19638399"/>
      <w:r w:rsidRPr="00CE70CB">
        <w:rPr>
          <w:szCs w:val="22"/>
          <w:lang w:val="fr-FR"/>
        </w:rPr>
        <w:t>émulsion, suspension ou gel de nitrate d’ammonium servant à la fabrication d’explosifs de mine (ENA)</w:t>
      </w:r>
      <w:bookmarkEnd w:id="76"/>
      <w:r w:rsidRPr="00CE70CB">
        <w:rPr>
          <w:iCs/>
          <w:lang w:val="fr-FR"/>
        </w:rPr>
        <w:t> ».  </w:t>
      </w:r>
    </w:p>
    <w:p w:rsidR="00267DA7" w:rsidRPr="00CE70CB" w:rsidRDefault="00267DA7" w:rsidP="00267DA7">
      <w:pPr>
        <w:pStyle w:val="SingleTxtG"/>
        <w:tabs>
          <w:tab w:val="left" w:pos="2268"/>
        </w:tabs>
        <w:ind w:left="2259" w:hanging="1125"/>
        <w:rPr>
          <w:lang w:val="fr-FR"/>
        </w:rPr>
      </w:pPr>
      <w:r w:rsidRPr="00CE70CB">
        <w:rPr>
          <w:lang w:val="fr-FR"/>
        </w:rPr>
        <w:t>DS 327</w:t>
      </w:r>
      <w:r w:rsidRPr="00CE70CB">
        <w:rPr>
          <w:lang w:val="fr-FR"/>
        </w:rPr>
        <w:tab/>
        <w:t>Dans la première phrase, remplacer « Les générateurs d’aérosol » par « Les générateurs d’aérosol et les cartouches à gaz » et « transportés sous cette rubrique » par « transportés sous les Nos ONU 1950 ou 2037, selon le cas</w:t>
      </w:r>
      <w:r w:rsidR="0073296F" w:rsidRPr="00CE70CB">
        <w:rPr>
          <w:lang w:val="fr-FR"/>
        </w:rPr>
        <w:t>,</w:t>
      </w:r>
      <w:r w:rsidRPr="00CE70CB">
        <w:rPr>
          <w:lang w:val="fr-FR"/>
        </w:rPr>
        <w:t xml:space="preserve"> ». </w:t>
      </w:r>
    </w:p>
    <w:p w:rsidR="00267DA7" w:rsidRPr="00CE70CB" w:rsidRDefault="00267DA7" w:rsidP="00267DA7">
      <w:pPr>
        <w:pStyle w:val="SingleTxtG"/>
        <w:tabs>
          <w:tab w:val="left" w:pos="2268"/>
        </w:tabs>
        <w:ind w:left="2259" w:hanging="1125"/>
        <w:rPr>
          <w:lang w:val="fr-FR"/>
        </w:rPr>
      </w:pPr>
      <w:r w:rsidRPr="00CE70CB">
        <w:rPr>
          <w:lang w:val="fr-FR"/>
        </w:rPr>
        <w:tab/>
        <w:t xml:space="preserve">Après la troisième phrase, insérer la nouvelle phrase suivante : « Les cartouches à gaz mises au rebut, à l’exclusion de celles qui présentent des fuites ou de graves déformations, doivent être emballées conformément à l’instruction d’emballage P003 et aux dispositions spéciales d’emballage PP17 et PP96, ou à l’instruction d’emballage LP200 et à la disposition spéciale d’emballage L2. ». </w:t>
      </w:r>
    </w:p>
    <w:p w:rsidR="00267DA7" w:rsidRPr="00CE70CB" w:rsidRDefault="00267DA7" w:rsidP="00267DA7">
      <w:pPr>
        <w:pStyle w:val="SingleTxtG"/>
        <w:tabs>
          <w:tab w:val="left" w:pos="2268"/>
        </w:tabs>
        <w:ind w:left="2259" w:hanging="1125"/>
        <w:rPr>
          <w:lang w:val="fr-FR"/>
        </w:rPr>
      </w:pPr>
      <w:r w:rsidRPr="00CE70CB">
        <w:rPr>
          <w:lang w:val="fr-FR"/>
        </w:rPr>
        <w:tab/>
        <w:t xml:space="preserve">Dans la phrase suivante, après « les générateurs d’aérosol », ajouter « et les cartouches à gaz » et remplacer « transportés dans des emballages de secours » par « transportés dans des récipients à pression de secours ou des emballages de secours ». </w:t>
      </w:r>
    </w:p>
    <w:p w:rsidR="00267DA7" w:rsidRPr="00CE70CB" w:rsidRDefault="00267DA7" w:rsidP="00267DA7">
      <w:pPr>
        <w:pStyle w:val="SingleTxtG"/>
        <w:tabs>
          <w:tab w:val="left" w:pos="2268"/>
        </w:tabs>
        <w:ind w:left="2259" w:hanging="1125"/>
        <w:rPr>
          <w:lang w:val="fr-FR"/>
        </w:rPr>
      </w:pPr>
      <w:r w:rsidRPr="00CE70CB">
        <w:rPr>
          <w:lang w:val="fr-FR"/>
        </w:rPr>
        <w:tab/>
        <w:t xml:space="preserve">Dans le Nota, remplacer « les générateurs d’aérosol mis au rebut ne doivent pas » par « les générateurs d’aérosol et les cartouches à gaz mis au rebut ne doivent pas ». </w:t>
      </w:r>
    </w:p>
    <w:p w:rsidR="00267DA7" w:rsidRPr="00CE70CB" w:rsidRDefault="00267DA7" w:rsidP="00267DA7">
      <w:pPr>
        <w:pStyle w:val="SingleTxtG"/>
        <w:tabs>
          <w:tab w:val="left" w:pos="2268"/>
        </w:tabs>
        <w:ind w:left="2259" w:hanging="1125"/>
        <w:rPr>
          <w:lang w:val="fr-FR"/>
        </w:rPr>
      </w:pPr>
      <w:r w:rsidRPr="00CE70CB">
        <w:rPr>
          <w:lang w:val="fr-FR"/>
        </w:rPr>
        <w:tab/>
        <w:t xml:space="preserve">Ajouter le nouveau paragraphe suivant à la fin : </w:t>
      </w:r>
    </w:p>
    <w:p w:rsidR="00267DA7" w:rsidRPr="00CE70CB" w:rsidRDefault="00267DA7" w:rsidP="00267DA7">
      <w:pPr>
        <w:pStyle w:val="SingleTxtG"/>
        <w:tabs>
          <w:tab w:val="left" w:pos="2268"/>
        </w:tabs>
        <w:ind w:left="2259" w:hanging="1125"/>
        <w:rPr>
          <w:lang w:val="fr-FR"/>
        </w:rPr>
      </w:pPr>
      <w:r w:rsidRPr="00CE70CB">
        <w:rPr>
          <w:lang w:val="fr-FR"/>
        </w:rPr>
        <w:lastRenderedPageBreak/>
        <w:tab/>
        <w:t>« Les cartouches à gaz mises au rebut qui contenaient des gaz non-inflammables et non-toxiques du groupe A ou O de la classe 2, et ont été percées ne sont pas soumises aux prescriptions de l’ADR. ».</w:t>
      </w:r>
    </w:p>
    <w:p w:rsidR="00267DA7" w:rsidRPr="00CE70CB" w:rsidRDefault="00267DA7" w:rsidP="00267DA7">
      <w:pPr>
        <w:pStyle w:val="SingleTxtG"/>
        <w:tabs>
          <w:tab w:val="left" w:pos="2268"/>
        </w:tabs>
        <w:ind w:left="2259" w:hanging="1125"/>
        <w:rPr>
          <w:lang w:val="fr-FR"/>
        </w:rPr>
      </w:pPr>
      <w:r w:rsidRPr="00CE70CB">
        <w:rPr>
          <w:lang w:val="fr-FR"/>
        </w:rPr>
        <w:t>DS 356</w:t>
      </w:r>
      <w:r w:rsidRPr="00CE70CB">
        <w:rPr>
          <w:lang w:val="fr-FR"/>
        </w:rPr>
        <w:tab/>
      </w:r>
      <w:r w:rsidRPr="00CE70CB">
        <w:rPr>
          <w:lang w:val="fr-FR"/>
        </w:rPr>
        <w:tab/>
        <w:t>Après « des bateaux », ajouter « , des machines, des moteurs ».</w:t>
      </w:r>
    </w:p>
    <w:p w:rsidR="00267DA7" w:rsidRPr="00CE70CB" w:rsidRDefault="00267DA7" w:rsidP="00267DA7">
      <w:pPr>
        <w:pStyle w:val="SingleTxtG"/>
        <w:tabs>
          <w:tab w:val="left" w:pos="2268"/>
        </w:tabs>
        <w:ind w:left="2259" w:hanging="1125"/>
        <w:rPr>
          <w:lang w:val="fr-FR"/>
        </w:rPr>
      </w:pPr>
      <w:r w:rsidRPr="00CE70CB">
        <w:rPr>
          <w:lang w:val="fr-FR"/>
        </w:rPr>
        <w:t>DS 360</w:t>
      </w:r>
      <w:r w:rsidRPr="00CE70CB">
        <w:rPr>
          <w:lang w:val="fr-FR"/>
        </w:rPr>
        <w:tab/>
        <w:t xml:space="preserve">Remplacer « classés sous » par « affectés à ». Ajouter la phrase suivante à la fin : </w:t>
      </w:r>
    </w:p>
    <w:p w:rsidR="00267DA7" w:rsidRPr="00CE70CB" w:rsidRDefault="00267DA7" w:rsidP="00267DA7">
      <w:pPr>
        <w:pStyle w:val="SingleTxtG"/>
        <w:tabs>
          <w:tab w:val="left" w:pos="2268"/>
        </w:tabs>
        <w:ind w:left="2259" w:hanging="1125"/>
        <w:rPr>
          <w:lang w:val="fr-FR"/>
        </w:rPr>
      </w:pPr>
      <w:r w:rsidRPr="00CE70CB">
        <w:rPr>
          <w:lang w:val="fr-FR"/>
        </w:rPr>
        <w:tab/>
        <w:t>« Les batteries au lithium installées dans un engin de transport, conçues uniquement pour fournir de l’énergie hors de l’engin de transport doivent être affectées à la rubrique ONU 3536 BATTERIES AU LITHIUM INSTALLÉES DANS DES ENGINS DE TRANSPORT batteries au lithium ionique ou batteries au lithium métal. »</w:t>
      </w:r>
    </w:p>
    <w:p w:rsidR="00267DA7" w:rsidRPr="00CE70CB" w:rsidRDefault="00267DA7" w:rsidP="00267DA7">
      <w:pPr>
        <w:pStyle w:val="SingleTxtG"/>
        <w:ind w:left="2268" w:hanging="1134"/>
        <w:rPr>
          <w:lang w:val="fr-FR"/>
        </w:rPr>
      </w:pPr>
      <w:r w:rsidRPr="00CE70CB">
        <w:rPr>
          <w:lang w:val="fr-FR"/>
        </w:rPr>
        <w:t xml:space="preserve">DS 363 </w:t>
      </w:r>
      <w:r w:rsidRPr="00CE70CB">
        <w:rPr>
          <w:i/>
          <w:iCs/>
          <w:lang w:val="fr-FR"/>
        </w:rPr>
        <w:t>l</w:t>
      </w:r>
      <w:r w:rsidRPr="00CE70CB">
        <w:rPr>
          <w:lang w:val="fr-FR"/>
        </w:rPr>
        <w:t>)</w:t>
      </w:r>
      <w:r w:rsidRPr="00CE70CB">
        <w:rPr>
          <w:lang w:val="fr-FR"/>
        </w:rPr>
        <w:tab/>
        <w:t>Modifier le deuxième tiret pour lire comme suit :</w:t>
      </w:r>
    </w:p>
    <w:p w:rsidR="00267DA7" w:rsidRPr="00CE70CB" w:rsidRDefault="00267DA7" w:rsidP="00267DA7">
      <w:pPr>
        <w:pStyle w:val="SingleTxtG"/>
        <w:ind w:left="2268"/>
        <w:rPr>
          <w:lang w:val="fr-FR"/>
        </w:rPr>
      </w:pPr>
      <w:r w:rsidRPr="00CE70CB">
        <w:rPr>
          <w:lang w:val="fr-FR"/>
        </w:rPr>
        <w:t xml:space="preserve">« - </w:t>
      </w:r>
      <w:r w:rsidRPr="00CE70CB">
        <w:rPr>
          <w:lang w:val="fr-FR"/>
        </w:rPr>
        <w:tab/>
        <w:t>Pour le transport comportant un passage dans des tunnels soumis à restrictions, l’unité de transport doit porter des panneaux de couleur orange conformément au 5.3.2 et les restrictions de passage dans les tunnels du 8.6.4 s’appliquent</w:t>
      </w:r>
      <w:r w:rsidR="00B42CD7" w:rsidRPr="00CE70CB">
        <w:rPr>
          <w:lang w:val="fr-FR"/>
        </w:rPr>
        <w:t> ;</w:t>
      </w:r>
      <w:r w:rsidRPr="00CE70CB">
        <w:rPr>
          <w:lang w:val="fr-FR"/>
        </w:rPr>
        <w:t> »</w:t>
      </w:r>
    </w:p>
    <w:p w:rsidR="00283CA5" w:rsidRPr="00CE70CB" w:rsidRDefault="00283CA5" w:rsidP="00283CA5">
      <w:pPr>
        <w:pStyle w:val="SingleTxtG"/>
        <w:tabs>
          <w:tab w:val="left" w:pos="2268"/>
        </w:tabs>
        <w:ind w:left="2259" w:hanging="1125"/>
        <w:rPr>
          <w:lang w:val="fr-FR"/>
        </w:rPr>
      </w:pPr>
      <w:r w:rsidRPr="00CE70CB">
        <w:rPr>
          <w:lang w:val="fr-FR"/>
        </w:rPr>
        <w:t>DS 370</w:t>
      </w:r>
      <w:r w:rsidRPr="00CE70CB">
        <w:rPr>
          <w:lang w:val="fr-FR"/>
        </w:rPr>
        <w:tab/>
        <w:t>Modifier la phrase d’introduction pour lire comme suit : « Cette rubrique s’applique uniquement au nitrate d’ammonium qui répond à l’un des critères suivants : » et à la fin du premier tiret remplacer « ; et » par « ; ou ». Au début des deux tirets, supprimer « Au ».</w:t>
      </w:r>
    </w:p>
    <w:p w:rsidR="00283CA5" w:rsidRPr="00CE70CB" w:rsidRDefault="00283CA5" w:rsidP="00283CA5">
      <w:pPr>
        <w:pStyle w:val="SingleTxtG"/>
        <w:tabs>
          <w:tab w:val="left" w:pos="2268"/>
        </w:tabs>
        <w:ind w:left="2259" w:hanging="1125"/>
        <w:rPr>
          <w:lang w:val="fr-FR"/>
        </w:rPr>
      </w:pPr>
      <w:r w:rsidRPr="00CE70CB">
        <w:rPr>
          <w:lang w:val="fr-FR"/>
        </w:rPr>
        <w:tab/>
        <w:t>Numérotez le premier tiret en tant que a) et le deuxième tiret en tant que b).</w:t>
      </w:r>
    </w:p>
    <w:p w:rsidR="00283CA5" w:rsidRPr="00CE70CB" w:rsidRDefault="00283CA5" w:rsidP="00283CA5">
      <w:pPr>
        <w:pStyle w:val="SingleTxtG"/>
        <w:tabs>
          <w:tab w:val="left" w:pos="2268"/>
        </w:tabs>
        <w:ind w:left="2259" w:hanging="1125"/>
        <w:rPr>
          <w:lang w:val="fr-FR"/>
        </w:rPr>
      </w:pPr>
      <w:r w:rsidRPr="00CE70CB">
        <w:rPr>
          <w:lang w:val="fr-FR"/>
        </w:rPr>
        <w:tab/>
        <w:t>Ajouter le nouveau paragraphe suivant</w:t>
      </w:r>
      <w:r w:rsidR="00085C46" w:rsidRPr="00CE70CB">
        <w:rPr>
          <w:lang w:val="fr-FR"/>
        </w:rPr>
        <w:t xml:space="preserve"> à la fin</w:t>
      </w:r>
      <w:r w:rsidRPr="00CE70CB">
        <w:rPr>
          <w:lang w:val="fr-FR"/>
        </w:rPr>
        <w:t xml:space="preserve"> : </w:t>
      </w:r>
    </w:p>
    <w:p w:rsidR="00283CA5" w:rsidRPr="00CE70CB" w:rsidRDefault="00283CA5" w:rsidP="00283CA5">
      <w:pPr>
        <w:pStyle w:val="SingleTxtG"/>
        <w:tabs>
          <w:tab w:val="left" w:pos="2268"/>
        </w:tabs>
        <w:ind w:left="2259" w:hanging="1125"/>
        <w:rPr>
          <w:lang w:val="fr-FR"/>
        </w:rPr>
      </w:pPr>
      <w:r w:rsidRPr="00CE70CB">
        <w:rPr>
          <w:lang w:val="fr-FR"/>
        </w:rPr>
        <w:tab/>
        <w:t>« </w:t>
      </w:r>
      <w:bookmarkStart w:id="77" w:name="_Hlk31291123"/>
      <w:r w:rsidRPr="00CE70CB">
        <w:rPr>
          <w:lang w:val="fr-FR"/>
        </w:rPr>
        <w:t>Cette rubrique ne doit pas être utilisée pour le nitrate d’ammonium pour lequel une désignation officielle de transport existe dans le tableau A du chapitre 3.2 y compris le nitrate d’ammonium mélangé au gazole (ANFO) ou tout nitrate d’ammonium de qualité commerciale.</w:t>
      </w:r>
      <w:bookmarkEnd w:id="77"/>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DS 376</w:t>
      </w:r>
      <w:r w:rsidRPr="00CE70CB">
        <w:rPr>
          <w:lang w:val="fr-FR"/>
        </w:rPr>
        <w:tab/>
        <w:t>Modifier le Nota pour lire comme suit :</w:t>
      </w:r>
    </w:p>
    <w:p w:rsidR="00267DA7" w:rsidRPr="00CE70CB" w:rsidRDefault="00267DA7" w:rsidP="00267DA7">
      <w:pPr>
        <w:pStyle w:val="SingleTxtG"/>
        <w:tabs>
          <w:tab w:val="left" w:pos="2268"/>
        </w:tabs>
        <w:ind w:left="2259" w:hanging="1125"/>
        <w:rPr>
          <w:i/>
          <w:iCs/>
          <w:lang w:val="fr-FR"/>
        </w:rPr>
      </w:pPr>
      <w:r w:rsidRPr="00CE70CB">
        <w:rPr>
          <w:lang w:val="fr-FR"/>
        </w:rPr>
        <w:tab/>
        <w:t>« </w:t>
      </w:r>
      <w:r w:rsidRPr="00CE70CB">
        <w:rPr>
          <w:b/>
          <w:bCs/>
          <w:i/>
          <w:iCs/>
          <w:lang w:val="fr-FR"/>
        </w:rPr>
        <w:t>NOTA :</w:t>
      </w:r>
      <w:r w:rsidRPr="00CE70CB">
        <w:rPr>
          <w:i/>
          <w:iCs/>
          <w:lang w:val="fr-FR"/>
        </w:rPr>
        <w:t xml:space="preserve"> </w:t>
      </w:r>
      <w:r w:rsidRPr="00CE70CB">
        <w:rPr>
          <w:i/>
          <w:iCs/>
          <w:lang w:val="fr-FR"/>
        </w:rPr>
        <w:tab/>
      </w:r>
      <w:bookmarkStart w:id="78" w:name="_Hlk31291176"/>
      <w:r w:rsidRPr="00CE70CB">
        <w:rPr>
          <w:i/>
          <w:iCs/>
          <w:lang w:val="fr-FR"/>
        </w:rPr>
        <w:t>Afin de déterminer si une pile ou batterie peut être considérée comme endommagée ou défectueuse, une estimation ou une évaluation doit être effectuée sur la base des critères de sécurité du fabricant de la pile, de la batterie ou du produit fini ou par un expert technique connaissant les éléments de sécurité de la pile ou de la batterie. Une estimation ou évaluation peut inclure, sans s'y limiter, les critères suivants :</w:t>
      </w:r>
    </w:p>
    <w:p w:rsidR="00267DA7" w:rsidRPr="00CE70CB" w:rsidRDefault="00267DA7" w:rsidP="00267DA7">
      <w:pPr>
        <w:pStyle w:val="SingleTxtG"/>
        <w:ind w:left="2268"/>
        <w:rPr>
          <w:i/>
          <w:iCs/>
          <w:lang w:val="fr-FR"/>
        </w:rPr>
      </w:pPr>
      <w:r w:rsidRPr="00CE70CB">
        <w:rPr>
          <w:i/>
          <w:iCs/>
          <w:lang w:val="fr-FR"/>
        </w:rPr>
        <w:t>a)</w:t>
      </w:r>
      <w:r w:rsidRPr="00CE70CB">
        <w:rPr>
          <w:i/>
          <w:iCs/>
          <w:lang w:val="fr-FR"/>
        </w:rPr>
        <w:tab/>
        <w:t>Danger important tel que présence de gaz, incendie ou fuite d’électrolyte ;</w:t>
      </w:r>
    </w:p>
    <w:p w:rsidR="00267DA7" w:rsidRPr="00CE70CB" w:rsidRDefault="00267DA7" w:rsidP="00267DA7">
      <w:pPr>
        <w:pStyle w:val="SingleTxtG"/>
        <w:ind w:left="2268"/>
        <w:rPr>
          <w:i/>
          <w:iCs/>
          <w:lang w:val="fr-FR"/>
        </w:rPr>
      </w:pPr>
      <w:r w:rsidRPr="00CE70CB">
        <w:rPr>
          <w:i/>
          <w:iCs/>
          <w:lang w:val="fr-FR"/>
        </w:rPr>
        <w:t>b)</w:t>
      </w:r>
      <w:r w:rsidRPr="00CE70CB">
        <w:rPr>
          <w:i/>
          <w:iCs/>
          <w:lang w:val="fr-FR"/>
        </w:rPr>
        <w:tab/>
        <w:t>Utilisation qui a été faite de la pile ou de la batterie ou usage impropre de celle-ci ;</w:t>
      </w:r>
    </w:p>
    <w:p w:rsidR="00267DA7" w:rsidRPr="00CE70CB" w:rsidRDefault="00267DA7" w:rsidP="00267DA7">
      <w:pPr>
        <w:pStyle w:val="SingleTxtG"/>
        <w:ind w:left="2268"/>
        <w:rPr>
          <w:i/>
          <w:iCs/>
          <w:lang w:val="fr-FR"/>
        </w:rPr>
      </w:pPr>
      <w:r w:rsidRPr="00CE70CB">
        <w:rPr>
          <w:i/>
          <w:iCs/>
          <w:lang w:val="fr-FR"/>
        </w:rPr>
        <w:t>c)</w:t>
      </w:r>
      <w:r w:rsidRPr="00CE70CB">
        <w:rPr>
          <w:i/>
          <w:iCs/>
          <w:lang w:val="fr-FR"/>
        </w:rPr>
        <w:tab/>
        <w:t>Signes de dommages physiques, tels que déformation du boîtier de la pile ou de la batterie, ou couleurs sur le boîtier ;</w:t>
      </w:r>
    </w:p>
    <w:p w:rsidR="00267DA7" w:rsidRPr="00CE70CB" w:rsidRDefault="00267DA7" w:rsidP="00267DA7">
      <w:pPr>
        <w:pStyle w:val="SingleTxtG"/>
        <w:ind w:left="2268"/>
        <w:rPr>
          <w:i/>
          <w:iCs/>
          <w:lang w:val="fr-FR"/>
        </w:rPr>
      </w:pPr>
      <w:r w:rsidRPr="00CE70CB">
        <w:rPr>
          <w:i/>
          <w:iCs/>
          <w:lang w:val="fr-FR"/>
        </w:rPr>
        <w:t>d)</w:t>
      </w:r>
      <w:r w:rsidRPr="00CE70CB">
        <w:rPr>
          <w:i/>
          <w:iCs/>
          <w:lang w:val="fr-FR"/>
        </w:rPr>
        <w:tab/>
        <w:t>Protection contre les courts-circuits externes et internes, tels que les mesures de tension ou d'isolation ;</w:t>
      </w:r>
    </w:p>
    <w:p w:rsidR="00267DA7" w:rsidRPr="00CE70CB" w:rsidRDefault="00267DA7" w:rsidP="00267DA7">
      <w:pPr>
        <w:pStyle w:val="SingleTxtG"/>
        <w:ind w:left="2268"/>
        <w:rPr>
          <w:i/>
          <w:iCs/>
          <w:lang w:val="fr-FR"/>
        </w:rPr>
      </w:pPr>
      <w:r w:rsidRPr="00CE70CB">
        <w:rPr>
          <w:i/>
          <w:iCs/>
          <w:lang w:val="fr-FR"/>
        </w:rPr>
        <w:t>e)</w:t>
      </w:r>
      <w:r w:rsidRPr="00CE70CB">
        <w:rPr>
          <w:i/>
          <w:iCs/>
          <w:lang w:val="fr-FR"/>
        </w:rPr>
        <w:tab/>
        <w:t>Etat des éléments de sécurité de la pile ou de la batterie ; ou</w:t>
      </w:r>
    </w:p>
    <w:p w:rsidR="00267DA7" w:rsidRPr="00CE70CB" w:rsidRDefault="00267DA7" w:rsidP="00267DA7">
      <w:pPr>
        <w:pStyle w:val="SingleTxtG"/>
        <w:ind w:left="2268"/>
        <w:rPr>
          <w:i/>
          <w:iCs/>
          <w:lang w:val="fr-FR"/>
        </w:rPr>
      </w:pPr>
      <w:r w:rsidRPr="00CE70CB">
        <w:rPr>
          <w:i/>
          <w:iCs/>
          <w:lang w:val="fr-FR"/>
        </w:rPr>
        <w:t>f)</w:t>
      </w:r>
      <w:r w:rsidRPr="00CE70CB">
        <w:rPr>
          <w:i/>
          <w:iCs/>
          <w:lang w:val="fr-FR"/>
        </w:rPr>
        <w:tab/>
        <w:t>Dommages à tout composant de sécurité interne, tel que système de gestion de la batterie.</w:t>
      </w:r>
      <w:bookmarkEnd w:id="78"/>
      <w:r w:rsidRPr="00CE70CB">
        <w:rPr>
          <w:i/>
          <w:iCs/>
          <w:lang w:val="fr-FR"/>
        </w:rPr>
        <w:t> »</w:t>
      </w:r>
    </w:p>
    <w:p w:rsidR="00267DA7" w:rsidRPr="00CE70CB" w:rsidRDefault="00267DA7" w:rsidP="00267DA7">
      <w:pPr>
        <w:pStyle w:val="SingleTxtG"/>
        <w:tabs>
          <w:tab w:val="left" w:pos="2268"/>
        </w:tabs>
        <w:ind w:left="2259" w:hanging="1125"/>
        <w:rPr>
          <w:lang w:val="fr-FR"/>
        </w:rPr>
      </w:pPr>
      <w:r w:rsidRPr="00CE70CB">
        <w:rPr>
          <w:lang w:val="fr-FR"/>
        </w:rPr>
        <w:t>DS 379 d) i)</w:t>
      </w:r>
      <w:r w:rsidRPr="00CE70CB">
        <w:rPr>
          <w:lang w:val="fr-FR"/>
        </w:rPr>
        <w:tab/>
        <w:t>Remplacer « ISO 11114-1:2012 » par « </w:t>
      </w:r>
      <w:bookmarkStart w:id="79" w:name="_Hlk31291431"/>
      <w:r w:rsidRPr="00CE70CB">
        <w:rPr>
          <w:lang w:val="fr-FR"/>
        </w:rPr>
        <w:t>ISO 11114-1:2012 + A1:2017</w:t>
      </w:r>
      <w:bookmarkEnd w:id="79"/>
      <w:r w:rsidRPr="00CE70CB">
        <w:rPr>
          <w:lang w:val="fr-FR"/>
        </w:rPr>
        <w:t> ».</w:t>
      </w:r>
    </w:p>
    <w:p w:rsidR="004923EB" w:rsidRPr="00CE70CB" w:rsidRDefault="004923EB" w:rsidP="004923EB">
      <w:pPr>
        <w:pStyle w:val="SingleTxtG"/>
        <w:tabs>
          <w:tab w:val="left" w:pos="2268"/>
        </w:tabs>
        <w:ind w:left="2259" w:hanging="1125"/>
        <w:rPr>
          <w:lang w:val="fr-FR"/>
        </w:rPr>
      </w:pPr>
      <w:r w:rsidRPr="00CE70CB">
        <w:rPr>
          <w:lang w:val="fr-FR"/>
        </w:rPr>
        <w:t>DS 386</w:t>
      </w:r>
      <w:r w:rsidRPr="00CE70CB">
        <w:rPr>
          <w:lang w:val="fr-FR"/>
        </w:rPr>
        <w:tab/>
        <w:t xml:space="preserve">Dans la première phrase, remplacer « 2.2.41.1.17, 7.1.7 » par « 2.2.41.1.21, du 7.1.7 ». </w:t>
      </w:r>
    </w:p>
    <w:p w:rsidR="00267DA7" w:rsidRPr="00CE70CB" w:rsidRDefault="00267DA7" w:rsidP="00267DA7">
      <w:pPr>
        <w:pStyle w:val="SingleTxtG"/>
        <w:tabs>
          <w:tab w:val="left" w:pos="2268"/>
        </w:tabs>
        <w:ind w:left="2259" w:hanging="1125"/>
        <w:rPr>
          <w:lang w:val="fr-FR"/>
        </w:rPr>
      </w:pPr>
      <w:r w:rsidRPr="00CE70CB">
        <w:rPr>
          <w:lang w:val="fr-FR"/>
        </w:rPr>
        <w:t>DS 388</w:t>
      </w:r>
      <w:r w:rsidRPr="00CE70CB">
        <w:rPr>
          <w:lang w:val="fr-FR"/>
        </w:rPr>
        <w:tab/>
        <w:t>A la fin du septième paragraphe, ajouter la phrase suivante :</w:t>
      </w:r>
    </w:p>
    <w:p w:rsidR="00267DA7" w:rsidRPr="00CE70CB" w:rsidRDefault="00267DA7" w:rsidP="00267DA7">
      <w:pPr>
        <w:pStyle w:val="SingleTxtG"/>
        <w:tabs>
          <w:tab w:val="left" w:pos="2268"/>
        </w:tabs>
        <w:ind w:left="2259" w:hanging="1125"/>
        <w:rPr>
          <w:iCs/>
          <w:lang w:val="fr-FR"/>
        </w:rPr>
      </w:pPr>
      <w:r w:rsidRPr="00CE70CB">
        <w:rPr>
          <w:lang w:val="fr-FR"/>
        </w:rPr>
        <w:lastRenderedPageBreak/>
        <w:tab/>
        <w:t>« </w:t>
      </w:r>
      <w:bookmarkStart w:id="80" w:name="_Hlk31291585"/>
      <w:r w:rsidRPr="00CE70CB">
        <w:rPr>
          <w:iCs/>
          <w:lang w:val="fr-FR"/>
        </w:rPr>
        <w:t xml:space="preserve">Les </w:t>
      </w:r>
      <w:r w:rsidRPr="00CE70CB">
        <w:rPr>
          <w:lang w:val="fr-FR"/>
        </w:rPr>
        <w:t>batteries au lithium ionique ou batteries au lithium métal installées dans un engin de transport et conçues uniquement pour fournir de l’énergie hors de l’engin de transport doivent être affectées à la rubrique ONU 3536 BATTERIES AU LITHIUM INSTALLÉES DANS DES ENGINS DE TRANSPORT batteries au lithium ionique ou batteries au lithium métal.</w:t>
      </w:r>
      <w:bookmarkEnd w:id="80"/>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DS 556</w:t>
      </w:r>
      <w:r w:rsidRPr="00CE70CB">
        <w:rPr>
          <w:lang w:val="fr-FR"/>
        </w:rPr>
        <w:tab/>
      </w:r>
      <w:r w:rsidR="00363C65" w:rsidRPr="00CE70CB">
        <w:rPr>
          <w:lang w:val="fr-FR"/>
        </w:rPr>
        <w:t>Supprimer et ajouter « 556</w:t>
      </w:r>
      <w:r w:rsidR="00363C65" w:rsidRPr="00CE70CB">
        <w:rPr>
          <w:lang w:val="fr-FR"/>
        </w:rPr>
        <w:tab/>
      </w:r>
      <w:bookmarkStart w:id="81" w:name="_Hlk31291610"/>
      <w:r w:rsidR="00363C65" w:rsidRPr="00CE70CB">
        <w:rPr>
          <w:i/>
          <w:iCs/>
          <w:lang w:val="fr-FR"/>
        </w:rPr>
        <w:t>(Supprimé)</w:t>
      </w:r>
      <w:bookmarkEnd w:id="81"/>
      <w:r w:rsidR="00363C65" w:rsidRPr="00CE70CB">
        <w:rPr>
          <w:lang w:val="fr-FR"/>
        </w:rPr>
        <w:t> ».</w:t>
      </w:r>
    </w:p>
    <w:p w:rsidR="00267DA7" w:rsidRPr="00CE70CB" w:rsidRDefault="00267DA7" w:rsidP="00267DA7">
      <w:pPr>
        <w:pStyle w:val="SingleTxtG"/>
        <w:tabs>
          <w:tab w:val="left" w:pos="2268"/>
        </w:tabs>
        <w:ind w:left="2268" w:hanging="1134"/>
        <w:rPr>
          <w:lang w:val="fr-FR"/>
        </w:rPr>
      </w:pPr>
      <w:r w:rsidRPr="00CE70CB">
        <w:rPr>
          <w:lang w:val="fr-FR"/>
        </w:rPr>
        <w:t>DS 653</w:t>
      </w:r>
      <w:r w:rsidRPr="00CE70CB">
        <w:rPr>
          <w:lang w:val="fr-FR"/>
        </w:rPr>
        <w:tab/>
        <w:t>Au premier tiret, remplacer « de construction et d’épreuve » par « </w:t>
      </w:r>
      <w:bookmarkStart w:id="82" w:name="_Hlk31291639"/>
      <w:r w:rsidRPr="00CE70CB">
        <w:rPr>
          <w:lang w:val="fr-FR"/>
        </w:rPr>
        <w:t>de construction, d’épreuve et de remplissage</w:t>
      </w:r>
      <w:bookmarkEnd w:id="82"/>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DS 660</w:t>
      </w:r>
      <w:r w:rsidRPr="00CE70CB">
        <w:rPr>
          <w:lang w:val="fr-FR"/>
        </w:rPr>
        <w:tab/>
        <w:t>Supprimer et ajouter « 660</w:t>
      </w:r>
      <w:r w:rsidRPr="00CE70CB">
        <w:rPr>
          <w:lang w:val="fr-FR"/>
        </w:rPr>
        <w:tab/>
      </w:r>
      <w:bookmarkStart w:id="83" w:name="_Hlk31291660"/>
      <w:r w:rsidRPr="00CE70CB">
        <w:rPr>
          <w:i/>
          <w:iCs/>
          <w:lang w:val="fr-FR"/>
        </w:rPr>
        <w:t>(Supprimé)</w:t>
      </w:r>
      <w:bookmarkEnd w:id="83"/>
      <w:r w:rsidRPr="00CE70CB">
        <w:rPr>
          <w:lang w:val="fr-FR"/>
        </w:rPr>
        <w:t> »</w:t>
      </w:r>
      <w:r w:rsidR="00363C65" w:rsidRPr="00CE70CB">
        <w:rPr>
          <w:lang w:val="fr-FR"/>
        </w:rPr>
        <w:t>.</w:t>
      </w:r>
    </w:p>
    <w:p w:rsidR="00267DA7" w:rsidRPr="00CE70CB" w:rsidRDefault="00267DA7" w:rsidP="00267DA7">
      <w:pPr>
        <w:pStyle w:val="SingleTxtG"/>
        <w:tabs>
          <w:tab w:val="left" w:pos="2268"/>
        </w:tabs>
        <w:ind w:left="2268" w:hanging="1134"/>
        <w:rPr>
          <w:lang w:val="fr-FR"/>
        </w:rPr>
      </w:pPr>
      <w:r w:rsidRPr="00CE70CB">
        <w:rPr>
          <w:lang w:val="fr-FR"/>
        </w:rPr>
        <w:t>DS 667</w:t>
      </w:r>
      <w:r w:rsidRPr="00CE70CB">
        <w:rPr>
          <w:lang w:val="fr-FR"/>
        </w:rPr>
        <w:tab/>
        <w:t>Aux alinéas a), b), b) i) et c), remplacer « , machines ou objets » par « </w:t>
      </w:r>
      <w:bookmarkStart w:id="84" w:name="_Hlk31291707"/>
      <w:r w:rsidRPr="00CE70CB">
        <w:rPr>
          <w:lang w:val="fr-FR"/>
        </w:rPr>
        <w:t>ou machines</w:t>
      </w:r>
      <w:bookmarkEnd w:id="84"/>
      <w:r w:rsidRPr="00CE70CB">
        <w:rPr>
          <w:lang w:val="fr-FR"/>
        </w:rPr>
        <w:t> ».</w:t>
      </w:r>
    </w:p>
    <w:p w:rsidR="00267DA7" w:rsidRPr="00CE70CB" w:rsidRDefault="00267DA7" w:rsidP="00267DA7">
      <w:pPr>
        <w:pStyle w:val="SingleTxtG"/>
        <w:tabs>
          <w:tab w:val="left" w:pos="2268"/>
        </w:tabs>
        <w:ind w:left="2268" w:hanging="1134"/>
        <w:rPr>
          <w:lang w:val="fr-FR"/>
        </w:rPr>
      </w:pPr>
      <w:r w:rsidRPr="00CE70CB">
        <w:rPr>
          <w:lang w:val="fr-FR"/>
        </w:rPr>
        <w:tab/>
        <w:t>À l’alinéa b) ii), remplacer « , la machine ou l’objet » par « ou la machine ».</w:t>
      </w:r>
    </w:p>
    <w:p w:rsidR="00267DA7" w:rsidRPr="00CE70CB" w:rsidRDefault="00267DA7" w:rsidP="00267DA7">
      <w:pPr>
        <w:pStyle w:val="SingleTxtG"/>
        <w:tabs>
          <w:tab w:val="left" w:pos="2268"/>
        </w:tabs>
        <w:ind w:left="2268" w:hanging="1134"/>
        <w:rPr>
          <w:lang w:val="fr-FR"/>
        </w:rPr>
      </w:pPr>
      <w:r w:rsidRPr="00CE70CB">
        <w:rPr>
          <w:lang w:val="fr-FR"/>
        </w:rPr>
        <w:t>DS 671</w:t>
      </w:r>
      <w:r w:rsidRPr="00CE70CB">
        <w:rPr>
          <w:lang w:val="fr-FR"/>
        </w:rPr>
        <w:tab/>
        <w:t>Ajouter le nouveau paragraphe suivant à la fin :</w:t>
      </w:r>
    </w:p>
    <w:p w:rsidR="00267DA7" w:rsidRPr="00CE70CB" w:rsidRDefault="00267DA7" w:rsidP="00267DA7">
      <w:pPr>
        <w:pStyle w:val="SingleTxtG"/>
        <w:ind w:left="2268"/>
        <w:rPr>
          <w:lang w:val="fr-FR"/>
        </w:rPr>
      </w:pPr>
      <w:r w:rsidRPr="00CE70CB">
        <w:rPr>
          <w:lang w:val="fr-FR"/>
        </w:rPr>
        <w:tab/>
        <w:t>« Les trousses contenant uniquement des marchandises dangereuses auxquelles aucun groupe d’emballage n’est assigné doivent être affectées à la catégorie de transport 2 aux fins de l’établissement des documents de transport et des exemptions liées aux quantités transportées par unité de transport (voir 1.1.3.6). »</w:t>
      </w:r>
    </w:p>
    <w:p w:rsidR="00267DA7" w:rsidRPr="00CE70CB" w:rsidRDefault="00267DA7" w:rsidP="00267DA7">
      <w:pPr>
        <w:pStyle w:val="SingleTxtG"/>
        <w:tabs>
          <w:tab w:val="left" w:pos="2268"/>
        </w:tabs>
        <w:ind w:left="2259" w:hanging="1125"/>
        <w:rPr>
          <w:lang w:val="fr-FR"/>
        </w:rPr>
      </w:pPr>
      <w:r w:rsidRPr="00CE70CB">
        <w:rPr>
          <w:lang w:val="fr-FR"/>
        </w:rPr>
        <w:t>Ajouter les nouvelles dispositions spéciales suivantes :</w:t>
      </w:r>
    </w:p>
    <w:p w:rsidR="00267DA7" w:rsidRPr="00CE70CB" w:rsidRDefault="00267DA7" w:rsidP="00267DA7">
      <w:pPr>
        <w:pStyle w:val="SingleTxtG"/>
        <w:tabs>
          <w:tab w:val="left" w:pos="2268"/>
        </w:tabs>
        <w:ind w:left="2259" w:hanging="1125"/>
        <w:rPr>
          <w:lang w:val="fr-FR"/>
        </w:rPr>
      </w:pPr>
      <w:r w:rsidRPr="00CE70CB">
        <w:rPr>
          <w:lang w:val="fr-FR"/>
        </w:rPr>
        <w:t>« </w:t>
      </w:r>
      <w:bookmarkStart w:id="85" w:name="_Hlk31292153"/>
      <w:r w:rsidRPr="00CE70CB">
        <w:rPr>
          <w:lang w:val="fr-FR"/>
        </w:rPr>
        <w:t>390</w:t>
      </w:r>
      <w:r w:rsidRPr="00CE70CB">
        <w:rPr>
          <w:lang w:val="fr-FR"/>
        </w:rPr>
        <w:tab/>
        <w:t>Si un colis contient à la fois des piles au lithium contenues dans un équipement et des piles au lithium emballées avec un équipement, les prescriptions suivantes s’appliquent aux fins du marquage du colis et de la documentation :</w:t>
      </w:r>
    </w:p>
    <w:p w:rsidR="00267DA7" w:rsidRPr="00CE70CB" w:rsidRDefault="00267DA7" w:rsidP="00267DA7">
      <w:pPr>
        <w:pStyle w:val="SingleTxtG"/>
        <w:tabs>
          <w:tab w:val="left" w:pos="2268"/>
        </w:tabs>
        <w:ind w:left="2835" w:hanging="576"/>
        <w:rPr>
          <w:lang w:val="fr-FR"/>
        </w:rPr>
      </w:pPr>
      <w:r w:rsidRPr="00CE70CB">
        <w:rPr>
          <w:lang w:val="fr-FR"/>
        </w:rPr>
        <w:t>a)</w:t>
      </w:r>
      <w:r w:rsidRPr="00CE70CB">
        <w:rPr>
          <w:lang w:val="fr-FR"/>
        </w:rPr>
        <w:tab/>
        <w:t>Le colis doit porter la mention "UN 3091" ou "UN 3481", selon le cas. Si un colis contient à la fois des piles au lithium ionique et des piles au lithium métal emballées avec un équipement et contenues dans un équipement, le colis doit porter les marques requises pour les deux types de piles. Cependant, il n’est pas nécessaire de prendre en compte les piles bouton installées dans un équipement (y compris les circuits imprimés) ;</w:t>
      </w:r>
    </w:p>
    <w:p w:rsidR="00267DA7" w:rsidRPr="00CE70CB" w:rsidRDefault="00267DA7" w:rsidP="00267DA7">
      <w:pPr>
        <w:pStyle w:val="SingleTxtG"/>
        <w:tabs>
          <w:tab w:val="left" w:pos="2268"/>
        </w:tabs>
        <w:ind w:left="2835" w:hanging="576"/>
        <w:rPr>
          <w:lang w:val="fr-FR"/>
        </w:rPr>
      </w:pPr>
      <w:r w:rsidRPr="00CE70CB">
        <w:rPr>
          <w:lang w:val="fr-FR"/>
        </w:rPr>
        <w:t>b)</w:t>
      </w:r>
      <w:r w:rsidRPr="00CE70CB">
        <w:rPr>
          <w:lang w:val="fr-FR"/>
        </w:rPr>
        <w:tab/>
        <w:t xml:space="preserve">Le document de transport doit porter la mention "UN 3091 </w:t>
      </w:r>
      <w:r w:rsidRPr="00CE70CB">
        <w:rPr>
          <w:caps/>
          <w:lang w:val="fr-FR"/>
        </w:rPr>
        <w:t>Piles au lithium métal emballées avec un équipement</w:t>
      </w:r>
      <w:r w:rsidRPr="00CE70CB">
        <w:rPr>
          <w:lang w:val="fr-FR"/>
        </w:rPr>
        <w:t xml:space="preserve">" ou "UN 3481 </w:t>
      </w:r>
      <w:r w:rsidRPr="00CE70CB">
        <w:rPr>
          <w:caps/>
          <w:lang w:val="fr-FR"/>
        </w:rPr>
        <w:t>Piles au lithium ionique emballées avec un équipement</w:t>
      </w:r>
      <w:r w:rsidRPr="00CE70CB">
        <w:rPr>
          <w:lang w:val="fr-FR"/>
        </w:rPr>
        <w:t xml:space="preserve">", selon le cas. Si un colis contient à la fois des piles au lithium métal et des piles au lithium ionique emballées avec un équipement et contenues dans un équipement, le document de transport doit indiquer à la fois "UN 3091 </w:t>
      </w:r>
      <w:r w:rsidRPr="00CE70CB">
        <w:rPr>
          <w:caps/>
          <w:lang w:val="fr-FR"/>
        </w:rPr>
        <w:t>Piles au lithium métal emballées avec un équipement</w:t>
      </w:r>
      <w:r w:rsidRPr="00CE70CB">
        <w:rPr>
          <w:lang w:val="fr-FR"/>
        </w:rPr>
        <w:t xml:space="preserve">" et "UN 3481 </w:t>
      </w:r>
      <w:r w:rsidRPr="00CE70CB">
        <w:rPr>
          <w:caps/>
          <w:lang w:val="fr-FR"/>
        </w:rPr>
        <w:t>Piles au lithium ionique emballées avec un équipement</w:t>
      </w:r>
      <w:bookmarkStart w:id="86" w:name="_Hlk31292132"/>
      <w:r w:rsidR="00F44808" w:rsidRPr="00CE70CB">
        <w:rPr>
          <w:caps/>
          <w:lang w:val="fr-FR"/>
        </w:rPr>
        <w:t>"</w:t>
      </w:r>
      <w:bookmarkEnd w:id="86"/>
      <w:bookmarkEnd w:id="85"/>
      <w:r w:rsidR="00F44808" w:rsidRPr="00CE70CB">
        <w:rPr>
          <w:caps/>
          <w:lang w:val="fr-FR"/>
        </w:rPr>
        <w:t>.</w:t>
      </w:r>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 </w:t>
      </w:r>
      <w:bookmarkStart w:id="87" w:name="_Hlk31292301"/>
      <w:r w:rsidRPr="00CE70CB">
        <w:rPr>
          <w:lang w:val="fr-FR"/>
        </w:rPr>
        <w:t>393</w:t>
      </w:r>
      <w:r w:rsidRPr="00CE70CB">
        <w:rPr>
          <w:lang w:val="fr-FR"/>
        </w:rPr>
        <w:tab/>
        <w:t>La nitrocellulose doit remplir les critères de l’épreuve de Bergmann-Junk ou du papier réactif au violet de méthyle qui figurent à l’appendice 10 du Manuel d’épreuves et de critères. Il n’est pas nécessaire de réaliser les épreuves de la série 3 c).</w:t>
      </w:r>
      <w:bookmarkEnd w:id="87"/>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 </w:t>
      </w:r>
      <w:bookmarkStart w:id="88" w:name="_Hlk31292321"/>
      <w:r w:rsidRPr="00CE70CB">
        <w:rPr>
          <w:lang w:val="fr-FR"/>
        </w:rPr>
        <w:t>394</w:t>
      </w:r>
      <w:r w:rsidRPr="00CE70CB">
        <w:rPr>
          <w:lang w:val="fr-FR"/>
        </w:rPr>
        <w:tab/>
        <w:t>La nitrocellulose doit remplir les critères de l’épreuve de Bergmann-Junk ou du papier réactif au violet de méthyle qui figurent à l’appendice 10 du Manuel d’épreuves et de critères.</w:t>
      </w:r>
      <w:bookmarkEnd w:id="88"/>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 </w:t>
      </w:r>
      <w:bookmarkStart w:id="89" w:name="_Hlk31292334"/>
      <w:r w:rsidRPr="00CE70CB">
        <w:rPr>
          <w:lang w:val="fr-FR"/>
        </w:rPr>
        <w:t>395</w:t>
      </w:r>
      <w:r w:rsidRPr="00CE70CB">
        <w:rPr>
          <w:lang w:val="fr-FR"/>
        </w:rPr>
        <w:tab/>
        <w:t>Cette rubrique ne doit être utilisée que pour les déchets médicaux solides de catégorie A transportés en vue de leur élimination.</w:t>
      </w:r>
      <w:bookmarkEnd w:id="89"/>
      <w:r w:rsidRPr="00CE70CB">
        <w:rPr>
          <w:lang w:val="fr-FR"/>
        </w:rPr>
        <w:t> »</w:t>
      </w:r>
    </w:p>
    <w:p w:rsidR="00267DA7" w:rsidRPr="00CE70CB" w:rsidRDefault="00267DA7" w:rsidP="00267DA7">
      <w:pPr>
        <w:pStyle w:val="SingleTxtG"/>
        <w:ind w:left="2268" w:hanging="1134"/>
        <w:rPr>
          <w:lang w:val="fr-FR"/>
        </w:rPr>
      </w:pPr>
      <w:r w:rsidRPr="00CE70CB">
        <w:rPr>
          <w:lang w:val="fr-FR"/>
        </w:rPr>
        <w:t>« </w:t>
      </w:r>
      <w:bookmarkStart w:id="90" w:name="_Hlk31292405"/>
      <w:r w:rsidRPr="00CE70CB">
        <w:rPr>
          <w:lang w:val="fr-FR"/>
        </w:rPr>
        <w:t>675</w:t>
      </w:r>
      <w:r w:rsidRPr="00CE70CB">
        <w:rPr>
          <w:lang w:val="fr-FR"/>
        </w:rPr>
        <w:tab/>
        <w:t>Pour les colis contenant ces marchandises dangereuses, le chargement en commun avec des matières ou objets de la classe 1, à l’exception du 1.4 S, est interdit.</w:t>
      </w:r>
      <w:bookmarkEnd w:id="90"/>
      <w:r w:rsidRPr="00CE70CB">
        <w:rPr>
          <w:lang w:val="fr-FR"/>
        </w:rPr>
        <w:t> »</w:t>
      </w:r>
    </w:p>
    <w:p w:rsidR="00267DA7" w:rsidRPr="00CE70CB" w:rsidRDefault="00267DA7" w:rsidP="00267DA7">
      <w:pPr>
        <w:pStyle w:val="SingleTxtG"/>
        <w:ind w:left="2259" w:hanging="1125"/>
        <w:rPr>
          <w:lang w:val="fr-FR"/>
        </w:rPr>
      </w:pPr>
      <w:r w:rsidRPr="00CE70CB">
        <w:rPr>
          <w:lang w:val="fr-FR"/>
        </w:rPr>
        <w:t>Les dispositions spéciales 391 et 396-499 sont réservées.</w:t>
      </w:r>
    </w:p>
    <w:p w:rsidR="00267DA7" w:rsidRPr="00CE70CB" w:rsidRDefault="00267DA7" w:rsidP="00267DA7">
      <w:pPr>
        <w:pStyle w:val="H1G"/>
        <w:rPr>
          <w:lang w:val="fr-FR"/>
        </w:rPr>
      </w:pPr>
      <w:r w:rsidRPr="00CE70CB">
        <w:rPr>
          <w:lang w:val="fr-FR"/>
        </w:rPr>
        <w:lastRenderedPageBreak/>
        <w:tab/>
      </w:r>
      <w:r w:rsidRPr="00CE70CB">
        <w:rPr>
          <w:lang w:val="fr-FR"/>
        </w:rPr>
        <w:tab/>
        <w:t>Chapitre 4.1</w:t>
      </w:r>
    </w:p>
    <w:p w:rsidR="00F82662" w:rsidRPr="00CE70CB" w:rsidRDefault="00267DA7" w:rsidP="00267DA7">
      <w:pPr>
        <w:pStyle w:val="SingleTxtG"/>
        <w:rPr>
          <w:lang w:val="fr-FR"/>
        </w:rPr>
      </w:pPr>
      <w:r w:rsidRPr="00CE70CB">
        <w:rPr>
          <w:lang w:val="fr-FR"/>
        </w:rPr>
        <w:t>4.1, Nota sous le titre</w:t>
      </w:r>
    </w:p>
    <w:p w:rsidR="00267DA7" w:rsidRPr="00CE70CB" w:rsidRDefault="00F82662" w:rsidP="00F82662">
      <w:pPr>
        <w:pStyle w:val="SingleTxtG"/>
        <w:tabs>
          <w:tab w:val="left" w:pos="2268"/>
        </w:tabs>
        <w:rPr>
          <w:lang w:val="fr-FR"/>
        </w:rPr>
      </w:pPr>
      <w:r w:rsidRPr="00CE70CB">
        <w:rPr>
          <w:lang w:val="fr-FR"/>
        </w:rPr>
        <w:tab/>
      </w:r>
      <w:r w:rsidR="00267DA7" w:rsidRPr="00CE70CB">
        <w:rPr>
          <w:lang w:val="fr-FR"/>
        </w:rPr>
        <w:t>Remplacer « 6.3.1 » par « </w:t>
      </w:r>
      <w:bookmarkStart w:id="91" w:name="_Hlk31292718"/>
      <w:r w:rsidR="00267DA7" w:rsidRPr="00CE70CB">
        <w:rPr>
          <w:lang w:val="fr-FR"/>
        </w:rPr>
        <w:t>6.2.2.9, 6.2.2.10, 6.3.4</w:t>
      </w:r>
      <w:bookmarkEnd w:id="91"/>
      <w:r w:rsidR="00267DA7" w:rsidRPr="00CE70CB">
        <w:rPr>
          <w:lang w:val="fr-FR"/>
        </w:rPr>
        <w:t> ».</w:t>
      </w:r>
    </w:p>
    <w:p w:rsidR="00267DA7" w:rsidRPr="00CE70CB" w:rsidRDefault="00267DA7" w:rsidP="00267DA7">
      <w:pPr>
        <w:pStyle w:val="SingleTxtG"/>
        <w:tabs>
          <w:tab w:val="left" w:pos="2268"/>
        </w:tabs>
        <w:ind w:left="2259" w:hanging="1125"/>
        <w:rPr>
          <w:lang w:val="fr-FR"/>
        </w:rPr>
      </w:pPr>
      <w:bookmarkStart w:id="92" w:name="_Hlk31292883"/>
      <w:r w:rsidRPr="00CE70CB">
        <w:rPr>
          <w:lang w:val="fr-FR"/>
        </w:rPr>
        <w:t>4.1.1</w:t>
      </w:r>
      <w:r w:rsidRPr="00CE70CB">
        <w:rPr>
          <w:lang w:val="fr-FR"/>
        </w:rPr>
        <w:tab/>
      </w:r>
      <w:r w:rsidRPr="00CE70CB">
        <w:rPr>
          <w:lang w:val="fr-FR"/>
        </w:rPr>
        <w:tab/>
        <w:t>Dans le Nota, remplacer « (classe 6.2) » par « (</w:t>
      </w:r>
      <w:bookmarkStart w:id="93" w:name="_Hlk31292759"/>
      <w:r w:rsidRPr="00CE70CB">
        <w:rPr>
          <w:lang w:val="fr-FR"/>
        </w:rPr>
        <w:t>classe 6.2, Nos ONU 2814 et 2900</w:t>
      </w:r>
      <w:bookmarkEnd w:id="93"/>
      <w:r w:rsidRPr="00CE70CB">
        <w:rPr>
          <w:lang w:val="fr-FR"/>
        </w:rPr>
        <w:t xml:space="preserve">) ». </w:t>
      </w:r>
      <w:r w:rsidR="00CF237A" w:rsidRPr="00CE70CB">
        <w:rPr>
          <w:lang w:val="fr-FR"/>
        </w:rPr>
        <w:t xml:space="preserve">Modifier le texte entre parenthèses à la fin du Nota </w:t>
      </w:r>
      <w:r w:rsidRPr="00CE70CB">
        <w:rPr>
          <w:lang w:val="fr-FR"/>
        </w:rPr>
        <w:t>pour lire comme suit : « (</w:t>
      </w:r>
      <w:bookmarkStart w:id="94" w:name="_Hlk31292842"/>
      <w:r w:rsidRPr="00CE70CB">
        <w:rPr>
          <w:lang w:val="fr-FR"/>
        </w:rPr>
        <w:t>P201, P207 et LP02 pour la classe 2 et P620, P621, P622, IBC620, LP621 et LP622 pour la classe 6.2</w:t>
      </w:r>
      <w:bookmarkEnd w:id="94"/>
      <w:r w:rsidRPr="00CE70CB">
        <w:rPr>
          <w:lang w:val="fr-FR"/>
        </w:rPr>
        <w:t>)</w:t>
      </w:r>
      <w:r w:rsidR="00CE70CB" w:rsidRPr="00CE70CB">
        <w:rPr>
          <w:lang w:val="fr-FR"/>
        </w:rPr>
        <w:t> »</w:t>
      </w:r>
      <w:r w:rsidRPr="00CE70CB">
        <w:rPr>
          <w:lang w:val="fr-FR"/>
        </w:rPr>
        <w:t>.</w:t>
      </w:r>
    </w:p>
    <w:bookmarkEnd w:id="92"/>
    <w:p w:rsidR="00267DA7" w:rsidRPr="00CE70CB" w:rsidRDefault="00267DA7" w:rsidP="00267DA7">
      <w:pPr>
        <w:pStyle w:val="SingleTxtG"/>
        <w:tabs>
          <w:tab w:val="left" w:pos="2268"/>
        </w:tabs>
        <w:ind w:left="2259" w:hanging="1125"/>
        <w:rPr>
          <w:lang w:val="fr-FR"/>
        </w:rPr>
      </w:pPr>
      <w:r w:rsidRPr="00CE70CB">
        <w:rPr>
          <w:lang w:val="fr-FR"/>
        </w:rPr>
        <w:t>4.1.1.3</w:t>
      </w:r>
      <w:r w:rsidRPr="00CE70CB">
        <w:rPr>
          <w:lang w:val="fr-FR"/>
        </w:rPr>
        <w:tab/>
      </w:r>
      <w:r w:rsidRPr="00CE70CB">
        <w:rPr>
          <w:lang w:val="fr-FR"/>
        </w:rPr>
        <w:tab/>
        <w:t>Ajouter un nouveau titre pour lire « </w:t>
      </w:r>
      <w:r w:rsidRPr="00CE70CB">
        <w:rPr>
          <w:b/>
          <w:bCs/>
          <w:lang w:val="fr-FR"/>
        </w:rPr>
        <w:t>4.1.1.3</w:t>
      </w:r>
      <w:r w:rsidR="002F5BC9" w:rsidRPr="00CE70CB">
        <w:rPr>
          <w:b/>
          <w:bCs/>
          <w:i/>
          <w:iCs/>
          <w:lang w:val="fr-FR"/>
        </w:rPr>
        <w:t xml:space="preserve"> </w:t>
      </w:r>
      <w:r w:rsidRPr="00CE70CB">
        <w:rPr>
          <w:b/>
          <w:bCs/>
          <w:i/>
          <w:iCs/>
          <w:lang w:val="fr-FR"/>
        </w:rPr>
        <w:t>Modèle type</w:t>
      </w:r>
      <w:r w:rsidRPr="00CE70CB">
        <w:rPr>
          <w:lang w:val="fr-FR"/>
        </w:rPr>
        <w:t> ». Numéroter le 4.1.1.3 actuel en tant que 4.1.1.3.1 et supprimer la dernière phrase. Ajouter le nouveau 4.1.1.3.2 suivant :</w:t>
      </w:r>
    </w:p>
    <w:p w:rsidR="002F5BC9" w:rsidRPr="00CE70CB" w:rsidRDefault="00267DA7" w:rsidP="002F5BC9">
      <w:pPr>
        <w:pStyle w:val="SingleTxtG"/>
        <w:tabs>
          <w:tab w:val="left" w:pos="2268"/>
        </w:tabs>
        <w:ind w:left="2259" w:hanging="1125"/>
        <w:rPr>
          <w:lang w:val="fr-FR"/>
        </w:rPr>
      </w:pPr>
      <w:r w:rsidRPr="00CE70CB">
        <w:rPr>
          <w:lang w:val="fr-FR"/>
        </w:rPr>
        <w:tab/>
        <w:t>« 4.1.1.3.2</w:t>
      </w:r>
      <w:r w:rsidRPr="00CE70CB">
        <w:rPr>
          <w:lang w:val="fr-FR"/>
        </w:rPr>
        <w:tab/>
        <w:t>Les emballages, y compris les GRV et les grands emballages, peuvent être conformes à un ou plusieurs modèles types ayant satisfait aux épreuves et peuvent porter plus d’une marque. »</w:t>
      </w:r>
    </w:p>
    <w:p w:rsidR="002F5BC9" w:rsidRPr="00CE70CB" w:rsidRDefault="00267DA7" w:rsidP="002F5BC9">
      <w:pPr>
        <w:pStyle w:val="SingleTxtG"/>
        <w:tabs>
          <w:tab w:val="left" w:pos="2268"/>
        </w:tabs>
        <w:ind w:left="2259" w:hanging="1125"/>
        <w:rPr>
          <w:lang w:val="fr-FR"/>
        </w:rPr>
      </w:pPr>
      <w:r w:rsidRPr="00CE70CB">
        <w:rPr>
          <w:lang w:val="fr-FR"/>
        </w:rPr>
        <w:t xml:space="preserve">4.1.1.10 </w:t>
      </w:r>
      <w:r w:rsidRPr="00CE70CB">
        <w:rPr>
          <w:lang w:val="fr-FR"/>
        </w:rPr>
        <w:tab/>
        <w:t>À la fin du paragraphe d’introduction avant les alinéas, supprimer « ou ». Au début de l’alinéa b) et de l’alinéa c), supprimer « ou ». À la fin de l’alinéa b), ajouter « ou ».</w:t>
      </w:r>
    </w:p>
    <w:p w:rsidR="00267DA7" w:rsidRPr="00CE70CB" w:rsidRDefault="00267DA7" w:rsidP="002F5BC9">
      <w:pPr>
        <w:pStyle w:val="SingleTxtG"/>
        <w:tabs>
          <w:tab w:val="left" w:pos="2268"/>
        </w:tabs>
        <w:ind w:left="2259" w:hanging="1125"/>
        <w:rPr>
          <w:lang w:val="fr-FR"/>
        </w:rPr>
      </w:pPr>
      <w:r w:rsidRPr="00CE70CB">
        <w:rPr>
          <w:lang w:val="fr-FR"/>
        </w:rPr>
        <w:t>4.1.1.21.6</w:t>
      </w:r>
      <w:r w:rsidRPr="00CE70CB">
        <w:rPr>
          <w:lang w:val="fr-FR"/>
        </w:rPr>
        <w:tab/>
        <w:t>Dans le tableau 4.1.1.21.6, l</w:t>
      </w:r>
      <w:r w:rsidRPr="00CE70CB">
        <w:rPr>
          <w:szCs w:val="24"/>
          <w:lang w:val="fr-FR"/>
        </w:rPr>
        <w:t>’amendement pour le No ONU 1790 est sans objet en français.</w:t>
      </w:r>
    </w:p>
    <w:p w:rsidR="00267DA7" w:rsidRPr="00CE70CB" w:rsidRDefault="00267DA7" w:rsidP="00267DA7">
      <w:pPr>
        <w:pStyle w:val="SingleTxtG"/>
        <w:tabs>
          <w:tab w:val="left" w:pos="2268"/>
        </w:tabs>
        <w:ind w:left="2259" w:hanging="1125"/>
        <w:rPr>
          <w:lang w:val="fr-FR"/>
        </w:rPr>
      </w:pPr>
      <w:r w:rsidRPr="00CE70CB">
        <w:rPr>
          <w:lang w:val="fr-FR"/>
        </w:rPr>
        <w:t>4.1.1.21.6</w:t>
      </w:r>
      <w:r w:rsidRPr="00CE70CB">
        <w:rPr>
          <w:lang w:val="fr-FR"/>
        </w:rPr>
        <w:tab/>
        <w:t>Dans le tableau 4.1.1.21.6, pour le No ONU 3291, en colonne (4), supprimer « II ».</w:t>
      </w:r>
    </w:p>
    <w:p w:rsidR="00163009" w:rsidRPr="00CE70CB" w:rsidRDefault="00163009" w:rsidP="00267DA7">
      <w:pPr>
        <w:pStyle w:val="SingleTxtG"/>
        <w:tabs>
          <w:tab w:val="left" w:pos="2268"/>
        </w:tabs>
        <w:ind w:left="2259" w:hanging="1125"/>
        <w:rPr>
          <w:lang w:val="fr-FR"/>
        </w:rPr>
      </w:pPr>
      <w:bookmarkStart w:id="95" w:name="_Hlk32503581"/>
      <w:r w:rsidRPr="00CE70CB">
        <w:rPr>
          <w:szCs w:val="24"/>
          <w:lang w:val="fr-FR"/>
        </w:rPr>
        <w:t>4.1.3.1</w:t>
      </w:r>
      <w:r w:rsidRPr="00CE70CB">
        <w:rPr>
          <w:szCs w:val="24"/>
          <w:lang w:val="fr-FR"/>
        </w:rPr>
        <w:tab/>
        <w:t>L’amendement est sans objet en français.</w:t>
      </w:r>
    </w:p>
    <w:bookmarkEnd w:id="95"/>
    <w:p w:rsidR="00267DA7" w:rsidRPr="00CE70CB" w:rsidRDefault="00267DA7" w:rsidP="00267DA7">
      <w:pPr>
        <w:pStyle w:val="SingleTxtG"/>
        <w:tabs>
          <w:tab w:val="left" w:pos="2268"/>
        </w:tabs>
        <w:ind w:left="2259" w:hanging="1125"/>
        <w:rPr>
          <w:lang w:val="fr-FR"/>
        </w:rPr>
      </w:pPr>
      <w:r w:rsidRPr="00CE70CB">
        <w:rPr>
          <w:lang w:val="fr-FR"/>
        </w:rPr>
        <w:t>4.1.4.1, P001</w:t>
      </w:r>
      <w:r w:rsidRPr="00CE70CB">
        <w:rPr>
          <w:lang w:val="fr-FR"/>
        </w:rPr>
        <w:tab/>
        <w:t xml:space="preserve">Pour « Emballages composites », dans la dernière rubrique, remplacer « en plastique rigide ou en plastique expansé » par « en plastique expansé ou en plastique rigide ». </w:t>
      </w:r>
    </w:p>
    <w:p w:rsidR="00267DA7" w:rsidRPr="00CE70CB" w:rsidRDefault="00267DA7" w:rsidP="00267DA7">
      <w:pPr>
        <w:pStyle w:val="SingleTxtG"/>
        <w:tabs>
          <w:tab w:val="left" w:pos="2268"/>
        </w:tabs>
        <w:ind w:left="2259" w:hanging="1125"/>
        <w:rPr>
          <w:lang w:val="fr-FR"/>
        </w:rPr>
      </w:pPr>
      <w:r w:rsidRPr="00CE70CB">
        <w:rPr>
          <w:lang w:val="fr-FR"/>
        </w:rPr>
        <w:t>4.1.4.1, P002</w:t>
      </w:r>
      <w:r w:rsidRPr="00CE70CB">
        <w:rPr>
          <w:lang w:val="fr-FR"/>
        </w:rPr>
        <w:tab/>
        <w:t xml:space="preserve">Pour « Emballages composites », dans la dernière rubrique, remplacer « en plastique rigide ou en plastique expansé (6PH2 ou 6PH1 </w:t>
      </w:r>
      <w:r w:rsidRPr="00CE70CB">
        <w:rPr>
          <w:vertAlign w:val="superscript"/>
          <w:lang w:val="fr-FR"/>
        </w:rPr>
        <w:t>e</w:t>
      </w:r>
      <w:r w:rsidRPr="00CE70CB">
        <w:rPr>
          <w:lang w:val="fr-FR"/>
        </w:rPr>
        <w:t xml:space="preserve">) » par « en plastique expansé ou en plastique rigide (6PH1 ou 6PH2 </w:t>
      </w:r>
      <w:r w:rsidRPr="00CE70CB">
        <w:rPr>
          <w:vertAlign w:val="superscript"/>
          <w:lang w:val="fr-FR"/>
        </w:rPr>
        <w:t>e</w:t>
      </w:r>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4.1.4.1, P003</w:t>
      </w:r>
      <w:r w:rsidRPr="00CE70CB">
        <w:rPr>
          <w:lang w:val="fr-FR"/>
        </w:rPr>
        <w:tab/>
        <w:t xml:space="preserve">Pour la disposition spéciale d’emballage PP16, </w:t>
      </w:r>
      <w:r w:rsidR="00FD7243" w:rsidRPr="00CE70CB">
        <w:rPr>
          <w:lang w:val="fr-FR"/>
        </w:rPr>
        <w:t xml:space="preserve">dans le Nota 2, </w:t>
      </w:r>
      <w:r w:rsidRPr="00CE70CB">
        <w:rPr>
          <w:lang w:val="fr-FR"/>
        </w:rPr>
        <w:t xml:space="preserve">remplacer « P801a » par « P801 ». </w:t>
      </w:r>
    </w:p>
    <w:p w:rsidR="00267DA7" w:rsidRPr="00CE70CB" w:rsidRDefault="00267DA7" w:rsidP="00267DA7">
      <w:pPr>
        <w:pStyle w:val="SingleTxtG"/>
        <w:tabs>
          <w:tab w:val="left" w:pos="2268"/>
        </w:tabs>
        <w:ind w:left="2259" w:hanging="1125"/>
        <w:rPr>
          <w:lang w:val="fr-FR"/>
        </w:rPr>
      </w:pPr>
      <w:r w:rsidRPr="00CE70CB">
        <w:rPr>
          <w:lang w:val="fr-FR"/>
        </w:rPr>
        <w:t>4.1.4.1, P003</w:t>
      </w:r>
      <w:r w:rsidRPr="00CE70CB">
        <w:rPr>
          <w:lang w:val="fr-FR"/>
        </w:rPr>
        <w:tab/>
        <w:t>Dans la disposition spéciale d’emballage PP32, après « 3358 » ajouter « et les objets robustes expédiés sous le No ONU 3164 ».</w:t>
      </w:r>
    </w:p>
    <w:p w:rsidR="00267DA7" w:rsidRPr="00CE70CB" w:rsidRDefault="00267DA7" w:rsidP="00267DA7">
      <w:pPr>
        <w:pStyle w:val="SingleTxtG"/>
        <w:tabs>
          <w:tab w:val="left" w:pos="2268"/>
        </w:tabs>
        <w:ind w:left="2259" w:hanging="1125"/>
        <w:rPr>
          <w:lang w:val="fr-FR"/>
        </w:rPr>
      </w:pPr>
      <w:r w:rsidRPr="00CE70CB">
        <w:rPr>
          <w:lang w:val="fr-FR"/>
        </w:rPr>
        <w:t>4.1.4.1, P003</w:t>
      </w:r>
      <w:r w:rsidRPr="00CE70CB">
        <w:rPr>
          <w:lang w:val="fr-FR"/>
        </w:rPr>
        <w:tab/>
        <w:t>Ajouter la nouvelle disposition spéciale d’emballage suivante :</w:t>
      </w:r>
    </w:p>
    <w:p w:rsidR="00267DA7" w:rsidRPr="00CE70CB" w:rsidRDefault="00267DA7" w:rsidP="00267DA7">
      <w:pPr>
        <w:pStyle w:val="SingleTxtG"/>
        <w:tabs>
          <w:tab w:val="left" w:pos="2268"/>
        </w:tabs>
        <w:ind w:left="2259" w:hanging="1125"/>
        <w:rPr>
          <w:lang w:val="fr-FR"/>
        </w:rPr>
      </w:pPr>
      <w:r w:rsidRPr="00CE70CB">
        <w:rPr>
          <w:lang w:val="fr-FR"/>
        </w:rPr>
        <w:tab/>
        <w:t>« </w:t>
      </w:r>
      <w:r w:rsidRPr="00CE70CB">
        <w:rPr>
          <w:b/>
          <w:bCs/>
          <w:lang w:val="fr-FR"/>
        </w:rPr>
        <w:t>PP96</w:t>
      </w:r>
      <w:r w:rsidRPr="00CE70CB">
        <w:rPr>
          <w:lang w:val="fr-FR"/>
        </w:rPr>
        <w:tab/>
        <w:t xml:space="preserve">Pour le No ONU 2037, les emballages des cartouches à gaz mises au rebut transportées conformément à la disposition spéciale 327 </w:t>
      </w:r>
      <w:r w:rsidR="007650EB" w:rsidRPr="00CE70CB">
        <w:rPr>
          <w:lang w:val="fr-FR"/>
        </w:rPr>
        <w:t xml:space="preserve">du chapitre 3.3 </w:t>
      </w:r>
      <w:r w:rsidRPr="00CE70CB">
        <w:rPr>
          <w:lang w:val="fr-FR"/>
        </w:rPr>
        <w:t>doivent être correctement ventilés afin d’empêcher la formation d’atmosphères dangereuses et une augmentation de la pression. ».</w:t>
      </w:r>
    </w:p>
    <w:p w:rsidR="00267DA7" w:rsidRPr="00CE70CB" w:rsidRDefault="00267DA7" w:rsidP="00267DA7">
      <w:pPr>
        <w:pStyle w:val="SingleTxtG"/>
        <w:tabs>
          <w:tab w:val="left" w:pos="2268"/>
        </w:tabs>
        <w:ind w:left="2259" w:hanging="1125"/>
        <w:rPr>
          <w:lang w:val="fr-FR"/>
        </w:rPr>
      </w:pPr>
      <w:r w:rsidRPr="00CE70CB">
        <w:rPr>
          <w:lang w:val="fr-FR"/>
        </w:rPr>
        <w:t>4.1.4.1, P200</w:t>
      </w:r>
      <w:r w:rsidR="00D44FF2" w:rsidRPr="00CE70CB">
        <w:rPr>
          <w:lang w:val="fr-FR"/>
        </w:rPr>
        <w:t xml:space="preserve"> </w:t>
      </w:r>
      <w:r w:rsidRPr="00CE70CB">
        <w:rPr>
          <w:lang w:val="fr-FR"/>
        </w:rPr>
        <w:t>5) a)</w:t>
      </w:r>
    </w:p>
    <w:p w:rsidR="00267DA7" w:rsidRPr="00CE70CB" w:rsidRDefault="00267DA7" w:rsidP="00267DA7">
      <w:pPr>
        <w:pStyle w:val="SingleTxtG"/>
        <w:tabs>
          <w:tab w:val="left" w:pos="2268"/>
        </w:tabs>
        <w:ind w:left="2259" w:hanging="1125"/>
        <w:rPr>
          <w:lang w:val="fr-FR"/>
        </w:rPr>
      </w:pPr>
      <w:r w:rsidRPr="00CE70CB">
        <w:rPr>
          <w:lang w:val="fr-FR"/>
        </w:rPr>
        <w:tab/>
      </w:r>
      <w:r w:rsidRPr="00CE70CB">
        <w:rPr>
          <w:szCs w:val="24"/>
          <w:lang w:val="fr-FR"/>
        </w:rPr>
        <w:t>Après « disposition spéciale d’emballage "o" » ajouter « sous 10) ».</w:t>
      </w:r>
    </w:p>
    <w:p w:rsidR="00267DA7" w:rsidRPr="00CE70CB" w:rsidRDefault="00267DA7" w:rsidP="00267DA7">
      <w:pPr>
        <w:pStyle w:val="SingleTxtG"/>
        <w:tabs>
          <w:tab w:val="left" w:pos="2268"/>
        </w:tabs>
        <w:ind w:left="2259" w:hanging="1125"/>
        <w:rPr>
          <w:lang w:val="fr-FR"/>
        </w:rPr>
      </w:pPr>
      <w:r w:rsidRPr="00CE70CB">
        <w:rPr>
          <w:lang w:val="fr-FR"/>
        </w:rPr>
        <w:t>4.1.4.1, P200 5) b)</w:t>
      </w:r>
    </w:p>
    <w:p w:rsidR="00267DA7" w:rsidRPr="00CE70CB" w:rsidRDefault="00267DA7" w:rsidP="00267DA7">
      <w:pPr>
        <w:pStyle w:val="SingleTxtG"/>
        <w:tabs>
          <w:tab w:val="left" w:pos="2268"/>
        </w:tabs>
        <w:ind w:left="2259" w:hanging="1125"/>
        <w:rPr>
          <w:lang w:val="fr-FR"/>
        </w:rPr>
      </w:pPr>
      <w:r w:rsidRPr="00CE70CB">
        <w:rPr>
          <w:lang w:val="fr-FR"/>
        </w:rPr>
        <w:tab/>
      </w:r>
      <w:r w:rsidRPr="00CE70CB">
        <w:rPr>
          <w:szCs w:val="24"/>
          <w:lang w:val="fr-FR"/>
        </w:rPr>
        <w:t>Après « disposition spéciale "o" » ajouter « sous 10) ».</w:t>
      </w:r>
    </w:p>
    <w:p w:rsidR="00267DA7" w:rsidRPr="00CE70CB" w:rsidRDefault="00267DA7" w:rsidP="00267DA7">
      <w:pPr>
        <w:pStyle w:val="SingleTxtG"/>
        <w:tabs>
          <w:tab w:val="left" w:pos="2268"/>
        </w:tabs>
        <w:ind w:left="2259" w:hanging="1125"/>
        <w:rPr>
          <w:lang w:val="fr-FR"/>
        </w:rPr>
      </w:pPr>
      <w:r w:rsidRPr="00CE70CB">
        <w:rPr>
          <w:lang w:val="fr-FR"/>
        </w:rPr>
        <w:t>4.1.4.1, P200 5) b) i)</w:t>
      </w:r>
    </w:p>
    <w:p w:rsidR="00267DA7" w:rsidRPr="00CE70CB" w:rsidRDefault="00267DA7" w:rsidP="00267DA7">
      <w:pPr>
        <w:pStyle w:val="SingleTxtG"/>
        <w:tabs>
          <w:tab w:val="left" w:pos="2268"/>
        </w:tabs>
        <w:ind w:left="2259" w:hanging="1125"/>
        <w:rPr>
          <w:szCs w:val="24"/>
          <w:lang w:val="fr-FR"/>
        </w:rPr>
      </w:pPr>
      <w:r w:rsidRPr="00CE70CB">
        <w:rPr>
          <w:lang w:val="fr-FR"/>
        </w:rPr>
        <w:tab/>
      </w:r>
      <w:r w:rsidRPr="00CE70CB">
        <w:rPr>
          <w:szCs w:val="24"/>
          <w:lang w:val="fr-FR"/>
        </w:rPr>
        <w:t>Après « disposition spéciale "r" » ajouter « sous 10) ».</w:t>
      </w:r>
    </w:p>
    <w:p w:rsidR="00267DA7" w:rsidRPr="00CE70CB" w:rsidRDefault="00267DA7" w:rsidP="00267DA7">
      <w:pPr>
        <w:pStyle w:val="SingleTxtG"/>
        <w:tabs>
          <w:tab w:val="left" w:pos="2268"/>
        </w:tabs>
        <w:ind w:left="2259" w:hanging="1125"/>
        <w:rPr>
          <w:lang w:val="fr-FR"/>
        </w:rPr>
      </w:pPr>
      <w:r w:rsidRPr="00CE70CB">
        <w:rPr>
          <w:lang w:val="fr-FR"/>
        </w:rPr>
        <w:t>4.1.4.1, P200 11)</w:t>
      </w:r>
    </w:p>
    <w:p w:rsidR="00267DA7" w:rsidRPr="00CE70CB" w:rsidRDefault="00267DA7" w:rsidP="00267DA7">
      <w:pPr>
        <w:pStyle w:val="SingleTxtG"/>
        <w:tabs>
          <w:tab w:val="left" w:pos="2268"/>
        </w:tabs>
        <w:ind w:left="2259" w:hanging="1125"/>
        <w:rPr>
          <w:lang w:val="fr-FR"/>
        </w:rPr>
      </w:pPr>
      <w:r w:rsidRPr="00CE70CB">
        <w:rPr>
          <w:lang w:val="fr-FR"/>
        </w:rPr>
        <w:tab/>
        <w:t xml:space="preserve">Supprimer la ligne pour « 7) a) ISO 24431:2006 ». Dans la ligne pour « 7) EN ISO 24431:2016 », remplacer « EN ISO 24431:2016 » par « ISO 24431:2016 » et ajouter le Nota suivant dans la colonne « Titre du </w:t>
      </w:r>
      <w:r w:rsidRPr="00CE70CB">
        <w:rPr>
          <w:lang w:val="fr-FR"/>
        </w:rPr>
        <w:lastRenderedPageBreak/>
        <w:t>document » : « </w:t>
      </w:r>
      <w:r w:rsidRPr="00CE70CB">
        <w:rPr>
          <w:b/>
          <w:bCs/>
          <w:i/>
          <w:iCs/>
          <w:lang w:val="fr-FR"/>
        </w:rPr>
        <w:t>NOTA :</w:t>
      </w:r>
      <w:r w:rsidRPr="00CE70CB">
        <w:rPr>
          <w:i/>
          <w:iCs/>
          <w:lang w:val="fr-FR"/>
        </w:rPr>
        <w:t xml:space="preserve"> La version EN de cette norme ISO est conforme aux prescriptions et peut aussi être utilisée.</w:t>
      </w:r>
      <w:r w:rsidRPr="00CE70CB">
        <w:rPr>
          <w:lang w:val="fr-FR"/>
        </w:rPr>
        <w:t xml:space="preserve"> ». </w:t>
      </w:r>
    </w:p>
    <w:p w:rsidR="00267DA7" w:rsidRPr="00CE70CB" w:rsidRDefault="00267DA7" w:rsidP="00267DA7">
      <w:pPr>
        <w:pStyle w:val="SingleTxtG"/>
        <w:tabs>
          <w:tab w:val="left" w:pos="2268"/>
        </w:tabs>
        <w:ind w:left="2259" w:hanging="1125"/>
        <w:rPr>
          <w:lang w:val="fr-FR"/>
        </w:rPr>
      </w:pPr>
      <w:r w:rsidRPr="00CE70CB">
        <w:rPr>
          <w:lang w:val="fr-FR"/>
        </w:rPr>
        <w:t>4.1.4.1, P200 13) 2.4</w:t>
      </w:r>
    </w:p>
    <w:p w:rsidR="00267DA7" w:rsidRPr="00CE70CB" w:rsidRDefault="00267DA7" w:rsidP="00267DA7">
      <w:pPr>
        <w:pStyle w:val="SingleTxtG"/>
        <w:tabs>
          <w:tab w:val="left" w:pos="2268"/>
        </w:tabs>
        <w:ind w:left="2259" w:hanging="1125"/>
        <w:rPr>
          <w:lang w:val="fr-FR"/>
        </w:rPr>
      </w:pPr>
      <w:r w:rsidRPr="00CE70CB">
        <w:rPr>
          <w:lang w:val="fr-FR"/>
        </w:rPr>
        <w:tab/>
        <w:t>Remplacer « EN ISO 11114-1:2012 » par « EN ISO 11114-1:2012 + A1:2017 » et remplacer « EN 11114-2:2013 » par « EN ISO 11114-2:2013 ».</w:t>
      </w:r>
    </w:p>
    <w:p w:rsidR="009B088C" w:rsidRPr="00CE70CB" w:rsidRDefault="009B088C" w:rsidP="009B088C">
      <w:pPr>
        <w:pStyle w:val="SingleTxtG"/>
        <w:tabs>
          <w:tab w:val="left" w:pos="2268"/>
        </w:tabs>
        <w:ind w:left="2259" w:hanging="1125"/>
        <w:rPr>
          <w:lang w:val="fr-FR"/>
        </w:rPr>
      </w:pPr>
      <w:r w:rsidRPr="00CE70CB">
        <w:rPr>
          <w:lang w:val="fr-FR"/>
        </w:rPr>
        <w:t>4.1.4.1, P200</w:t>
      </w:r>
      <w:r w:rsidRPr="00CE70CB">
        <w:rPr>
          <w:lang w:val="fr-FR"/>
        </w:rPr>
        <w:tab/>
        <w:t>Dans le tableau 2, remplacer les valeurs de la colonne « CL</w:t>
      </w:r>
      <w:r w:rsidRPr="00CE70CB">
        <w:rPr>
          <w:vertAlign w:val="subscript"/>
          <w:lang w:val="fr-FR"/>
        </w:rPr>
        <w:t>50</w:t>
      </w:r>
      <w:r w:rsidRPr="00CE70CB">
        <w:rPr>
          <w:lang w:val="fr-FR"/>
        </w:rPr>
        <w:t xml:space="preserve"> (en ml/m</w:t>
      </w:r>
      <w:r w:rsidRPr="00CE70CB">
        <w:rPr>
          <w:vertAlign w:val="superscript"/>
          <w:lang w:val="fr-FR"/>
        </w:rPr>
        <w:t>3</w:t>
      </w:r>
      <w:r w:rsidRPr="00CE70CB">
        <w:rPr>
          <w:lang w:val="fr-FR"/>
        </w:rPr>
        <w:t xml:space="preserve">) » comme suit : </w:t>
      </w:r>
    </w:p>
    <w:p w:rsidR="009B088C" w:rsidRPr="00CE70CB" w:rsidRDefault="009B088C" w:rsidP="009B088C">
      <w:pPr>
        <w:pStyle w:val="SingleTxtG"/>
        <w:tabs>
          <w:tab w:val="left" w:pos="2268"/>
        </w:tabs>
        <w:ind w:left="3384" w:hanging="1125"/>
        <w:rPr>
          <w:lang w:val="fr-FR"/>
        </w:rPr>
      </w:pPr>
      <w:r w:rsidRPr="00CE70CB">
        <w:rPr>
          <w:lang w:val="fr-FR"/>
        </w:rPr>
        <w:t>Pour le No ONU 1859, remplacer « 450 » par « 922 ».</w:t>
      </w:r>
    </w:p>
    <w:p w:rsidR="009B088C" w:rsidRPr="00CE70CB" w:rsidRDefault="009B088C" w:rsidP="009B088C">
      <w:pPr>
        <w:pStyle w:val="SingleTxtG"/>
        <w:tabs>
          <w:tab w:val="left" w:pos="2268"/>
        </w:tabs>
        <w:ind w:left="3384" w:hanging="1125"/>
        <w:rPr>
          <w:lang w:val="fr-FR"/>
        </w:rPr>
      </w:pPr>
      <w:r w:rsidRPr="00CE70CB">
        <w:rPr>
          <w:lang w:val="fr-FR"/>
        </w:rPr>
        <w:t xml:space="preserve">Pour le No ONU 2188, remplacer « 20 » par « 178 ». </w:t>
      </w:r>
    </w:p>
    <w:p w:rsidR="009B088C" w:rsidRPr="00CE70CB" w:rsidRDefault="009B088C" w:rsidP="009B088C">
      <w:pPr>
        <w:pStyle w:val="SingleTxtG"/>
        <w:tabs>
          <w:tab w:val="left" w:pos="2268"/>
        </w:tabs>
        <w:ind w:left="3384" w:hanging="1125"/>
        <w:rPr>
          <w:lang w:val="fr-FR"/>
        </w:rPr>
      </w:pPr>
      <w:r w:rsidRPr="00CE70CB">
        <w:rPr>
          <w:lang w:val="fr-FR"/>
        </w:rPr>
        <w:t xml:space="preserve">Pour le No ONU 2202, remplacer « 2 » par « 51 ». </w:t>
      </w:r>
    </w:p>
    <w:p w:rsidR="009B088C" w:rsidRPr="00CE70CB" w:rsidRDefault="009B088C" w:rsidP="009B088C">
      <w:pPr>
        <w:pStyle w:val="SingleTxtG"/>
        <w:tabs>
          <w:tab w:val="left" w:pos="2268"/>
        </w:tabs>
        <w:ind w:left="3384" w:hanging="1125"/>
        <w:rPr>
          <w:lang w:val="fr-FR"/>
        </w:rPr>
      </w:pPr>
      <w:r w:rsidRPr="00CE70CB">
        <w:rPr>
          <w:lang w:val="fr-FR"/>
        </w:rPr>
        <w:t xml:space="preserve">Pour le No ONU 2534, remplacer « 600 » par « 2810 ». </w:t>
      </w:r>
    </w:p>
    <w:p w:rsidR="009B088C" w:rsidRPr="00CE70CB" w:rsidRDefault="009B088C" w:rsidP="009B088C">
      <w:pPr>
        <w:pStyle w:val="SingleTxtG"/>
        <w:tabs>
          <w:tab w:val="left" w:pos="2268"/>
        </w:tabs>
        <w:ind w:left="3384" w:hanging="1125"/>
        <w:rPr>
          <w:lang w:val="fr-FR"/>
        </w:rPr>
      </w:pPr>
      <w:r w:rsidRPr="00CE70CB">
        <w:rPr>
          <w:lang w:val="fr-FR"/>
        </w:rPr>
        <w:t>Pour le No ONU 2676, remplacer « 20 » par « 178 ».</w:t>
      </w:r>
    </w:p>
    <w:p w:rsidR="00267DA7" w:rsidRPr="00CE70CB" w:rsidRDefault="00267DA7" w:rsidP="00267DA7">
      <w:pPr>
        <w:pStyle w:val="SingleTxtG"/>
        <w:tabs>
          <w:tab w:val="left" w:pos="2268"/>
        </w:tabs>
        <w:ind w:left="2259" w:hanging="1125"/>
        <w:rPr>
          <w:lang w:val="fr-FR"/>
        </w:rPr>
      </w:pPr>
      <w:r w:rsidRPr="00CE70CB">
        <w:rPr>
          <w:lang w:val="fr-FR"/>
        </w:rPr>
        <w:t>4.1.4.1, P206</w:t>
      </w:r>
      <w:r w:rsidRPr="00CE70CB">
        <w:rPr>
          <w:lang w:val="fr-FR"/>
        </w:rPr>
        <w:tab/>
        <w:t>Dans le titre de la dernière ligne de l’instruction d’emballage, remplacer « Disposition</w:t>
      </w:r>
      <w:r w:rsidR="00C65FAA" w:rsidRPr="00CE70CB">
        <w:rPr>
          <w:lang w:val="fr-FR"/>
        </w:rPr>
        <w:t xml:space="preserve"> </w:t>
      </w:r>
      <w:r w:rsidRPr="00CE70CB">
        <w:rPr>
          <w:lang w:val="fr-FR"/>
        </w:rPr>
        <w:t>spéciale</w:t>
      </w:r>
      <w:r w:rsidR="00C65FAA" w:rsidRPr="00CE70CB">
        <w:rPr>
          <w:lang w:val="fr-FR"/>
        </w:rPr>
        <w:t xml:space="preserve"> </w:t>
      </w:r>
      <w:r w:rsidRPr="00CE70CB">
        <w:rPr>
          <w:lang w:val="fr-FR"/>
        </w:rPr>
        <w:t>d’emballage » par « Dispositions</w:t>
      </w:r>
      <w:r w:rsidR="00C65FAA" w:rsidRPr="00CE70CB">
        <w:rPr>
          <w:lang w:val="fr-FR"/>
        </w:rPr>
        <w:t xml:space="preserve"> </w:t>
      </w:r>
      <w:r w:rsidRPr="00CE70CB">
        <w:rPr>
          <w:lang w:val="fr-FR"/>
        </w:rPr>
        <w:t>spéciales</w:t>
      </w:r>
      <w:r w:rsidR="00C65FAA" w:rsidRPr="00CE70CB">
        <w:rPr>
          <w:lang w:val="fr-FR"/>
        </w:rPr>
        <w:t xml:space="preserve"> </w:t>
      </w:r>
      <w:r w:rsidRPr="00CE70CB">
        <w:rPr>
          <w:lang w:val="fr-FR"/>
        </w:rPr>
        <w:t>d’emballage ».</w:t>
      </w:r>
    </w:p>
    <w:p w:rsidR="00267DA7" w:rsidRPr="00CE70CB" w:rsidRDefault="00267DA7" w:rsidP="00267DA7">
      <w:pPr>
        <w:pStyle w:val="SingleTxtG"/>
        <w:tabs>
          <w:tab w:val="left" w:pos="2268"/>
        </w:tabs>
        <w:ind w:left="2259" w:hanging="1125"/>
        <w:rPr>
          <w:lang w:val="fr-FR"/>
        </w:rPr>
      </w:pPr>
      <w:r w:rsidRPr="00CE70CB">
        <w:rPr>
          <w:lang w:val="fr-FR"/>
        </w:rPr>
        <w:tab/>
        <w:t xml:space="preserve">Ajouter la nouvelle disposition spéciale d’emballage suivante : </w:t>
      </w:r>
    </w:p>
    <w:p w:rsidR="00267DA7" w:rsidRPr="00CE70CB" w:rsidRDefault="00267DA7" w:rsidP="00267DA7">
      <w:pPr>
        <w:pStyle w:val="SingleTxtG"/>
        <w:tabs>
          <w:tab w:val="left" w:pos="2268"/>
        </w:tabs>
        <w:ind w:left="2259" w:hanging="1125"/>
        <w:rPr>
          <w:lang w:val="fr-FR"/>
        </w:rPr>
      </w:pPr>
      <w:r w:rsidRPr="00CE70CB">
        <w:rPr>
          <w:lang w:val="fr-FR"/>
        </w:rPr>
        <w:tab/>
        <w:t>« </w:t>
      </w:r>
      <w:r w:rsidRPr="00CE70CB">
        <w:rPr>
          <w:b/>
          <w:bCs/>
          <w:lang w:val="fr-FR"/>
        </w:rPr>
        <w:t>PP97</w:t>
      </w:r>
      <w:r w:rsidRPr="00CE70CB">
        <w:rPr>
          <w:b/>
          <w:bCs/>
          <w:lang w:val="fr-FR"/>
        </w:rPr>
        <w:tab/>
      </w:r>
      <w:r w:rsidRPr="00CE70CB">
        <w:rPr>
          <w:lang w:val="fr-FR"/>
        </w:rPr>
        <w:t>Pour les agents d’extinction affectés au No</w:t>
      </w:r>
      <w:r w:rsidRPr="00CE70CB">
        <w:rPr>
          <w:vertAlign w:val="superscript"/>
          <w:lang w:val="fr-FR"/>
        </w:rPr>
        <w:t xml:space="preserve"> </w:t>
      </w:r>
      <w:r w:rsidRPr="00CE70CB">
        <w:rPr>
          <w:lang w:val="fr-FR"/>
        </w:rPr>
        <w:t>ONU 3500, la périodicité maximale des épreuves pour les contrôles périodiques doit être de 10 ans. Ils peuvent être transportés dans des tubes d’une capacité maximale en eau de</w:t>
      </w:r>
      <w:r w:rsidR="002E6C3E" w:rsidRPr="00CE70CB">
        <w:rPr>
          <w:lang w:val="fr-FR"/>
        </w:rPr>
        <w:t xml:space="preserve"> </w:t>
      </w:r>
      <w:r w:rsidRPr="00CE70CB">
        <w:rPr>
          <w:lang w:val="fr-FR"/>
        </w:rPr>
        <w:t>450 </w:t>
      </w:r>
      <w:r w:rsidRPr="00CE70CB">
        <w:rPr>
          <w:i/>
          <w:iCs/>
          <w:lang w:val="fr-FR"/>
        </w:rPr>
        <w:t>l</w:t>
      </w:r>
      <w:r w:rsidRPr="00CE70CB">
        <w:rPr>
          <w:lang w:val="fr-FR"/>
        </w:rPr>
        <w:t xml:space="preserve">, conformément aux prescriptions applicables du </w:t>
      </w:r>
      <w:r w:rsidR="00C65FAA" w:rsidRPr="00CE70CB">
        <w:rPr>
          <w:lang w:val="fr-FR"/>
        </w:rPr>
        <w:t>c</w:t>
      </w:r>
      <w:r w:rsidRPr="00CE70CB">
        <w:rPr>
          <w:lang w:val="fr-FR"/>
        </w:rPr>
        <w:t>hapitre 6.2. »</w:t>
      </w:r>
    </w:p>
    <w:p w:rsidR="00267DA7" w:rsidRPr="00CE70CB" w:rsidRDefault="00267DA7" w:rsidP="00267DA7">
      <w:pPr>
        <w:pStyle w:val="SingleTxtG"/>
        <w:tabs>
          <w:tab w:val="left" w:pos="2268"/>
        </w:tabs>
        <w:ind w:left="2259" w:hanging="1125"/>
        <w:rPr>
          <w:lang w:val="fr-FR"/>
        </w:rPr>
      </w:pPr>
      <w:r w:rsidRPr="00CE70CB">
        <w:rPr>
          <w:lang w:val="fr-FR"/>
        </w:rPr>
        <w:t>4.1.4.1, P207</w:t>
      </w:r>
      <w:r w:rsidRPr="00CE70CB">
        <w:rPr>
          <w:lang w:val="fr-FR"/>
        </w:rPr>
        <w:tab/>
        <w:t>Dans la disposition spéciale d’emballage PP87, remplacer « d’une atmosphère inflammable » par « d’atmosphères dangereuses ».</w:t>
      </w:r>
    </w:p>
    <w:p w:rsidR="00267DA7" w:rsidRPr="00CE70CB" w:rsidRDefault="00267DA7" w:rsidP="00267DA7">
      <w:pPr>
        <w:pStyle w:val="SingleTxtG"/>
        <w:tabs>
          <w:tab w:val="left" w:pos="2268"/>
        </w:tabs>
        <w:ind w:left="2259" w:hanging="1125"/>
        <w:rPr>
          <w:lang w:val="fr-FR"/>
        </w:rPr>
      </w:pPr>
      <w:r w:rsidRPr="00CE70CB">
        <w:rPr>
          <w:lang w:val="fr-FR"/>
        </w:rPr>
        <w:t>4.1.4.1, P301</w:t>
      </w:r>
      <w:r w:rsidRPr="00CE70CB">
        <w:rPr>
          <w:lang w:val="fr-FR"/>
        </w:rPr>
        <w:tab/>
        <w:t xml:space="preserve">À la dernière phrase des alinéas 1) et 2) remplacer « récipient » par « rétention primaire ». </w:t>
      </w:r>
    </w:p>
    <w:p w:rsidR="00267DA7" w:rsidRPr="00CE70CB" w:rsidRDefault="00267DA7" w:rsidP="00267DA7">
      <w:pPr>
        <w:pStyle w:val="SingleTxtG"/>
        <w:tabs>
          <w:tab w:val="left" w:pos="2268"/>
        </w:tabs>
        <w:ind w:left="2259" w:hanging="1125"/>
        <w:rPr>
          <w:lang w:val="fr-FR"/>
        </w:rPr>
      </w:pPr>
      <w:bookmarkStart w:id="96" w:name="_Hlk19695426"/>
      <w:r w:rsidRPr="00CE70CB">
        <w:rPr>
          <w:lang w:val="fr-FR"/>
        </w:rPr>
        <w:t>4.1.4.1, P400</w:t>
      </w:r>
      <w:r w:rsidRPr="00CE70CB">
        <w:rPr>
          <w:lang w:val="fr-FR"/>
        </w:rPr>
        <w:tab/>
        <w:t>Aux 2) et 3) :</w:t>
      </w:r>
    </w:p>
    <w:p w:rsidR="00267DA7" w:rsidRPr="00CE70CB" w:rsidRDefault="00267DA7" w:rsidP="00267DA7">
      <w:pPr>
        <w:pStyle w:val="SingleTxtG"/>
        <w:tabs>
          <w:tab w:val="left" w:pos="2268"/>
        </w:tabs>
        <w:ind w:left="2259" w:hanging="1125"/>
        <w:rPr>
          <w:lang w:val="fr-FR"/>
        </w:rPr>
      </w:pPr>
      <w:r w:rsidRPr="00CE70CB">
        <w:rPr>
          <w:lang w:val="fr-FR"/>
        </w:rPr>
        <w:tab/>
        <w:t xml:space="preserve">Première phrase : remplacer « d’un bouchon fileté avec joints » par « de bouchons avec joints ». </w:t>
      </w:r>
    </w:p>
    <w:p w:rsidR="00267DA7" w:rsidRPr="00CE70CB" w:rsidRDefault="00267DA7" w:rsidP="008D5D65">
      <w:pPr>
        <w:pStyle w:val="SingleTxtG"/>
        <w:tabs>
          <w:tab w:val="left" w:pos="2268"/>
          <w:tab w:val="left" w:pos="7938"/>
        </w:tabs>
        <w:ind w:left="2259" w:hanging="1125"/>
        <w:rPr>
          <w:lang w:val="fr-FR" w:eastAsia="fr-FR"/>
        </w:rPr>
      </w:pPr>
      <w:r w:rsidRPr="00CE70CB">
        <w:rPr>
          <w:lang w:val="fr-FR"/>
        </w:rPr>
        <w:tab/>
        <w:t>Après la première phrase, insérer la nouvelle phrase suivante : « Les emballages intérieurs doivent être munis de bouchons filetés ou de fermetures physiquement maintenues en place par tout moyen permettant d’empêcher le dégagement ou le relâchement de la fermeture en cas de choc ou de vibration au cours du transport.</w:t>
      </w:r>
      <w:r w:rsidRPr="00CE70CB">
        <w:rPr>
          <w:lang w:val="fr-FR" w:eastAsia="fr-FR"/>
        </w:rPr>
        <w:t> ».</w:t>
      </w:r>
    </w:p>
    <w:bookmarkEnd w:id="96"/>
    <w:p w:rsidR="00267DA7" w:rsidRPr="00CE70CB" w:rsidRDefault="00267DA7" w:rsidP="00267DA7">
      <w:pPr>
        <w:pStyle w:val="SingleTxtG"/>
        <w:tabs>
          <w:tab w:val="left" w:pos="2268"/>
        </w:tabs>
        <w:ind w:left="2259" w:hanging="1125"/>
        <w:rPr>
          <w:lang w:val="fr-FR"/>
        </w:rPr>
      </w:pPr>
      <w:r w:rsidRPr="00CE70CB">
        <w:rPr>
          <w:lang w:val="fr-FR"/>
        </w:rPr>
        <w:t>4.1.4.1, P404</w:t>
      </w:r>
      <w:r w:rsidRPr="00CE70CB">
        <w:rPr>
          <w:lang w:val="fr-FR"/>
        </w:rPr>
        <w:tab/>
        <w:t xml:space="preserve"> Au 1), sous « emballages intérieurs » :</w:t>
      </w:r>
    </w:p>
    <w:p w:rsidR="00267DA7" w:rsidRPr="00CE70CB" w:rsidRDefault="00267DA7" w:rsidP="00267DA7">
      <w:pPr>
        <w:pStyle w:val="SingleTxtG"/>
        <w:tabs>
          <w:tab w:val="left" w:pos="2268"/>
        </w:tabs>
        <w:ind w:left="2259" w:hanging="1125"/>
        <w:rPr>
          <w:lang w:val="fr-FR"/>
        </w:rPr>
      </w:pPr>
      <w:r w:rsidRPr="00CE70CB">
        <w:rPr>
          <w:lang w:val="fr-FR"/>
        </w:rPr>
        <w:tab/>
        <w:t xml:space="preserve">Premier paragraphe : supprimer « et munis d’un bouchon fileté ». </w:t>
      </w:r>
    </w:p>
    <w:p w:rsidR="00267DA7" w:rsidRPr="00CE70CB" w:rsidRDefault="00267DA7" w:rsidP="00267DA7">
      <w:pPr>
        <w:pStyle w:val="SingleTxtG"/>
        <w:tabs>
          <w:tab w:val="left" w:pos="2268"/>
        </w:tabs>
        <w:ind w:left="2259" w:hanging="1125"/>
        <w:rPr>
          <w:lang w:val="fr-FR"/>
        </w:rPr>
      </w:pPr>
      <w:r w:rsidRPr="00CE70CB">
        <w:rPr>
          <w:lang w:val="fr-FR"/>
        </w:rPr>
        <w:tab/>
        <w:t xml:space="preserve">Deuxième paragraphe : supprimer « filetés ». </w:t>
      </w:r>
    </w:p>
    <w:p w:rsidR="00267DA7" w:rsidRPr="00CE70CB" w:rsidRDefault="00267DA7" w:rsidP="00267DA7">
      <w:pPr>
        <w:pStyle w:val="SingleTxtG"/>
        <w:tabs>
          <w:tab w:val="left" w:pos="2268"/>
        </w:tabs>
        <w:ind w:left="2259" w:hanging="1125"/>
        <w:rPr>
          <w:lang w:val="fr-FR" w:eastAsia="fr-FR"/>
        </w:rPr>
      </w:pPr>
      <w:r w:rsidRPr="00CE70CB">
        <w:rPr>
          <w:lang w:val="fr-FR"/>
        </w:rPr>
        <w:tab/>
        <w:t xml:space="preserve">Ajouter le nouveau troisième paragraphe suivant avant la dernière phrase (« La masse nette maximale…125 kg »): </w:t>
      </w:r>
    </w:p>
    <w:p w:rsidR="00267DA7" w:rsidRPr="00CE70CB" w:rsidRDefault="00267DA7" w:rsidP="00267DA7">
      <w:pPr>
        <w:pStyle w:val="SingleTxtG"/>
        <w:tabs>
          <w:tab w:val="left" w:pos="2268"/>
        </w:tabs>
        <w:ind w:left="2259" w:hanging="1125"/>
        <w:rPr>
          <w:lang w:val="fr-FR" w:eastAsia="fr-FR"/>
        </w:rPr>
      </w:pPr>
      <w:r w:rsidRPr="00CE70CB">
        <w:rPr>
          <w:lang w:val="fr-FR"/>
        </w:rPr>
        <w:tab/>
        <w:t xml:space="preserve">« </w:t>
      </w:r>
      <w:r w:rsidRPr="00CE70CB">
        <w:rPr>
          <w:lang w:val="fr-FR" w:eastAsia="fr-FR"/>
        </w:rPr>
        <w:t>Les emballages intérieurs doivent être munis de bouchons filetés ou de fermetures bloquées par tout moyen physique empêchant leur dégagement ou leur relâchement en cas de choc ou de vibration au cours du transport. »</w:t>
      </w:r>
    </w:p>
    <w:p w:rsidR="00267DA7" w:rsidRPr="00CE70CB" w:rsidRDefault="00267DA7" w:rsidP="00267DA7">
      <w:pPr>
        <w:pStyle w:val="SingleTxtG"/>
        <w:tabs>
          <w:tab w:val="left" w:pos="2268"/>
        </w:tabs>
        <w:ind w:left="2259" w:hanging="1125"/>
        <w:rPr>
          <w:lang w:val="fr-FR" w:eastAsia="fr-FR"/>
        </w:rPr>
      </w:pPr>
      <w:r w:rsidRPr="00CE70CB">
        <w:rPr>
          <w:lang w:val="fr-FR" w:eastAsia="fr-FR"/>
        </w:rPr>
        <w:t>4.1.4.1, P404</w:t>
      </w:r>
      <w:r w:rsidRPr="00CE70CB">
        <w:rPr>
          <w:lang w:val="fr-FR" w:eastAsia="fr-FR"/>
        </w:rPr>
        <w:tab/>
        <w:t xml:space="preserve">Au 2), insérer « , 1B2 » entre </w:t>
      </w:r>
      <w:bookmarkStart w:id="97" w:name="_Hlk532910672"/>
      <w:r w:rsidRPr="00CE70CB">
        <w:rPr>
          <w:lang w:val="fr-FR" w:eastAsia="fr-FR"/>
        </w:rPr>
        <w:t>«</w:t>
      </w:r>
      <w:r w:rsidRPr="00CE70CB">
        <w:rPr>
          <w:lang w:val="fr-FR"/>
        </w:rPr>
        <w:t>, 1B1 » et «, 1N1 ».</w:t>
      </w:r>
      <w:bookmarkEnd w:id="97"/>
    </w:p>
    <w:p w:rsidR="00267DA7" w:rsidRPr="00CE70CB" w:rsidRDefault="00267DA7" w:rsidP="00267DA7">
      <w:pPr>
        <w:pStyle w:val="SingleTxtG"/>
        <w:tabs>
          <w:tab w:val="left" w:pos="2268"/>
        </w:tabs>
        <w:ind w:left="2259" w:hanging="1125"/>
        <w:rPr>
          <w:lang w:val="fr-FR"/>
        </w:rPr>
      </w:pPr>
      <w:r w:rsidRPr="00CE70CB">
        <w:rPr>
          <w:lang w:val="fr-FR"/>
        </w:rPr>
        <w:t>4.1.4.1, P410</w:t>
      </w:r>
      <w:r w:rsidRPr="00CE70CB">
        <w:rPr>
          <w:lang w:val="fr-FR"/>
        </w:rPr>
        <w:tab/>
        <w:t>Modifier la note de bas de tableau d pour lire comme suit :</w:t>
      </w:r>
    </w:p>
    <w:p w:rsidR="00267DA7" w:rsidRPr="00CE70CB" w:rsidRDefault="00267DA7" w:rsidP="00267DA7">
      <w:pPr>
        <w:pStyle w:val="SingleTxtG"/>
        <w:tabs>
          <w:tab w:val="left" w:pos="2268"/>
        </w:tabs>
        <w:ind w:left="2259" w:hanging="1125"/>
        <w:rPr>
          <w:lang w:val="fr-FR"/>
        </w:rPr>
      </w:pPr>
      <w:r w:rsidRPr="00CE70CB">
        <w:rPr>
          <w:lang w:val="fr-FR"/>
        </w:rPr>
        <w:tab/>
        <w:t>« </w:t>
      </w:r>
      <w:r w:rsidRPr="00CE70CB">
        <w:rPr>
          <w:b/>
          <w:vertAlign w:val="superscript"/>
          <w:lang w:val="fr-FR"/>
        </w:rPr>
        <w:t>d</w:t>
      </w:r>
      <w:r w:rsidRPr="00CE70CB">
        <w:rPr>
          <w:lang w:val="fr-FR"/>
        </w:rPr>
        <w:tab/>
      </w:r>
      <w:bookmarkStart w:id="98" w:name="_Hlk31356801"/>
      <w:r w:rsidRPr="00CE70CB">
        <w:rPr>
          <w:i/>
          <w:iCs/>
          <w:lang w:val="fr-FR"/>
        </w:rPr>
        <w:t>Ces emballages ne peuvent être utilisés pour les matières du groupe d’emballage II que lorsqu’ils sont transportés dans un véhicule couvert ou dans un conteneur fermé.</w:t>
      </w:r>
      <w:bookmarkEnd w:id="98"/>
      <w:r w:rsidRPr="00CE70CB">
        <w:rPr>
          <w:i/>
          <w:iCs/>
          <w:lang w:val="fr-FR"/>
        </w:rPr>
        <w:t> »</w:t>
      </w:r>
    </w:p>
    <w:p w:rsidR="00267DA7" w:rsidRPr="00CE70CB" w:rsidRDefault="00267DA7" w:rsidP="00267DA7">
      <w:pPr>
        <w:pStyle w:val="SingleTxtG"/>
        <w:tabs>
          <w:tab w:val="left" w:pos="2268"/>
        </w:tabs>
        <w:ind w:left="2259" w:hanging="1125"/>
        <w:rPr>
          <w:lang w:val="fr-FR"/>
        </w:rPr>
      </w:pPr>
      <w:r w:rsidRPr="00CE70CB">
        <w:rPr>
          <w:lang w:val="fr-FR"/>
        </w:rPr>
        <w:lastRenderedPageBreak/>
        <w:t>4.1.4.1, P410</w:t>
      </w:r>
      <w:r w:rsidRPr="00CE70CB">
        <w:rPr>
          <w:lang w:val="fr-FR"/>
        </w:rPr>
        <w:tab/>
        <w:t>Pour « Emballages composites », dans la dernière rubrique, remplacer « en plastique rigide ou expansé » par « en plastique expansé ou en plastique rigide ».</w:t>
      </w:r>
    </w:p>
    <w:p w:rsidR="00267DA7" w:rsidRPr="00CE70CB" w:rsidRDefault="00267DA7" w:rsidP="00267DA7">
      <w:pPr>
        <w:pStyle w:val="SingleTxtG"/>
        <w:tabs>
          <w:tab w:val="left" w:pos="2268"/>
        </w:tabs>
        <w:ind w:left="2259" w:hanging="1125"/>
        <w:rPr>
          <w:lang w:val="fr-FR"/>
        </w:rPr>
      </w:pPr>
      <w:r w:rsidRPr="00CE70CB">
        <w:rPr>
          <w:lang w:val="fr-FR"/>
        </w:rPr>
        <w:t>4.1.4.1, P501</w:t>
      </w:r>
      <w:r w:rsidRPr="00CE70CB">
        <w:rPr>
          <w:lang w:val="fr-FR"/>
        </w:rPr>
        <w:tab/>
      </w:r>
      <w:bookmarkStart w:id="99" w:name="_Hlk11162289"/>
      <w:r w:rsidRPr="00CE70CB">
        <w:rPr>
          <w:szCs w:val="24"/>
          <w:lang w:val="fr-FR"/>
        </w:rPr>
        <w:t>L’amendement est sans objet en français.</w:t>
      </w:r>
      <w:bookmarkEnd w:id="99"/>
    </w:p>
    <w:p w:rsidR="00267DA7" w:rsidRPr="00CE70CB" w:rsidRDefault="00267DA7" w:rsidP="00267DA7">
      <w:pPr>
        <w:pStyle w:val="SingleTxtG"/>
        <w:tabs>
          <w:tab w:val="left" w:pos="2268"/>
        </w:tabs>
        <w:ind w:left="2259" w:hanging="1125"/>
        <w:rPr>
          <w:lang w:val="fr-FR"/>
        </w:rPr>
      </w:pPr>
      <w:r w:rsidRPr="00CE70CB">
        <w:rPr>
          <w:lang w:val="fr-FR"/>
        </w:rPr>
        <w:t>4.1.4.1, P502</w:t>
      </w:r>
      <w:r w:rsidRPr="00CE70CB">
        <w:rPr>
          <w:lang w:val="fr-FR"/>
        </w:rPr>
        <w:tab/>
      </w:r>
      <w:r w:rsidRPr="00CE70CB">
        <w:rPr>
          <w:szCs w:val="24"/>
          <w:lang w:val="fr-FR"/>
        </w:rPr>
        <w:t>L’amendement est sans objet en français.</w:t>
      </w:r>
    </w:p>
    <w:p w:rsidR="00267DA7" w:rsidRPr="00CE70CB" w:rsidRDefault="00267DA7" w:rsidP="00267DA7">
      <w:pPr>
        <w:pStyle w:val="SingleTxtG"/>
        <w:tabs>
          <w:tab w:val="left" w:pos="2268"/>
        </w:tabs>
        <w:ind w:left="2259" w:hanging="1125"/>
        <w:rPr>
          <w:lang w:val="fr-FR"/>
        </w:rPr>
      </w:pPr>
      <w:bookmarkStart w:id="100" w:name="_Hlk32503512"/>
      <w:r w:rsidRPr="00CE70CB">
        <w:rPr>
          <w:lang w:val="fr-FR"/>
        </w:rPr>
        <w:t>4.1.4.1, P504</w:t>
      </w:r>
      <w:r w:rsidRPr="00CE70CB">
        <w:rPr>
          <w:lang w:val="fr-FR"/>
        </w:rPr>
        <w:tab/>
      </w:r>
      <w:r w:rsidR="00163009" w:rsidRPr="00CE70CB">
        <w:t>Pour</w:t>
      </w:r>
      <w:r w:rsidR="00287B8E" w:rsidRPr="00CE70CB">
        <w:t xml:space="preserve"> « Emballages simples »</w:t>
      </w:r>
      <w:r w:rsidR="00163009" w:rsidRPr="00CE70CB">
        <w:t xml:space="preserve">, </w:t>
      </w:r>
      <w:r w:rsidR="00287B8E" w:rsidRPr="00CE70CB">
        <w:t xml:space="preserve">« Fûts », remplacer « en acier à dessus amovible (1B2) » par « en acier à dessus amovible (1A2) ». </w:t>
      </w:r>
      <w:r w:rsidRPr="00CE70CB">
        <w:rPr>
          <w:szCs w:val="24"/>
          <w:lang w:val="fr-FR"/>
        </w:rPr>
        <w:t xml:space="preserve">L’amendement </w:t>
      </w:r>
      <w:r w:rsidR="00163009" w:rsidRPr="00CE70CB">
        <w:rPr>
          <w:szCs w:val="24"/>
          <w:lang w:val="fr-FR"/>
        </w:rPr>
        <w:t xml:space="preserve">pour </w:t>
      </w:r>
      <w:r w:rsidR="00163009" w:rsidRPr="00CE70CB">
        <w:rPr>
          <w:lang w:val="fr-FR"/>
        </w:rPr>
        <w:t>« Emballages composites »</w:t>
      </w:r>
      <w:r w:rsidR="00163009" w:rsidRPr="00CE70CB">
        <w:rPr>
          <w:b/>
          <w:bCs/>
          <w:lang w:val="fr-FR"/>
        </w:rPr>
        <w:t xml:space="preserve"> </w:t>
      </w:r>
      <w:r w:rsidRPr="00CE70CB">
        <w:rPr>
          <w:szCs w:val="24"/>
          <w:lang w:val="fr-FR"/>
        </w:rPr>
        <w:t>est sans objet en français.</w:t>
      </w:r>
    </w:p>
    <w:bookmarkEnd w:id="100"/>
    <w:p w:rsidR="00267DA7" w:rsidRPr="00CE70CB" w:rsidRDefault="00267DA7" w:rsidP="00267DA7">
      <w:pPr>
        <w:pStyle w:val="SingleTxtG"/>
        <w:tabs>
          <w:tab w:val="left" w:pos="2268"/>
        </w:tabs>
        <w:ind w:left="2259" w:hanging="1125"/>
        <w:rPr>
          <w:lang w:val="fr-FR"/>
        </w:rPr>
      </w:pPr>
      <w:r w:rsidRPr="00CE70CB">
        <w:rPr>
          <w:lang w:val="fr-FR"/>
        </w:rPr>
        <w:t>4.1.4.1, P905</w:t>
      </w:r>
      <w:r w:rsidRPr="00CE70CB">
        <w:rPr>
          <w:lang w:val="fr-FR"/>
        </w:rPr>
        <w:tab/>
        <w:t>Dans la deuxième ligne sous la ligne de titre, dans le deuxième paragraphe, remplacer « bateaux de sauvetage » par « embarcations de sauvetage ».</w:t>
      </w:r>
    </w:p>
    <w:p w:rsidR="00267DA7" w:rsidRPr="00CE70CB" w:rsidRDefault="00267DA7" w:rsidP="00267DA7">
      <w:pPr>
        <w:suppressAutoHyphens w:val="0"/>
        <w:spacing w:line="240" w:lineRule="auto"/>
        <w:rPr>
          <w:iCs/>
          <w:lang w:val="fr-FR"/>
        </w:rPr>
      </w:pPr>
      <w:r w:rsidRPr="00CE70CB">
        <w:rPr>
          <w:iCs/>
          <w:lang w:val="fr-FR"/>
        </w:rPr>
        <w:br w:type="page"/>
      </w:r>
    </w:p>
    <w:p w:rsidR="00267DA7" w:rsidRPr="00CE70CB" w:rsidRDefault="00267DA7" w:rsidP="00267DA7">
      <w:pPr>
        <w:pStyle w:val="SingleTxtG"/>
        <w:tabs>
          <w:tab w:val="left" w:pos="2268"/>
        </w:tabs>
        <w:rPr>
          <w:iCs/>
          <w:lang w:val="fr-FR"/>
        </w:rPr>
      </w:pPr>
      <w:r w:rsidRPr="00CE70CB">
        <w:rPr>
          <w:iCs/>
          <w:lang w:val="fr-FR"/>
        </w:rPr>
        <w:lastRenderedPageBreak/>
        <w:t>4.1.4.1</w:t>
      </w:r>
      <w:r w:rsidRPr="00CE70CB">
        <w:rPr>
          <w:iCs/>
          <w:lang w:val="fr-FR"/>
        </w:rPr>
        <w:tab/>
        <w:t>Ajouter la nouvelle instruction d’emballage P622 suivante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365"/>
        <w:gridCol w:w="850"/>
      </w:tblGrid>
      <w:tr w:rsidR="00267DA7" w:rsidRPr="00CE70CB" w:rsidTr="00267DA7">
        <w:trPr>
          <w:tblHeader/>
        </w:trPr>
        <w:tc>
          <w:tcPr>
            <w:tcW w:w="855" w:type="dxa"/>
            <w:tcBorders>
              <w:top w:val="single" w:sz="4" w:space="0" w:color="000000"/>
              <w:bottom w:val="single" w:sz="4" w:space="0" w:color="auto"/>
            </w:tcBorders>
          </w:tcPr>
          <w:p w:rsidR="00267DA7" w:rsidRPr="00CE70CB" w:rsidRDefault="00267DA7" w:rsidP="00267DA7">
            <w:pPr>
              <w:spacing w:before="40" w:after="40"/>
              <w:rPr>
                <w:b/>
                <w:bCs/>
                <w:sz w:val="18"/>
                <w:szCs w:val="18"/>
                <w:lang w:val="fr-FR"/>
              </w:rPr>
            </w:pPr>
            <w:bookmarkStart w:id="101" w:name="_Hlk31357246"/>
            <w:r w:rsidRPr="00CE70CB">
              <w:rPr>
                <w:b/>
                <w:bCs/>
                <w:sz w:val="18"/>
                <w:szCs w:val="18"/>
                <w:lang w:val="fr-FR"/>
              </w:rPr>
              <w:t>P622</w:t>
            </w:r>
          </w:p>
        </w:tc>
        <w:tc>
          <w:tcPr>
            <w:tcW w:w="7938" w:type="dxa"/>
            <w:gridSpan w:val="3"/>
            <w:tcBorders>
              <w:top w:val="single" w:sz="4" w:space="0" w:color="000000"/>
              <w:bottom w:val="single" w:sz="4" w:space="0" w:color="auto"/>
            </w:tcBorders>
          </w:tcPr>
          <w:p w:rsidR="00267DA7" w:rsidRPr="00CE70CB" w:rsidRDefault="00267DA7" w:rsidP="00267DA7">
            <w:pPr>
              <w:spacing w:before="40" w:after="40"/>
              <w:jc w:val="center"/>
              <w:rPr>
                <w:b/>
                <w:bCs/>
                <w:sz w:val="18"/>
                <w:szCs w:val="18"/>
                <w:lang w:val="fr-FR"/>
              </w:rPr>
            </w:pPr>
            <w:r w:rsidRPr="00CE70CB">
              <w:rPr>
                <w:b/>
                <w:bCs/>
                <w:sz w:val="18"/>
                <w:szCs w:val="18"/>
                <w:lang w:val="fr-FR"/>
              </w:rPr>
              <w:t>INSTRUCTION D’EMBALLAGE</w:t>
            </w:r>
          </w:p>
        </w:tc>
        <w:tc>
          <w:tcPr>
            <w:tcW w:w="850" w:type="dxa"/>
            <w:tcBorders>
              <w:top w:val="single" w:sz="4" w:space="0" w:color="000000"/>
              <w:bottom w:val="single" w:sz="4" w:space="0" w:color="auto"/>
            </w:tcBorders>
          </w:tcPr>
          <w:p w:rsidR="00267DA7" w:rsidRPr="00CE70CB" w:rsidRDefault="00267DA7" w:rsidP="00267DA7">
            <w:pPr>
              <w:spacing w:before="40" w:after="40"/>
              <w:rPr>
                <w:b/>
                <w:bCs/>
                <w:sz w:val="18"/>
                <w:szCs w:val="18"/>
                <w:lang w:val="fr-FR"/>
              </w:rPr>
            </w:pPr>
            <w:r w:rsidRPr="00CE70CB">
              <w:rPr>
                <w:b/>
                <w:bCs/>
                <w:sz w:val="18"/>
                <w:szCs w:val="18"/>
                <w:lang w:val="fr-FR"/>
              </w:rPr>
              <w:t xml:space="preserve">       P622</w:t>
            </w:r>
          </w:p>
        </w:tc>
      </w:tr>
      <w:tr w:rsidR="00267DA7" w:rsidRPr="00CE70CB" w:rsidTr="00267DA7">
        <w:tc>
          <w:tcPr>
            <w:tcW w:w="9643" w:type="dxa"/>
            <w:gridSpan w:val="5"/>
            <w:tcBorders>
              <w:top w:val="single" w:sz="4" w:space="0" w:color="auto"/>
              <w:bottom w:val="single" w:sz="4" w:space="0" w:color="000000"/>
            </w:tcBorders>
          </w:tcPr>
          <w:p w:rsidR="00267DA7" w:rsidRPr="00CE70CB" w:rsidRDefault="00267DA7" w:rsidP="00267DA7">
            <w:pPr>
              <w:spacing w:before="40" w:after="40" w:line="240" w:lineRule="auto"/>
              <w:rPr>
                <w:sz w:val="18"/>
                <w:szCs w:val="18"/>
                <w:lang w:val="fr-FR"/>
              </w:rPr>
            </w:pPr>
            <w:r w:rsidRPr="00CE70CB">
              <w:rPr>
                <w:lang w:val="fr-FR"/>
              </w:rPr>
              <w:t>La présente instruction s’applique aux déchets du No ONU 3549 transportés en vue de leur élimination.</w:t>
            </w:r>
          </w:p>
        </w:tc>
      </w:tr>
      <w:tr w:rsidR="00267DA7" w:rsidRPr="00CE70CB" w:rsidTr="00267DA7">
        <w:tc>
          <w:tcPr>
            <w:tcW w:w="9643" w:type="dxa"/>
            <w:gridSpan w:val="5"/>
            <w:tcBorders>
              <w:top w:val="single" w:sz="4" w:space="0" w:color="000000"/>
              <w:bottom w:val="single" w:sz="4" w:space="0" w:color="000000"/>
            </w:tcBorders>
          </w:tcPr>
          <w:p w:rsidR="00267DA7" w:rsidRPr="00CE70CB" w:rsidRDefault="00267DA7" w:rsidP="00267DA7">
            <w:pPr>
              <w:spacing w:before="40" w:after="40" w:line="240" w:lineRule="auto"/>
              <w:rPr>
                <w:lang w:val="fr-FR"/>
              </w:rPr>
            </w:pPr>
            <w:r w:rsidRPr="00CE70CB">
              <w:rPr>
                <w:lang w:val="fr-FR"/>
              </w:rPr>
              <w:t xml:space="preserve">Les emballages suivants sont autorisés s’il est satisfait aux dispositions générales des </w:t>
            </w:r>
            <w:r w:rsidRPr="00CE70CB">
              <w:rPr>
                <w:b/>
                <w:lang w:val="fr-FR"/>
              </w:rPr>
              <w:t>4.1.1</w:t>
            </w:r>
            <w:r w:rsidRPr="00CE70CB">
              <w:rPr>
                <w:lang w:val="fr-FR"/>
              </w:rPr>
              <w:t xml:space="preserve"> et </w:t>
            </w:r>
            <w:r w:rsidRPr="00CE70CB">
              <w:rPr>
                <w:b/>
                <w:lang w:val="fr-FR"/>
              </w:rPr>
              <w:t>4.1.3</w:t>
            </w:r>
            <w:r w:rsidRPr="00CE70CB">
              <w:rPr>
                <w:lang w:val="fr-FR"/>
              </w:rPr>
              <w:t> :</w:t>
            </w:r>
          </w:p>
        </w:tc>
      </w:tr>
      <w:tr w:rsidR="00267DA7" w:rsidRPr="00CE70CB" w:rsidTr="00267DA7">
        <w:tc>
          <w:tcPr>
            <w:tcW w:w="3214" w:type="dxa"/>
            <w:gridSpan w:val="2"/>
            <w:tcBorders>
              <w:top w:val="single" w:sz="4" w:space="0" w:color="000000"/>
              <w:bottom w:val="single" w:sz="4" w:space="0" w:color="000000"/>
              <w:right w:val="single" w:sz="4" w:space="0" w:color="auto"/>
            </w:tcBorders>
          </w:tcPr>
          <w:p w:rsidR="00267DA7" w:rsidRPr="00CE70CB" w:rsidRDefault="00267DA7" w:rsidP="00267DA7">
            <w:pPr>
              <w:spacing w:before="40" w:after="40"/>
              <w:rPr>
                <w:b/>
                <w:lang w:val="fr-FR"/>
              </w:rPr>
            </w:pPr>
            <w:r w:rsidRPr="00CE70CB">
              <w:rPr>
                <w:b/>
                <w:bCs/>
                <w:lang w:val="fr-FR"/>
              </w:rPr>
              <w:t>Emballages intérieurs</w:t>
            </w:r>
          </w:p>
        </w:tc>
        <w:tc>
          <w:tcPr>
            <w:tcW w:w="3214" w:type="dxa"/>
            <w:tcBorders>
              <w:top w:val="single" w:sz="4" w:space="0" w:color="000000"/>
              <w:left w:val="single" w:sz="4" w:space="0" w:color="auto"/>
              <w:bottom w:val="single" w:sz="4" w:space="0" w:color="000000"/>
              <w:right w:val="single" w:sz="4" w:space="0" w:color="auto"/>
            </w:tcBorders>
          </w:tcPr>
          <w:p w:rsidR="00267DA7" w:rsidRPr="00CE70CB" w:rsidRDefault="00267DA7" w:rsidP="00267DA7">
            <w:pPr>
              <w:spacing w:before="40" w:after="40"/>
              <w:rPr>
                <w:b/>
                <w:lang w:val="fr-FR"/>
              </w:rPr>
            </w:pPr>
            <w:r w:rsidRPr="00CE70CB">
              <w:rPr>
                <w:b/>
                <w:bCs/>
                <w:lang w:val="fr-FR"/>
              </w:rPr>
              <w:t>Emballages intermédiaires</w:t>
            </w:r>
          </w:p>
        </w:tc>
        <w:tc>
          <w:tcPr>
            <w:tcW w:w="3215" w:type="dxa"/>
            <w:gridSpan w:val="2"/>
            <w:tcBorders>
              <w:top w:val="single" w:sz="4" w:space="0" w:color="000000"/>
              <w:left w:val="single" w:sz="4" w:space="0" w:color="auto"/>
              <w:bottom w:val="single" w:sz="4" w:space="0" w:color="000000"/>
            </w:tcBorders>
          </w:tcPr>
          <w:p w:rsidR="00267DA7" w:rsidRPr="00CE70CB" w:rsidRDefault="00267DA7" w:rsidP="00267DA7">
            <w:pPr>
              <w:spacing w:before="40" w:after="40"/>
              <w:rPr>
                <w:b/>
                <w:lang w:val="fr-FR"/>
              </w:rPr>
            </w:pPr>
            <w:r w:rsidRPr="00CE70CB">
              <w:rPr>
                <w:b/>
                <w:bCs/>
                <w:lang w:val="fr-FR"/>
              </w:rPr>
              <w:t>Emballages extérieurs</w:t>
            </w:r>
          </w:p>
        </w:tc>
      </w:tr>
      <w:tr w:rsidR="00267DA7" w:rsidRPr="00CE70CB" w:rsidTr="00267DA7">
        <w:trPr>
          <w:trHeight w:val="2897"/>
        </w:trPr>
        <w:tc>
          <w:tcPr>
            <w:tcW w:w="3214" w:type="dxa"/>
            <w:gridSpan w:val="2"/>
            <w:tcBorders>
              <w:top w:val="single" w:sz="4" w:space="0" w:color="000000"/>
              <w:bottom w:val="single" w:sz="4" w:space="0" w:color="000000"/>
              <w:right w:val="single" w:sz="4" w:space="0" w:color="auto"/>
            </w:tcBorders>
          </w:tcPr>
          <w:p w:rsidR="00267DA7" w:rsidRPr="00CE70CB" w:rsidRDefault="00267DA7" w:rsidP="00267DA7">
            <w:pPr>
              <w:spacing w:before="40" w:after="40"/>
              <w:rPr>
                <w:lang w:val="fr-FR"/>
              </w:rPr>
            </w:pPr>
            <w:r w:rsidRPr="00CE70CB">
              <w:rPr>
                <w:lang w:val="fr-FR"/>
              </w:rPr>
              <w:t>en métal</w:t>
            </w:r>
          </w:p>
          <w:p w:rsidR="00267DA7" w:rsidRPr="00CE70CB" w:rsidRDefault="00267DA7" w:rsidP="00267DA7">
            <w:pPr>
              <w:spacing w:before="40" w:after="40"/>
              <w:rPr>
                <w:lang w:val="fr-FR"/>
              </w:rPr>
            </w:pPr>
            <w:r w:rsidRPr="00CE70CB">
              <w:rPr>
                <w:lang w:val="fr-FR"/>
              </w:rPr>
              <w:t>en plastique</w:t>
            </w:r>
          </w:p>
        </w:tc>
        <w:tc>
          <w:tcPr>
            <w:tcW w:w="3214" w:type="dxa"/>
            <w:tcBorders>
              <w:top w:val="single" w:sz="4" w:space="0" w:color="000000"/>
              <w:left w:val="single" w:sz="4" w:space="0" w:color="auto"/>
              <w:bottom w:val="single" w:sz="4" w:space="0" w:color="000000"/>
              <w:right w:val="single" w:sz="4" w:space="0" w:color="auto"/>
            </w:tcBorders>
          </w:tcPr>
          <w:p w:rsidR="00267DA7" w:rsidRPr="00CE70CB" w:rsidRDefault="00267DA7" w:rsidP="00267DA7">
            <w:pPr>
              <w:spacing w:before="40" w:after="40"/>
              <w:rPr>
                <w:lang w:val="fr-FR"/>
              </w:rPr>
            </w:pPr>
            <w:r w:rsidRPr="00CE70CB">
              <w:rPr>
                <w:lang w:val="fr-FR"/>
              </w:rPr>
              <w:t>en métal</w:t>
            </w:r>
          </w:p>
          <w:p w:rsidR="00267DA7" w:rsidRPr="00CE70CB" w:rsidRDefault="00267DA7" w:rsidP="00267DA7">
            <w:pPr>
              <w:spacing w:before="40" w:after="40"/>
              <w:rPr>
                <w:lang w:val="fr-FR"/>
              </w:rPr>
            </w:pPr>
            <w:r w:rsidRPr="00CE70CB">
              <w:rPr>
                <w:lang w:val="fr-FR"/>
              </w:rPr>
              <w:t>en plastique</w:t>
            </w:r>
          </w:p>
        </w:tc>
        <w:tc>
          <w:tcPr>
            <w:tcW w:w="3215" w:type="dxa"/>
            <w:gridSpan w:val="2"/>
            <w:tcBorders>
              <w:top w:val="single" w:sz="4" w:space="0" w:color="000000"/>
              <w:left w:val="single" w:sz="4" w:space="0" w:color="auto"/>
              <w:bottom w:val="single" w:sz="4" w:space="0" w:color="000000"/>
            </w:tcBorders>
          </w:tcPr>
          <w:p w:rsidR="00267DA7" w:rsidRPr="00CE70CB" w:rsidRDefault="00267DA7" w:rsidP="00267DA7">
            <w:pPr>
              <w:spacing w:before="40" w:after="40"/>
              <w:rPr>
                <w:b/>
                <w:lang w:val="fr-FR"/>
              </w:rPr>
            </w:pPr>
            <w:r w:rsidRPr="00CE70CB">
              <w:rPr>
                <w:b/>
                <w:bCs/>
                <w:lang w:val="fr-FR"/>
              </w:rPr>
              <w:t>Caisses</w:t>
            </w:r>
          </w:p>
          <w:p w:rsidR="00267DA7" w:rsidRPr="00CE70CB" w:rsidRDefault="00267DA7" w:rsidP="00267DA7">
            <w:pPr>
              <w:spacing w:before="40" w:after="40"/>
              <w:rPr>
                <w:lang w:val="fr-FR"/>
              </w:rPr>
            </w:pPr>
            <w:r w:rsidRPr="00CE70CB">
              <w:rPr>
                <w:lang w:val="fr-FR"/>
              </w:rPr>
              <w:t>en acier (4A)</w:t>
            </w:r>
          </w:p>
          <w:p w:rsidR="00267DA7" w:rsidRPr="00CE70CB" w:rsidRDefault="00267DA7" w:rsidP="00267DA7">
            <w:pPr>
              <w:spacing w:before="40" w:after="40"/>
              <w:rPr>
                <w:lang w:val="fr-FR"/>
              </w:rPr>
            </w:pPr>
            <w:r w:rsidRPr="00CE70CB">
              <w:rPr>
                <w:lang w:val="fr-FR"/>
              </w:rPr>
              <w:t>en aluminium (4B)</w:t>
            </w:r>
          </w:p>
          <w:p w:rsidR="00267DA7" w:rsidRPr="00CE70CB" w:rsidRDefault="00267DA7" w:rsidP="00267DA7">
            <w:pPr>
              <w:spacing w:before="40" w:after="40"/>
              <w:rPr>
                <w:lang w:val="fr-FR"/>
              </w:rPr>
            </w:pPr>
            <w:r w:rsidRPr="00CE70CB">
              <w:rPr>
                <w:lang w:val="fr-FR"/>
              </w:rPr>
              <w:t>en un autre métal (4N)</w:t>
            </w:r>
          </w:p>
          <w:p w:rsidR="00267DA7" w:rsidRPr="00CE70CB" w:rsidRDefault="00267DA7" w:rsidP="00267DA7">
            <w:pPr>
              <w:spacing w:before="40" w:after="40"/>
              <w:rPr>
                <w:lang w:val="fr-FR"/>
              </w:rPr>
            </w:pPr>
            <w:r w:rsidRPr="00CE70CB">
              <w:rPr>
                <w:lang w:val="fr-FR"/>
              </w:rPr>
              <w:t>en contreplaqué (4D)</w:t>
            </w:r>
          </w:p>
          <w:p w:rsidR="00267DA7" w:rsidRPr="00CE70CB" w:rsidRDefault="00267DA7" w:rsidP="00267DA7">
            <w:pPr>
              <w:spacing w:before="40" w:after="40"/>
              <w:rPr>
                <w:lang w:val="fr-FR"/>
              </w:rPr>
            </w:pPr>
            <w:r w:rsidRPr="00CE70CB">
              <w:rPr>
                <w:lang w:val="fr-FR"/>
              </w:rPr>
              <w:t>en carton rigide (4G)</w:t>
            </w:r>
          </w:p>
          <w:p w:rsidR="00267DA7" w:rsidRPr="00CE70CB" w:rsidRDefault="00267DA7" w:rsidP="00267DA7">
            <w:pPr>
              <w:spacing w:before="40" w:after="40"/>
              <w:rPr>
                <w:lang w:val="fr-FR"/>
              </w:rPr>
            </w:pPr>
            <w:r w:rsidRPr="00CE70CB">
              <w:rPr>
                <w:lang w:val="fr-FR"/>
              </w:rPr>
              <w:t>en plastique rigide (4H2)</w:t>
            </w:r>
          </w:p>
          <w:p w:rsidR="00267DA7" w:rsidRPr="00CE70CB" w:rsidRDefault="00267DA7" w:rsidP="00267DA7">
            <w:pPr>
              <w:spacing w:before="40" w:after="40"/>
              <w:rPr>
                <w:b/>
                <w:lang w:val="fr-FR"/>
              </w:rPr>
            </w:pPr>
            <w:r w:rsidRPr="00CE70CB">
              <w:rPr>
                <w:b/>
                <w:bCs/>
                <w:lang w:val="fr-FR"/>
              </w:rPr>
              <w:t>Fûts</w:t>
            </w:r>
          </w:p>
          <w:p w:rsidR="00267DA7" w:rsidRPr="00CE70CB" w:rsidRDefault="00267DA7" w:rsidP="00267DA7">
            <w:pPr>
              <w:spacing w:before="40" w:after="40"/>
              <w:rPr>
                <w:lang w:val="fr-FR"/>
              </w:rPr>
            </w:pPr>
            <w:r w:rsidRPr="00CE70CB">
              <w:rPr>
                <w:lang w:val="fr-FR"/>
              </w:rPr>
              <w:t>en acier (1A2)</w:t>
            </w:r>
          </w:p>
          <w:p w:rsidR="00267DA7" w:rsidRPr="00CE70CB" w:rsidRDefault="00267DA7" w:rsidP="00267DA7">
            <w:pPr>
              <w:spacing w:before="40" w:after="40"/>
              <w:rPr>
                <w:lang w:val="fr-FR"/>
              </w:rPr>
            </w:pPr>
            <w:r w:rsidRPr="00CE70CB">
              <w:rPr>
                <w:lang w:val="fr-FR"/>
              </w:rPr>
              <w:t>en aluminium (1B2)</w:t>
            </w:r>
          </w:p>
          <w:p w:rsidR="00267DA7" w:rsidRPr="00CE70CB" w:rsidRDefault="00267DA7" w:rsidP="00267DA7">
            <w:pPr>
              <w:spacing w:before="40" w:after="40"/>
              <w:rPr>
                <w:lang w:val="fr-FR"/>
              </w:rPr>
            </w:pPr>
            <w:r w:rsidRPr="00CE70CB">
              <w:rPr>
                <w:lang w:val="fr-FR"/>
              </w:rPr>
              <w:t>en un autre métal (1N2)</w:t>
            </w:r>
          </w:p>
          <w:p w:rsidR="00267DA7" w:rsidRPr="00CE70CB" w:rsidRDefault="00267DA7" w:rsidP="00267DA7">
            <w:pPr>
              <w:spacing w:before="40" w:after="40"/>
              <w:rPr>
                <w:lang w:val="fr-FR"/>
              </w:rPr>
            </w:pPr>
            <w:r w:rsidRPr="00CE70CB">
              <w:rPr>
                <w:lang w:val="fr-FR"/>
              </w:rPr>
              <w:t>en contre-plaqué (1D)</w:t>
            </w:r>
          </w:p>
          <w:p w:rsidR="00267DA7" w:rsidRPr="00CE70CB" w:rsidRDefault="00267DA7" w:rsidP="00267DA7">
            <w:pPr>
              <w:spacing w:before="40" w:after="40"/>
              <w:rPr>
                <w:lang w:val="fr-FR"/>
              </w:rPr>
            </w:pPr>
            <w:r w:rsidRPr="00CE70CB">
              <w:rPr>
                <w:lang w:val="fr-FR"/>
              </w:rPr>
              <w:t>en carton (1G)</w:t>
            </w:r>
          </w:p>
          <w:p w:rsidR="00267DA7" w:rsidRPr="00CE70CB" w:rsidRDefault="00267DA7" w:rsidP="00267DA7">
            <w:pPr>
              <w:spacing w:before="40" w:after="40"/>
              <w:rPr>
                <w:lang w:val="fr-FR"/>
              </w:rPr>
            </w:pPr>
            <w:r w:rsidRPr="00CE70CB">
              <w:rPr>
                <w:lang w:val="fr-FR"/>
              </w:rPr>
              <w:t>en plastique (1H2)</w:t>
            </w:r>
          </w:p>
          <w:p w:rsidR="00267DA7" w:rsidRPr="00CE70CB" w:rsidRDefault="00267DA7" w:rsidP="00267DA7">
            <w:pPr>
              <w:spacing w:before="40" w:after="40"/>
              <w:rPr>
                <w:b/>
                <w:lang w:val="fr-FR"/>
              </w:rPr>
            </w:pPr>
            <w:r w:rsidRPr="00CE70CB">
              <w:rPr>
                <w:b/>
                <w:bCs/>
                <w:lang w:val="fr-FR"/>
              </w:rPr>
              <w:t>Bidons (jerricanes)</w:t>
            </w:r>
          </w:p>
          <w:p w:rsidR="00267DA7" w:rsidRPr="00CE70CB" w:rsidRDefault="00267DA7" w:rsidP="00267DA7">
            <w:pPr>
              <w:spacing w:before="40" w:after="40"/>
              <w:rPr>
                <w:lang w:val="fr-FR"/>
              </w:rPr>
            </w:pPr>
            <w:r w:rsidRPr="00CE70CB">
              <w:rPr>
                <w:lang w:val="fr-FR"/>
              </w:rPr>
              <w:t>en acier (3A2)</w:t>
            </w:r>
          </w:p>
          <w:p w:rsidR="00267DA7" w:rsidRPr="00CE70CB" w:rsidRDefault="00267DA7" w:rsidP="00267DA7">
            <w:pPr>
              <w:spacing w:before="40" w:after="40"/>
              <w:rPr>
                <w:lang w:val="fr-FR"/>
              </w:rPr>
            </w:pPr>
            <w:r w:rsidRPr="00CE70CB">
              <w:rPr>
                <w:lang w:val="fr-FR"/>
              </w:rPr>
              <w:t>en aluminium (3B2)</w:t>
            </w:r>
          </w:p>
          <w:p w:rsidR="00267DA7" w:rsidRPr="00CE70CB" w:rsidRDefault="00267DA7" w:rsidP="00267DA7">
            <w:pPr>
              <w:spacing w:before="40" w:after="40"/>
              <w:rPr>
                <w:lang w:val="fr-FR"/>
              </w:rPr>
            </w:pPr>
            <w:r w:rsidRPr="00CE70CB">
              <w:rPr>
                <w:lang w:val="fr-FR"/>
              </w:rPr>
              <w:t>en plastique (3H2)</w:t>
            </w:r>
          </w:p>
        </w:tc>
      </w:tr>
      <w:tr w:rsidR="00267DA7" w:rsidRPr="00CE70CB" w:rsidTr="00267DA7">
        <w:tc>
          <w:tcPr>
            <w:tcW w:w="9643" w:type="dxa"/>
            <w:gridSpan w:val="5"/>
          </w:tcPr>
          <w:p w:rsidR="00267DA7" w:rsidRPr="00CE70CB" w:rsidRDefault="00267DA7" w:rsidP="00267DA7">
            <w:pPr>
              <w:spacing w:before="40" w:after="40"/>
              <w:rPr>
                <w:lang w:val="fr-FR"/>
              </w:rPr>
            </w:pPr>
            <w:r w:rsidRPr="00CE70CB">
              <w:rPr>
                <w:lang w:val="fr-FR"/>
              </w:rPr>
              <w:t xml:space="preserve">L’emballage extérieur doit satisfaire au niveau d’épreuve du groupe d’emballage I pour les matières solides. </w:t>
            </w:r>
          </w:p>
        </w:tc>
      </w:tr>
      <w:tr w:rsidR="00267DA7" w:rsidRPr="00CE70CB" w:rsidTr="00267DA7">
        <w:trPr>
          <w:trHeight w:val="360"/>
        </w:trPr>
        <w:tc>
          <w:tcPr>
            <w:tcW w:w="9643" w:type="dxa"/>
            <w:gridSpan w:val="5"/>
            <w:tcBorders>
              <w:top w:val="single" w:sz="4" w:space="0" w:color="000000"/>
              <w:bottom w:val="nil"/>
            </w:tcBorders>
            <w:vAlign w:val="center"/>
          </w:tcPr>
          <w:p w:rsidR="00267DA7" w:rsidRPr="00CE70CB" w:rsidRDefault="00267DA7" w:rsidP="00267DA7">
            <w:pPr>
              <w:ind w:left="284" w:hanging="284"/>
              <w:rPr>
                <w:lang w:val="fr-FR"/>
              </w:rPr>
            </w:pPr>
            <w:r w:rsidRPr="00CE70CB">
              <w:rPr>
                <w:b/>
                <w:bCs/>
                <w:lang w:val="fr-FR"/>
              </w:rPr>
              <w:t>Dispositions supplémentaires :</w:t>
            </w:r>
          </w:p>
          <w:p w:rsidR="00267DA7" w:rsidRPr="00CE70CB" w:rsidRDefault="00267DA7" w:rsidP="00267DA7">
            <w:pPr>
              <w:ind w:left="284" w:hanging="284"/>
              <w:rPr>
                <w:lang w:val="fr-FR"/>
              </w:rPr>
            </w:pPr>
            <w:r w:rsidRPr="00CE70CB">
              <w:rPr>
                <w:lang w:val="fr-FR"/>
              </w:rPr>
              <w:t>1.</w:t>
            </w:r>
            <w:r w:rsidRPr="00CE70CB">
              <w:rPr>
                <w:lang w:val="fr-FR"/>
              </w:rPr>
              <w:tab/>
              <w:t>Les objets fragiles doivent être contenus soit dans des emballages intérieurs rigides, soit dans des emballages intermédiaires rigides.</w:t>
            </w:r>
          </w:p>
        </w:tc>
      </w:tr>
      <w:tr w:rsidR="00267DA7" w:rsidRPr="00CE70CB" w:rsidTr="00267DA7">
        <w:trPr>
          <w:trHeight w:val="360"/>
        </w:trPr>
        <w:tc>
          <w:tcPr>
            <w:tcW w:w="9643" w:type="dxa"/>
            <w:gridSpan w:val="5"/>
            <w:tcBorders>
              <w:top w:val="nil"/>
              <w:bottom w:val="nil"/>
            </w:tcBorders>
            <w:vAlign w:val="center"/>
          </w:tcPr>
          <w:p w:rsidR="00267DA7" w:rsidRPr="00CE70CB" w:rsidRDefault="00267DA7" w:rsidP="00267DA7">
            <w:pPr>
              <w:ind w:left="284" w:hanging="284"/>
              <w:rPr>
                <w:lang w:val="fr-FR"/>
              </w:rPr>
            </w:pPr>
            <w:r w:rsidRPr="00CE70CB">
              <w:rPr>
                <w:lang w:val="fr-FR"/>
              </w:rPr>
              <w:t>2.</w:t>
            </w:r>
            <w:r w:rsidRPr="00CE70CB">
              <w:rPr>
                <w:lang w:val="fr-FR"/>
              </w:rPr>
              <w:tab/>
              <w:t>Les emballages intérieurs contenant des objets tranchants ou pointus tels que du verre brisé et des aiguilles doivent être rigides et résistants à la perforation.</w:t>
            </w:r>
          </w:p>
        </w:tc>
      </w:tr>
      <w:tr w:rsidR="00267DA7" w:rsidRPr="00CE70CB" w:rsidTr="00267DA7">
        <w:trPr>
          <w:trHeight w:val="360"/>
        </w:trPr>
        <w:tc>
          <w:tcPr>
            <w:tcW w:w="9643" w:type="dxa"/>
            <w:gridSpan w:val="5"/>
            <w:tcBorders>
              <w:top w:val="nil"/>
              <w:bottom w:val="nil"/>
            </w:tcBorders>
            <w:vAlign w:val="center"/>
          </w:tcPr>
          <w:p w:rsidR="00267DA7" w:rsidRPr="00CE70CB" w:rsidRDefault="00267DA7" w:rsidP="00267DA7">
            <w:pPr>
              <w:ind w:left="284" w:hanging="284"/>
              <w:rPr>
                <w:lang w:val="fr-FR"/>
              </w:rPr>
            </w:pPr>
            <w:r w:rsidRPr="00CE70CB">
              <w:rPr>
                <w:lang w:val="fr-FR"/>
              </w:rPr>
              <w:t>3.</w:t>
            </w:r>
            <w:r w:rsidRPr="00CE70CB">
              <w:rPr>
                <w:lang w:val="fr-FR"/>
              </w:rPr>
              <w:tab/>
              <w:t>L’emballage intérieur, l’emballage intermédiaire et l’emballage extérieur doivent être capables de retenir les liquides.</w:t>
            </w:r>
            <w:r w:rsidRPr="00CE70CB">
              <w:rPr>
                <w:rFonts w:ascii="inherit" w:hAnsi="inherit"/>
                <w:lang w:val="fr-FR"/>
              </w:rPr>
              <w:t xml:space="preserve"> Les emballages ext</w:t>
            </w:r>
            <w:r w:rsidRPr="00CE70CB">
              <w:rPr>
                <w:rFonts w:ascii="inherit" w:hAnsi="inherit" w:hint="eastAsia"/>
                <w:lang w:val="fr-FR"/>
              </w:rPr>
              <w:t>é</w:t>
            </w:r>
            <w:r w:rsidRPr="00CE70CB">
              <w:rPr>
                <w:rFonts w:ascii="inherit" w:hAnsi="inherit"/>
                <w:lang w:val="fr-FR"/>
              </w:rPr>
              <w:t xml:space="preserve">rieurs qui ne sont pas capables de retenir les liquides par construction doivent </w:t>
            </w:r>
            <w:r w:rsidRPr="00CE70CB">
              <w:rPr>
                <w:rFonts w:ascii="inherit" w:hAnsi="inherit" w:hint="eastAsia"/>
                <w:lang w:val="fr-FR"/>
              </w:rPr>
              <w:t>ê</w:t>
            </w:r>
            <w:r w:rsidRPr="00CE70CB">
              <w:rPr>
                <w:rFonts w:ascii="inherit" w:hAnsi="inherit"/>
                <w:lang w:val="fr-FR"/>
              </w:rPr>
              <w:t xml:space="preserve">tre </w:t>
            </w:r>
            <w:r w:rsidRPr="00CE70CB">
              <w:rPr>
                <w:rFonts w:ascii="inherit" w:hAnsi="inherit" w:hint="eastAsia"/>
                <w:lang w:val="fr-FR"/>
              </w:rPr>
              <w:t>é</w:t>
            </w:r>
            <w:r w:rsidRPr="00CE70CB">
              <w:rPr>
                <w:rFonts w:ascii="inherit" w:hAnsi="inherit"/>
                <w:lang w:val="fr-FR"/>
              </w:rPr>
              <w:t>quip</w:t>
            </w:r>
            <w:r w:rsidRPr="00CE70CB">
              <w:rPr>
                <w:rFonts w:ascii="inherit" w:hAnsi="inherit" w:hint="eastAsia"/>
                <w:lang w:val="fr-FR"/>
              </w:rPr>
              <w:t>é</w:t>
            </w:r>
            <w:r w:rsidRPr="00CE70CB">
              <w:rPr>
                <w:rFonts w:ascii="inherit" w:hAnsi="inherit"/>
                <w:lang w:val="fr-FR"/>
              </w:rPr>
              <w:t>s d'une doublure ou faire l</w:t>
            </w:r>
            <w:r w:rsidRPr="00CE70CB">
              <w:rPr>
                <w:rFonts w:ascii="inherit" w:hAnsi="inherit" w:hint="eastAsia"/>
                <w:lang w:val="fr-FR"/>
              </w:rPr>
              <w:t>’</w:t>
            </w:r>
            <w:r w:rsidRPr="00CE70CB">
              <w:rPr>
                <w:rFonts w:ascii="inherit" w:hAnsi="inherit"/>
                <w:lang w:val="fr-FR"/>
              </w:rPr>
              <w:t>objet de mesures appropri</w:t>
            </w:r>
            <w:r w:rsidRPr="00CE70CB">
              <w:rPr>
                <w:rFonts w:ascii="inherit" w:hAnsi="inherit" w:hint="eastAsia"/>
                <w:lang w:val="fr-FR"/>
              </w:rPr>
              <w:t>é</w:t>
            </w:r>
            <w:r w:rsidRPr="00CE70CB">
              <w:rPr>
                <w:rFonts w:ascii="inherit" w:hAnsi="inherit"/>
                <w:lang w:val="fr-FR"/>
              </w:rPr>
              <w:t>es afin de permettre la r</w:t>
            </w:r>
            <w:r w:rsidRPr="00CE70CB">
              <w:rPr>
                <w:rFonts w:ascii="inherit" w:hAnsi="inherit" w:hint="eastAsia"/>
                <w:lang w:val="fr-FR"/>
              </w:rPr>
              <w:t>é</w:t>
            </w:r>
            <w:r w:rsidRPr="00CE70CB">
              <w:rPr>
                <w:rFonts w:ascii="inherit" w:hAnsi="inherit"/>
                <w:lang w:val="fr-FR"/>
              </w:rPr>
              <w:t>tention des liquides.</w:t>
            </w:r>
          </w:p>
        </w:tc>
      </w:tr>
      <w:tr w:rsidR="00267DA7" w:rsidRPr="00CE70CB" w:rsidTr="00267DA7">
        <w:trPr>
          <w:trHeight w:val="360"/>
        </w:trPr>
        <w:tc>
          <w:tcPr>
            <w:tcW w:w="9643" w:type="dxa"/>
            <w:gridSpan w:val="5"/>
            <w:tcBorders>
              <w:top w:val="nil"/>
              <w:bottom w:val="nil"/>
            </w:tcBorders>
            <w:vAlign w:val="center"/>
          </w:tcPr>
          <w:p w:rsidR="00267DA7" w:rsidRPr="00CE70CB" w:rsidRDefault="00267DA7" w:rsidP="00267DA7">
            <w:pPr>
              <w:ind w:left="284" w:hanging="284"/>
              <w:rPr>
                <w:lang w:val="fr-FR"/>
              </w:rPr>
            </w:pPr>
            <w:r w:rsidRPr="00CE70CB">
              <w:rPr>
                <w:lang w:val="fr-FR"/>
              </w:rPr>
              <w:t>4.</w:t>
            </w:r>
            <w:r w:rsidRPr="00CE70CB">
              <w:rPr>
                <w:lang w:val="fr-FR"/>
              </w:rPr>
              <w:tab/>
              <w:t xml:space="preserve">L’emballage intérieur et l’emballage intermédiaire peuvent être souples. Lorsque des emballages souples sont utilisés, ils doivent satisfaire à l’épreuve de résistance aux chocs d’au moins 165 g suivant la norme ISO 7765-1:1988 « Films et feuilles de plastique − Détermination de la résistance au choc par la méthode par chute libre de projectile − Partie 1 : Méthodes dites de l’“escalier” » et satisfaire à l’épreuve de résistance à la déchirure d’au moins 480 g sur des plans perpendiculaires et parallèles au plan longitudinal du sac suivant la norme ISO 6383-2:1983 « Films et feuilles de plastique − Détermination de la résistance au déchirement − Partie 2 : Méthode </w:t>
            </w:r>
            <w:proofErr w:type="spellStart"/>
            <w:r w:rsidRPr="00CE70CB">
              <w:rPr>
                <w:lang w:val="fr-FR"/>
              </w:rPr>
              <w:t>Elmendorf</w:t>
            </w:r>
            <w:proofErr w:type="spellEnd"/>
            <w:r w:rsidRPr="00CE70CB">
              <w:rPr>
                <w:lang w:val="fr-FR"/>
              </w:rPr>
              <w:t> ». La masse nette maximale de chaque emballage intérieur souple doit être de 30 kg.</w:t>
            </w:r>
          </w:p>
        </w:tc>
      </w:tr>
      <w:tr w:rsidR="00267DA7" w:rsidRPr="00CE70CB" w:rsidTr="00267DA7">
        <w:trPr>
          <w:trHeight w:val="360"/>
        </w:trPr>
        <w:tc>
          <w:tcPr>
            <w:tcW w:w="9643" w:type="dxa"/>
            <w:gridSpan w:val="5"/>
            <w:tcBorders>
              <w:top w:val="nil"/>
              <w:bottom w:val="nil"/>
            </w:tcBorders>
            <w:vAlign w:val="center"/>
          </w:tcPr>
          <w:p w:rsidR="00267DA7" w:rsidRPr="00CE70CB" w:rsidRDefault="00267DA7" w:rsidP="00267DA7">
            <w:pPr>
              <w:ind w:left="284" w:hanging="284"/>
              <w:rPr>
                <w:lang w:val="fr-FR"/>
              </w:rPr>
            </w:pPr>
            <w:r w:rsidRPr="00CE70CB">
              <w:rPr>
                <w:lang w:val="fr-FR"/>
              </w:rPr>
              <w:t>5.</w:t>
            </w:r>
            <w:r w:rsidRPr="00CE70CB">
              <w:rPr>
                <w:lang w:val="fr-FR"/>
              </w:rPr>
              <w:tab/>
              <w:t>Chaque emballage intermédiaire souple ne doit contenir qu’un seul emballage intérieur.</w:t>
            </w:r>
          </w:p>
        </w:tc>
      </w:tr>
      <w:tr w:rsidR="00267DA7" w:rsidRPr="00CE70CB" w:rsidTr="00267DA7">
        <w:trPr>
          <w:trHeight w:val="360"/>
        </w:trPr>
        <w:tc>
          <w:tcPr>
            <w:tcW w:w="9643" w:type="dxa"/>
            <w:gridSpan w:val="5"/>
            <w:tcBorders>
              <w:top w:val="nil"/>
              <w:bottom w:val="nil"/>
            </w:tcBorders>
            <w:vAlign w:val="center"/>
          </w:tcPr>
          <w:p w:rsidR="00267DA7" w:rsidRPr="00CE70CB" w:rsidRDefault="00267DA7" w:rsidP="00267DA7">
            <w:pPr>
              <w:ind w:left="284" w:hanging="284"/>
              <w:rPr>
                <w:lang w:val="fr-FR"/>
              </w:rPr>
            </w:pPr>
            <w:r w:rsidRPr="00CE70CB">
              <w:rPr>
                <w:lang w:val="fr-FR"/>
              </w:rPr>
              <w:t>6.</w:t>
            </w:r>
            <w:r w:rsidRPr="00CE70CB">
              <w:rPr>
                <w:lang w:val="fr-FR"/>
              </w:rPr>
              <w:tab/>
              <w:t>Les emballages intérieurs contenant une petite quantité de liquide libre peuvent être contenus dans un emballage intermédiaire pour autant qu’il y ait suffisamment de matériau absorbant ou solidifiant dans l’emballage intérieur ou intermédiaire pour absorber ou solidifier la totalité du contenu liquide présent. Un matériau absorbant approprié résistant aux températures et aux vibrations susceptibles de se produire dans des conditions normales de transport doit être utilisé.</w:t>
            </w:r>
          </w:p>
        </w:tc>
      </w:tr>
      <w:tr w:rsidR="00267DA7" w:rsidRPr="00CE70CB" w:rsidTr="00267DA7">
        <w:trPr>
          <w:trHeight w:val="363"/>
        </w:trPr>
        <w:tc>
          <w:tcPr>
            <w:tcW w:w="9643" w:type="dxa"/>
            <w:gridSpan w:val="5"/>
            <w:tcBorders>
              <w:top w:val="nil"/>
              <w:bottom w:val="single" w:sz="4" w:space="0" w:color="auto"/>
            </w:tcBorders>
            <w:vAlign w:val="center"/>
          </w:tcPr>
          <w:p w:rsidR="00267DA7" w:rsidRPr="00CE70CB" w:rsidRDefault="00267DA7" w:rsidP="00267DA7">
            <w:pPr>
              <w:ind w:left="284" w:hanging="284"/>
              <w:rPr>
                <w:lang w:val="fr-FR"/>
              </w:rPr>
            </w:pPr>
            <w:r w:rsidRPr="00CE70CB">
              <w:rPr>
                <w:lang w:val="fr-FR"/>
              </w:rPr>
              <w:t xml:space="preserve">7. </w:t>
            </w:r>
            <w:r w:rsidRPr="00CE70CB">
              <w:rPr>
                <w:lang w:val="fr-FR"/>
              </w:rPr>
              <w:tab/>
              <w:t>Les emballages intermédiaires doivent être placés dans des emballages extérieurs avec interposition de matériau de rembourrage approprié ou de matériau absorbant.</w:t>
            </w:r>
          </w:p>
        </w:tc>
      </w:tr>
      <w:bookmarkEnd w:id="101"/>
    </w:tbl>
    <w:p w:rsidR="00267DA7" w:rsidRPr="00CE70CB" w:rsidRDefault="00267DA7" w:rsidP="00267DA7">
      <w:pPr>
        <w:pStyle w:val="SingleTxtG"/>
        <w:spacing w:before="120"/>
        <w:rPr>
          <w:lang w:val="fr-FR"/>
        </w:rPr>
      </w:pPr>
    </w:p>
    <w:p w:rsidR="00267DA7" w:rsidRPr="00CE70CB" w:rsidRDefault="00267DA7" w:rsidP="00267DA7">
      <w:pPr>
        <w:suppressAutoHyphens w:val="0"/>
        <w:spacing w:after="200" w:line="276" w:lineRule="auto"/>
        <w:rPr>
          <w:lang w:val="fr-FR"/>
        </w:rPr>
      </w:pPr>
      <w:r w:rsidRPr="00CE70CB">
        <w:rPr>
          <w:lang w:val="fr-FR"/>
        </w:rPr>
        <w:br w:type="page"/>
      </w:r>
    </w:p>
    <w:p w:rsidR="00267DA7" w:rsidRPr="00CE70CB" w:rsidRDefault="00267DA7" w:rsidP="00267DA7">
      <w:pPr>
        <w:pStyle w:val="SingleTxtG"/>
        <w:tabs>
          <w:tab w:val="left" w:pos="2268"/>
        </w:tabs>
        <w:spacing w:before="120"/>
        <w:rPr>
          <w:lang w:val="fr-FR"/>
        </w:rPr>
      </w:pPr>
      <w:r w:rsidRPr="00CE70CB">
        <w:rPr>
          <w:lang w:val="fr-FR"/>
        </w:rPr>
        <w:lastRenderedPageBreak/>
        <w:t>4.1.4.1, P801</w:t>
      </w:r>
      <w:r w:rsidRPr="00CE70CB">
        <w:rPr>
          <w:lang w:val="fr-FR"/>
        </w:rPr>
        <w:tab/>
        <w:t>Modifier pour lire comme suit :</w:t>
      </w:r>
    </w:p>
    <w:tbl>
      <w:tblPr>
        <w:tblW w:w="9643" w:type="dxa"/>
        <w:tblInd w:w="54" w:type="dxa"/>
        <w:tblLayout w:type="fixed"/>
        <w:tblCellMar>
          <w:left w:w="56" w:type="dxa"/>
          <w:right w:w="56" w:type="dxa"/>
        </w:tblCellMar>
        <w:tblLook w:val="0000" w:firstRow="0" w:lastRow="0" w:firstColumn="0" w:lastColumn="0" w:noHBand="0" w:noVBand="0"/>
      </w:tblPr>
      <w:tblGrid>
        <w:gridCol w:w="855"/>
        <w:gridCol w:w="7938"/>
        <w:gridCol w:w="850"/>
      </w:tblGrid>
      <w:tr w:rsidR="00267DA7" w:rsidRPr="00CE70CB" w:rsidTr="00267DA7">
        <w:tc>
          <w:tcPr>
            <w:tcW w:w="855" w:type="dxa"/>
            <w:tcBorders>
              <w:top w:val="single" w:sz="8" w:space="0" w:color="000000"/>
              <w:left w:val="single" w:sz="8" w:space="0" w:color="000000"/>
              <w:bottom w:val="single" w:sz="8" w:space="0" w:color="000000"/>
            </w:tcBorders>
          </w:tcPr>
          <w:p w:rsidR="00267DA7" w:rsidRPr="00CE70CB" w:rsidRDefault="00267DA7" w:rsidP="00267DA7">
            <w:pPr>
              <w:tabs>
                <w:tab w:val="left" w:pos="1418"/>
                <w:tab w:val="left" w:pos="1985"/>
                <w:tab w:val="left" w:pos="2552"/>
                <w:tab w:val="left" w:pos="3119"/>
                <w:tab w:val="left" w:pos="3686"/>
                <w:tab w:val="left" w:pos="4253"/>
                <w:tab w:val="left" w:pos="4820"/>
              </w:tabs>
              <w:suppressAutoHyphens w:val="0"/>
              <w:spacing w:before="24" w:after="24" w:line="240" w:lineRule="auto"/>
              <w:rPr>
                <w:b/>
                <w:bCs/>
                <w:lang w:val="fr-FR"/>
              </w:rPr>
            </w:pPr>
            <w:bookmarkStart w:id="102" w:name="_Hlk31357626"/>
            <w:r w:rsidRPr="00CE70CB">
              <w:rPr>
                <w:lang w:val="fr-FR"/>
              </w:rPr>
              <w:br w:type="page"/>
            </w:r>
            <w:r w:rsidRPr="00CE70CB">
              <w:rPr>
                <w:b/>
                <w:lang w:val="fr-FR"/>
              </w:rPr>
              <w:t>P801</w:t>
            </w:r>
          </w:p>
        </w:tc>
        <w:tc>
          <w:tcPr>
            <w:tcW w:w="7938" w:type="dxa"/>
            <w:tcBorders>
              <w:top w:val="single" w:sz="8" w:space="0" w:color="000000"/>
              <w:left w:val="nil"/>
              <w:bottom w:val="single" w:sz="8" w:space="0" w:color="000000"/>
            </w:tcBorders>
          </w:tcPr>
          <w:p w:rsidR="00267DA7" w:rsidRPr="00CE70CB" w:rsidRDefault="00267DA7" w:rsidP="00267DA7">
            <w:pPr>
              <w:pageBreakBefore/>
              <w:tabs>
                <w:tab w:val="left" w:pos="1418"/>
                <w:tab w:val="left" w:pos="1985"/>
                <w:tab w:val="left" w:pos="2552"/>
                <w:tab w:val="left" w:pos="3119"/>
                <w:tab w:val="left" w:pos="3686"/>
                <w:tab w:val="left" w:pos="4253"/>
                <w:tab w:val="left" w:pos="4820"/>
              </w:tabs>
              <w:suppressAutoHyphens w:val="0"/>
              <w:spacing w:before="24" w:after="24" w:line="240" w:lineRule="auto"/>
              <w:jc w:val="center"/>
              <w:rPr>
                <w:b/>
                <w:bCs/>
                <w:lang w:val="fr-FR"/>
              </w:rPr>
            </w:pPr>
            <w:r w:rsidRPr="00CE70CB">
              <w:rPr>
                <w:b/>
                <w:bCs/>
                <w:lang w:val="fr-FR"/>
              </w:rPr>
              <w:t xml:space="preserve">INSTRUCTION D'EMBALLAGE </w:t>
            </w:r>
          </w:p>
        </w:tc>
        <w:tc>
          <w:tcPr>
            <w:tcW w:w="850" w:type="dxa"/>
            <w:tcBorders>
              <w:top w:val="single" w:sz="8" w:space="0" w:color="000000"/>
              <w:bottom w:val="single" w:sz="8" w:space="0" w:color="000000"/>
              <w:right w:val="single" w:sz="8" w:space="0" w:color="000000"/>
            </w:tcBorders>
          </w:tcPr>
          <w:p w:rsidR="00267DA7" w:rsidRPr="00CE70CB" w:rsidRDefault="00267DA7" w:rsidP="00267DA7">
            <w:pPr>
              <w:pageBreakBefore/>
              <w:tabs>
                <w:tab w:val="left" w:pos="1418"/>
                <w:tab w:val="left" w:pos="1985"/>
                <w:tab w:val="left" w:pos="2552"/>
                <w:tab w:val="left" w:pos="3119"/>
                <w:tab w:val="left" w:pos="3686"/>
                <w:tab w:val="left" w:pos="4253"/>
                <w:tab w:val="left" w:pos="4820"/>
              </w:tabs>
              <w:suppressAutoHyphens w:val="0"/>
              <w:spacing w:before="24" w:after="24" w:line="240" w:lineRule="auto"/>
              <w:jc w:val="right"/>
              <w:outlineLvl w:val="8"/>
              <w:rPr>
                <w:b/>
                <w:bCs/>
                <w:lang w:val="fr-FR"/>
              </w:rPr>
            </w:pPr>
            <w:r w:rsidRPr="00CE70CB">
              <w:rPr>
                <w:b/>
                <w:lang w:val="fr-FR"/>
              </w:rPr>
              <w:t>P801</w:t>
            </w:r>
          </w:p>
        </w:tc>
      </w:tr>
      <w:tr w:rsidR="00267DA7" w:rsidRPr="00CE70CB" w:rsidTr="00267DA7">
        <w:tc>
          <w:tcPr>
            <w:tcW w:w="9643" w:type="dxa"/>
            <w:gridSpan w:val="3"/>
            <w:tcBorders>
              <w:top w:val="single" w:sz="8" w:space="0" w:color="000000"/>
              <w:left w:val="single" w:sz="8" w:space="0" w:color="000000"/>
              <w:bottom w:val="single" w:sz="8" w:space="0" w:color="000000"/>
              <w:right w:val="single" w:sz="8" w:space="0" w:color="000000"/>
            </w:tcBorders>
          </w:tcPr>
          <w:p w:rsidR="00267DA7" w:rsidRPr="00CE70CB" w:rsidRDefault="00267DA7" w:rsidP="00267DA7">
            <w:pPr>
              <w:tabs>
                <w:tab w:val="left" w:pos="1418"/>
                <w:tab w:val="left" w:pos="1985"/>
                <w:tab w:val="left" w:pos="2552"/>
                <w:tab w:val="left" w:pos="3119"/>
                <w:tab w:val="left" w:pos="3686"/>
                <w:tab w:val="left" w:pos="4253"/>
                <w:tab w:val="left" w:pos="4820"/>
              </w:tabs>
              <w:suppressAutoHyphens w:val="0"/>
              <w:spacing w:before="24" w:after="24" w:line="240" w:lineRule="auto"/>
              <w:jc w:val="both"/>
              <w:rPr>
                <w:lang w:val="fr-FR"/>
              </w:rPr>
            </w:pPr>
            <w:r w:rsidRPr="00CE70CB">
              <w:rPr>
                <w:lang w:val="fr-FR"/>
              </w:rPr>
              <w:t>Cette instruction s'applique aux Nos ONU 2794, 2795 et 3028 et aux accumulateurs usagés du No ONU 2800.</w:t>
            </w:r>
          </w:p>
        </w:tc>
      </w:tr>
      <w:tr w:rsidR="00267DA7" w:rsidRPr="00CE70CB" w:rsidTr="00267DA7">
        <w:tc>
          <w:tcPr>
            <w:tcW w:w="9643" w:type="dxa"/>
            <w:gridSpan w:val="3"/>
            <w:tcBorders>
              <w:top w:val="single" w:sz="8" w:space="0" w:color="000000"/>
              <w:left w:val="single" w:sz="8" w:space="0" w:color="000000"/>
              <w:right w:val="single" w:sz="8" w:space="0" w:color="000000"/>
            </w:tcBorders>
          </w:tcPr>
          <w:p w:rsidR="00267DA7" w:rsidRPr="00CE70CB" w:rsidRDefault="00267DA7" w:rsidP="00267DA7">
            <w:pPr>
              <w:tabs>
                <w:tab w:val="left" w:pos="1418"/>
                <w:tab w:val="left" w:pos="1985"/>
                <w:tab w:val="left" w:pos="2552"/>
                <w:tab w:val="left" w:pos="3119"/>
                <w:tab w:val="left" w:pos="3686"/>
                <w:tab w:val="left" w:pos="4253"/>
                <w:tab w:val="left" w:pos="4820"/>
              </w:tabs>
              <w:suppressAutoHyphens w:val="0"/>
              <w:spacing w:before="24" w:after="24" w:line="240" w:lineRule="auto"/>
              <w:jc w:val="both"/>
              <w:rPr>
                <w:lang w:val="fr-FR"/>
              </w:rPr>
            </w:pPr>
            <w:r w:rsidRPr="00CE70CB">
              <w:rPr>
                <w:lang w:val="fr-FR"/>
              </w:rPr>
              <w:t xml:space="preserve">Les emballages suivants sont autorisés s'il est satisfait aux dispositions générales des </w:t>
            </w:r>
            <w:r w:rsidRPr="00CE70CB">
              <w:rPr>
                <w:b/>
                <w:lang w:val="fr-FR"/>
              </w:rPr>
              <w:t>4.1.1.1</w:t>
            </w:r>
            <w:r w:rsidRPr="00CE70CB">
              <w:rPr>
                <w:lang w:val="fr-FR"/>
              </w:rPr>
              <w:t xml:space="preserve">, </w:t>
            </w:r>
            <w:r w:rsidRPr="00CE70CB">
              <w:rPr>
                <w:b/>
                <w:bCs/>
                <w:lang w:val="fr-FR"/>
              </w:rPr>
              <w:t>4.1.1.2</w:t>
            </w:r>
            <w:r w:rsidRPr="00CE70CB">
              <w:rPr>
                <w:lang w:val="fr-FR"/>
              </w:rPr>
              <w:t xml:space="preserve">, </w:t>
            </w:r>
            <w:r w:rsidRPr="00CE70CB">
              <w:rPr>
                <w:b/>
                <w:bCs/>
                <w:lang w:val="fr-FR"/>
              </w:rPr>
              <w:t>4.1.1.6</w:t>
            </w:r>
            <w:r w:rsidRPr="00CE70CB">
              <w:rPr>
                <w:lang w:val="fr-FR"/>
              </w:rPr>
              <w:t xml:space="preserve"> et </w:t>
            </w:r>
            <w:r w:rsidRPr="00CE70CB">
              <w:rPr>
                <w:b/>
                <w:lang w:val="fr-FR"/>
              </w:rPr>
              <w:t>4.1.3</w:t>
            </w:r>
            <w:r w:rsidRPr="00CE70CB">
              <w:rPr>
                <w:lang w:val="fr-FR"/>
              </w:rPr>
              <w:t>:</w:t>
            </w:r>
          </w:p>
        </w:tc>
      </w:tr>
      <w:tr w:rsidR="00267DA7" w:rsidRPr="00CE70CB" w:rsidTr="00267DA7">
        <w:tc>
          <w:tcPr>
            <w:tcW w:w="9643" w:type="dxa"/>
            <w:gridSpan w:val="3"/>
            <w:tcBorders>
              <w:left w:val="single" w:sz="8" w:space="0" w:color="000000"/>
              <w:right w:val="single" w:sz="8" w:space="0" w:color="000000"/>
            </w:tcBorders>
          </w:tcPr>
          <w:p w:rsidR="00267DA7" w:rsidRPr="00CE70CB" w:rsidRDefault="00267DA7" w:rsidP="00267DA7">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513" w:hanging="513"/>
              <w:jc w:val="both"/>
              <w:rPr>
                <w:lang w:val="fr-FR"/>
              </w:rPr>
            </w:pPr>
            <w:r w:rsidRPr="00CE70CB">
              <w:rPr>
                <w:lang w:val="fr-FR"/>
              </w:rPr>
              <w:t>1)</w:t>
            </w:r>
            <w:r w:rsidRPr="00CE70CB">
              <w:rPr>
                <w:lang w:val="fr-FR"/>
              </w:rPr>
              <w:tab/>
              <w:t>Emballages extérieurs rigides, harasses en bois ou palettes.</w:t>
            </w:r>
          </w:p>
        </w:tc>
      </w:tr>
      <w:tr w:rsidR="00267DA7" w:rsidRPr="00CE70CB" w:rsidTr="00267DA7">
        <w:tc>
          <w:tcPr>
            <w:tcW w:w="9643" w:type="dxa"/>
            <w:gridSpan w:val="3"/>
            <w:tcBorders>
              <w:left w:val="single" w:sz="8" w:space="0" w:color="000000"/>
              <w:right w:val="single" w:sz="8" w:space="0" w:color="000000"/>
            </w:tcBorders>
          </w:tcPr>
          <w:p w:rsidR="00267DA7" w:rsidRPr="00CE70CB" w:rsidRDefault="00267DA7" w:rsidP="00267DA7">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E70CB">
              <w:rPr>
                <w:lang w:val="fr-FR"/>
              </w:rPr>
              <w:t>En outre, les conditions suivantes doivent être remplies :</w:t>
            </w:r>
          </w:p>
        </w:tc>
      </w:tr>
      <w:tr w:rsidR="00267DA7" w:rsidRPr="00CE70CB" w:rsidTr="00267DA7">
        <w:tc>
          <w:tcPr>
            <w:tcW w:w="9643" w:type="dxa"/>
            <w:gridSpan w:val="3"/>
            <w:tcBorders>
              <w:left w:val="single" w:sz="8" w:space="0" w:color="000000"/>
              <w:right w:val="single" w:sz="8" w:space="0" w:color="000000"/>
            </w:tcBorders>
          </w:tcPr>
          <w:p w:rsidR="00267DA7" w:rsidRPr="00CE70CB" w:rsidRDefault="00267DA7" w:rsidP="00267DA7">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E70CB">
              <w:rPr>
                <w:lang w:val="fr-FR"/>
              </w:rPr>
              <w:t xml:space="preserve">a) </w:t>
            </w:r>
            <w:r w:rsidRPr="00CE70CB">
              <w:rPr>
                <w:lang w:val="fr-FR"/>
              </w:rPr>
              <w:tab/>
              <w:t>Les accumulateurs empilés doivent être placés sur plusieurs niveaux séparés par une couche en matériau non conducteur d’électricité ;</w:t>
            </w:r>
          </w:p>
        </w:tc>
      </w:tr>
      <w:tr w:rsidR="00267DA7" w:rsidRPr="00CE70CB" w:rsidTr="00267DA7">
        <w:tc>
          <w:tcPr>
            <w:tcW w:w="9643" w:type="dxa"/>
            <w:gridSpan w:val="3"/>
            <w:tcBorders>
              <w:left w:val="single" w:sz="8" w:space="0" w:color="000000"/>
              <w:right w:val="single" w:sz="8" w:space="0" w:color="000000"/>
            </w:tcBorders>
          </w:tcPr>
          <w:p w:rsidR="00267DA7" w:rsidRPr="00CE70CB" w:rsidRDefault="00267DA7" w:rsidP="00267DA7">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E70CB">
              <w:rPr>
                <w:lang w:val="fr-FR"/>
              </w:rPr>
              <w:t xml:space="preserve">b) </w:t>
            </w:r>
            <w:r w:rsidRPr="00CE70CB">
              <w:rPr>
                <w:lang w:val="fr-FR"/>
              </w:rPr>
              <w:tab/>
              <w:t>Les bornes des accumulateurs ne doivent pas supporter le poids d’autres éléments qui leur seraient superposés ;</w:t>
            </w:r>
          </w:p>
        </w:tc>
      </w:tr>
      <w:tr w:rsidR="00267DA7" w:rsidRPr="00CE70CB" w:rsidTr="00267DA7">
        <w:tc>
          <w:tcPr>
            <w:tcW w:w="9643" w:type="dxa"/>
            <w:gridSpan w:val="3"/>
            <w:tcBorders>
              <w:left w:val="single" w:sz="8" w:space="0" w:color="000000"/>
              <w:right w:val="single" w:sz="8" w:space="0" w:color="000000"/>
            </w:tcBorders>
          </w:tcPr>
          <w:p w:rsidR="00267DA7" w:rsidRPr="00CE70CB" w:rsidRDefault="00267DA7" w:rsidP="00267DA7">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E70CB">
              <w:rPr>
                <w:lang w:val="fr-FR"/>
              </w:rPr>
              <w:t xml:space="preserve">c) </w:t>
            </w:r>
            <w:r w:rsidRPr="00CE70CB">
              <w:rPr>
                <w:lang w:val="fr-FR"/>
              </w:rPr>
              <w:tab/>
              <w:t>Les accumulateurs doivent être emballés ou assujettis de manière à empêcher tout mouvement accidentel ;</w:t>
            </w:r>
          </w:p>
        </w:tc>
      </w:tr>
      <w:tr w:rsidR="00267DA7" w:rsidRPr="00CE70CB" w:rsidTr="00267DA7">
        <w:tc>
          <w:tcPr>
            <w:tcW w:w="9643" w:type="dxa"/>
            <w:gridSpan w:val="3"/>
            <w:tcBorders>
              <w:left w:val="single" w:sz="8" w:space="0" w:color="000000"/>
              <w:right w:val="single" w:sz="8" w:space="0" w:color="000000"/>
            </w:tcBorders>
          </w:tcPr>
          <w:p w:rsidR="00267DA7" w:rsidRPr="00CE70CB" w:rsidRDefault="00267DA7" w:rsidP="00267DA7">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E70CB">
              <w:rPr>
                <w:lang w:val="fr-FR"/>
              </w:rPr>
              <w:t xml:space="preserve">d) </w:t>
            </w:r>
            <w:r w:rsidRPr="00CE70CB">
              <w:rPr>
                <w:lang w:val="fr-FR"/>
              </w:rPr>
              <w:tab/>
              <w:t>Les accumulateurs ne doivent présenter aucune fuite dans des conditions normales de transport ou des mesures appropriées doivent être prises pour empêcher toute fuite d’électrolyte du colis (par exemple l’emballage individuel des accumulateurs ou d’autres moyens tout aussi efficaces) ; et</w:t>
            </w:r>
          </w:p>
        </w:tc>
      </w:tr>
      <w:tr w:rsidR="00267DA7" w:rsidRPr="00CE70CB" w:rsidTr="00267DA7">
        <w:tc>
          <w:tcPr>
            <w:tcW w:w="9643" w:type="dxa"/>
            <w:gridSpan w:val="3"/>
            <w:tcBorders>
              <w:left w:val="single" w:sz="8" w:space="0" w:color="000000"/>
              <w:right w:val="single" w:sz="8" w:space="0" w:color="000000"/>
            </w:tcBorders>
          </w:tcPr>
          <w:p w:rsidR="00267DA7" w:rsidRPr="00CE70CB" w:rsidRDefault="00267DA7" w:rsidP="00267DA7">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E70CB">
              <w:rPr>
                <w:lang w:val="fr-FR"/>
              </w:rPr>
              <w:t xml:space="preserve">e) </w:t>
            </w:r>
            <w:r w:rsidRPr="00CE70CB">
              <w:rPr>
                <w:lang w:val="fr-FR"/>
              </w:rPr>
              <w:tab/>
              <w:t>Les accumulateurs doivent être protégés des courts-circuits.</w:t>
            </w:r>
          </w:p>
        </w:tc>
      </w:tr>
      <w:tr w:rsidR="00267DA7" w:rsidRPr="00CE70CB" w:rsidTr="00267DA7">
        <w:tc>
          <w:tcPr>
            <w:tcW w:w="9643" w:type="dxa"/>
            <w:gridSpan w:val="3"/>
            <w:tcBorders>
              <w:left w:val="single" w:sz="8" w:space="0" w:color="000000"/>
              <w:right w:val="single" w:sz="8" w:space="0" w:color="000000"/>
            </w:tcBorders>
          </w:tcPr>
          <w:p w:rsidR="00267DA7" w:rsidRPr="00CE70CB" w:rsidRDefault="00267DA7" w:rsidP="00267DA7">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513" w:hanging="513"/>
              <w:jc w:val="both"/>
              <w:rPr>
                <w:lang w:val="fr-FR"/>
              </w:rPr>
            </w:pPr>
            <w:r w:rsidRPr="00CE70CB">
              <w:rPr>
                <w:lang w:val="fr-FR"/>
              </w:rPr>
              <w:t>2)</w:t>
            </w:r>
            <w:r w:rsidRPr="00CE70CB">
              <w:rPr>
                <w:lang w:val="fr-FR"/>
              </w:rPr>
              <w:tab/>
              <w:t>Des bacs d’acier inoxydable ou de plastique peuvent aussi être utilisés pour le transport des accumulateurs usagés.</w:t>
            </w:r>
          </w:p>
        </w:tc>
      </w:tr>
      <w:tr w:rsidR="00267DA7" w:rsidRPr="00CE70CB" w:rsidTr="00267DA7">
        <w:tc>
          <w:tcPr>
            <w:tcW w:w="9643" w:type="dxa"/>
            <w:gridSpan w:val="3"/>
            <w:tcBorders>
              <w:left w:val="single" w:sz="8" w:space="0" w:color="000000"/>
              <w:right w:val="single" w:sz="8" w:space="0" w:color="000000"/>
            </w:tcBorders>
          </w:tcPr>
          <w:p w:rsidR="00267DA7" w:rsidRPr="00CE70CB" w:rsidRDefault="00267DA7" w:rsidP="00267DA7">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E70CB">
              <w:rPr>
                <w:lang w:val="fr-FR"/>
              </w:rPr>
              <w:t>En outre, les conditions suivantes doivent être remplies :</w:t>
            </w:r>
          </w:p>
        </w:tc>
      </w:tr>
      <w:tr w:rsidR="00267DA7" w:rsidRPr="00CE70CB" w:rsidTr="00267DA7">
        <w:tc>
          <w:tcPr>
            <w:tcW w:w="9643" w:type="dxa"/>
            <w:gridSpan w:val="3"/>
            <w:tcBorders>
              <w:left w:val="single" w:sz="8" w:space="0" w:color="000000"/>
              <w:right w:val="single" w:sz="8" w:space="0" w:color="000000"/>
            </w:tcBorders>
          </w:tcPr>
          <w:p w:rsidR="00267DA7" w:rsidRPr="00CE70CB" w:rsidRDefault="00267DA7" w:rsidP="00267DA7">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E70CB">
              <w:rPr>
                <w:lang w:val="fr-FR"/>
              </w:rPr>
              <w:t>a)</w:t>
            </w:r>
            <w:r w:rsidRPr="00CE70CB">
              <w:rPr>
                <w:lang w:val="fr-FR"/>
              </w:rPr>
              <w:tab/>
              <w:t>Les bacs doivent être résistants aux électrolytes qui étaient contenus dans les accumulateurs ;</w:t>
            </w:r>
          </w:p>
        </w:tc>
      </w:tr>
      <w:tr w:rsidR="00267DA7" w:rsidRPr="00CE70CB" w:rsidTr="00267DA7">
        <w:tc>
          <w:tcPr>
            <w:tcW w:w="9643" w:type="dxa"/>
            <w:gridSpan w:val="3"/>
            <w:tcBorders>
              <w:left w:val="single" w:sz="8" w:space="0" w:color="000000"/>
              <w:right w:val="single" w:sz="8" w:space="0" w:color="000000"/>
            </w:tcBorders>
          </w:tcPr>
          <w:p w:rsidR="00267DA7" w:rsidRPr="00CE70CB" w:rsidRDefault="00267DA7" w:rsidP="00267DA7">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E70CB">
              <w:rPr>
                <w:lang w:val="fr-FR"/>
              </w:rPr>
              <w:t>b)</w:t>
            </w:r>
            <w:r w:rsidRPr="00CE70CB">
              <w:rPr>
                <w:lang w:val="fr-FR"/>
              </w:rPr>
              <w:tab/>
              <w:t>La hauteur de chargement des accumulateurs ne doit pas dépasser le bord supérieur des parois des bacs ;</w:t>
            </w:r>
          </w:p>
        </w:tc>
      </w:tr>
      <w:tr w:rsidR="00267DA7" w:rsidRPr="00CE70CB" w:rsidTr="00267DA7">
        <w:tc>
          <w:tcPr>
            <w:tcW w:w="9643" w:type="dxa"/>
            <w:gridSpan w:val="3"/>
            <w:tcBorders>
              <w:left w:val="single" w:sz="8" w:space="0" w:color="000000"/>
              <w:right w:val="single" w:sz="8" w:space="0" w:color="000000"/>
            </w:tcBorders>
          </w:tcPr>
          <w:p w:rsidR="00267DA7" w:rsidRPr="00CE70CB" w:rsidRDefault="00267DA7" w:rsidP="00267DA7">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E70CB">
              <w:rPr>
                <w:lang w:val="fr-FR"/>
              </w:rPr>
              <w:t>c)</w:t>
            </w:r>
            <w:r w:rsidRPr="00CE70CB">
              <w:rPr>
                <w:lang w:val="fr-FR"/>
              </w:rPr>
              <w:tab/>
              <w:t>Aucun résidu de l’électrolyte contenu dans les accumulateurs ne doit adhérer à la surface extérieure des bacs ;</w:t>
            </w:r>
          </w:p>
        </w:tc>
      </w:tr>
      <w:tr w:rsidR="00267DA7" w:rsidRPr="00CE70CB" w:rsidTr="00267DA7">
        <w:tc>
          <w:tcPr>
            <w:tcW w:w="9643" w:type="dxa"/>
            <w:gridSpan w:val="3"/>
            <w:tcBorders>
              <w:left w:val="single" w:sz="8" w:space="0" w:color="000000"/>
              <w:right w:val="single" w:sz="8" w:space="0" w:color="000000"/>
            </w:tcBorders>
          </w:tcPr>
          <w:p w:rsidR="00267DA7" w:rsidRPr="00CE70CB" w:rsidRDefault="00267DA7" w:rsidP="00267DA7">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E70CB">
              <w:rPr>
                <w:lang w:val="fr-FR"/>
              </w:rPr>
              <w:t>d)</w:t>
            </w:r>
            <w:r w:rsidRPr="00CE70CB">
              <w:rPr>
                <w:lang w:val="fr-FR"/>
              </w:rPr>
              <w:tab/>
              <w:t>Dans les conditions normales de transport, il ne doit y avoir aucune fuite d’électrolyte des bacs ;</w:t>
            </w:r>
          </w:p>
        </w:tc>
      </w:tr>
      <w:tr w:rsidR="00267DA7" w:rsidRPr="00CE70CB" w:rsidTr="00267DA7">
        <w:tc>
          <w:tcPr>
            <w:tcW w:w="9643" w:type="dxa"/>
            <w:gridSpan w:val="3"/>
            <w:tcBorders>
              <w:left w:val="single" w:sz="8" w:space="0" w:color="000000"/>
              <w:right w:val="single" w:sz="8" w:space="0" w:color="000000"/>
            </w:tcBorders>
          </w:tcPr>
          <w:p w:rsidR="00267DA7" w:rsidRPr="00CE70CB" w:rsidRDefault="00267DA7" w:rsidP="00267DA7">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E70CB">
              <w:rPr>
                <w:lang w:val="fr-FR"/>
              </w:rPr>
              <w:t>e)</w:t>
            </w:r>
            <w:r w:rsidRPr="00CE70CB">
              <w:rPr>
                <w:lang w:val="fr-FR"/>
              </w:rPr>
              <w:tab/>
              <w:t xml:space="preserve">Des mesures doivent être prises pour que les bacs remplis ne puissent perdre de leur contenu ; </w:t>
            </w:r>
          </w:p>
        </w:tc>
      </w:tr>
      <w:tr w:rsidR="00267DA7" w:rsidRPr="00CE70CB" w:rsidTr="00267DA7">
        <w:tc>
          <w:tcPr>
            <w:tcW w:w="9643" w:type="dxa"/>
            <w:gridSpan w:val="3"/>
            <w:tcBorders>
              <w:left w:val="single" w:sz="8" w:space="0" w:color="000000"/>
              <w:right w:val="single" w:sz="8" w:space="0" w:color="000000"/>
            </w:tcBorders>
          </w:tcPr>
          <w:p w:rsidR="00267DA7" w:rsidRPr="00CE70CB" w:rsidRDefault="00267DA7" w:rsidP="00267DA7">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E70CB">
              <w:rPr>
                <w:lang w:val="fr-FR"/>
              </w:rPr>
              <w:t>f)</w:t>
            </w:r>
            <w:r w:rsidRPr="00CE70CB">
              <w:rPr>
                <w:lang w:val="fr-FR"/>
              </w:rPr>
              <w:tab/>
              <w:t xml:space="preserve">Des mesures doivent être prises pour éviter les courts-circuits (par exemple : les accumulateurs sont déchargés, protection individuelle des bornes des accumulateurs, </w:t>
            </w:r>
            <w:proofErr w:type="spellStart"/>
            <w:r w:rsidRPr="00CE70CB">
              <w:rPr>
                <w:lang w:val="fr-FR"/>
              </w:rPr>
              <w:t>etc</w:t>
            </w:r>
            <w:proofErr w:type="spellEnd"/>
            <w:r w:rsidRPr="00CE70CB">
              <w:rPr>
                <w:lang w:val="fr-FR"/>
              </w:rPr>
              <w:t>) ; et</w:t>
            </w:r>
          </w:p>
        </w:tc>
      </w:tr>
      <w:tr w:rsidR="00267DA7" w:rsidRPr="00CE70CB" w:rsidTr="00267DA7">
        <w:tc>
          <w:tcPr>
            <w:tcW w:w="9643" w:type="dxa"/>
            <w:gridSpan w:val="3"/>
            <w:tcBorders>
              <w:left w:val="single" w:sz="8" w:space="0" w:color="000000"/>
              <w:right w:val="single" w:sz="8" w:space="0" w:color="000000"/>
            </w:tcBorders>
          </w:tcPr>
          <w:p w:rsidR="00267DA7" w:rsidRPr="00CE70CB" w:rsidRDefault="00267DA7" w:rsidP="00267DA7">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E70CB">
              <w:rPr>
                <w:lang w:val="fr-FR"/>
              </w:rPr>
              <w:t xml:space="preserve">g) </w:t>
            </w:r>
            <w:r w:rsidRPr="00CE70CB">
              <w:rPr>
                <w:lang w:val="fr-FR"/>
              </w:rPr>
              <w:tab/>
              <w:t>Les bacs doivent être :</w:t>
            </w:r>
          </w:p>
          <w:p w:rsidR="00267DA7" w:rsidRPr="00CE70CB" w:rsidRDefault="00267DA7" w:rsidP="00267DA7">
            <w:pPr>
              <w:tabs>
                <w:tab w:val="left" w:pos="513"/>
                <w:tab w:val="left" w:pos="1985"/>
                <w:tab w:val="left" w:pos="2552"/>
                <w:tab w:val="left" w:pos="3119"/>
                <w:tab w:val="left" w:pos="3686"/>
                <w:tab w:val="left" w:pos="4253"/>
                <w:tab w:val="left" w:pos="4820"/>
              </w:tabs>
              <w:suppressAutoHyphens w:val="0"/>
              <w:spacing w:before="24" w:after="24" w:line="240" w:lineRule="auto"/>
              <w:ind w:left="1539" w:hanging="513"/>
              <w:jc w:val="both"/>
              <w:rPr>
                <w:lang w:val="fr-FR"/>
              </w:rPr>
            </w:pPr>
            <w:r w:rsidRPr="00CE70CB">
              <w:rPr>
                <w:lang w:val="fr-FR"/>
              </w:rPr>
              <w:t>i)</w:t>
            </w:r>
            <w:r w:rsidRPr="00CE70CB">
              <w:rPr>
                <w:lang w:val="fr-FR"/>
              </w:rPr>
              <w:tab/>
              <w:t>soit couverts ;</w:t>
            </w:r>
          </w:p>
          <w:p w:rsidR="00267DA7" w:rsidRPr="00CE70CB" w:rsidRDefault="00267DA7" w:rsidP="00267DA7">
            <w:pPr>
              <w:tabs>
                <w:tab w:val="left" w:pos="513"/>
                <w:tab w:val="left" w:pos="1985"/>
                <w:tab w:val="left" w:pos="2552"/>
                <w:tab w:val="left" w:pos="3119"/>
                <w:tab w:val="left" w:pos="3686"/>
                <w:tab w:val="left" w:pos="4253"/>
                <w:tab w:val="left" w:pos="4820"/>
              </w:tabs>
              <w:suppressAutoHyphens w:val="0"/>
              <w:spacing w:before="24" w:after="24" w:line="240" w:lineRule="auto"/>
              <w:ind w:left="1539" w:hanging="513"/>
              <w:jc w:val="both"/>
              <w:rPr>
                <w:lang w:val="fr-FR"/>
              </w:rPr>
            </w:pPr>
            <w:r w:rsidRPr="00CE70CB">
              <w:rPr>
                <w:lang w:val="fr-FR"/>
              </w:rPr>
              <w:t>ii)</w:t>
            </w:r>
            <w:r w:rsidRPr="00CE70CB">
              <w:rPr>
                <w:lang w:val="fr-FR"/>
              </w:rPr>
              <w:tab/>
              <w:t>soit transportés dans des véhicules couverts ou bâchés ou dans des conteneurs fermés ou bâchés.</w:t>
            </w:r>
          </w:p>
        </w:tc>
      </w:tr>
      <w:tr w:rsidR="00267DA7" w:rsidRPr="00CE70CB" w:rsidTr="00267DA7">
        <w:tc>
          <w:tcPr>
            <w:tcW w:w="9643" w:type="dxa"/>
            <w:gridSpan w:val="3"/>
            <w:tcBorders>
              <w:left w:val="single" w:sz="8" w:space="0" w:color="000000"/>
              <w:bottom w:val="single" w:sz="8" w:space="0" w:color="000000"/>
              <w:right w:val="single" w:sz="8" w:space="0" w:color="000000"/>
            </w:tcBorders>
            <w:tcMar>
              <w:top w:w="57" w:type="dxa"/>
              <w:bottom w:w="57" w:type="dxa"/>
            </w:tcMar>
          </w:tcPr>
          <w:p w:rsidR="00267DA7" w:rsidRPr="00CE70CB" w:rsidRDefault="00267DA7" w:rsidP="00267DA7">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p>
        </w:tc>
      </w:tr>
    </w:tbl>
    <w:bookmarkEnd w:id="102"/>
    <w:p w:rsidR="00267DA7" w:rsidRPr="00CE70CB" w:rsidRDefault="00267DA7" w:rsidP="00267DA7">
      <w:pPr>
        <w:pStyle w:val="SingleTxtG"/>
        <w:tabs>
          <w:tab w:val="left" w:pos="2268"/>
        </w:tabs>
        <w:spacing w:before="120"/>
        <w:ind w:left="2257" w:hanging="1123"/>
        <w:rPr>
          <w:lang w:val="fr-FR"/>
        </w:rPr>
      </w:pPr>
      <w:r w:rsidRPr="00CE70CB">
        <w:rPr>
          <w:lang w:val="fr-FR"/>
        </w:rPr>
        <w:t>4.1.4.1, P801a</w:t>
      </w:r>
    </w:p>
    <w:p w:rsidR="00267DA7" w:rsidRPr="00CE70CB" w:rsidRDefault="00267DA7" w:rsidP="00267DA7">
      <w:pPr>
        <w:pStyle w:val="SingleTxtG"/>
        <w:tabs>
          <w:tab w:val="left" w:pos="2268"/>
          <w:tab w:val="left" w:pos="4820"/>
        </w:tabs>
        <w:spacing w:before="120"/>
        <w:ind w:left="2257" w:hanging="1123"/>
        <w:rPr>
          <w:lang w:val="fr-FR"/>
        </w:rPr>
      </w:pPr>
      <w:r w:rsidRPr="00CE70CB">
        <w:rPr>
          <w:lang w:val="fr-FR"/>
        </w:rPr>
        <w:tab/>
        <w:t>Supprimer et ajouter « P801a</w:t>
      </w:r>
      <w:r w:rsidRPr="00CE70CB">
        <w:rPr>
          <w:lang w:val="fr-FR"/>
        </w:rPr>
        <w:tab/>
      </w:r>
      <w:bookmarkStart w:id="103" w:name="_Hlk31357387"/>
      <w:r w:rsidR="003338A0" w:rsidRPr="00CE70CB">
        <w:rPr>
          <w:i/>
          <w:iCs/>
          <w:lang w:val="fr-FR"/>
        </w:rPr>
        <w:t>(</w:t>
      </w:r>
      <w:r w:rsidRPr="00CE70CB">
        <w:rPr>
          <w:i/>
          <w:iCs/>
          <w:lang w:val="fr-FR"/>
        </w:rPr>
        <w:t>Supprimée</w:t>
      </w:r>
      <w:r w:rsidR="003338A0" w:rsidRPr="00CE70CB">
        <w:rPr>
          <w:i/>
          <w:iCs/>
          <w:lang w:val="fr-FR"/>
        </w:rPr>
        <w:t>)</w:t>
      </w:r>
      <w:bookmarkEnd w:id="103"/>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4.1.4.1, P903</w:t>
      </w:r>
      <w:r w:rsidRPr="00CE70CB">
        <w:rPr>
          <w:lang w:val="fr-FR"/>
        </w:rPr>
        <w:tab/>
        <w:t>Ajouter le nouveau Nota suivant sous le paragraphe 4) :</w:t>
      </w:r>
    </w:p>
    <w:p w:rsidR="00267DA7" w:rsidRPr="00CE70CB" w:rsidRDefault="00267DA7" w:rsidP="00267DA7">
      <w:pPr>
        <w:pStyle w:val="SingleTxtG"/>
        <w:tabs>
          <w:tab w:val="left" w:pos="2268"/>
        </w:tabs>
        <w:ind w:left="2259" w:hanging="1125"/>
        <w:rPr>
          <w:lang w:val="fr-FR"/>
        </w:rPr>
      </w:pPr>
      <w:r w:rsidRPr="00CE70CB">
        <w:rPr>
          <w:lang w:val="fr-FR"/>
        </w:rPr>
        <w:tab/>
        <w:t>« </w:t>
      </w:r>
      <w:r w:rsidRPr="00CE70CB">
        <w:rPr>
          <w:b/>
          <w:bCs/>
          <w:i/>
          <w:iCs/>
          <w:lang w:val="fr-FR"/>
        </w:rPr>
        <w:t>NOTA :</w:t>
      </w:r>
      <w:r w:rsidRPr="00CE70CB">
        <w:rPr>
          <w:i/>
          <w:iCs/>
          <w:lang w:val="fr-FR"/>
        </w:rPr>
        <w:t xml:space="preserve"> Pour un transport dans une chaîne de transport comportant un parcours aérien, ces dispositifs, lorsqu'ils sont actifs, doivent satisfaire à des normes définies relatives à la radiation électromagnétique pour assurer que leur fonctionnement n'interfère pas avec les systèmes aériens.</w:t>
      </w:r>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4.1.4.1, P903</w:t>
      </w:r>
      <w:r w:rsidRPr="00CE70CB">
        <w:rPr>
          <w:lang w:val="fr-FR"/>
        </w:rPr>
        <w:tab/>
        <w:t>Ajouter le nouveau paragraphe 5) suivant :</w:t>
      </w:r>
    </w:p>
    <w:p w:rsidR="00267DA7" w:rsidRPr="00CE70CB" w:rsidRDefault="00267DA7" w:rsidP="00267DA7">
      <w:pPr>
        <w:pStyle w:val="SingleTxtG"/>
        <w:tabs>
          <w:tab w:val="left" w:pos="2268"/>
        </w:tabs>
        <w:ind w:left="2259" w:hanging="1125"/>
        <w:rPr>
          <w:lang w:val="fr-FR"/>
        </w:rPr>
      </w:pPr>
      <w:r w:rsidRPr="00CE70CB">
        <w:rPr>
          <w:lang w:val="fr-FR"/>
        </w:rPr>
        <w:tab/>
        <w:t>« 5)</w:t>
      </w:r>
      <w:r w:rsidRPr="00CE70CB">
        <w:rPr>
          <w:lang w:val="fr-FR"/>
        </w:rPr>
        <w:tab/>
        <w:t>Pour les emballages contenant à la fois des piles ou batteries emballées avec un équipement et des piles ou batteries contenues dans un équipement :</w:t>
      </w:r>
    </w:p>
    <w:p w:rsidR="00267DA7" w:rsidRPr="00CE70CB" w:rsidRDefault="00267DA7" w:rsidP="00267DA7">
      <w:pPr>
        <w:pStyle w:val="SingleTxtG"/>
        <w:tabs>
          <w:tab w:val="left" w:pos="2268"/>
        </w:tabs>
        <w:ind w:left="3402" w:hanging="567"/>
        <w:rPr>
          <w:lang w:val="fr-FR"/>
        </w:rPr>
      </w:pPr>
      <w:r w:rsidRPr="00CE70CB">
        <w:rPr>
          <w:lang w:val="fr-FR"/>
        </w:rPr>
        <w:t>a)</w:t>
      </w:r>
      <w:r w:rsidRPr="00CE70CB">
        <w:rPr>
          <w:lang w:val="fr-FR"/>
        </w:rPr>
        <w:tab/>
        <w:t>Pour les piles et les batteries, des emballages qui entourent complètement les piles ou les batteries, placés ensuite avec l'équipement dans un emballage conforme aux prescriptions du paragraphe 1) de la présente instruction d'emballage ; ou</w:t>
      </w:r>
    </w:p>
    <w:p w:rsidR="00267DA7" w:rsidRPr="00CE70CB" w:rsidRDefault="00267DA7" w:rsidP="00267DA7">
      <w:pPr>
        <w:pStyle w:val="SingleTxtG"/>
        <w:tabs>
          <w:tab w:val="left" w:pos="2268"/>
        </w:tabs>
        <w:ind w:left="3402" w:hanging="567"/>
        <w:rPr>
          <w:lang w:val="fr-FR"/>
        </w:rPr>
      </w:pPr>
      <w:r w:rsidRPr="00CE70CB">
        <w:rPr>
          <w:lang w:val="fr-FR"/>
        </w:rPr>
        <w:t>b)</w:t>
      </w:r>
      <w:r w:rsidRPr="00CE70CB">
        <w:rPr>
          <w:lang w:val="fr-FR"/>
        </w:rPr>
        <w:tab/>
        <w:t xml:space="preserve">Des emballages conformes aux prescriptions du paragraphe 1) de la présente instruction d'emballage, placés ensuite avec l'équipement dans un emballage extérieur robuste fabriqué en un matériau approprié, présentant une résistance suffisante et conçu en fonction de sa contenance et de l'usage auquel il est destiné. Les emballages extérieurs doivent être construits de manière à empêcher tout fonctionnement accidentel pendant le transport et </w:t>
      </w:r>
      <w:r w:rsidRPr="00CE70CB">
        <w:rPr>
          <w:lang w:val="fr-FR"/>
        </w:rPr>
        <w:lastRenderedPageBreak/>
        <w:t>il n’est pas nécessaire qu’ils satisfassent aux dispositions du 4.1.1.3.</w:t>
      </w:r>
    </w:p>
    <w:p w:rsidR="00267DA7" w:rsidRPr="00CE70CB" w:rsidRDefault="00267DA7" w:rsidP="00267DA7">
      <w:pPr>
        <w:pStyle w:val="SingleTxtG"/>
        <w:tabs>
          <w:tab w:val="left" w:pos="2268"/>
        </w:tabs>
        <w:ind w:left="2259" w:hanging="1125"/>
        <w:rPr>
          <w:lang w:val="fr-FR"/>
        </w:rPr>
      </w:pPr>
      <w:r w:rsidRPr="00CE70CB">
        <w:rPr>
          <w:lang w:val="fr-FR"/>
        </w:rPr>
        <w:tab/>
        <w:t>L’équipement doit être protégé contre le mouvement à l’intérieur de l’emballage extérieur.</w:t>
      </w:r>
    </w:p>
    <w:p w:rsidR="00267DA7" w:rsidRPr="00CE70CB" w:rsidRDefault="00267DA7" w:rsidP="00267DA7">
      <w:pPr>
        <w:pStyle w:val="SingleTxtG"/>
        <w:tabs>
          <w:tab w:val="left" w:pos="2268"/>
        </w:tabs>
        <w:ind w:left="2259" w:hanging="1125"/>
        <w:rPr>
          <w:lang w:val="fr-FR"/>
        </w:rPr>
      </w:pPr>
      <w:r w:rsidRPr="00CE70CB">
        <w:rPr>
          <w:lang w:val="fr-FR"/>
        </w:rPr>
        <w:tab/>
        <w:t>Les dispositifs tels qu’étiquettes d’identification par radiofréquence, montres et enregistreurs de température, qui ne sont pas susceptibles de générer un dégagement dangereux de chaleur peuvent être transportés dans des emballages extérieurs robustes lorsqu'ils sont intentionnellement actifs.</w:t>
      </w:r>
    </w:p>
    <w:p w:rsidR="00267DA7" w:rsidRPr="00CE70CB" w:rsidRDefault="00267DA7" w:rsidP="00267DA7">
      <w:pPr>
        <w:pStyle w:val="SingleTxtG"/>
        <w:tabs>
          <w:tab w:val="left" w:pos="2268"/>
        </w:tabs>
        <w:ind w:left="2259" w:hanging="1125"/>
        <w:rPr>
          <w:lang w:val="fr-FR"/>
        </w:rPr>
      </w:pPr>
      <w:r w:rsidRPr="00CE70CB">
        <w:rPr>
          <w:b/>
          <w:bCs/>
          <w:i/>
          <w:iCs/>
          <w:lang w:val="fr-FR"/>
        </w:rPr>
        <w:tab/>
        <w:t>NOTA :</w:t>
      </w:r>
      <w:r w:rsidRPr="00CE70CB">
        <w:rPr>
          <w:i/>
          <w:iCs/>
          <w:lang w:val="fr-FR"/>
        </w:rPr>
        <w:t xml:space="preserve"> Pour un transport dans une chaîne de transport comportant un parcours aérien, ces dispositifs, lorsqu'ils sont actifs, doivent satisfaire à des normes définies relatives à la radiation électromagnétique pour assurer que leur fonctionnement n'interfère pas avec les systèmes aériens.</w:t>
      </w:r>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4.1.4.1, P907</w:t>
      </w:r>
      <w:r w:rsidRPr="00CE70CB">
        <w:rPr>
          <w:lang w:val="fr-FR"/>
        </w:rPr>
        <w:tab/>
        <w:t>Remplacer la ligne de titre par « Cette instruction s’applique aux objets tels que machines, appareils ou dispositifs relevant du No ONU 3363</w:t>
      </w:r>
      <w:r w:rsidR="00370AD7" w:rsidRPr="00CE70CB">
        <w:rPr>
          <w:lang w:val="fr-FR"/>
        </w:rPr>
        <w:t>.</w:t>
      </w:r>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ab/>
        <w:t>Dans le texte figurant sous cette ligne de titre, dans la première phrase, remplacer « machines ou appareils » par « objets ». Dans la deuxième phrase, remplacer « des machines ou des appareils » par « des objets ». Dans la cinquième phrase, remplacer « dans la machine ou dans l’appareil » par « dans l’objet » et remplacer « en dehors de la machine ou de l'appareil » par « en dehors de l’objet ». Dans la sixième phrase, remplacer « de la machine ou de l’appareil » par « de l’objet ».</w:t>
      </w:r>
    </w:p>
    <w:p w:rsidR="000F79E2" w:rsidRPr="00CE70CB" w:rsidRDefault="00267DA7" w:rsidP="00267DA7">
      <w:pPr>
        <w:pStyle w:val="SingleTxtG"/>
        <w:tabs>
          <w:tab w:val="left" w:pos="2268"/>
        </w:tabs>
        <w:ind w:left="2259" w:hanging="1125"/>
        <w:rPr>
          <w:lang w:val="fr-FR"/>
        </w:rPr>
      </w:pPr>
      <w:r w:rsidRPr="00CE70CB">
        <w:rPr>
          <w:lang w:val="fr-FR"/>
        </w:rPr>
        <w:t>4.1.4.2, IBC520</w:t>
      </w:r>
    </w:p>
    <w:p w:rsidR="00267DA7" w:rsidRPr="00CE70CB" w:rsidRDefault="00267DA7" w:rsidP="00267DA7">
      <w:pPr>
        <w:pStyle w:val="SingleTxtG"/>
        <w:tabs>
          <w:tab w:val="left" w:pos="2268"/>
        </w:tabs>
        <w:ind w:left="2259" w:hanging="1125"/>
        <w:rPr>
          <w:lang w:val="fr-FR"/>
        </w:rPr>
      </w:pPr>
      <w:r w:rsidRPr="00CE70CB">
        <w:rPr>
          <w:lang w:val="fr-FR"/>
        </w:rPr>
        <w:tab/>
        <w:t>Pour le No ONU 3119, insérer, dans l’ordre approprié, les nouvelles rubriques suivantes :</w:t>
      </w:r>
    </w:p>
    <w:tbl>
      <w:tblPr>
        <w:tblStyle w:val="TableGrid"/>
        <w:tblW w:w="8654" w:type="dxa"/>
        <w:tblInd w:w="985" w:type="dxa"/>
        <w:tblLayout w:type="fixed"/>
        <w:tblLook w:val="01E0" w:firstRow="1" w:lastRow="1" w:firstColumn="1" w:lastColumn="1" w:noHBand="0" w:noVBand="0"/>
      </w:tblPr>
      <w:tblGrid>
        <w:gridCol w:w="720"/>
        <w:gridCol w:w="3060"/>
        <w:gridCol w:w="1080"/>
        <w:gridCol w:w="1440"/>
        <w:gridCol w:w="1260"/>
        <w:gridCol w:w="1094"/>
      </w:tblGrid>
      <w:tr w:rsidR="00267DA7" w:rsidRPr="00CE70CB" w:rsidTr="00267DA7">
        <w:tc>
          <w:tcPr>
            <w:tcW w:w="720" w:type="dxa"/>
            <w:vMerge w:val="restart"/>
            <w:shd w:val="clear" w:color="auto" w:fill="auto"/>
          </w:tcPr>
          <w:p w:rsidR="00267DA7" w:rsidRPr="00CE70CB" w:rsidRDefault="00267DA7" w:rsidP="00267DA7">
            <w:pPr>
              <w:spacing w:before="40" w:after="120"/>
              <w:ind w:right="113"/>
              <w:rPr>
                <w:sz w:val="18"/>
                <w:szCs w:val="18"/>
                <w:lang w:val="fr-FR"/>
              </w:rPr>
            </w:pPr>
          </w:p>
          <w:p w:rsidR="00267DA7" w:rsidRPr="00CE70CB" w:rsidRDefault="00267DA7" w:rsidP="00267DA7">
            <w:pPr>
              <w:spacing w:before="40" w:after="120"/>
              <w:ind w:right="113"/>
              <w:rPr>
                <w:sz w:val="18"/>
                <w:szCs w:val="18"/>
                <w:lang w:val="fr-FR"/>
              </w:rPr>
            </w:pPr>
          </w:p>
        </w:tc>
        <w:tc>
          <w:tcPr>
            <w:tcW w:w="3060" w:type="dxa"/>
            <w:shd w:val="clear" w:color="auto" w:fill="auto"/>
            <w:vAlign w:val="bottom"/>
          </w:tcPr>
          <w:p w:rsidR="00267DA7" w:rsidRPr="00CE70CB" w:rsidRDefault="00267DA7" w:rsidP="00267DA7">
            <w:pPr>
              <w:spacing w:before="60" w:after="60" w:line="200" w:lineRule="exact"/>
              <w:ind w:left="57" w:right="57"/>
              <w:rPr>
                <w:rFonts w:asciiTheme="majorBidi" w:hAnsiTheme="majorBidi" w:cstheme="majorBidi"/>
                <w:sz w:val="16"/>
                <w:szCs w:val="16"/>
                <w:lang w:val="fr-FR"/>
              </w:rPr>
            </w:pPr>
            <w:proofErr w:type="spellStart"/>
            <w:r w:rsidRPr="00CE70CB">
              <w:rPr>
                <w:rFonts w:asciiTheme="majorBidi" w:hAnsiTheme="majorBidi" w:cstheme="majorBidi"/>
                <w:sz w:val="18"/>
                <w:szCs w:val="18"/>
                <w:lang w:val="fr-FR"/>
              </w:rPr>
              <w:t>Peroxypivalate</w:t>
            </w:r>
            <w:proofErr w:type="spellEnd"/>
            <w:r w:rsidRPr="00CE70CB">
              <w:rPr>
                <w:rFonts w:asciiTheme="majorBidi" w:hAnsiTheme="majorBidi" w:cstheme="majorBidi"/>
                <w:sz w:val="18"/>
                <w:szCs w:val="18"/>
                <w:lang w:val="fr-FR"/>
              </w:rPr>
              <w:t xml:space="preserve"> de </w:t>
            </w:r>
            <w:proofErr w:type="spellStart"/>
            <w:r w:rsidRPr="00CE70CB">
              <w:rPr>
                <w:rFonts w:asciiTheme="majorBidi" w:hAnsiTheme="majorBidi" w:cstheme="majorBidi"/>
                <w:sz w:val="18"/>
                <w:szCs w:val="18"/>
                <w:lang w:val="fr-FR"/>
              </w:rPr>
              <w:t>tert</w:t>
            </w:r>
            <w:proofErr w:type="spellEnd"/>
            <w:r w:rsidRPr="00CE70CB">
              <w:rPr>
                <w:rFonts w:asciiTheme="majorBidi" w:hAnsiTheme="majorBidi" w:cstheme="majorBidi"/>
                <w:sz w:val="18"/>
                <w:szCs w:val="18"/>
                <w:lang w:val="fr-FR"/>
              </w:rPr>
              <w:t xml:space="preserve">-amyle, </w:t>
            </w:r>
            <w:r w:rsidRPr="00CE70CB">
              <w:rPr>
                <w:rFonts w:asciiTheme="majorBidi" w:hAnsiTheme="majorBidi" w:cstheme="majorBidi"/>
                <w:sz w:val="18"/>
                <w:szCs w:val="18"/>
                <w:lang w:val="fr-FR"/>
              </w:rPr>
              <w:br/>
              <w:t>à 42 % au plus en dispersion stable dans l’eau</w:t>
            </w:r>
          </w:p>
        </w:tc>
        <w:tc>
          <w:tcPr>
            <w:tcW w:w="1080" w:type="dxa"/>
            <w:shd w:val="clear" w:color="auto" w:fill="auto"/>
          </w:tcPr>
          <w:p w:rsidR="00267DA7" w:rsidRPr="00CE70CB" w:rsidRDefault="00267DA7" w:rsidP="00267DA7">
            <w:pPr>
              <w:spacing w:before="60" w:after="60" w:line="200" w:lineRule="exact"/>
              <w:ind w:left="57" w:right="57"/>
              <w:jc w:val="center"/>
              <w:rPr>
                <w:rFonts w:asciiTheme="majorBidi" w:hAnsiTheme="majorBidi" w:cstheme="majorBidi"/>
                <w:sz w:val="16"/>
                <w:szCs w:val="16"/>
                <w:lang w:val="fr-FR"/>
              </w:rPr>
            </w:pPr>
            <w:r w:rsidRPr="00CE70CB">
              <w:rPr>
                <w:rFonts w:asciiTheme="majorBidi" w:hAnsiTheme="majorBidi" w:cstheme="majorBidi"/>
                <w:sz w:val="16"/>
                <w:szCs w:val="16"/>
                <w:lang w:val="fr-FR"/>
              </w:rPr>
              <w:t>31HA1</w:t>
            </w:r>
          </w:p>
        </w:tc>
        <w:tc>
          <w:tcPr>
            <w:tcW w:w="1440" w:type="dxa"/>
            <w:shd w:val="clear" w:color="auto" w:fill="auto"/>
          </w:tcPr>
          <w:p w:rsidR="00267DA7" w:rsidRPr="00CE70CB" w:rsidRDefault="00267DA7" w:rsidP="00267DA7">
            <w:pPr>
              <w:spacing w:before="60" w:after="60" w:line="200" w:lineRule="exact"/>
              <w:ind w:left="57" w:right="57"/>
              <w:jc w:val="center"/>
              <w:rPr>
                <w:rFonts w:asciiTheme="majorBidi" w:hAnsiTheme="majorBidi" w:cstheme="majorBidi"/>
                <w:sz w:val="16"/>
                <w:szCs w:val="16"/>
                <w:lang w:val="fr-FR"/>
              </w:rPr>
            </w:pPr>
            <w:r w:rsidRPr="00CE70CB">
              <w:rPr>
                <w:rFonts w:asciiTheme="majorBidi" w:hAnsiTheme="majorBidi" w:cstheme="majorBidi"/>
                <w:sz w:val="16"/>
                <w:szCs w:val="16"/>
                <w:lang w:val="fr-FR"/>
              </w:rPr>
              <w:t>1 000</w:t>
            </w:r>
          </w:p>
        </w:tc>
        <w:tc>
          <w:tcPr>
            <w:tcW w:w="1260" w:type="dxa"/>
            <w:shd w:val="clear" w:color="auto" w:fill="auto"/>
          </w:tcPr>
          <w:p w:rsidR="00267DA7" w:rsidRPr="00CE70CB" w:rsidRDefault="00267DA7" w:rsidP="00267DA7">
            <w:pPr>
              <w:spacing w:before="60" w:after="60" w:line="200" w:lineRule="exact"/>
              <w:ind w:left="57" w:right="57"/>
              <w:jc w:val="center"/>
              <w:rPr>
                <w:rFonts w:asciiTheme="majorBidi" w:hAnsiTheme="majorBidi" w:cstheme="majorBidi"/>
                <w:sz w:val="16"/>
                <w:szCs w:val="16"/>
                <w:lang w:val="fr-FR"/>
              </w:rPr>
            </w:pPr>
            <w:r w:rsidRPr="00CE70CB">
              <w:rPr>
                <w:rFonts w:asciiTheme="majorBidi" w:hAnsiTheme="majorBidi" w:cstheme="majorBidi"/>
                <w:sz w:val="16"/>
                <w:szCs w:val="16"/>
                <w:lang w:val="fr-FR"/>
              </w:rPr>
              <w:t>0 ºC</w:t>
            </w:r>
          </w:p>
        </w:tc>
        <w:tc>
          <w:tcPr>
            <w:tcW w:w="1094" w:type="dxa"/>
            <w:shd w:val="clear" w:color="auto" w:fill="auto"/>
          </w:tcPr>
          <w:p w:rsidR="00267DA7" w:rsidRPr="00CE70CB" w:rsidRDefault="00267DA7" w:rsidP="00267DA7">
            <w:pPr>
              <w:spacing w:before="60" w:after="60" w:line="200" w:lineRule="exact"/>
              <w:ind w:left="57" w:right="57"/>
              <w:jc w:val="center"/>
              <w:rPr>
                <w:rFonts w:asciiTheme="majorBidi" w:hAnsiTheme="majorBidi" w:cstheme="majorBidi"/>
                <w:sz w:val="16"/>
                <w:szCs w:val="16"/>
                <w:lang w:val="fr-FR"/>
              </w:rPr>
            </w:pPr>
            <w:r w:rsidRPr="00CE70CB">
              <w:rPr>
                <w:rFonts w:asciiTheme="majorBidi" w:hAnsiTheme="majorBidi" w:cstheme="majorBidi"/>
                <w:sz w:val="16"/>
                <w:szCs w:val="16"/>
                <w:lang w:val="fr-FR"/>
              </w:rPr>
              <w:t>+10 ºC</w:t>
            </w:r>
          </w:p>
        </w:tc>
      </w:tr>
      <w:tr w:rsidR="00267DA7" w:rsidRPr="00CE70CB" w:rsidTr="00267DA7">
        <w:tc>
          <w:tcPr>
            <w:tcW w:w="720" w:type="dxa"/>
            <w:vMerge/>
            <w:shd w:val="clear" w:color="auto" w:fill="auto"/>
          </w:tcPr>
          <w:p w:rsidR="00267DA7" w:rsidRPr="00CE70CB" w:rsidRDefault="00267DA7" w:rsidP="00267DA7">
            <w:pPr>
              <w:spacing w:before="40" w:after="120"/>
              <w:ind w:right="113"/>
              <w:rPr>
                <w:sz w:val="18"/>
                <w:szCs w:val="18"/>
                <w:lang w:val="fr-FR"/>
              </w:rPr>
            </w:pPr>
          </w:p>
        </w:tc>
        <w:tc>
          <w:tcPr>
            <w:tcW w:w="3060" w:type="dxa"/>
            <w:shd w:val="clear" w:color="auto" w:fill="auto"/>
            <w:vAlign w:val="bottom"/>
          </w:tcPr>
          <w:p w:rsidR="00267DA7" w:rsidRPr="00CE70CB" w:rsidRDefault="00267DA7" w:rsidP="00267DA7">
            <w:pPr>
              <w:spacing w:before="60" w:after="60" w:line="200" w:lineRule="exact"/>
              <w:ind w:left="57" w:right="57"/>
              <w:rPr>
                <w:rFonts w:asciiTheme="majorBidi" w:hAnsiTheme="majorBidi" w:cstheme="majorBidi"/>
                <w:sz w:val="16"/>
                <w:szCs w:val="16"/>
                <w:lang w:val="fr-FR"/>
              </w:rPr>
            </w:pPr>
            <w:proofErr w:type="spellStart"/>
            <w:r w:rsidRPr="00CE70CB">
              <w:rPr>
                <w:rFonts w:asciiTheme="majorBidi" w:hAnsiTheme="majorBidi" w:cstheme="majorBidi"/>
                <w:sz w:val="18"/>
                <w:szCs w:val="18"/>
                <w:lang w:val="fr-FR"/>
              </w:rPr>
              <w:t>Peroxypivalate</w:t>
            </w:r>
            <w:proofErr w:type="spellEnd"/>
            <w:r w:rsidRPr="00CE70CB">
              <w:rPr>
                <w:rFonts w:asciiTheme="majorBidi" w:hAnsiTheme="majorBidi" w:cstheme="majorBidi"/>
                <w:sz w:val="18"/>
                <w:szCs w:val="18"/>
                <w:lang w:val="fr-FR"/>
              </w:rPr>
              <w:t xml:space="preserve"> de </w:t>
            </w:r>
            <w:proofErr w:type="spellStart"/>
            <w:r w:rsidRPr="00CE70CB">
              <w:rPr>
                <w:rFonts w:asciiTheme="majorBidi" w:hAnsiTheme="majorBidi" w:cstheme="majorBidi"/>
                <w:sz w:val="18"/>
                <w:szCs w:val="18"/>
                <w:lang w:val="fr-FR"/>
              </w:rPr>
              <w:t>tert</w:t>
            </w:r>
            <w:proofErr w:type="spellEnd"/>
            <w:r w:rsidRPr="00CE70CB">
              <w:rPr>
                <w:rFonts w:asciiTheme="majorBidi" w:hAnsiTheme="majorBidi" w:cstheme="majorBidi"/>
                <w:sz w:val="18"/>
                <w:szCs w:val="18"/>
                <w:lang w:val="fr-FR"/>
              </w:rPr>
              <w:t xml:space="preserve">-butyle, </w:t>
            </w:r>
            <w:r w:rsidRPr="00CE70CB">
              <w:rPr>
                <w:rFonts w:asciiTheme="majorBidi" w:hAnsiTheme="majorBidi" w:cstheme="majorBidi"/>
                <w:sz w:val="18"/>
                <w:szCs w:val="18"/>
                <w:lang w:val="fr-FR"/>
              </w:rPr>
              <w:br/>
              <w:t>à 42 % au plus dans un diluant de type A</w:t>
            </w:r>
          </w:p>
        </w:tc>
        <w:tc>
          <w:tcPr>
            <w:tcW w:w="1080" w:type="dxa"/>
            <w:shd w:val="clear" w:color="auto" w:fill="auto"/>
          </w:tcPr>
          <w:p w:rsidR="00267DA7" w:rsidRPr="00CE70CB" w:rsidRDefault="00267DA7" w:rsidP="00267DA7">
            <w:pPr>
              <w:spacing w:before="60" w:after="60" w:line="200" w:lineRule="exact"/>
              <w:ind w:left="57" w:right="57"/>
              <w:jc w:val="center"/>
              <w:rPr>
                <w:rFonts w:asciiTheme="majorBidi" w:hAnsiTheme="majorBidi" w:cstheme="majorBidi"/>
                <w:sz w:val="16"/>
                <w:szCs w:val="16"/>
                <w:lang w:val="fr-FR"/>
              </w:rPr>
            </w:pPr>
            <w:r w:rsidRPr="00CE70CB">
              <w:rPr>
                <w:rFonts w:asciiTheme="majorBidi" w:hAnsiTheme="majorBidi" w:cstheme="majorBidi"/>
                <w:sz w:val="16"/>
                <w:szCs w:val="16"/>
                <w:lang w:val="fr-FR"/>
              </w:rPr>
              <w:t>31HA1</w:t>
            </w:r>
            <w:r w:rsidRPr="00CE70CB">
              <w:rPr>
                <w:rFonts w:asciiTheme="majorBidi" w:hAnsiTheme="majorBidi" w:cstheme="majorBidi"/>
                <w:sz w:val="16"/>
                <w:szCs w:val="16"/>
                <w:lang w:val="fr-FR"/>
              </w:rPr>
              <w:br/>
              <w:t>31A</w:t>
            </w:r>
          </w:p>
        </w:tc>
        <w:tc>
          <w:tcPr>
            <w:tcW w:w="1440" w:type="dxa"/>
            <w:shd w:val="clear" w:color="auto" w:fill="auto"/>
          </w:tcPr>
          <w:p w:rsidR="00267DA7" w:rsidRPr="00CE70CB" w:rsidRDefault="00267DA7" w:rsidP="00267DA7">
            <w:pPr>
              <w:spacing w:before="60" w:after="60" w:line="200" w:lineRule="exact"/>
              <w:ind w:left="57" w:right="57"/>
              <w:jc w:val="center"/>
              <w:rPr>
                <w:rFonts w:asciiTheme="majorBidi" w:hAnsiTheme="majorBidi" w:cstheme="majorBidi"/>
                <w:sz w:val="16"/>
                <w:szCs w:val="16"/>
                <w:lang w:val="fr-FR"/>
              </w:rPr>
            </w:pPr>
            <w:r w:rsidRPr="00CE70CB">
              <w:rPr>
                <w:rFonts w:asciiTheme="majorBidi" w:hAnsiTheme="majorBidi" w:cstheme="majorBidi"/>
                <w:sz w:val="16"/>
                <w:szCs w:val="16"/>
                <w:lang w:val="fr-FR"/>
              </w:rPr>
              <w:t>1 000</w:t>
            </w:r>
            <w:r w:rsidRPr="00CE70CB">
              <w:rPr>
                <w:rFonts w:asciiTheme="majorBidi" w:hAnsiTheme="majorBidi" w:cstheme="majorBidi"/>
                <w:sz w:val="16"/>
                <w:szCs w:val="16"/>
                <w:lang w:val="fr-FR"/>
              </w:rPr>
              <w:br/>
              <w:t>1 250</w:t>
            </w:r>
          </w:p>
        </w:tc>
        <w:tc>
          <w:tcPr>
            <w:tcW w:w="1260" w:type="dxa"/>
            <w:shd w:val="clear" w:color="auto" w:fill="auto"/>
          </w:tcPr>
          <w:p w:rsidR="00267DA7" w:rsidRPr="00CE70CB" w:rsidRDefault="00267DA7" w:rsidP="00267DA7">
            <w:pPr>
              <w:spacing w:before="60" w:after="60" w:line="200" w:lineRule="exact"/>
              <w:ind w:left="57" w:right="57"/>
              <w:jc w:val="center"/>
              <w:rPr>
                <w:rFonts w:asciiTheme="majorBidi" w:hAnsiTheme="majorBidi" w:cstheme="majorBidi"/>
                <w:sz w:val="16"/>
                <w:szCs w:val="16"/>
                <w:lang w:val="fr-FR"/>
              </w:rPr>
            </w:pPr>
            <w:r w:rsidRPr="00CE70CB">
              <w:rPr>
                <w:rFonts w:asciiTheme="majorBidi" w:hAnsiTheme="majorBidi" w:cstheme="majorBidi"/>
                <w:sz w:val="16"/>
                <w:szCs w:val="16"/>
                <w:lang w:val="fr-FR"/>
              </w:rPr>
              <w:t>+10 ºC</w:t>
            </w:r>
            <w:r w:rsidRPr="00CE70CB">
              <w:rPr>
                <w:rFonts w:asciiTheme="majorBidi" w:hAnsiTheme="majorBidi" w:cstheme="majorBidi"/>
                <w:sz w:val="16"/>
                <w:szCs w:val="16"/>
                <w:lang w:val="fr-FR"/>
              </w:rPr>
              <w:br/>
              <w:t>+10 ºC</w:t>
            </w:r>
          </w:p>
        </w:tc>
        <w:tc>
          <w:tcPr>
            <w:tcW w:w="1094" w:type="dxa"/>
            <w:shd w:val="clear" w:color="auto" w:fill="auto"/>
          </w:tcPr>
          <w:p w:rsidR="00267DA7" w:rsidRPr="00CE70CB" w:rsidRDefault="00267DA7" w:rsidP="00267DA7">
            <w:pPr>
              <w:spacing w:before="60" w:after="60" w:line="200" w:lineRule="exact"/>
              <w:ind w:left="57" w:right="57"/>
              <w:jc w:val="center"/>
              <w:rPr>
                <w:rFonts w:asciiTheme="majorBidi" w:hAnsiTheme="majorBidi" w:cstheme="majorBidi"/>
                <w:sz w:val="16"/>
                <w:szCs w:val="16"/>
                <w:lang w:val="fr-FR"/>
              </w:rPr>
            </w:pPr>
            <w:r w:rsidRPr="00CE70CB">
              <w:rPr>
                <w:rFonts w:asciiTheme="majorBidi" w:hAnsiTheme="majorBidi" w:cstheme="majorBidi"/>
                <w:sz w:val="16"/>
                <w:szCs w:val="16"/>
                <w:lang w:val="fr-FR"/>
              </w:rPr>
              <w:t>+15 ºC</w:t>
            </w:r>
            <w:r w:rsidRPr="00CE70CB">
              <w:rPr>
                <w:rFonts w:asciiTheme="majorBidi" w:hAnsiTheme="majorBidi" w:cstheme="majorBidi"/>
                <w:sz w:val="16"/>
                <w:szCs w:val="16"/>
                <w:lang w:val="fr-FR"/>
              </w:rPr>
              <w:br/>
              <w:t>+15 ºC</w:t>
            </w:r>
          </w:p>
        </w:tc>
      </w:tr>
    </w:tbl>
    <w:p w:rsidR="00163009" w:rsidRPr="00CE70CB" w:rsidRDefault="00163009" w:rsidP="00267DA7">
      <w:pPr>
        <w:pStyle w:val="SingleTxtG"/>
        <w:tabs>
          <w:tab w:val="left" w:pos="2268"/>
        </w:tabs>
        <w:spacing w:before="120"/>
        <w:ind w:left="2257" w:hanging="1123"/>
        <w:rPr>
          <w:lang w:val="fr-FR"/>
        </w:rPr>
      </w:pPr>
      <w:r w:rsidRPr="00CE70CB">
        <w:rPr>
          <w:lang w:val="fr-FR"/>
        </w:rPr>
        <w:t>4.1.4.3, LP01</w:t>
      </w:r>
    </w:p>
    <w:p w:rsidR="00163009" w:rsidRPr="00CE70CB" w:rsidRDefault="00163009" w:rsidP="00267DA7">
      <w:pPr>
        <w:pStyle w:val="SingleTxtG"/>
        <w:tabs>
          <w:tab w:val="left" w:pos="2268"/>
        </w:tabs>
        <w:spacing w:before="120"/>
        <w:ind w:left="2257" w:hanging="1123"/>
        <w:rPr>
          <w:lang w:val="fr-FR"/>
        </w:rPr>
      </w:pPr>
      <w:r w:rsidRPr="00CE70CB">
        <w:rPr>
          <w:lang w:val="fr-FR"/>
        </w:rPr>
        <w:tab/>
        <w:t>L’amendement est sans objet en français.</w:t>
      </w:r>
    </w:p>
    <w:p w:rsidR="00163009" w:rsidRPr="00CE70CB" w:rsidRDefault="00163009" w:rsidP="00163009">
      <w:pPr>
        <w:pStyle w:val="SingleTxtG"/>
        <w:tabs>
          <w:tab w:val="left" w:pos="2268"/>
        </w:tabs>
        <w:spacing w:before="120"/>
        <w:ind w:left="2257" w:hanging="1123"/>
        <w:rPr>
          <w:lang w:val="fr-FR"/>
        </w:rPr>
      </w:pPr>
      <w:r w:rsidRPr="00CE70CB">
        <w:rPr>
          <w:lang w:val="fr-FR"/>
        </w:rPr>
        <w:t>4.1.4.3, LP02</w:t>
      </w:r>
    </w:p>
    <w:p w:rsidR="00163009" w:rsidRPr="00CE70CB" w:rsidRDefault="00163009" w:rsidP="00163009">
      <w:pPr>
        <w:pStyle w:val="SingleTxtG"/>
        <w:tabs>
          <w:tab w:val="left" w:pos="2268"/>
        </w:tabs>
        <w:spacing w:before="120"/>
        <w:ind w:left="2257" w:hanging="1123"/>
        <w:rPr>
          <w:lang w:val="fr-FR"/>
        </w:rPr>
      </w:pPr>
      <w:r w:rsidRPr="00CE70CB">
        <w:rPr>
          <w:lang w:val="fr-FR"/>
        </w:rPr>
        <w:tab/>
        <w:t>L’amendement est sans objet en français.</w:t>
      </w:r>
    </w:p>
    <w:p w:rsidR="00163009" w:rsidRPr="00CE70CB" w:rsidRDefault="00163009" w:rsidP="00163009">
      <w:pPr>
        <w:pStyle w:val="SingleTxtG"/>
        <w:tabs>
          <w:tab w:val="left" w:pos="2268"/>
        </w:tabs>
        <w:spacing w:before="120"/>
        <w:ind w:left="2257" w:hanging="1123"/>
        <w:rPr>
          <w:lang w:val="fr-FR"/>
        </w:rPr>
      </w:pPr>
      <w:r w:rsidRPr="00CE70CB">
        <w:rPr>
          <w:lang w:val="fr-FR"/>
        </w:rPr>
        <w:t>4.1.4.3, LP101</w:t>
      </w:r>
    </w:p>
    <w:p w:rsidR="00163009" w:rsidRPr="00CE70CB" w:rsidRDefault="00163009" w:rsidP="00163009">
      <w:pPr>
        <w:pStyle w:val="SingleTxtG"/>
        <w:tabs>
          <w:tab w:val="left" w:pos="2268"/>
        </w:tabs>
        <w:spacing w:before="120"/>
        <w:ind w:left="2257" w:hanging="1123"/>
        <w:rPr>
          <w:lang w:val="fr-FR"/>
        </w:rPr>
      </w:pPr>
      <w:r w:rsidRPr="00CE70CB">
        <w:rPr>
          <w:lang w:val="fr-FR"/>
        </w:rPr>
        <w:tab/>
        <w:t>L’amendement est sans objet en français.</w:t>
      </w:r>
    </w:p>
    <w:p w:rsidR="00163009" w:rsidRPr="00CE70CB" w:rsidRDefault="00163009" w:rsidP="00163009">
      <w:pPr>
        <w:pStyle w:val="SingleTxtG"/>
        <w:tabs>
          <w:tab w:val="left" w:pos="2268"/>
        </w:tabs>
        <w:spacing w:before="120"/>
        <w:ind w:left="2257" w:hanging="1123"/>
        <w:rPr>
          <w:lang w:val="fr-FR"/>
        </w:rPr>
      </w:pPr>
      <w:r w:rsidRPr="00CE70CB">
        <w:rPr>
          <w:lang w:val="fr-FR"/>
        </w:rPr>
        <w:t>4.1.4.3, LP102</w:t>
      </w:r>
    </w:p>
    <w:p w:rsidR="00163009" w:rsidRPr="00CE70CB" w:rsidRDefault="00163009" w:rsidP="00163009">
      <w:pPr>
        <w:pStyle w:val="SingleTxtG"/>
        <w:tabs>
          <w:tab w:val="left" w:pos="2268"/>
        </w:tabs>
        <w:spacing w:before="120"/>
        <w:ind w:left="2257" w:hanging="1123"/>
        <w:rPr>
          <w:lang w:val="fr-FR"/>
        </w:rPr>
      </w:pPr>
      <w:r w:rsidRPr="00CE70CB">
        <w:rPr>
          <w:lang w:val="fr-FR"/>
        </w:rPr>
        <w:tab/>
        <w:t>L’amendement est sans objet en français.</w:t>
      </w:r>
    </w:p>
    <w:p w:rsidR="00267DA7" w:rsidRPr="00CE70CB" w:rsidRDefault="00267DA7" w:rsidP="00267DA7">
      <w:pPr>
        <w:pStyle w:val="SingleTxtG"/>
        <w:tabs>
          <w:tab w:val="left" w:pos="2268"/>
        </w:tabs>
        <w:spacing w:before="120"/>
        <w:ind w:left="2257" w:hanging="1123"/>
        <w:rPr>
          <w:lang w:val="fr-FR"/>
        </w:rPr>
      </w:pPr>
      <w:r w:rsidRPr="00CE70CB">
        <w:rPr>
          <w:lang w:val="fr-FR"/>
        </w:rPr>
        <w:t>4.1.4.3, LP200</w:t>
      </w:r>
    </w:p>
    <w:p w:rsidR="00267DA7" w:rsidRPr="00CE70CB" w:rsidRDefault="00267DA7" w:rsidP="00267DA7">
      <w:pPr>
        <w:pStyle w:val="SingleTxtG"/>
        <w:tabs>
          <w:tab w:val="left" w:pos="2268"/>
        </w:tabs>
        <w:spacing w:before="120"/>
        <w:ind w:left="2257" w:hanging="1123"/>
        <w:rPr>
          <w:lang w:val="fr-FR"/>
        </w:rPr>
      </w:pPr>
      <w:r w:rsidRPr="00CE70CB">
        <w:rPr>
          <w:lang w:val="fr-FR"/>
        </w:rPr>
        <w:tab/>
        <w:t xml:space="preserve">Dans le texte d’introduction, remplacer « au No ONU 1950 » par « aux Nos ONU 1950 et 2037 ». </w:t>
      </w:r>
    </w:p>
    <w:p w:rsidR="00267DA7" w:rsidRPr="00CE70CB" w:rsidRDefault="00267DA7" w:rsidP="00267DA7">
      <w:pPr>
        <w:pStyle w:val="SingleTxtG"/>
        <w:tabs>
          <w:tab w:val="left" w:pos="2268"/>
        </w:tabs>
        <w:ind w:left="2259" w:hanging="1125"/>
        <w:rPr>
          <w:lang w:val="fr-FR"/>
        </w:rPr>
      </w:pPr>
      <w:r w:rsidRPr="00CE70CB">
        <w:rPr>
          <w:lang w:val="fr-FR"/>
        </w:rPr>
        <w:tab/>
        <w:t>Au paragraphe suivant, remplacer « sont autorisés pour les aérosols » par « sont autorisés pour les aérosols et les cartouches à gaz ».</w:t>
      </w:r>
    </w:p>
    <w:p w:rsidR="00267DA7" w:rsidRPr="00CE70CB" w:rsidRDefault="00267DA7" w:rsidP="00267DA7">
      <w:pPr>
        <w:pStyle w:val="SingleTxtG"/>
        <w:tabs>
          <w:tab w:val="left" w:pos="2268"/>
        </w:tabs>
        <w:ind w:left="2259" w:hanging="1125"/>
        <w:rPr>
          <w:lang w:val="fr-FR"/>
        </w:rPr>
      </w:pPr>
      <w:r w:rsidRPr="00CE70CB">
        <w:rPr>
          <w:lang w:val="fr-FR"/>
        </w:rPr>
        <w:tab/>
        <w:t xml:space="preserve">Dans la disposition spéciale d’emballage L2, après « tout mouvement dangereux » supprimer « des aérosols ». Modifier la dernière phrase pour lire comme suit : « Pour les aérosols et les cartouches à gaz mis au rebut, transportés conformément à la disposition spéciale 327, les grands emballages doivent être correctement ventilés afin d’empêcher la formation d’atmosphères dangereuses et une augmentation de la pression. ». </w:t>
      </w:r>
    </w:p>
    <w:p w:rsidR="00267DA7" w:rsidRPr="00CE70CB" w:rsidRDefault="00267DA7" w:rsidP="00267DA7">
      <w:pPr>
        <w:pStyle w:val="SingleTxtG"/>
        <w:tabs>
          <w:tab w:val="left" w:pos="2268"/>
        </w:tabs>
        <w:ind w:left="2259" w:hanging="1125"/>
        <w:rPr>
          <w:lang w:val="fr-FR"/>
        </w:rPr>
      </w:pPr>
      <w:r w:rsidRPr="00CE70CB">
        <w:rPr>
          <w:lang w:val="fr-FR"/>
        </w:rPr>
        <w:lastRenderedPageBreak/>
        <w:t>4.1.4.3</w:t>
      </w:r>
      <w:r w:rsidRPr="00CE70CB">
        <w:rPr>
          <w:lang w:val="fr-FR"/>
        </w:rPr>
        <w:tab/>
      </w:r>
      <w:r w:rsidRPr="00CE70CB">
        <w:rPr>
          <w:lang w:val="fr-FR"/>
        </w:rPr>
        <w:tab/>
        <w:t>Ajouter la nouvelle instruction d’emballage LP622 suivante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221"/>
        <w:gridCol w:w="994"/>
      </w:tblGrid>
      <w:tr w:rsidR="00267DA7" w:rsidRPr="00CE70CB" w:rsidTr="00267DA7">
        <w:tc>
          <w:tcPr>
            <w:tcW w:w="855" w:type="dxa"/>
            <w:tcBorders>
              <w:bottom w:val="single" w:sz="4" w:space="0" w:color="000000"/>
            </w:tcBorders>
          </w:tcPr>
          <w:p w:rsidR="00267DA7" w:rsidRPr="00CE70CB" w:rsidRDefault="00267DA7" w:rsidP="00267DA7">
            <w:pPr>
              <w:spacing w:before="60" w:after="60"/>
              <w:rPr>
                <w:b/>
                <w:bCs/>
                <w:sz w:val="18"/>
                <w:szCs w:val="18"/>
                <w:lang w:val="fr-FR"/>
              </w:rPr>
            </w:pPr>
            <w:r w:rsidRPr="00CE70CB">
              <w:rPr>
                <w:b/>
                <w:bCs/>
                <w:sz w:val="18"/>
                <w:szCs w:val="18"/>
                <w:lang w:val="fr-FR"/>
              </w:rPr>
              <w:t>LP622</w:t>
            </w:r>
          </w:p>
        </w:tc>
        <w:tc>
          <w:tcPr>
            <w:tcW w:w="7794" w:type="dxa"/>
            <w:gridSpan w:val="3"/>
            <w:tcBorders>
              <w:bottom w:val="single" w:sz="4" w:space="0" w:color="000000"/>
            </w:tcBorders>
          </w:tcPr>
          <w:p w:rsidR="00267DA7" w:rsidRPr="00CE70CB" w:rsidRDefault="00267DA7" w:rsidP="00267DA7">
            <w:pPr>
              <w:spacing w:before="60" w:after="60"/>
              <w:jc w:val="center"/>
              <w:rPr>
                <w:b/>
                <w:bCs/>
                <w:sz w:val="18"/>
                <w:szCs w:val="18"/>
                <w:lang w:val="fr-FR"/>
              </w:rPr>
            </w:pPr>
            <w:r w:rsidRPr="00CE70CB">
              <w:rPr>
                <w:b/>
                <w:bCs/>
                <w:sz w:val="18"/>
                <w:szCs w:val="18"/>
                <w:lang w:val="fr-FR"/>
              </w:rPr>
              <w:t>INSTRUCTION D’EMBALLAGE</w:t>
            </w:r>
          </w:p>
        </w:tc>
        <w:tc>
          <w:tcPr>
            <w:tcW w:w="994" w:type="dxa"/>
            <w:tcBorders>
              <w:bottom w:val="single" w:sz="4" w:space="0" w:color="000000"/>
            </w:tcBorders>
          </w:tcPr>
          <w:p w:rsidR="00267DA7" w:rsidRPr="00CE70CB" w:rsidRDefault="00267DA7" w:rsidP="00267DA7">
            <w:pPr>
              <w:spacing w:before="60" w:after="60"/>
              <w:rPr>
                <w:b/>
                <w:bCs/>
                <w:sz w:val="18"/>
                <w:szCs w:val="18"/>
                <w:lang w:val="fr-FR"/>
              </w:rPr>
            </w:pPr>
            <w:r w:rsidRPr="00CE70CB">
              <w:rPr>
                <w:b/>
                <w:bCs/>
                <w:sz w:val="18"/>
                <w:szCs w:val="18"/>
                <w:lang w:val="fr-FR"/>
              </w:rPr>
              <w:t xml:space="preserve">        LP622</w:t>
            </w:r>
          </w:p>
        </w:tc>
      </w:tr>
      <w:tr w:rsidR="00267DA7" w:rsidRPr="00CE70CB" w:rsidTr="00267DA7">
        <w:tc>
          <w:tcPr>
            <w:tcW w:w="9643" w:type="dxa"/>
            <w:gridSpan w:val="5"/>
            <w:tcBorders>
              <w:top w:val="single" w:sz="4" w:space="0" w:color="000000"/>
              <w:bottom w:val="single" w:sz="4" w:space="0" w:color="000000"/>
            </w:tcBorders>
          </w:tcPr>
          <w:p w:rsidR="00267DA7" w:rsidRPr="00CE70CB" w:rsidRDefault="00267DA7" w:rsidP="00267DA7">
            <w:pPr>
              <w:spacing w:before="60" w:after="60"/>
              <w:rPr>
                <w:sz w:val="18"/>
                <w:szCs w:val="18"/>
                <w:lang w:val="fr-FR"/>
              </w:rPr>
            </w:pPr>
            <w:r w:rsidRPr="00CE70CB">
              <w:rPr>
                <w:sz w:val="18"/>
                <w:szCs w:val="18"/>
                <w:lang w:val="fr-FR"/>
              </w:rPr>
              <w:t xml:space="preserve">Cette instruction s’applique aux déchets du No ONU 3549 </w:t>
            </w:r>
            <w:r w:rsidRPr="00CE70CB">
              <w:rPr>
                <w:lang w:val="fr-FR"/>
              </w:rPr>
              <w:t>transportés en vue de leur élimination</w:t>
            </w:r>
            <w:r w:rsidRPr="00CE70CB">
              <w:rPr>
                <w:sz w:val="18"/>
                <w:szCs w:val="18"/>
                <w:lang w:val="fr-FR"/>
              </w:rPr>
              <w:t>.</w:t>
            </w:r>
          </w:p>
        </w:tc>
      </w:tr>
      <w:tr w:rsidR="00267DA7" w:rsidRPr="00CE70CB" w:rsidTr="00267DA7">
        <w:tc>
          <w:tcPr>
            <w:tcW w:w="9643" w:type="dxa"/>
            <w:gridSpan w:val="5"/>
            <w:tcBorders>
              <w:top w:val="single" w:sz="4" w:space="0" w:color="000000"/>
              <w:bottom w:val="single" w:sz="4" w:space="0" w:color="000000"/>
            </w:tcBorders>
          </w:tcPr>
          <w:p w:rsidR="00267DA7" w:rsidRPr="00CE70CB" w:rsidRDefault="00267DA7" w:rsidP="00267DA7">
            <w:pPr>
              <w:spacing w:before="60" w:after="60"/>
              <w:rPr>
                <w:sz w:val="18"/>
                <w:szCs w:val="18"/>
                <w:lang w:val="fr-FR"/>
              </w:rPr>
            </w:pPr>
            <w:r w:rsidRPr="00CE70CB">
              <w:rPr>
                <w:sz w:val="18"/>
                <w:szCs w:val="18"/>
                <w:lang w:val="fr-FR"/>
              </w:rPr>
              <w:t xml:space="preserve">Les grands emballages suivants sont autorisés s’il est satisfait aux dispositions générales des </w:t>
            </w:r>
            <w:r w:rsidRPr="00CE70CB">
              <w:rPr>
                <w:b/>
                <w:sz w:val="18"/>
                <w:szCs w:val="18"/>
                <w:lang w:val="fr-FR"/>
              </w:rPr>
              <w:t>4.1.1</w:t>
            </w:r>
            <w:r w:rsidRPr="00CE70CB">
              <w:rPr>
                <w:sz w:val="18"/>
                <w:szCs w:val="18"/>
                <w:lang w:val="fr-FR"/>
              </w:rPr>
              <w:t xml:space="preserve"> et </w:t>
            </w:r>
            <w:r w:rsidRPr="00CE70CB">
              <w:rPr>
                <w:b/>
                <w:sz w:val="18"/>
                <w:szCs w:val="18"/>
                <w:lang w:val="fr-FR"/>
              </w:rPr>
              <w:t>4.1.3</w:t>
            </w:r>
            <w:r w:rsidRPr="00CE70CB">
              <w:rPr>
                <w:sz w:val="18"/>
                <w:szCs w:val="18"/>
                <w:lang w:val="fr-FR"/>
              </w:rPr>
              <w:t> :</w:t>
            </w:r>
          </w:p>
        </w:tc>
      </w:tr>
      <w:tr w:rsidR="00267DA7" w:rsidRPr="00CE70CB" w:rsidTr="00267DA7">
        <w:tc>
          <w:tcPr>
            <w:tcW w:w="3214" w:type="dxa"/>
            <w:gridSpan w:val="2"/>
            <w:tcBorders>
              <w:top w:val="single" w:sz="4" w:space="0" w:color="000000"/>
              <w:bottom w:val="single" w:sz="4" w:space="0" w:color="000000"/>
              <w:right w:val="single" w:sz="4" w:space="0" w:color="auto"/>
            </w:tcBorders>
          </w:tcPr>
          <w:p w:rsidR="00267DA7" w:rsidRPr="00CE70CB" w:rsidRDefault="00267DA7" w:rsidP="00267DA7">
            <w:pPr>
              <w:spacing w:before="60" w:after="60"/>
              <w:rPr>
                <w:b/>
                <w:sz w:val="18"/>
                <w:szCs w:val="18"/>
                <w:lang w:val="fr-FR"/>
              </w:rPr>
            </w:pPr>
            <w:r w:rsidRPr="00CE70CB">
              <w:rPr>
                <w:b/>
                <w:bCs/>
                <w:sz w:val="18"/>
                <w:szCs w:val="18"/>
                <w:lang w:val="fr-FR"/>
              </w:rPr>
              <w:t>Emballages intérieurs</w:t>
            </w:r>
          </w:p>
        </w:tc>
        <w:tc>
          <w:tcPr>
            <w:tcW w:w="3214" w:type="dxa"/>
            <w:tcBorders>
              <w:top w:val="single" w:sz="4" w:space="0" w:color="000000"/>
              <w:left w:val="single" w:sz="4" w:space="0" w:color="auto"/>
              <w:bottom w:val="single" w:sz="4" w:space="0" w:color="000000"/>
              <w:right w:val="single" w:sz="4" w:space="0" w:color="auto"/>
            </w:tcBorders>
          </w:tcPr>
          <w:p w:rsidR="00267DA7" w:rsidRPr="00CE70CB" w:rsidRDefault="00267DA7" w:rsidP="00267DA7">
            <w:pPr>
              <w:spacing w:before="60" w:after="60"/>
              <w:rPr>
                <w:b/>
                <w:sz w:val="18"/>
                <w:szCs w:val="18"/>
                <w:lang w:val="fr-FR"/>
              </w:rPr>
            </w:pPr>
            <w:r w:rsidRPr="00CE70CB">
              <w:rPr>
                <w:b/>
                <w:bCs/>
                <w:sz w:val="18"/>
                <w:szCs w:val="18"/>
                <w:lang w:val="fr-FR"/>
              </w:rPr>
              <w:t>Emballages intermédiaires</w:t>
            </w:r>
          </w:p>
        </w:tc>
        <w:tc>
          <w:tcPr>
            <w:tcW w:w="3215" w:type="dxa"/>
            <w:gridSpan w:val="2"/>
            <w:tcBorders>
              <w:top w:val="single" w:sz="4" w:space="0" w:color="000000"/>
              <w:left w:val="single" w:sz="4" w:space="0" w:color="auto"/>
              <w:bottom w:val="single" w:sz="4" w:space="0" w:color="000000"/>
            </w:tcBorders>
          </w:tcPr>
          <w:p w:rsidR="00267DA7" w:rsidRPr="00CE70CB" w:rsidRDefault="00267DA7" w:rsidP="00267DA7">
            <w:pPr>
              <w:spacing w:before="60" w:after="60"/>
              <w:rPr>
                <w:b/>
                <w:sz w:val="18"/>
                <w:szCs w:val="18"/>
                <w:lang w:val="fr-FR"/>
              </w:rPr>
            </w:pPr>
            <w:r w:rsidRPr="00CE70CB">
              <w:rPr>
                <w:b/>
                <w:bCs/>
                <w:sz w:val="18"/>
                <w:szCs w:val="18"/>
                <w:lang w:val="fr-FR"/>
              </w:rPr>
              <w:t>Emballages extérieurs</w:t>
            </w:r>
          </w:p>
        </w:tc>
      </w:tr>
      <w:tr w:rsidR="00267DA7" w:rsidRPr="00CE70CB" w:rsidTr="00267DA7">
        <w:trPr>
          <w:trHeight w:val="1394"/>
        </w:trPr>
        <w:tc>
          <w:tcPr>
            <w:tcW w:w="3214" w:type="dxa"/>
            <w:gridSpan w:val="2"/>
            <w:tcBorders>
              <w:top w:val="single" w:sz="4" w:space="0" w:color="000000"/>
              <w:bottom w:val="single" w:sz="4" w:space="0" w:color="000000"/>
              <w:right w:val="single" w:sz="4" w:space="0" w:color="auto"/>
            </w:tcBorders>
          </w:tcPr>
          <w:p w:rsidR="00267DA7" w:rsidRPr="00CE70CB" w:rsidRDefault="00267DA7" w:rsidP="00267DA7">
            <w:pPr>
              <w:spacing w:before="60" w:after="60"/>
              <w:rPr>
                <w:sz w:val="18"/>
                <w:szCs w:val="18"/>
                <w:lang w:val="fr-FR"/>
              </w:rPr>
            </w:pPr>
            <w:r w:rsidRPr="00CE70CB">
              <w:rPr>
                <w:sz w:val="18"/>
                <w:szCs w:val="18"/>
                <w:lang w:val="fr-FR"/>
              </w:rPr>
              <w:t>en métal</w:t>
            </w:r>
          </w:p>
          <w:p w:rsidR="00267DA7" w:rsidRPr="00CE70CB" w:rsidRDefault="00267DA7" w:rsidP="00267DA7">
            <w:pPr>
              <w:spacing w:before="60" w:after="60"/>
              <w:rPr>
                <w:sz w:val="18"/>
                <w:szCs w:val="18"/>
                <w:lang w:val="fr-FR"/>
              </w:rPr>
            </w:pPr>
            <w:r w:rsidRPr="00CE70CB">
              <w:rPr>
                <w:sz w:val="18"/>
                <w:szCs w:val="18"/>
                <w:lang w:val="fr-FR"/>
              </w:rPr>
              <w:t>en plastique</w:t>
            </w:r>
          </w:p>
        </w:tc>
        <w:tc>
          <w:tcPr>
            <w:tcW w:w="3214" w:type="dxa"/>
            <w:tcBorders>
              <w:top w:val="single" w:sz="4" w:space="0" w:color="000000"/>
              <w:left w:val="single" w:sz="4" w:space="0" w:color="auto"/>
              <w:bottom w:val="single" w:sz="4" w:space="0" w:color="000000"/>
              <w:right w:val="single" w:sz="4" w:space="0" w:color="auto"/>
            </w:tcBorders>
          </w:tcPr>
          <w:p w:rsidR="00267DA7" w:rsidRPr="00CE70CB" w:rsidRDefault="00267DA7" w:rsidP="00267DA7">
            <w:pPr>
              <w:spacing w:before="60" w:after="60"/>
              <w:rPr>
                <w:sz w:val="18"/>
                <w:szCs w:val="18"/>
                <w:lang w:val="fr-FR"/>
              </w:rPr>
            </w:pPr>
            <w:r w:rsidRPr="00CE70CB">
              <w:rPr>
                <w:sz w:val="18"/>
                <w:szCs w:val="18"/>
                <w:lang w:val="fr-FR"/>
              </w:rPr>
              <w:t>en métal</w:t>
            </w:r>
          </w:p>
          <w:p w:rsidR="00267DA7" w:rsidRPr="00CE70CB" w:rsidRDefault="00267DA7" w:rsidP="00267DA7">
            <w:pPr>
              <w:spacing w:before="60" w:after="60"/>
              <w:rPr>
                <w:sz w:val="18"/>
                <w:szCs w:val="18"/>
                <w:lang w:val="fr-FR"/>
              </w:rPr>
            </w:pPr>
            <w:r w:rsidRPr="00CE70CB">
              <w:rPr>
                <w:sz w:val="18"/>
                <w:szCs w:val="18"/>
                <w:lang w:val="fr-FR"/>
              </w:rPr>
              <w:t>en plastique</w:t>
            </w:r>
          </w:p>
        </w:tc>
        <w:tc>
          <w:tcPr>
            <w:tcW w:w="3215" w:type="dxa"/>
            <w:gridSpan w:val="2"/>
            <w:tcBorders>
              <w:top w:val="single" w:sz="4" w:space="0" w:color="000000"/>
              <w:left w:val="single" w:sz="4" w:space="0" w:color="auto"/>
              <w:bottom w:val="single" w:sz="4" w:space="0" w:color="000000"/>
            </w:tcBorders>
          </w:tcPr>
          <w:p w:rsidR="00267DA7" w:rsidRPr="00CE70CB" w:rsidRDefault="00267DA7" w:rsidP="00267DA7">
            <w:pPr>
              <w:spacing w:before="60" w:after="60"/>
              <w:rPr>
                <w:sz w:val="18"/>
                <w:szCs w:val="18"/>
                <w:lang w:val="fr-FR"/>
              </w:rPr>
            </w:pPr>
            <w:r w:rsidRPr="00CE70CB">
              <w:rPr>
                <w:sz w:val="18"/>
                <w:szCs w:val="18"/>
                <w:lang w:val="fr-FR"/>
              </w:rPr>
              <w:t>en acier (50A)</w:t>
            </w:r>
          </w:p>
          <w:p w:rsidR="00267DA7" w:rsidRPr="00CE70CB" w:rsidRDefault="00267DA7" w:rsidP="00267DA7">
            <w:pPr>
              <w:spacing w:before="60" w:after="60"/>
              <w:rPr>
                <w:sz w:val="18"/>
                <w:szCs w:val="18"/>
                <w:lang w:val="fr-FR"/>
              </w:rPr>
            </w:pPr>
            <w:r w:rsidRPr="00CE70CB">
              <w:rPr>
                <w:sz w:val="18"/>
                <w:szCs w:val="18"/>
                <w:lang w:val="fr-FR"/>
              </w:rPr>
              <w:t>en aluminium (50B)</w:t>
            </w:r>
          </w:p>
          <w:p w:rsidR="00267DA7" w:rsidRPr="00CE70CB" w:rsidRDefault="00267DA7" w:rsidP="00267DA7">
            <w:pPr>
              <w:spacing w:before="60" w:after="60"/>
              <w:rPr>
                <w:sz w:val="18"/>
                <w:szCs w:val="18"/>
                <w:lang w:val="fr-FR"/>
              </w:rPr>
            </w:pPr>
            <w:r w:rsidRPr="00CE70CB">
              <w:rPr>
                <w:sz w:val="18"/>
                <w:szCs w:val="18"/>
                <w:lang w:val="fr-FR"/>
              </w:rPr>
              <w:t>en métal autre que l’acier ou l’aluminium (50N)</w:t>
            </w:r>
          </w:p>
          <w:p w:rsidR="00267DA7" w:rsidRPr="00CE70CB" w:rsidRDefault="00267DA7" w:rsidP="00267DA7">
            <w:pPr>
              <w:spacing w:before="60" w:after="60"/>
              <w:rPr>
                <w:sz w:val="18"/>
                <w:szCs w:val="18"/>
                <w:lang w:val="fr-FR"/>
              </w:rPr>
            </w:pPr>
            <w:r w:rsidRPr="00CE70CB">
              <w:rPr>
                <w:sz w:val="18"/>
                <w:szCs w:val="18"/>
                <w:lang w:val="fr-FR"/>
              </w:rPr>
              <w:t>en contreplaqué (50D)</w:t>
            </w:r>
          </w:p>
          <w:p w:rsidR="00267DA7" w:rsidRPr="00CE70CB" w:rsidRDefault="00267DA7" w:rsidP="00267DA7">
            <w:pPr>
              <w:spacing w:before="60" w:after="60"/>
              <w:rPr>
                <w:sz w:val="18"/>
                <w:szCs w:val="18"/>
                <w:lang w:val="fr-FR"/>
              </w:rPr>
            </w:pPr>
            <w:r w:rsidRPr="00CE70CB">
              <w:rPr>
                <w:sz w:val="18"/>
                <w:szCs w:val="18"/>
                <w:lang w:val="fr-FR"/>
              </w:rPr>
              <w:t>en carton rigide (50G)</w:t>
            </w:r>
          </w:p>
          <w:p w:rsidR="00267DA7" w:rsidRPr="00CE70CB" w:rsidRDefault="00267DA7" w:rsidP="00267DA7">
            <w:pPr>
              <w:spacing w:before="60" w:after="60"/>
              <w:rPr>
                <w:sz w:val="18"/>
                <w:szCs w:val="18"/>
                <w:lang w:val="fr-FR"/>
              </w:rPr>
            </w:pPr>
            <w:r w:rsidRPr="00CE70CB">
              <w:rPr>
                <w:sz w:val="18"/>
                <w:szCs w:val="18"/>
                <w:lang w:val="fr-FR"/>
              </w:rPr>
              <w:t>en plastique rigide (50H)</w:t>
            </w:r>
          </w:p>
        </w:tc>
      </w:tr>
      <w:tr w:rsidR="00267DA7" w:rsidRPr="00CE70CB" w:rsidTr="00267DA7">
        <w:tc>
          <w:tcPr>
            <w:tcW w:w="9643" w:type="dxa"/>
            <w:gridSpan w:val="5"/>
            <w:tcBorders>
              <w:top w:val="single" w:sz="4" w:space="0" w:color="000000"/>
              <w:bottom w:val="single" w:sz="4" w:space="0" w:color="000000"/>
            </w:tcBorders>
          </w:tcPr>
          <w:p w:rsidR="00267DA7" w:rsidRPr="00CE70CB" w:rsidRDefault="00267DA7" w:rsidP="00267DA7">
            <w:pPr>
              <w:spacing w:before="60" w:after="60"/>
              <w:rPr>
                <w:sz w:val="18"/>
                <w:szCs w:val="18"/>
                <w:lang w:val="fr-FR"/>
              </w:rPr>
            </w:pPr>
            <w:r w:rsidRPr="00CE70CB">
              <w:rPr>
                <w:sz w:val="18"/>
                <w:szCs w:val="18"/>
                <w:lang w:val="fr-FR"/>
              </w:rPr>
              <w:t xml:space="preserve">L’emballage extérieur doit satisfaire au niveau d’épreuve du groupe d’emballage I pour les matières solides. </w:t>
            </w:r>
          </w:p>
        </w:tc>
      </w:tr>
      <w:tr w:rsidR="00267DA7" w:rsidRPr="00CE70CB" w:rsidTr="00267DA7">
        <w:tc>
          <w:tcPr>
            <w:tcW w:w="9643" w:type="dxa"/>
            <w:gridSpan w:val="5"/>
            <w:tcBorders>
              <w:top w:val="single" w:sz="4" w:space="0" w:color="000000"/>
              <w:bottom w:val="nil"/>
            </w:tcBorders>
          </w:tcPr>
          <w:p w:rsidR="00267DA7" w:rsidRPr="00CE70CB" w:rsidRDefault="00267DA7" w:rsidP="00267DA7">
            <w:pPr>
              <w:spacing w:before="60" w:after="60"/>
              <w:rPr>
                <w:sz w:val="18"/>
                <w:szCs w:val="18"/>
                <w:lang w:val="fr-FR"/>
              </w:rPr>
            </w:pPr>
            <w:r w:rsidRPr="00CE70CB">
              <w:rPr>
                <w:b/>
                <w:bCs/>
                <w:sz w:val="18"/>
                <w:szCs w:val="18"/>
                <w:lang w:val="fr-FR"/>
              </w:rPr>
              <w:t>Dispositions supplémentaires :</w:t>
            </w:r>
          </w:p>
        </w:tc>
      </w:tr>
      <w:tr w:rsidR="00267DA7" w:rsidRPr="00CE70CB" w:rsidTr="00267DA7">
        <w:trPr>
          <w:trHeight w:val="244"/>
        </w:trPr>
        <w:tc>
          <w:tcPr>
            <w:tcW w:w="9643" w:type="dxa"/>
            <w:gridSpan w:val="5"/>
            <w:tcBorders>
              <w:top w:val="nil"/>
              <w:bottom w:val="nil"/>
            </w:tcBorders>
            <w:vAlign w:val="center"/>
          </w:tcPr>
          <w:p w:rsidR="00267DA7" w:rsidRPr="00CE70CB" w:rsidRDefault="00267DA7" w:rsidP="00267DA7">
            <w:pPr>
              <w:spacing w:before="40" w:after="40"/>
              <w:ind w:left="284" w:hanging="284"/>
              <w:rPr>
                <w:sz w:val="18"/>
                <w:szCs w:val="18"/>
                <w:lang w:val="fr-FR"/>
              </w:rPr>
            </w:pPr>
            <w:r w:rsidRPr="00CE70CB">
              <w:rPr>
                <w:sz w:val="18"/>
                <w:szCs w:val="18"/>
                <w:lang w:val="fr-FR"/>
              </w:rPr>
              <w:t>1.</w:t>
            </w:r>
            <w:r w:rsidRPr="00CE70CB">
              <w:rPr>
                <w:sz w:val="18"/>
                <w:szCs w:val="18"/>
                <w:lang w:val="fr-FR"/>
              </w:rPr>
              <w:tab/>
              <w:t>Les objets fragiles doivent être contenus soit dans des emballages intérieurs rigides, soit dans des emballages intermédiaires rigides.</w:t>
            </w:r>
          </w:p>
        </w:tc>
      </w:tr>
      <w:tr w:rsidR="00267DA7" w:rsidRPr="00CE70CB" w:rsidTr="00267DA7">
        <w:trPr>
          <w:trHeight w:val="244"/>
        </w:trPr>
        <w:tc>
          <w:tcPr>
            <w:tcW w:w="9643" w:type="dxa"/>
            <w:gridSpan w:val="5"/>
            <w:tcBorders>
              <w:top w:val="nil"/>
              <w:bottom w:val="nil"/>
            </w:tcBorders>
            <w:vAlign w:val="center"/>
          </w:tcPr>
          <w:p w:rsidR="00267DA7" w:rsidRPr="00CE70CB" w:rsidRDefault="00267DA7" w:rsidP="00267DA7">
            <w:pPr>
              <w:spacing w:before="40" w:after="40"/>
              <w:ind w:left="284" w:hanging="284"/>
              <w:rPr>
                <w:sz w:val="18"/>
                <w:szCs w:val="18"/>
                <w:lang w:val="fr-FR"/>
              </w:rPr>
            </w:pPr>
            <w:r w:rsidRPr="00CE70CB">
              <w:rPr>
                <w:sz w:val="18"/>
                <w:szCs w:val="18"/>
                <w:lang w:val="fr-FR"/>
              </w:rPr>
              <w:t>2.</w:t>
            </w:r>
            <w:r w:rsidRPr="00CE70CB">
              <w:rPr>
                <w:sz w:val="18"/>
                <w:szCs w:val="18"/>
                <w:lang w:val="fr-FR"/>
              </w:rPr>
              <w:tab/>
              <w:t xml:space="preserve">Les emballages intérieurs contenant des objets tranchants ou pointus tels que du verre brisé et des aiguilles doivent être rigides et résistants à la perforation. </w:t>
            </w:r>
          </w:p>
        </w:tc>
      </w:tr>
      <w:tr w:rsidR="00267DA7" w:rsidRPr="00CE70CB" w:rsidTr="00267DA7">
        <w:trPr>
          <w:trHeight w:val="244"/>
        </w:trPr>
        <w:tc>
          <w:tcPr>
            <w:tcW w:w="9643" w:type="dxa"/>
            <w:gridSpan w:val="5"/>
            <w:tcBorders>
              <w:top w:val="nil"/>
              <w:bottom w:val="nil"/>
            </w:tcBorders>
            <w:vAlign w:val="center"/>
          </w:tcPr>
          <w:p w:rsidR="00267DA7" w:rsidRPr="00CE70CB" w:rsidRDefault="00267DA7" w:rsidP="00267DA7">
            <w:pPr>
              <w:spacing w:before="40" w:after="40"/>
              <w:ind w:left="284" w:hanging="284"/>
              <w:rPr>
                <w:sz w:val="18"/>
                <w:szCs w:val="18"/>
                <w:lang w:val="fr-FR"/>
              </w:rPr>
            </w:pPr>
            <w:r w:rsidRPr="00CE70CB">
              <w:rPr>
                <w:sz w:val="18"/>
                <w:szCs w:val="18"/>
                <w:lang w:val="fr-FR"/>
              </w:rPr>
              <w:t>3.</w:t>
            </w:r>
            <w:r w:rsidRPr="00CE70CB">
              <w:rPr>
                <w:sz w:val="18"/>
                <w:szCs w:val="18"/>
                <w:lang w:val="fr-FR"/>
              </w:rPr>
              <w:tab/>
              <w:t>L’emballage intérieur, l’emballage intermédiaire et l’emballage extérieur doivent être capables de retenir les liquides.</w:t>
            </w:r>
            <w:r w:rsidRPr="00CE70CB">
              <w:rPr>
                <w:rFonts w:ascii="inherit" w:hAnsi="inherit"/>
                <w:sz w:val="18"/>
                <w:szCs w:val="18"/>
                <w:lang w:val="fr-FR"/>
              </w:rPr>
              <w:t xml:space="preserve"> Les emballages ext</w:t>
            </w:r>
            <w:r w:rsidRPr="00CE70CB">
              <w:rPr>
                <w:rFonts w:ascii="inherit" w:hAnsi="inherit" w:hint="eastAsia"/>
                <w:sz w:val="18"/>
                <w:szCs w:val="18"/>
                <w:lang w:val="fr-FR"/>
              </w:rPr>
              <w:t>é</w:t>
            </w:r>
            <w:r w:rsidRPr="00CE70CB">
              <w:rPr>
                <w:rFonts w:ascii="inherit" w:hAnsi="inherit"/>
                <w:sz w:val="18"/>
                <w:szCs w:val="18"/>
                <w:lang w:val="fr-FR"/>
              </w:rPr>
              <w:t xml:space="preserve">rieurs qui ne sont pas capables de retenir les liquides par construction doivent </w:t>
            </w:r>
            <w:r w:rsidRPr="00CE70CB">
              <w:rPr>
                <w:rFonts w:ascii="inherit" w:hAnsi="inherit" w:hint="eastAsia"/>
                <w:sz w:val="18"/>
                <w:szCs w:val="18"/>
                <w:lang w:val="fr-FR"/>
              </w:rPr>
              <w:t>ê</w:t>
            </w:r>
            <w:r w:rsidRPr="00CE70CB">
              <w:rPr>
                <w:rFonts w:ascii="inherit" w:hAnsi="inherit"/>
                <w:sz w:val="18"/>
                <w:szCs w:val="18"/>
                <w:lang w:val="fr-FR"/>
              </w:rPr>
              <w:t xml:space="preserve">tre </w:t>
            </w:r>
            <w:r w:rsidRPr="00CE70CB">
              <w:rPr>
                <w:rFonts w:ascii="inherit" w:hAnsi="inherit" w:hint="eastAsia"/>
                <w:sz w:val="18"/>
                <w:szCs w:val="18"/>
                <w:lang w:val="fr-FR"/>
              </w:rPr>
              <w:t>é</w:t>
            </w:r>
            <w:r w:rsidRPr="00CE70CB">
              <w:rPr>
                <w:rFonts w:ascii="inherit" w:hAnsi="inherit"/>
                <w:sz w:val="18"/>
                <w:szCs w:val="18"/>
                <w:lang w:val="fr-FR"/>
              </w:rPr>
              <w:t>quip</w:t>
            </w:r>
            <w:r w:rsidRPr="00CE70CB">
              <w:rPr>
                <w:rFonts w:ascii="inherit" w:hAnsi="inherit" w:hint="eastAsia"/>
                <w:sz w:val="18"/>
                <w:szCs w:val="18"/>
                <w:lang w:val="fr-FR"/>
              </w:rPr>
              <w:t>é</w:t>
            </w:r>
            <w:r w:rsidRPr="00CE70CB">
              <w:rPr>
                <w:rFonts w:ascii="inherit" w:hAnsi="inherit"/>
                <w:sz w:val="18"/>
                <w:szCs w:val="18"/>
                <w:lang w:val="fr-FR"/>
              </w:rPr>
              <w:t xml:space="preserve"> d'une doublure ou faire l</w:t>
            </w:r>
            <w:r w:rsidRPr="00CE70CB">
              <w:rPr>
                <w:rFonts w:ascii="inherit" w:hAnsi="inherit" w:hint="eastAsia"/>
                <w:sz w:val="18"/>
                <w:szCs w:val="18"/>
                <w:lang w:val="fr-FR"/>
              </w:rPr>
              <w:t>’</w:t>
            </w:r>
            <w:r w:rsidRPr="00CE70CB">
              <w:rPr>
                <w:rFonts w:ascii="inherit" w:hAnsi="inherit"/>
                <w:sz w:val="18"/>
                <w:szCs w:val="18"/>
                <w:lang w:val="fr-FR"/>
              </w:rPr>
              <w:t>objet de mesures appropri</w:t>
            </w:r>
            <w:r w:rsidRPr="00CE70CB">
              <w:rPr>
                <w:rFonts w:ascii="inherit" w:hAnsi="inherit" w:hint="eastAsia"/>
                <w:sz w:val="18"/>
                <w:szCs w:val="18"/>
                <w:lang w:val="fr-FR"/>
              </w:rPr>
              <w:t>é</w:t>
            </w:r>
            <w:r w:rsidRPr="00CE70CB">
              <w:rPr>
                <w:rFonts w:ascii="inherit" w:hAnsi="inherit"/>
                <w:sz w:val="18"/>
                <w:szCs w:val="18"/>
                <w:lang w:val="fr-FR"/>
              </w:rPr>
              <w:t>es afin de permettre la r</w:t>
            </w:r>
            <w:r w:rsidRPr="00CE70CB">
              <w:rPr>
                <w:rFonts w:ascii="inherit" w:hAnsi="inherit" w:hint="eastAsia"/>
                <w:sz w:val="18"/>
                <w:szCs w:val="18"/>
                <w:lang w:val="fr-FR"/>
              </w:rPr>
              <w:t>é</w:t>
            </w:r>
            <w:r w:rsidRPr="00CE70CB">
              <w:rPr>
                <w:rFonts w:ascii="inherit" w:hAnsi="inherit"/>
                <w:sz w:val="18"/>
                <w:szCs w:val="18"/>
                <w:lang w:val="fr-FR"/>
              </w:rPr>
              <w:t>tention des liquides.</w:t>
            </w:r>
          </w:p>
        </w:tc>
      </w:tr>
      <w:tr w:rsidR="00267DA7" w:rsidRPr="00CE70CB" w:rsidTr="00267DA7">
        <w:trPr>
          <w:trHeight w:val="244"/>
        </w:trPr>
        <w:tc>
          <w:tcPr>
            <w:tcW w:w="9643" w:type="dxa"/>
            <w:gridSpan w:val="5"/>
            <w:tcBorders>
              <w:top w:val="nil"/>
              <w:bottom w:val="nil"/>
            </w:tcBorders>
            <w:vAlign w:val="center"/>
          </w:tcPr>
          <w:p w:rsidR="00267DA7" w:rsidRPr="00CE70CB" w:rsidRDefault="00267DA7" w:rsidP="00267DA7">
            <w:pPr>
              <w:spacing w:before="40" w:after="40"/>
              <w:ind w:left="284" w:hanging="284"/>
              <w:rPr>
                <w:sz w:val="18"/>
                <w:szCs w:val="18"/>
                <w:lang w:val="fr-FR"/>
              </w:rPr>
            </w:pPr>
            <w:r w:rsidRPr="00CE70CB">
              <w:rPr>
                <w:sz w:val="18"/>
                <w:szCs w:val="18"/>
                <w:lang w:val="fr-FR"/>
              </w:rPr>
              <w:t>4.</w:t>
            </w:r>
            <w:r w:rsidRPr="00CE70CB">
              <w:rPr>
                <w:sz w:val="18"/>
                <w:szCs w:val="18"/>
                <w:lang w:val="fr-FR"/>
              </w:rPr>
              <w:tab/>
              <w:t xml:space="preserve">L’emballage intérieur et l’emballage intermédiaire peuvent être souples. Lorsque des emballages souples sont utilisés, ils doivent satisfaire à l’épreuve de résistance aux chocs d’au moins 165 g suivant la norme ISO 7765-1:1988 « Films et feuilles de plastique − Détermination de la résistance au choc par la méthode par chute libre de projectile − Partie 1 : Méthodes dites de l’“escalier” » et satisfaire à l’épreuve de résistance à la déchirure d’au moins 480 g sur des plans perpendiculaires et parallèles au plan longitudinal du sac suivant la norme ISO 6383-2:1983 « Films et feuilles de plastique − Détermination de la résistance au déchirement − Partie 2 : Méthode </w:t>
            </w:r>
            <w:proofErr w:type="spellStart"/>
            <w:r w:rsidRPr="00CE70CB">
              <w:rPr>
                <w:sz w:val="18"/>
                <w:szCs w:val="18"/>
                <w:lang w:val="fr-FR"/>
              </w:rPr>
              <w:t>Elmendorf</w:t>
            </w:r>
            <w:proofErr w:type="spellEnd"/>
            <w:r w:rsidRPr="00CE70CB">
              <w:rPr>
                <w:sz w:val="18"/>
                <w:szCs w:val="18"/>
                <w:lang w:val="fr-FR"/>
              </w:rPr>
              <w:t> ». La masse nette maximale de chaque emballage intérieur souple doit être de 30 kg.</w:t>
            </w:r>
          </w:p>
        </w:tc>
      </w:tr>
      <w:tr w:rsidR="00267DA7" w:rsidRPr="00CE70CB" w:rsidTr="00267DA7">
        <w:trPr>
          <w:trHeight w:val="244"/>
        </w:trPr>
        <w:tc>
          <w:tcPr>
            <w:tcW w:w="9643" w:type="dxa"/>
            <w:gridSpan w:val="5"/>
            <w:tcBorders>
              <w:top w:val="nil"/>
              <w:bottom w:val="nil"/>
            </w:tcBorders>
            <w:vAlign w:val="center"/>
          </w:tcPr>
          <w:p w:rsidR="00267DA7" w:rsidRPr="00CE70CB" w:rsidRDefault="00267DA7" w:rsidP="00267DA7">
            <w:pPr>
              <w:spacing w:before="40" w:after="40"/>
              <w:ind w:left="284" w:hanging="284"/>
              <w:rPr>
                <w:sz w:val="18"/>
                <w:szCs w:val="18"/>
                <w:lang w:val="fr-FR"/>
              </w:rPr>
            </w:pPr>
            <w:r w:rsidRPr="00CE70CB">
              <w:rPr>
                <w:sz w:val="18"/>
                <w:szCs w:val="18"/>
                <w:lang w:val="fr-FR"/>
              </w:rPr>
              <w:t>5.</w:t>
            </w:r>
            <w:r w:rsidRPr="00CE70CB">
              <w:rPr>
                <w:sz w:val="18"/>
                <w:szCs w:val="18"/>
                <w:lang w:val="fr-FR"/>
              </w:rPr>
              <w:tab/>
              <w:t>Chaque emballage intermédiaire souple ne doit contenir qu’un seul emballage intérieur.</w:t>
            </w:r>
          </w:p>
        </w:tc>
      </w:tr>
      <w:tr w:rsidR="00267DA7" w:rsidRPr="00CE70CB" w:rsidTr="00267DA7">
        <w:trPr>
          <w:trHeight w:val="244"/>
        </w:trPr>
        <w:tc>
          <w:tcPr>
            <w:tcW w:w="9643" w:type="dxa"/>
            <w:gridSpan w:val="5"/>
            <w:tcBorders>
              <w:top w:val="nil"/>
              <w:bottom w:val="nil"/>
            </w:tcBorders>
            <w:vAlign w:val="center"/>
          </w:tcPr>
          <w:p w:rsidR="00267DA7" w:rsidRPr="00CE70CB" w:rsidRDefault="00267DA7" w:rsidP="00267DA7">
            <w:pPr>
              <w:spacing w:before="40" w:after="40"/>
              <w:ind w:left="284" w:hanging="284"/>
              <w:rPr>
                <w:sz w:val="18"/>
                <w:szCs w:val="18"/>
                <w:lang w:val="fr-FR"/>
              </w:rPr>
            </w:pPr>
            <w:r w:rsidRPr="00CE70CB">
              <w:rPr>
                <w:sz w:val="18"/>
                <w:szCs w:val="18"/>
                <w:lang w:val="fr-FR"/>
              </w:rPr>
              <w:t>6.</w:t>
            </w:r>
            <w:r w:rsidRPr="00CE70CB">
              <w:rPr>
                <w:sz w:val="18"/>
                <w:szCs w:val="18"/>
                <w:lang w:val="fr-FR"/>
              </w:rPr>
              <w:tab/>
              <w:t>Les emballages intérieurs contenant une petite quantité de liquide libre peuvent être contenus dans un emballage intermédiaire pour autant qu’il y ait suffisamment de matériau absorbant ou solidifiant dans l’emballage intérieur ou intermédiaire pour absorber ou solidifier la totalité du contenu liquide présent. Un matériau absorbant approprié résistant aux températures et aux vibrations susceptibles de se produire dans des conditions normales de transport doit être utilisé.</w:t>
            </w:r>
          </w:p>
        </w:tc>
      </w:tr>
      <w:tr w:rsidR="00267DA7" w:rsidRPr="00CE70CB" w:rsidTr="00267DA7">
        <w:trPr>
          <w:trHeight w:val="244"/>
        </w:trPr>
        <w:tc>
          <w:tcPr>
            <w:tcW w:w="9643" w:type="dxa"/>
            <w:gridSpan w:val="5"/>
            <w:tcBorders>
              <w:top w:val="nil"/>
              <w:bottom w:val="single" w:sz="4" w:space="0" w:color="auto"/>
            </w:tcBorders>
            <w:vAlign w:val="center"/>
          </w:tcPr>
          <w:p w:rsidR="00267DA7" w:rsidRPr="00CE70CB" w:rsidRDefault="00267DA7" w:rsidP="00267DA7">
            <w:pPr>
              <w:spacing w:before="40" w:after="40"/>
              <w:ind w:left="284" w:hanging="284"/>
              <w:rPr>
                <w:sz w:val="18"/>
                <w:szCs w:val="18"/>
                <w:lang w:val="fr-FR"/>
              </w:rPr>
            </w:pPr>
            <w:r w:rsidRPr="00CE70CB">
              <w:rPr>
                <w:sz w:val="18"/>
                <w:szCs w:val="18"/>
                <w:lang w:val="fr-FR"/>
              </w:rPr>
              <w:t xml:space="preserve">7. </w:t>
            </w:r>
            <w:r w:rsidRPr="00CE70CB">
              <w:rPr>
                <w:sz w:val="18"/>
                <w:szCs w:val="18"/>
                <w:lang w:val="fr-FR"/>
              </w:rPr>
              <w:tab/>
              <w:t>Les emballages intermédiaires doivent être placés dans des emballages extérieurs avec interposition de matériau de rembourrage approprié ou de matériau absorbant.</w:t>
            </w:r>
          </w:p>
        </w:tc>
      </w:tr>
    </w:tbl>
    <w:p w:rsidR="00267DA7" w:rsidRPr="00CE70CB" w:rsidRDefault="00267DA7" w:rsidP="00267DA7">
      <w:pPr>
        <w:pStyle w:val="SingleTxtG"/>
        <w:tabs>
          <w:tab w:val="left" w:pos="2268"/>
        </w:tabs>
        <w:spacing w:before="120"/>
        <w:rPr>
          <w:lang w:val="fr-FR"/>
        </w:rPr>
      </w:pPr>
      <w:r w:rsidRPr="00CE70CB">
        <w:rPr>
          <w:lang w:val="fr-FR"/>
        </w:rPr>
        <w:t>4.1.6.15, dans le tableau :</w:t>
      </w:r>
    </w:p>
    <w:p w:rsidR="00267DA7" w:rsidRPr="00CE70CB" w:rsidRDefault="00267DA7" w:rsidP="00267DA7">
      <w:pPr>
        <w:pStyle w:val="Bullet1G"/>
        <w:rPr>
          <w:lang w:val="fr-FR"/>
        </w:rPr>
      </w:pPr>
      <w:r w:rsidRPr="00CE70CB">
        <w:rPr>
          <w:lang w:val="fr-FR"/>
        </w:rPr>
        <w:t>Pour « 4.1.6.2 », dans la deuxième colonne, remplacer « ISO 11114-2:2013 » par « EN ISO 11114-2:2013 ».</w:t>
      </w:r>
    </w:p>
    <w:p w:rsidR="00267DA7" w:rsidRPr="00CE70CB" w:rsidRDefault="00267DA7" w:rsidP="00267DA7">
      <w:pPr>
        <w:pStyle w:val="Bullet1G"/>
        <w:rPr>
          <w:lang w:val="fr-FR"/>
        </w:rPr>
      </w:pPr>
      <w:r w:rsidRPr="00CE70CB">
        <w:rPr>
          <w:lang w:val="fr-FR"/>
        </w:rPr>
        <w:t>Pour « 4.1.6.4 », dans la deuxième colonne, remplacer « ISO 11621:1997 » par « ISO 11621:1997 ou EN ISO 11621:2005 ». Supprimer le Nota dans la troisième colonne.</w:t>
      </w:r>
    </w:p>
    <w:p w:rsidR="00267DA7" w:rsidRPr="00CE70CB" w:rsidRDefault="00267DA7" w:rsidP="00267DA7">
      <w:pPr>
        <w:pStyle w:val="Bullet1G"/>
        <w:rPr>
          <w:lang w:val="fr-FR"/>
        </w:rPr>
      </w:pPr>
      <w:r w:rsidRPr="00CE70CB">
        <w:rPr>
          <w:lang w:val="fr-FR"/>
        </w:rPr>
        <w:t>Pour « 4.1.6.8 Robinets munis d'une protection intégrée » : Dans la première ligne, supprimer le Nota dans la troisième colonne. Dans la dernière ligne, dans la deuxième colonne, remplacer « EN ISO 17879:2017 » par « Annexe A de EN ISO 17879:2017 ».</w:t>
      </w:r>
    </w:p>
    <w:p w:rsidR="00267DA7" w:rsidRPr="00CE70CB" w:rsidRDefault="00267DA7" w:rsidP="00267DA7">
      <w:pPr>
        <w:pStyle w:val="Bullet1G"/>
        <w:rPr>
          <w:lang w:val="fr-FR"/>
        </w:rPr>
      </w:pPr>
      <w:r w:rsidRPr="00CE70CB">
        <w:rPr>
          <w:lang w:val="fr-FR"/>
        </w:rPr>
        <w:t>Pour « 4.1.6.8 b) et c) », Remplacer « ISO 11117:1998 ou ISO 11117:2008 + Cor 1:2009 » par « </w:t>
      </w:r>
      <w:r w:rsidRPr="00CE70CB">
        <w:rPr>
          <w:bCs/>
          <w:lang w:val="fr-FR"/>
        </w:rPr>
        <w:t xml:space="preserve">ISO 11117:1998 ou </w:t>
      </w:r>
      <w:r w:rsidRPr="00CE70CB">
        <w:rPr>
          <w:lang w:val="fr-FR"/>
        </w:rPr>
        <w:t>EN</w:t>
      </w:r>
      <w:r w:rsidRPr="00CE70CB">
        <w:rPr>
          <w:b/>
          <w:bCs/>
          <w:lang w:val="fr-FR"/>
        </w:rPr>
        <w:t xml:space="preserve"> </w:t>
      </w:r>
      <w:r w:rsidRPr="00CE70CB">
        <w:rPr>
          <w:bCs/>
          <w:lang w:val="fr-FR"/>
        </w:rPr>
        <w:t>ISO 11117:2008 + Cor 1:2009 ».</w:t>
      </w:r>
      <w:r w:rsidRPr="00CE70CB">
        <w:rPr>
          <w:lang w:val="fr-FR"/>
        </w:rPr>
        <w:t xml:space="preserve"> </w:t>
      </w:r>
    </w:p>
    <w:p w:rsidR="00267DA7" w:rsidRPr="00CE70CB" w:rsidRDefault="00267DA7" w:rsidP="00267DA7">
      <w:pPr>
        <w:pStyle w:val="SingleTxtG"/>
        <w:tabs>
          <w:tab w:val="left" w:pos="2268"/>
        </w:tabs>
        <w:ind w:left="2259" w:hanging="1125"/>
        <w:rPr>
          <w:szCs w:val="24"/>
          <w:lang w:val="fr-FR"/>
        </w:rPr>
      </w:pPr>
      <w:r w:rsidRPr="00CE70CB">
        <w:rPr>
          <w:szCs w:val="24"/>
          <w:lang w:val="fr-FR"/>
        </w:rPr>
        <w:lastRenderedPageBreak/>
        <w:t>4.1.9.1.4</w:t>
      </w:r>
      <w:r w:rsidRPr="00CE70CB">
        <w:rPr>
          <w:szCs w:val="24"/>
          <w:lang w:val="fr-FR"/>
        </w:rPr>
        <w:tab/>
        <w:t>Ajouter à la fin une nouvelle phrase ainsi rédigée : « Cette prescription ne s’applique pas aux surfaces internes des conteneurs utilisés en tant qu’emballages, qu’ils soient chargés ou vides. ».</w:t>
      </w:r>
    </w:p>
    <w:p w:rsidR="00267DA7" w:rsidRPr="00CE70CB" w:rsidRDefault="00267DA7" w:rsidP="00267DA7">
      <w:pPr>
        <w:pStyle w:val="SingleTxtG"/>
        <w:tabs>
          <w:tab w:val="left" w:pos="2268"/>
        </w:tabs>
        <w:ind w:left="2259" w:hanging="1125"/>
        <w:rPr>
          <w:szCs w:val="24"/>
          <w:lang w:val="fr-FR"/>
        </w:rPr>
      </w:pPr>
      <w:r w:rsidRPr="00CE70CB">
        <w:rPr>
          <w:szCs w:val="24"/>
          <w:lang w:val="fr-FR"/>
        </w:rPr>
        <w:t>4.1.9.1.8</w:t>
      </w:r>
      <w:r w:rsidRPr="00CE70CB">
        <w:rPr>
          <w:szCs w:val="24"/>
          <w:lang w:val="fr-FR"/>
        </w:rPr>
        <w:tab/>
        <w:t>Ajouter le nouvel alinéa e) suivant :</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 e) Pour les colis destinés à être utilisés pour une expédition après entreposage, il faut vérifier que tous les composants de l’emballage et le contenu radioactif soient préservés pendant l’entreposage de sorte que toutes les prescriptions spécifiées dans les dispositions pertinentes de l’ADR et dans les certificats d’agrément applicables sont respectées. »</w:t>
      </w:r>
      <w:bookmarkStart w:id="104" w:name="_Toc474335055"/>
      <w:bookmarkStart w:id="105" w:name="_Toc477347012"/>
      <w:bookmarkEnd w:id="104"/>
      <w:bookmarkEnd w:id="105"/>
    </w:p>
    <w:p w:rsidR="00267DA7" w:rsidRPr="00CE70CB" w:rsidRDefault="00267DA7" w:rsidP="00267DA7">
      <w:pPr>
        <w:pStyle w:val="SingleTxtG"/>
        <w:tabs>
          <w:tab w:val="left" w:pos="2268"/>
        </w:tabs>
        <w:ind w:left="2259" w:hanging="1125"/>
        <w:rPr>
          <w:szCs w:val="24"/>
          <w:lang w:val="fr-FR"/>
        </w:rPr>
      </w:pPr>
      <w:r w:rsidRPr="00CE70CB">
        <w:rPr>
          <w:szCs w:val="24"/>
          <w:lang w:val="fr-FR"/>
        </w:rPr>
        <w:t>4.1.9.1.11</w:t>
      </w:r>
      <w:r w:rsidRPr="00CE70CB">
        <w:rPr>
          <w:szCs w:val="24"/>
          <w:lang w:val="fr-FR"/>
        </w:rPr>
        <w:tab/>
        <w:t>Remplacer « l’intensité de rayonnement maximale » par « le débit de dose maximal ».</w:t>
      </w:r>
    </w:p>
    <w:p w:rsidR="00267DA7" w:rsidRPr="00CE70CB" w:rsidRDefault="00267DA7" w:rsidP="00267DA7">
      <w:pPr>
        <w:pStyle w:val="SingleTxtG"/>
        <w:tabs>
          <w:tab w:val="left" w:pos="2268"/>
        </w:tabs>
        <w:ind w:left="2259" w:hanging="1125"/>
        <w:rPr>
          <w:szCs w:val="24"/>
          <w:lang w:val="fr-FR"/>
        </w:rPr>
      </w:pPr>
      <w:r w:rsidRPr="00CE70CB">
        <w:rPr>
          <w:szCs w:val="24"/>
          <w:lang w:val="fr-FR"/>
        </w:rPr>
        <w:t>4.1.9.1.12</w:t>
      </w:r>
      <w:r w:rsidRPr="00CE70CB">
        <w:rPr>
          <w:szCs w:val="24"/>
          <w:lang w:val="fr-FR"/>
        </w:rPr>
        <w:tab/>
        <w:t>Remplacer « L’intensité de rayonnement maximale » par « Le débit de dose maximal ».</w:t>
      </w:r>
    </w:p>
    <w:p w:rsidR="00267DA7" w:rsidRPr="00CE70CB" w:rsidRDefault="00267DA7" w:rsidP="00267DA7">
      <w:pPr>
        <w:pStyle w:val="SingleTxtG"/>
        <w:tabs>
          <w:tab w:val="left" w:pos="2268"/>
        </w:tabs>
        <w:ind w:left="2259" w:hanging="1125"/>
        <w:rPr>
          <w:szCs w:val="24"/>
          <w:lang w:val="fr-FR"/>
        </w:rPr>
      </w:pPr>
      <w:r w:rsidRPr="00CE70CB">
        <w:rPr>
          <w:szCs w:val="24"/>
          <w:lang w:val="fr-FR"/>
        </w:rPr>
        <w:t>4.1.9.2.1</w:t>
      </w:r>
      <w:r w:rsidRPr="00CE70CB">
        <w:rPr>
          <w:szCs w:val="24"/>
          <w:lang w:val="fr-FR"/>
        </w:rPr>
        <w:tab/>
        <w:t>Remplacer « l’intensité de rayonnement » par « le débit de dose ».</w:t>
      </w:r>
    </w:p>
    <w:p w:rsidR="00267DA7" w:rsidRPr="00CE70CB" w:rsidRDefault="00267DA7" w:rsidP="00267DA7">
      <w:pPr>
        <w:pStyle w:val="SingleTxtG"/>
        <w:tabs>
          <w:tab w:val="left" w:pos="2268"/>
        </w:tabs>
        <w:ind w:left="2259" w:hanging="1125"/>
        <w:rPr>
          <w:szCs w:val="24"/>
          <w:lang w:val="fr-FR"/>
        </w:rPr>
      </w:pPr>
      <w:r w:rsidRPr="00CE70CB">
        <w:rPr>
          <w:szCs w:val="24"/>
          <w:lang w:val="fr-FR"/>
        </w:rPr>
        <w:t>4.1.9.2.4</w:t>
      </w:r>
      <w:r w:rsidRPr="00CE70CB">
        <w:rPr>
          <w:szCs w:val="24"/>
          <w:lang w:val="fr-FR"/>
        </w:rPr>
        <w:tab/>
        <w:t>Dans la phrase d’introduction, remplacer « et SCO-I » par « , SCO-I et SCO</w:t>
      </w:r>
      <w:r w:rsidRPr="00CE70CB">
        <w:rPr>
          <w:szCs w:val="24"/>
          <w:lang w:val="fr-FR"/>
        </w:rPr>
        <w:noBreakHyphen/>
        <w:t>III ». À la fin de l’alinéa d), remplacer « . » par « ; et ». Ajouter le nouvel alinéa e) suivant :</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 e)</w:t>
      </w:r>
      <w:r w:rsidRPr="00CE70CB">
        <w:rPr>
          <w:szCs w:val="24"/>
          <w:lang w:val="fr-FR"/>
        </w:rPr>
        <w:tab/>
        <w:t xml:space="preserve">Pour les objets SCO-III : </w:t>
      </w:r>
    </w:p>
    <w:p w:rsidR="00267DA7" w:rsidRPr="00CE70CB" w:rsidRDefault="00267DA7" w:rsidP="00267DA7">
      <w:pPr>
        <w:pStyle w:val="SingleTxtG"/>
        <w:ind w:left="2835"/>
        <w:rPr>
          <w:szCs w:val="24"/>
          <w:lang w:val="fr-FR"/>
        </w:rPr>
      </w:pPr>
      <w:r w:rsidRPr="00CE70CB">
        <w:rPr>
          <w:szCs w:val="24"/>
          <w:lang w:val="fr-FR"/>
        </w:rPr>
        <w:t>i)</w:t>
      </w:r>
      <w:r w:rsidRPr="00CE70CB">
        <w:rPr>
          <w:szCs w:val="24"/>
          <w:lang w:val="fr-FR"/>
        </w:rPr>
        <w:tab/>
        <w:t xml:space="preserve">Le transport doit s’effectuer </w:t>
      </w:r>
      <w:proofErr w:type="spellStart"/>
      <w:r w:rsidRPr="00CE70CB">
        <w:rPr>
          <w:szCs w:val="24"/>
          <w:lang w:val="fr-FR"/>
        </w:rPr>
        <w:t>sous utilisation</w:t>
      </w:r>
      <w:proofErr w:type="spellEnd"/>
      <w:r w:rsidRPr="00CE70CB">
        <w:rPr>
          <w:szCs w:val="24"/>
          <w:lang w:val="fr-FR"/>
        </w:rPr>
        <w:t xml:space="preserve"> exclusive</w:t>
      </w:r>
      <w:r w:rsidR="00010C88" w:rsidRPr="00CE70CB">
        <w:rPr>
          <w:szCs w:val="24"/>
          <w:lang w:val="fr-FR"/>
        </w:rPr>
        <w:t> ;</w:t>
      </w:r>
    </w:p>
    <w:p w:rsidR="00267DA7" w:rsidRPr="00CE70CB" w:rsidRDefault="00267DA7" w:rsidP="00267DA7">
      <w:pPr>
        <w:pStyle w:val="SingleTxtG"/>
        <w:tabs>
          <w:tab w:val="left" w:pos="2268"/>
        </w:tabs>
        <w:ind w:left="2268" w:firstLine="567"/>
        <w:rPr>
          <w:szCs w:val="24"/>
          <w:lang w:val="fr-FR"/>
        </w:rPr>
      </w:pPr>
      <w:r w:rsidRPr="00CE70CB">
        <w:rPr>
          <w:szCs w:val="24"/>
          <w:lang w:val="fr-FR"/>
        </w:rPr>
        <w:t>ii)</w:t>
      </w:r>
      <w:r w:rsidRPr="00CE70CB">
        <w:rPr>
          <w:szCs w:val="24"/>
          <w:lang w:val="fr-FR"/>
        </w:rPr>
        <w:tab/>
        <w:t>Le gerbage n’est pas autorisé</w:t>
      </w:r>
      <w:r w:rsidR="00010C88" w:rsidRPr="00CE70CB">
        <w:rPr>
          <w:szCs w:val="24"/>
          <w:lang w:val="fr-FR"/>
        </w:rPr>
        <w:t> ;</w:t>
      </w:r>
    </w:p>
    <w:p w:rsidR="00267DA7" w:rsidRPr="00CE70CB" w:rsidRDefault="00267DA7" w:rsidP="00010C88">
      <w:pPr>
        <w:pStyle w:val="SingleTxtG"/>
        <w:ind w:left="3402" w:hanging="567"/>
        <w:rPr>
          <w:szCs w:val="24"/>
          <w:lang w:val="fr-FR"/>
        </w:rPr>
      </w:pPr>
      <w:r w:rsidRPr="00CE70CB">
        <w:rPr>
          <w:szCs w:val="24"/>
          <w:lang w:val="fr-FR"/>
        </w:rPr>
        <w:t>iii)</w:t>
      </w:r>
      <w:r w:rsidRPr="00CE70CB">
        <w:rPr>
          <w:szCs w:val="24"/>
          <w:lang w:val="fr-FR"/>
        </w:rPr>
        <w:tab/>
        <w:t>Toutes les activités associées à l’expédition, y compris la radioprotection, les interventions d’urgence et toute précaution spéciale ou opération spéciale administrative ou opérationnelle, qui seront réalisées en cours de transport, doivent être décrites dans un plan de transport. Ce plan de transport doit prouver que le niveau général de sûreté du transport est au moins équivalent à celui qui aurait été obtenu si les prescriptions du 6.4.7.14 (uniquement pour l’épreuve décrite au 6.4.15.6, précédée par les épreuves décrites au 6.4.15.2 et au 6.4.15.3) avaient été satisfaites</w:t>
      </w:r>
      <w:r w:rsidR="00010C88" w:rsidRPr="00CE70CB">
        <w:rPr>
          <w:szCs w:val="24"/>
          <w:lang w:val="fr-FR"/>
        </w:rPr>
        <w:t> ;</w:t>
      </w:r>
    </w:p>
    <w:p w:rsidR="00267DA7" w:rsidRPr="00CE70CB" w:rsidRDefault="00267DA7" w:rsidP="00010C88">
      <w:pPr>
        <w:pStyle w:val="SingleTxtG"/>
        <w:ind w:left="3402" w:hanging="567"/>
        <w:rPr>
          <w:szCs w:val="24"/>
          <w:lang w:val="fr-FR"/>
        </w:rPr>
      </w:pPr>
      <w:r w:rsidRPr="00CE70CB">
        <w:rPr>
          <w:szCs w:val="24"/>
          <w:lang w:val="fr-FR"/>
        </w:rPr>
        <w:t>iv)</w:t>
      </w:r>
      <w:r w:rsidRPr="00CE70CB">
        <w:rPr>
          <w:szCs w:val="24"/>
          <w:lang w:val="fr-FR"/>
        </w:rPr>
        <w:tab/>
        <w:t>Les prescriptions du 6.4.5.1 et du 6.4.5.2 pour un colis du type IP-2 doivent être satisfaites, si ce n’est que le dommage maximal auquel il est fait référence au 6.4.15.4 peut être déterminé sur la base des dispositions prévues dans le plan de transport, et les prescriptions du 6.4.15.5 ne sont pas applicables</w:t>
      </w:r>
      <w:r w:rsidR="00010C88" w:rsidRPr="00CE70CB">
        <w:rPr>
          <w:szCs w:val="24"/>
          <w:lang w:val="fr-FR"/>
        </w:rPr>
        <w:t> ;</w:t>
      </w:r>
    </w:p>
    <w:p w:rsidR="00267DA7" w:rsidRPr="00CE70CB" w:rsidRDefault="00267DA7" w:rsidP="00010C88">
      <w:pPr>
        <w:pStyle w:val="SingleTxtG"/>
        <w:ind w:left="3402" w:hanging="567"/>
        <w:rPr>
          <w:szCs w:val="24"/>
          <w:lang w:val="fr-FR"/>
        </w:rPr>
      </w:pPr>
      <w:r w:rsidRPr="00CE70CB">
        <w:rPr>
          <w:szCs w:val="24"/>
          <w:lang w:val="fr-FR"/>
        </w:rPr>
        <w:t>v)</w:t>
      </w:r>
      <w:r w:rsidRPr="00CE70CB">
        <w:rPr>
          <w:szCs w:val="24"/>
          <w:lang w:val="fr-FR"/>
        </w:rPr>
        <w:tab/>
        <w:t>L’objet et toute protection éventuelle doivent être arrimés au moyen de transport conformément au 6.4.2.1</w:t>
      </w:r>
      <w:r w:rsidR="00010C88" w:rsidRPr="00CE70CB">
        <w:rPr>
          <w:szCs w:val="24"/>
          <w:lang w:val="fr-FR"/>
        </w:rPr>
        <w:t> ;</w:t>
      </w:r>
    </w:p>
    <w:p w:rsidR="00267DA7" w:rsidRPr="00CE70CB" w:rsidRDefault="00267DA7" w:rsidP="00010C88">
      <w:pPr>
        <w:pStyle w:val="SingleTxtG"/>
        <w:tabs>
          <w:tab w:val="left" w:pos="2268"/>
        </w:tabs>
        <w:ind w:left="3402" w:hanging="567"/>
        <w:rPr>
          <w:szCs w:val="24"/>
          <w:lang w:val="fr-FR"/>
        </w:rPr>
      </w:pPr>
      <w:r w:rsidRPr="00CE70CB">
        <w:rPr>
          <w:szCs w:val="24"/>
          <w:lang w:val="fr-FR"/>
        </w:rPr>
        <w:t>vi)</w:t>
      </w:r>
      <w:r w:rsidRPr="00CE70CB">
        <w:rPr>
          <w:szCs w:val="24"/>
          <w:lang w:val="fr-FR"/>
        </w:rPr>
        <w:tab/>
        <w:t>L’expédition doit être soumise à un agrément multilatéral</w:t>
      </w:r>
      <w:r w:rsidR="001C2558" w:rsidRPr="00CE70CB">
        <w:rPr>
          <w:szCs w:val="24"/>
          <w:lang w:val="fr-FR"/>
        </w:rPr>
        <w:t>.</w:t>
      </w:r>
      <w:r w:rsidRPr="00CE70CB">
        <w:rPr>
          <w:szCs w:val="24"/>
          <w:lang w:val="fr-FR"/>
        </w:rPr>
        <w:t> »</w:t>
      </w:r>
    </w:p>
    <w:p w:rsidR="0004733B" w:rsidRPr="00CE70CB" w:rsidRDefault="0004733B" w:rsidP="0004733B">
      <w:pPr>
        <w:pStyle w:val="SingleTxtG"/>
        <w:tabs>
          <w:tab w:val="left" w:pos="2268"/>
        </w:tabs>
        <w:ind w:left="2259" w:hanging="1125"/>
        <w:rPr>
          <w:szCs w:val="24"/>
          <w:lang w:val="fr-FR"/>
        </w:rPr>
      </w:pPr>
      <w:r w:rsidRPr="00CE70CB">
        <w:rPr>
          <w:szCs w:val="24"/>
          <w:lang w:val="fr-FR"/>
        </w:rPr>
        <w:t>4.1.10.4, MP12</w:t>
      </w:r>
    </w:p>
    <w:p w:rsidR="0004733B" w:rsidRPr="00CE70CB" w:rsidRDefault="0004733B" w:rsidP="0004733B">
      <w:pPr>
        <w:pStyle w:val="SingleTxtG"/>
        <w:tabs>
          <w:tab w:val="left" w:pos="2268"/>
        </w:tabs>
        <w:ind w:left="2259" w:hanging="1125"/>
        <w:rPr>
          <w:szCs w:val="24"/>
          <w:lang w:val="fr-FR"/>
        </w:rPr>
      </w:pPr>
      <w:r w:rsidRPr="00CE70CB">
        <w:rPr>
          <w:szCs w:val="24"/>
          <w:lang w:val="fr-FR"/>
        </w:rPr>
        <w:tab/>
        <w:t>L’amendement est sans objet en français.</w:t>
      </w:r>
    </w:p>
    <w:p w:rsidR="00267DA7" w:rsidRPr="00CE70CB" w:rsidRDefault="00267DA7" w:rsidP="00267DA7">
      <w:pPr>
        <w:pStyle w:val="H1G"/>
        <w:rPr>
          <w:lang w:val="fr-FR"/>
        </w:rPr>
      </w:pPr>
      <w:r w:rsidRPr="00CE70CB">
        <w:rPr>
          <w:lang w:val="fr-FR"/>
        </w:rPr>
        <w:tab/>
      </w:r>
      <w:r w:rsidRPr="00CE70CB">
        <w:rPr>
          <w:lang w:val="fr-FR"/>
        </w:rPr>
        <w:tab/>
        <w:t>Chapitre 4.2</w:t>
      </w:r>
    </w:p>
    <w:p w:rsidR="00267DA7" w:rsidRPr="00CE70CB" w:rsidRDefault="00267DA7" w:rsidP="00267DA7">
      <w:pPr>
        <w:pStyle w:val="SingleTxtG"/>
        <w:tabs>
          <w:tab w:val="left" w:pos="2268"/>
        </w:tabs>
        <w:ind w:left="2259" w:hanging="1125"/>
        <w:rPr>
          <w:lang w:val="fr-FR"/>
        </w:rPr>
      </w:pPr>
      <w:r w:rsidRPr="00CE70CB">
        <w:rPr>
          <w:lang w:val="fr-FR"/>
        </w:rPr>
        <w:t xml:space="preserve">4.2.3.7.3 </w:t>
      </w:r>
      <w:r w:rsidRPr="00CE70CB">
        <w:rPr>
          <w:lang w:val="fr-FR"/>
        </w:rPr>
        <w:tab/>
        <w:t>Ajouter le nouveau paragraphe suivant :</w:t>
      </w:r>
    </w:p>
    <w:p w:rsidR="00267DA7" w:rsidRPr="00CE70CB" w:rsidRDefault="00267DA7" w:rsidP="00267DA7">
      <w:pPr>
        <w:pStyle w:val="SingleTxtG"/>
        <w:tabs>
          <w:tab w:val="left" w:pos="2268"/>
        </w:tabs>
        <w:ind w:left="2259" w:hanging="1125"/>
        <w:rPr>
          <w:lang w:val="fr-FR"/>
        </w:rPr>
      </w:pPr>
      <w:r w:rsidRPr="00CE70CB">
        <w:rPr>
          <w:lang w:val="fr-FR"/>
        </w:rPr>
        <w:tab/>
        <w:t>« 4.2.3.7.3</w:t>
      </w:r>
      <w:r w:rsidRPr="00CE70CB">
        <w:rPr>
          <w:lang w:val="fr-FR"/>
        </w:rPr>
        <w:tab/>
        <w:t xml:space="preserve"> La date à laquelle le temps de retenue réel expire doit être indiquée dans le document de transport (voir 5.4.1.2.2 d)). »</w:t>
      </w:r>
    </w:p>
    <w:p w:rsidR="00267DA7" w:rsidRPr="00CE70CB" w:rsidRDefault="00267DA7" w:rsidP="00267DA7">
      <w:pPr>
        <w:pStyle w:val="SingleTxtG"/>
        <w:tabs>
          <w:tab w:val="left" w:pos="2268"/>
        </w:tabs>
        <w:ind w:left="2259" w:hanging="1125"/>
        <w:rPr>
          <w:lang w:val="fr-FR"/>
        </w:rPr>
      </w:pPr>
      <w:r w:rsidRPr="00CE70CB">
        <w:rPr>
          <w:lang w:val="fr-FR"/>
        </w:rPr>
        <w:t>4.2.5.3, TP19</w:t>
      </w:r>
      <w:r w:rsidRPr="00CE70CB">
        <w:rPr>
          <w:lang w:val="fr-FR"/>
        </w:rPr>
        <w:tab/>
        <w:t>Modifier pour lire comme suit :</w:t>
      </w:r>
    </w:p>
    <w:p w:rsidR="00267DA7" w:rsidRPr="00CE70CB" w:rsidRDefault="00267DA7" w:rsidP="00267DA7">
      <w:pPr>
        <w:pStyle w:val="SingleTxtG"/>
        <w:tabs>
          <w:tab w:val="left" w:pos="2268"/>
        </w:tabs>
        <w:ind w:left="2259" w:hanging="1125"/>
        <w:rPr>
          <w:lang w:val="fr-FR"/>
        </w:rPr>
      </w:pPr>
      <w:bookmarkStart w:id="106" w:name="_Hlk518036205"/>
      <w:r w:rsidRPr="00CE70CB">
        <w:rPr>
          <w:lang w:val="fr-FR"/>
        </w:rPr>
        <w:tab/>
        <w:t xml:space="preserve">« TP19 </w:t>
      </w:r>
      <w:r w:rsidRPr="00CE70CB">
        <w:rPr>
          <w:lang w:val="fr-FR"/>
        </w:rPr>
        <w:tab/>
        <w:t xml:space="preserve">Au moment de la construction, l'épaisseur minimale du réservoir déterminée conformément au 6.7.3.4, doit être augmentée de 3 mm afin de </w:t>
      </w:r>
      <w:r w:rsidRPr="00CE70CB">
        <w:rPr>
          <w:lang w:val="fr-FR"/>
        </w:rPr>
        <w:lastRenderedPageBreak/>
        <w:t>prévoir une surépaisseur de corrosion. L'épaisseur du réservoir doit être vérifiée par ultrasons à mi-intervalle entre les épreuves périodiques de pression hydraulique et ne doit jamais être inférieure à l’épaisseur minimale déterminée conformément au 6.7.3.4. »</w:t>
      </w:r>
    </w:p>
    <w:bookmarkEnd w:id="106"/>
    <w:p w:rsidR="0004733B" w:rsidRPr="00CE70CB" w:rsidRDefault="0004733B" w:rsidP="0004733B">
      <w:pPr>
        <w:pStyle w:val="SingleTxtG"/>
        <w:ind w:left="2268" w:hanging="1134"/>
      </w:pPr>
      <w:r w:rsidRPr="00CE70CB">
        <w:t>4.2.5.2.6</w:t>
      </w:r>
      <w:r w:rsidRPr="00CE70CB">
        <w:tab/>
        <w:t>Dans la première phrase du tableau pour les instructions de transport en citernes mobiles T1 à T22, après « dispositions » ajouter « générales ».</w:t>
      </w:r>
    </w:p>
    <w:p w:rsidR="00267DA7" w:rsidRPr="00CE70CB" w:rsidRDefault="00267DA7" w:rsidP="00267DA7">
      <w:pPr>
        <w:pStyle w:val="H1G"/>
        <w:rPr>
          <w:lang w:val="fr-FR"/>
        </w:rPr>
      </w:pPr>
      <w:r w:rsidRPr="00CE70CB">
        <w:rPr>
          <w:lang w:val="fr-FR"/>
        </w:rPr>
        <w:tab/>
      </w:r>
      <w:r w:rsidRPr="00CE70CB">
        <w:rPr>
          <w:lang w:val="fr-FR"/>
        </w:rPr>
        <w:tab/>
        <w:t>Chapitre 4.3</w:t>
      </w:r>
    </w:p>
    <w:p w:rsidR="00267DA7" w:rsidRPr="00CE70CB" w:rsidRDefault="00267DA7" w:rsidP="00267DA7">
      <w:pPr>
        <w:pStyle w:val="SingleTxtG"/>
        <w:rPr>
          <w:lang w:val="fr-FR"/>
        </w:rPr>
      </w:pPr>
      <w:r w:rsidRPr="00CE70CB">
        <w:rPr>
          <w:lang w:val="fr-FR"/>
        </w:rPr>
        <w:t>4.3.4.2.2</w:t>
      </w:r>
      <w:r w:rsidRPr="00CE70CB">
        <w:rPr>
          <w:lang w:val="fr-FR"/>
        </w:rPr>
        <w:tab/>
        <w:t>Remplacer « vidés » par « vides ».</w:t>
      </w:r>
    </w:p>
    <w:p w:rsidR="00267DA7" w:rsidRPr="00CE70CB" w:rsidRDefault="00267DA7" w:rsidP="00267DA7">
      <w:pPr>
        <w:pStyle w:val="H1G"/>
        <w:rPr>
          <w:lang w:val="fr-FR"/>
        </w:rPr>
      </w:pPr>
      <w:r w:rsidRPr="00CE70CB">
        <w:rPr>
          <w:lang w:val="fr-FR"/>
        </w:rPr>
        <w:tab/>
      </w:r>
      <w:r w:rsidRPr="00CE70CB">
        <w:rPr>
          <w:lang w:val="fr-FR"/>
        </w:rPr>
        <w:tab/>
        <w:t>Chapitre 5.1</w:t>
      </w:r>
    </w:p>
    <w:p w:rsidR="00267DA7" w:rsidRPr="00CE70CB" w:rsidRDefault="00267DA7" w:rsidP="00267DA7">
      <w:pPr>
        <w:pStyle w:val="SingleTxtG"/>
        <w:tabs>
          <w:tab w:val="left" w:pos="2268"/>
        </w:tabs>
        <w:ind w:left="2259" w:hanging="1125"/>
        <w:rPr>
          <w:szCs w:val="24"/>
          <w:lang w:val="fr-FR"/>
        </w:rPr>
      </w:pPr>
      <w:r w:rsidRPr="00CE70CB">
        <w:rPr>
          <w:szCs w:val="24"/>
          <w:lang w:val="fr-FR"/>
        </w:rPr>
        <w:t>5.1.5.1.2</w:t>
      </w:r>
      <w:r w:rsidRPr="00CE70CB">
        <w:rPr>
          <w:szCs w:val="24"/>
          <w:lang w:val="fr-FR"/>
        </w:rPr>
        <w:tab/>
        <w:t>Supprimer le “et” à la fin de l’alinéa b). Ajouter « et » à la fin de l'alinéa c).</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Ajouter les nouveaux alinéas d) et</w:t>
      </w:r>
      <w:r w:rsidRPr="00CE70CB" w:rsidDel="004467DD">
        <w:rPr>
          <w:szCs w:val="24"/>
          <w:lang w:val="fr-FR"/>
        </w:rPr>
        <w:t xml:space="preserve"> </w:t>
      </w:r>
      <w:r w:rsidRPr="00CE70CB">
        <w:rPr>
          <w:szCs w:val="24"/>
          <w:lang w:val="fr-FR"/>
        </w:rPr>
        <w:t>e) suivants :</w:t>
      </w:r>
    </w:p>
    <w:p w:rsidR="00267DA7" w:rsidRPr="00CE70CB" w:rsidRDefault="00267DA7" w:rsidP="00267DA7">
      <w:pPr>
        <w:pStyle w:val="SingleTxtG"/>
        <w:tabs>
          <w:tab w:val="left" w:pos="2268"/>
        </w:tabs>
        <w:ind w:firstLine="1134"/>
        <w:rPr>
          <w:szCs w:val="24"/>
          <w:lang w:val="fr-FR"/>
        </w:rPr>
      </w:pPr>
      <w:r w:rsidRPr="00CE70CB">
        <w:rPr>
          <w:szCs w:val="24"/>
          <w:lang w:val="fr-FR"/>
        </w:rPr>
        <w:t>« d)</w:t>
      </w:r>
      <w:r w:rsidRPr="00CE70CB">
        <w:rPr>
          <w:szCs w:val="24"/>
          <w:lang w:val="fr-FR"/>
        </w:rPr>
        <w:tab/>
      </w:r>
      <w:r w:rsidRPr="00CE70CB">
        <w:rPr>
          <w:i/>
          <w:iCs/>
          <w:szCs w:val="24"/>
          <w:lang w:val="fr-FR"/>
        </w:rPr>
        <w:t>(Réservé)</w:t>
      </w:r>
    </w:p>
    <w:p w:rsidR="00267DA7" w:rsidRPr="00CE70CB" w:rsidRDefault="00267DA7" w:rsidP="00267DA7">
      <w:pPr>
        <w:pStyle w:val="SingleTxtG"/>
        <w:tabs>
          <w:tab w:val="left" w:pos="2268"/>
        </w:tabs>
        <w:ind w:firstLine="1134"/>
        <w:rPr>
          <w:szCs w:val="24"/>
          <w:lang w:val="fr-FR"/>
        </w:rPr>
      </w:pPr>
      <w:r w:rsidRPr="00CE70CB">
        <w:rPr>
          <w:szCs w:val="24"/>
          <w:lang w:val="fr-FR"/>
        </w:rPr>
        <w:t xml:space="preserve">e) </w:t>
      </w:r>
      <w:r w:rsidRPr="00CE70CB">
        <w:rPr>
          <w:szCs w:val="24"/>
          <w:lang w:val="fr-FR"/>
        </w:rPr>
        <w:tab/>
        <w:t>L’expédition de SCO-III. »</w:t>
      </w:r>
    </w:p>
    <w:p w:rsidR="00267DA7" w:rsidRPr="00CE70CB" w:rsidRDefault="00267DA7" w:rsidP="00267DA7">
      <w:pPr>
        <w:pStyle w:val="SingleTxtG"/>
        <w:tabs>
          <w:tab w:val="left" w:pos="2268"/>
        </w:tabs>
        <w:ind w:left="2259" w:hanging="1125"/>
        <w:rPr>
          <w:szCs w:val="24"/>
          <w:lang w:val="fr-FR"/>
        </w:rPr>
      </w:pPr>
      <w:r w:rsidRPr="00CE70CB">
        <w:rPr>
          <w:szCs w:val="24"/>
          <w:lang w:val="fr-FR"/>
        </w:rPr>
        <w:t>5.1.5.1.4 b)</w:t>
      </w:r>
      <w:r w:rsidRPr="00CE70CB">
        <w:rPr>
          <w:szCs w:val="24"/>
          <w:lang w:val="fr-FR"/>
        </w:rPr>
        <w:tab/>
        <w:t>L’amendement est sans objet en français.</w:t>
      </w:r>
    </w:p>
    <w:p w:rsidR="00267DA7" w:rsidRPr="00CE70CB" w:rsidRDefault="00267DA7" w:rsidP="00267DA7">
      <w:pPr>
        <w:pStyle w:val="SingleTxtG"/>
        <w:tabs>
          <w:tab w:val="left" w:pos="2268"/>
        </w:tabs>
        <w:ind w:left="2259" w:hanging="1125"/>
        <w:rPr>
          <w:szCs w:val="24"/>
          <w:lang w:val="fr-FR"/>
        </w:rPr>
      </w:pPr>
      <w:r w:rsidRPr="00CE70CB">
        <w:rPr>
          <w:szCs w:val="24"/>
          <w:lang w:val="fr-FR"/>
        </w:rPr>
        <w:t>5.1.5.3.1</w:t>
      </w:r>
      <w:r w:rsidRPr="00CE70CB">
        <w:rPr>
          <w:szCs w:val="24"/>
          <w:lang w:val="fr-FR"/>
        </w:rPr>
        <w:tab/>
        <w:t xml:space="preserve">Dans la phrase d’introduction, remplacer « SCO-I » par « SCO-I </w:t>
      </w:r>
      <w:bookmarkStart w:id="107" w:name="_Hlk31363432"/>
      <w:r w:rsidRPr="00CE70CB">
        <w:rPr>
          <w:szCs w:val="24"/>
          <w:lang w:val="fr-FR"/>
        </w:rPr>
        <w:t>ou SCO III</w:t>
      </w:r>
      <w:r w:rsidRPr="00CE70CB">
        <w:rPr>
          <w:rStyle w:val="CommentReference"/>
          <w:lang w:val="fr-FR"/>
        </w:rPr>
        <w:t> </w:t>
      </w:r>
      <w:bookmarkEnd w:id="107"/>
      <w:r w:rsidRPr="00CE70CB">
        <w:rPr>
          <w:szCs w:val="24"/>
          <w:lang w:val="fr-FR"/>
        </w:rPr>
        <w:t>». À l’alinéa a), remplacer « l’intensité de rayonnement maximale » par « le débit de dose maximal » (deux fois)</w:t>
      </w:r>
      <w:bookmarkStart w:id="108" w:name="_Hlk31363761"/>
      <w:r w:rsidR="004555DE" w:rsidRPr="00CE70CB">
        <w:rPr>
          <w:szCs w:val="24"/>
          <w:lang w:val="fr-FR"/>
        </w:rPr>
        <w:t>, remplacer « égale » par « égal »</w:t>
      </w:r>
      <w:r w:rsidRPr="00CE70CB">
        <w:rPr>
          <w:szCs w:val="24"/>
          <w:lang w:val="fr-FR"/>
        </w:rPr>
        <w:t xml:space="preserve"> </w:t>
      </w:r>
      <w:bookmarkEnd w:id="108"/>
      <w:r w:rsidRPr="00CE70CB">
        <w:rPr>
          <w:szCs w:val="24"/>
          <w:lang w:val="fr-FR"/>
        </w:rPr>
        <w:t>et remplacer « SCO-I » par « SCO-I ou SCO-III ». À l’alinéa a), dans la deuxième phrase, supprimer « et le nombre qui en résulte constitue l'indice de transport ». À l’alinéa b), remplacer « </w:t>
      </w:r>
      <w:r w:rsidR="004555DE" w:rsidRPr="00CE70CB">
        <w:rPr>
          <w:szCs w:val="24"/>
          <w:lang w:val="fr-FR"/>
        </w:rPr>
        <w:t xml:space="preserve">les objets </w:t>
      </w:r>
      <w:r w:rsidRPr="00CE70CB">
        <w:rPr>
          <w:szCs w:val="24"/>
          <w:lang w:val="fr-FR"/>
        </w:rPr>
        <w:t>SCO-I » par « </w:t>
      </w:r>
      <w:r w:rsidR="004555DE" w:rsidRPr="00CE70CB">
        <w:rPr>
          <w:szCs w:val="24"/>
          <w:lang w:val="fr-FR"/>
        </w:rPr>
        <w:t xml:space="preserve">les </w:t>
      </w:r>
      <w:r w:rsidRPr="00CE70CB">
        <w:rPr>
          <w:szCs w:val="24"/>
          <w:lang w:val="fr-FR"/>
        </w:rPr>
        <w:t>SCO-I et SCO-III ». À la fin de l’alinéa c), ajouter « </w:t>
      </w:r>
      <w:r w:rsidR="005814AC" w:rsidRPr="00CE70CB">
        <w:rPr>
          <w:szCs w:val="24"/>
          <w:lang w:val="fr-FR"/>
        </w:rPr>
        <w:t>, et</w:t>
      </w:r>
      <w:r w:rsidRPr="00CE70CB">
        <w:rPr>
          <w:szCs w:val="24"/>
          <w:lang w:val="fr-FR"/>
        </w:rPr>
        <w:t xml:space="preserve"> le nombre qui en résulte constitue </w:t>
      </w:r>
      <w:r w:rsidR="005814AC" w:rsidRPr="00CE70CB">
        <w:rPr>
          <w:szCs w:val="24"/>
          <w:lang w:val="fr-FR"/>
        </w:rPr>
        <w:t>le</w:t>
      </w:r>
      <w:r w:rsidRPr="00CE70CB">
        <w:rPr>
          <w:szCs w:val="24"/>
          <w:lang w:val="fr-FR"/>
        </w:rPr>
        <w:t xml:space="preserve"> TI ».</w:t>
      </w:r>
    </w:p>
    <w:p w:rsidR="00267DA7" w:rsidRPr="00CE70CB" w:rsidRDefault="00267DA7" w:rsidP="00267DA7">
      <w:pPr>
        <w:pStyle w:val="SingleTxtG"/>
        <w:tabs>
          <w:tab w:val="left" w:pos="2268"/>
        </w:tabs>
        <w:ind w:left="2259" w:hanging="1125"/>
        <w:rPr>
          <w:szCs w:val="24"/>
          <w:lang w:val="fr-FR"/>
        </w:rPr>
      </w:pPr>
      <w:r w:rsidRPr="00CE70CB">
        <w:rPr>
          <w:szCs w:val="24"/>
          <w:lang w:val="fr-FR"/>
        </w:rPr>
        <w:t>Tableau 5.1.5.3.1</w:t>
      </w:r>
    </w:p>
    <w:p w:rsidR="00A128BE" w:rsidRPr="00CE70CB" w:rsidRDefault="00A128BE" w:rsidP="00267DA7">
      <w:pPr>
        <w:pStyle w:val="SingleTxtG"/>
        <w:tabs>
          <w:tab w:val="left" w:pos="2268"/>
        </w:tabs>
        <w:ind w:left="2259" w:hanging="1125"/>
        <w:rPr>
          <w:szCs w:val="24"/>
          <w:lang w:val="fr-FR"/>
        </w:rPr>
      </w:pPr>
      <w:r w:rsidRPr="00CE70CB">
        <w:rPr>
          <w:szCs w:val="24"/>
          <w:lang w:val="fr-FR"/>
        </w:rPr>
        <w:tab/>
        <w:t>Dans le titre, remplacer « et objets SCO-I non emballées » par « , les SCO-I et les SCO-III non emballés ».</w:t>
      </w:r>
    </w:p>
    <w:p w:rsidR="00267DA7" w:rsidRPr="00CE70CB" w:rsidRDefault="00267DA7" w:rsidP="00267DA7">
      <w:pPr>
        <w:pStyle w:val="SingleTxtG"/>
        <w:tabs>
          <w:tab w:val="left" w:pos="2268"/>
        </w:tabs>
        <w:ind w:left="2259" w:hanging="1125"/>
        <w:rPr>
          <w:szCs w:val="24"/>
          <w:lang w:val="fr-FR"/>
        </w:rPr>
      </w:pPr>
      <w:r w:rsidRPr="00CE70CB">
        <w:rPr>
          <w:szCs w:val="24"/>
          <w:lang w:val="fr-FR"/>
        </w:rPr>
        <w:t>5.1.5.3.2</w:t>
      </w:r>
      <w:r w:rsidRPr="00CE70CB">
        <w:rPr>
          <w:szCs w:val="24"/>
          <w:lang w:val="fr-FR"/>
        </w:rPr>
        <w:tab/>
        <w:t>Modifier pour lire comme suit :</w:t>
      </w:r>
    </w:p>
    <w:p w:rsidR="00267DA7" w:rsidRPr="00CE70CB" w:rsidRDefault="00010C88" w:rsidP="00267DA7">
      <w:pPr>
        <w:pStyle w:val="SingleTxtG"/>
        <w:tabs>
          <w:tab w:val="left" w:pos="2268"/>
        </w:tabs>
        <w:ind w:left="2259" w:hanging="1125"/>
        <w:rPr>
          <w:szCs w:val="24"/>
          <w:lang w:val="fr-FR"/>
        </w:rPr>
      </w:pPr>
      <w:r w:rsidRPr="00CE70CB">
        <w:rPr>
          <w:szCs w:val="24"/>
          <w:lang w:val="fr-FR"/>
        </w:rPr>
        <w:tab/>
      </w:r>
      <w:r w:rsidR="00267DA7" w:rsidRPr="00CE70CB">
        <w:rPr>
          <w:szCs w:val="24"/>
          <w:lang w:val="fr-FR"/>
        </w:rPr>
        <w:t>« 5.1.5.3.2</w:t>
      </w:r>
      <w:r w:rsidR="00267DA7" w:rsidRPr="00CE70CB">
        <w:rPr>
          <w:szCs w:val="24"/>
          <w:lang w:val="fr-FR"/>
        </w:rPr>
        <w:tab/>
        <w:t xml:space="preserve">Le TI de chaque suremballage rigide, conteneur ou véhicule est déterminé en additionnant les TI de tous les colis qu’ils contiennent. Dans le cas d’une expédition assurée par un seul expéditeur, ce dernier peut déterminer le TI en mesurant directement le débit de dose. </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Le TI d’un suremballage non rigide ne doit être déterminé qu’en additionnant les TI de l’ensemble des colis contenus dans ledit suremballage. »</w:t>
      </w:r>
    </w:p>
    <w:p w:rsidR="00267DA7" w:rsidRPr="00CE70CB" w:rsidRDefault="00267DA7" w:rsidP="00267DA7">
      <w:pPr>
        <w:pStyle w:val="SingleTxtG"/>
        <w:tabs>
          <w:tab w:val="left" w:pos="2268"/>
        </w:tabs>
        <w:ind w:left="2259" w:hanging="1125"/>
        <w:rPr>
          <w:szCs w:val="24"/>
          <w:lang w:val="fr-FR"/>
        </w:rPr>
      </w:pPr>
      <w:r w:rsidRPr="00CE70CB">
        <w:rPr>
          <w:szCs w:val="24"/>
          <w:lang w:val="fr-FR"/>
        </w:rPr>
        <w:t>5.1.5.3.4 a)</w:t>
      </w:r>
      <w:r w:rsidRPr="00CE70CB">
        <w:rPr>
          <w:szCs w:val="24"/>
          <w:lang w:val="fr-FR"/>
        </w:rPr>
        <w:tab/>
        <w:t>Dans la première phrase, remplacer « de l’intensité de rayonnement » par « du débit de dose ». Dans la deuxième phrase, remplacer « l’intensité de rayonnement » par « le débit de dose ».</w:t>
      </w:r>
    </w:p>
    <w:p w:rsidR="00267DA7" w:rsidRPr="00CE70CB" w:rsidRDefault="00267DA7" w:rsidP="00267DA7">
      <w:pPr>
        <w:pStyle w:val="SingleTxtG"/>
        <w:tabs>
          <w:tab w:val="left" w:pos="2268"/>
        </w:tabs>
        <w:ind w:left="2259" w:hanging="1125"/>
        <w:rPr>
          <w:szCs w:val="24"/>
          <w:lang w:val="fr-FR"/>
        </w:rPr>
      </w:pPr>
      <w:r w:rsidRPr="00CE70CB">
        <w:rPr>
          <w:szCs w:val="24"/>
          <w:lang w:val="fr-FR"/>
        </w:rPr>
        <w:t>5.1.5.3.4 b)</w:t>
      </w:r>
      <w:r w:rsidRPr="00CE70CB">
        <w:rPr>
          <w:szCs w:val="24"/>
          <w:lang w:val="fr-FR"/>
        </w:rPr>
        <w:tab/>
        <w:t>L’amendement est sans objet en français.</w:t>
      </w:r>
    </w:p>
    <w:p w:rsidR="00267DA7" w:rsidRPr="00CE70CB" w:rsidRDefault="00267DA7" w:rsidP="00267DA7">
      <w:pPr>
        <w:pStyle w:val="SingleTxtG"/>
        <w:tabs>
          <w:tab w:val="left" w:pos="2268"/>
        </w:tabs>
        <w:ind w:left="2259" w:hanging="1125"/>
        <w:rPr>
          <w:szCs w:val="24"/>
          <w:lang w:val="fr-FR"/>
        </w:rPr>
      </w:pPr>
      <w:r w:rsidRPr="00CE70CB">
        <w:rPr>
          <w:szCs w:val="24"/>
          <w:lang w:val="fr-FR"/>
        </w:rPr>
        <w:t>5.1.5.3.4 c)</w:t>
      </w:r>
      <w:r w:rsidRPr="00CE70CB">
        <w:rPr>
          <w:szCs w:val="24"/>
          <w:lang w:val="fr-FR"/>
        </w:rPr>
        <w:tab/>
        <w:t>Remplacer « l’intensité de rayonnement est supérieure » par « le débit de dose est supérieur ».</w:t>
      </w:r>
    </w:p>
    <w:p w:rsidR="00267DA7" w:rsidRPr="00CE70CB" w:rsidRDefault="00267DA7" w:rsidP="00267DA7">
      <w:pPr>
        <w:pStyle w:val="SingleTxtG"/>
        <w:tabs>
          <w:tab w:val="left" w:pos="2268"/>
        </w:tabs>
        <w:ind w:left="2259" w:hanging="1125"/>
        <w:rPr>
          <w:szCs w:val="24"/>
          <w:lang w:val="fr-FR"/>
        </w:rPr>
      </w:pPr>
      <w:r w:rsidRPr="00CE70CB">
        <w:rPr>
          <w:szCs w:val="24"/>
          <w:lang w:val="fr-FR"/>
        </w:rPr>
        <w:t>Tableau 5.1.5.3.4</w:t>
      </w:r>
    </w:p>
    <w:p w:rsidR="00E814AC" w:rsidRPr="00CE70CB" w:rsidRDefault="00E814AC" w:rsidP="00E814AC">
      <w:pPr>
        <w:pStyle w:val="SingleTxtG"/>
        <w:tabs>
          <w:tab w:val="left" w:pos="2268"/>
        </w:tabs>
        <w:ind w:left="2259" w:hanging="1125"/>
        <w:rPr>
          <w:szCs w:val="24"/>
          <w:lang w:val="fr-FR"/>
        </w:rPr>
      </w:pPr>
      <w:r w:rsidRPr="00CE70CB">
        <w:rPr>
          <w:szCs w:val="24"/>
          <w:lang w:val="fr-FR"/>
        </w:rPr>
        <w:tab/>
        <w:t>Remplacer « Intensité de rayonnement maximale » par « Débit de dose maximal ».</w:t>
      </w:r>
    </w:p>
    <w:p w:rsidR="00267DA7" w:rsidRPr="00CE70CB" w:rsidRDefault="00267DA7" w:rsidP="00267DA7">
      <w:pPr>
        <w:pStyle w:val="H1G"/>
        <w:rPr>
          <w:lang w:val="fr-FR"/>
        </w:rPr>
      </w:pPr>
      <w:r w:rsidRPr="00CE70CB">
        <w:rPr>
          <w:lang w:val="fr-FR"/>
        </w:rPr>
        <w:tab/>
      </w:r>
      <w:r w:rsidRPr="00CE70CB">
        <w:rPr>
          <w:lang w:val="fr-FR"/>
        </w:rPr>
        <w:tab/>
        <w:t>Chapitre 5.2</w:t>
      </w:r>
    </w:p>
    <w:p w:rsidR="00267DA7" w:rsidRPr="00CE70CB" w:rsidRDefault="00267DA7" w:rsidP="00267DA7">
      <w:pPr>
        <w:pStyle w:val="SingleTxtG"/>
        <w:tabs>
          <w:tab w:val="left" w:pos="2268"/>
        </w:tabs>
        <w:ind w:left="2259" w:hanging="1125"/>
        <w:rPr>
          <w:lang w:val="fr-FR"/>
        </w:rPr>
      </w:pPr>
      <w:r w:rsidRPr="00CE70CB">
        <w:rPr>
          <w:lang w:val="fr-FR"/>
        </w:rPr>
        <w:t>5.2.1.1</w:t>
      </w:r>
      <w:r w:rsidRPr="00CE70CB">
        <w:rPr>
          <w:lang w:val="fr-FR"/>
        </w:rPr>
        <w:tab/>
        <w:t xml:space="preserve">Modifier la deuxième phrase pour lire comme suit : </w:t>
      </w:r>
      <w:r w:rsidRPr="00CE70CB">
        <w:rPr>
          <w:szCs w:val="24"/>
          <w:lang w:val="fr-FR"/>
        </w:rPr>
        <w:t>« </w:t>
      </w:r>
      <w:r w:rsidR="008775B8" w:rsidRPr="00CE70CB">
        <w:rPr>
          <w:szCs w:val="24"/>
          <w:lang w:val="fr-FR"/>
        </w:rPr>
        <w:t xml:space="preserve">Le numéro ONU et les lettres "UN" doivent mesurer au moins 12 mm de hauteur, sauf sur les colis </w:t>
      </w:r>
      <w:r w:rsidR="008775B8" w:rsidRPr="00CE70CB">
        <w:rPr>
          <w:szCs w:val="24"/>
          <w:lang w:val="fr-FR"/>
        </w:rPr>
        <w:lastRenderedPageBreak/>
        <w:t xml:space="preserve">d’une capacité de 30 </w:t>
      </w:r>
      <w:r w:rsidR="008775B8" w:rsidRPr="00CE70CB">
        <w:rPr>
          <w:i/>
          <w:iCs/>
          <w:szCs w:val="24"/>
          <w:lang w:val="fr-FR"/>
        </w:rPr>
        <w:t>l</w:t>
      </w:r>
      <w:r w:rsidR="008775B8" w:rsidRPr="00CE70CB">
        <w:rPr>
          <w:szCs w:val="24"/>
          <w:lang w:val="fr-FR"/>
        </w:rPr>
        <w:t xml:space="preserve"> ou d’une masse nette de 30 kg au maximum et sauf sur </w:t>
      </w:r>
      <w:r w:rsidRPr="00CE70CB">
        <w:rPr>
          <w:lang w:val="fr-FR"/>
        </w:rPr>
        <w:t xml:space="preserve">les bouteilles d’une contenance en eau ne dépassant pas 60 </w:t>
      </w:r>
      <w:r w:rsidRPr="00CE70CB">
        <w:rPr>
          <w:i/>
          <w:iCs/>
          <w:lang w:val="fr-FR"/>
        </w:rPr>
        <w:t>l</w:t>
      </w:r>
      <w:r w:rsidRPr="00CE70CB">
        <w:rPr>
          <w:lang w:val="fr-FR"/>
        </w:rPr>
        <w:t xml:space="preserve">, où ils doivent mesurer au moins 6 mm de hauteur ainsi que sur les emballages d’une capacité ne dépassant pas 5 </w:t>
      </w:r>
      <w:r w:rsidRPr="00CE70CB">
        <w:rPr>
          <w:i/>
          <w:iCs/>
          <w:lang w:val="fr-FR"/>
        </w:rPr>
        <w:t>l</w:t>
      </w:r>
      <w:r w:rsidRPr="00CE70CB">
        <w:rPr>
          <w:lang w:val="fr-FR"/>
        </w:rPr>
        <w:t xml:space="preserve"> ou d’une masse nette ne dépassant pas 5 kg, où ils doivent avoir des dimensions appropriées. ».</w:t>
      </w:r>
      <w:r w:rsidRPr="00CE70CB">
        <w:rPr>
          <w:lang w:val="fr-FR"/>
        </w:rPr>
        <w:tab/>
      </w:r>
    </w:p>
    <w:p w:rsidR="00267DA7" w:rsidRPr="00CE70CB" w:rsidRDefault="00267DA7" w:rsidP="00267DA7">
      <w:pPr>
        <w:pStyle w:val="SingleTxtG"/>
        <w:tabs>
          <w:tab w:val="left" w:pos="2268"/>
        </w:tabs>
        <w:ind w:left="2259" w:hanging="1125"/>
        <w:rPr>
          <w:szCs w:val="24"/>
          <w:lang w:val="fr-FR"/>
        </w:rPr>
      </w:pPr>
      <w:r w:rsidRPr="00CE70CB">
        <w:rPr>
          <w:szCs w:val="24"/>
          <w:lang w:val="fr-FR"/>
        </w:rPr>
        <w:t>5.2.1.7.6</w:t>
      </w:r>
      <w:r w:rsidRPr="00CE70CB">
        <w:rPr>
          <w:szCs w:val="24"/>
          <w:lang w:val="fr-FR"/>
        </w:rPr>
        <w:tab/>
        <w:t>Ajouter à la fin du paragraphe la phrase suivante :</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 </w:t>
      </w:r>
      <w:bookmarkStart w:id="109" w:name="_Hlk31369224"/>
      <w:r w:rsidRPr="00CE70CB">
        <w:rPr>
          <w:szCs w:val="24"/>
          <w:lang w:val="fr-FR"/>
        </w:rPr>
        <w:t>Toute marque apposée sur le colis conformément aux prescriptions du 5.2.1.7.4 a) et b) et 5.2.1.7.5 c) relatives au type de colis sans rapport avec le numéro ONU et la désignation officielle de transport attribués à l’envoi doit être enlevée ou couverte.</w:t>
      </w:r>
      <w:bookmarkEnd w:id="109"/>
      <w:r w:rsidRPr="00CE70CB">
        <w:rPr>
          <w:szCs w:val="24"/>
          <w:lang w:val="fr-FR"/>
        </w:rPr>
        <w:t> »</w:t>
      </w:r>
    </w:p>
    <w:p w:rsidR="00A12316" w:rsidRPr="00CE70CB" w:rsidRDefault="00A12316" w:rsidP="00A12316">
      <w:pPr>
        <w:pStyle w:val="SingleTxtG"/>
        <w:tabs>
          <w:tab w:val="left" w:pos="2268"/>
        </w:tabs>
        <w:ind w:left="2259" w:hanging="1125"/>
        <w:rPr>
          <w:szCs w:val="24"/>
          <w:lang w:val="fr-FR"/>
        </w:rPr>
      </w:pPr>
      <w:r w:rsidRPr="00CE70CB">
        <w:rPr>
          <w:szCs w:val="24"/>
          <w:lang w:val="fr-FR"/>
        </w:rPr>
        <w:t>5.2.1.9.1</w:t>
      </w:r>
      <w:r w:rsidRPr="00CE70CB">
        <w:rPr>
          <w:szCs w:val="24"/>
          <w:lang w:val="fr-FR"/>
        </w:rPr>
        <w:tab/>
      </w:r>
      <w:r w:rsidRPr="00CE70CB">
        <w:rPr>
          <w:szCs w:val="24"/>
          <w:lang w:val="fr-FR"/>
        </w:rPr>
        <w:tab/>
        <w:t>L’amendement est sans objet en français.</w:t>
      </w:r>
    </w:p>
    <w:p w:rsidR="00267DA7" w:rsidRPr="00CE70CB" w:rsidRDefault="00267DA7" w:rsidP="00267DA7">
      <w:pPr>
        <w:pStyle w:val="SingleTxtG"/>
        <w:tabs>
          <w:tab w:val="left" w:pos="2268"/>
        </w:tabs>
        <w:ind w:left="2259" w:hanging="1125"/>
        <w:rPr>
          <w:lang w:val="fr-FR"/>
        </w:rPr>
      </w:pPr>
      <w:r w:rsidRPr="00CE70CB">
        <w:rPr>
          <w:lang w:val="fr-FR"/>
        </w:rPr>
        <w:t>5.2.1.9.2</w:t>
      </w:r>
      <w:r w:rsidRPr="00CE70CB">
        <w:rPr>
          <w:lang w:val="fr-FR"/>
        </w:rPr>
        <w:tab/>
        <w:t>À la figure 5.2.1.9.2, remplacer « 120 mm » par « 100 mm » et « 110 mm » par « 100 mm ».</w:t>
      </w:r>
    </w:p>
    <w:p w:rsidR="00267DA7" w:rsidRPr="00CE70CB" w:rsidRDefault="00267DA7" w:rsidP="00267DA7">
      <w:pPr>
        <w:pStyle w:val="SingleTxtG"/>
        <w:tabs>
          <w:tab w:val="left" w:pos="2268"/>
        </w:tabs>
        <w:ind w:left="2259" w:hanging="1125"/>
        <w:rPr>
          <w:lang w:val="fr-FR"/>
        </w:rPr>
      </w:pPr>
      <w:r w:rsidRPr="00CE70CB">
        <w:rPr>
          <w:lang w:val="fr-FR"/>
        </w:rPr>
        <w:tab/>
        <w:t>Au dernier paragraphe :</w:t>
      </w:r>
    </w:p>
    <w:p w:rsidR="00267DA7" w:rsidRPr="00CE70CB" w:rsidRDefault="00267DA7" w:rsidP="00267DA7">
      <w:pPr>
        <w:pStyle w:val="SingleTxtG"/>
        <w:tabs>
          <w:tab w:val="left" w:pos="2268"/>
        </w:tabs>
        <w:ind w:left="2259" w:hanging="1125"/>
        <w:rPr>
          <w:lang w:val="fr-FR"/>
        </w:rPr>
      </w:pPr>
      <w:r w:rsidRPr="00CE70CB">
        <w:rPr>
          <w:lang w:val="fr-FR"/>
        </w:rPr>
        <w:tab/>
        <w:t>Première phrase : Remplacer « d’un rectangle » par « d’un rectangle ou d’un carré ».</w:t>
      </w:r>
    </w:p>
    <w:p w:rsidR="00267DA7" w:rsidRPr="00CE70CB" w:rsidRDefault="00267DA7" w:rsidP="00267DA7">
      <w:pPr>
        <w:pStyle w:val="SingleTxtG"/>
        <w:tabs>
          <w:tab w:val="left" w:pos="2268"/>
        </w:tabs>
        <w:ind w:left="2259" w:hanging="1125"/>
        <w:rPr>
          <w:lang w:val="fr-FR"/>
        </w:rPr>
      </w:pPr>
      <w:r w:rsidRPr="00CE70CB">
        <w:rPr>
          <w:lang w:val="fr-FR"/>
        </w:rPr>
        <w:tab/>
        <w:t xml:space="preserve">Deuxième phrase : remplacer « 120 mm de largeur × 110 mm de hauteur » par « 100 mm de largeur </w:t>
      </w:r>
      <w:bookmarkStart w:id="110" w:name="_Hlk31370380"/>
      <w:r w:rsidRPr="00CE70CB">
        <w:rPr>
          <w:lang w:val="fr-FR"/>
        </w:rPr>
        <w:t>×</w:t>
      </w:r>
      <w:bookmarkEnd w:id="110"/>
      <w:r w:rsidRPr="00CE70CB">
        <w:rPr>
          <w:lang w:val="fr-FR"/>
        </w:rPr>
        <w:t xml:space="preserve"> 100 mm de hauteur ». </w:t>
      </w:r>
    </w:p>
    <w:p w:rsidR="00267DA7" w:rsidRPr="00CE70CB" w:rsidRDefault="00267DA7" w:rsidP="00267DA7">
      <w:pPr>
        <w:pStyle w:val="SingleTxtG"/>
        <w:tabs>
          <w:tab w:val="left" w:pos="2268"/>
        </w:tabs>
        <w:ind w:left="2259" w:hanging="1125"/>
        <w:rPr>
          <w:lang w:val="fr-FR"/>
        </w:rPr>
      </w:pPr>
      <w:r w:rsidRPr="00CE70CB">
        <w:rPr>
          <w:lang w:val="fr-FR"/>
        </w:rPr>
        <w:tab/>
        <w:t>Cinquième phrase : supprimer « /l’épaisseur de la ligne » et remplacer « 105 mm de largeur × 74 mm de hauteur » par « 100 mm de largeur × 70 mm de hauteur ».</w:t>
      </w:r>
    </w:p>
    <w:p w:rsidR="00267DA7" w:rsidRPr="00CE70CB" w:rsidRDefault="00267DA7" w:rsidP="00267DA7">
      <w:pPr>
        <w:pStyle w:val="SingleTxtG"/>
        <w:tabs>
          <w:tab w:val="left" w:pos="2268"/>
        </w:tabs>
        <w:ind w:left="2259" w:hanging="1125"/>
        <w:rPr>
          <w:lang w:val="fr-FR"/>
        </w:rPr>
      </w:pPr>
      <w:r w:rsidRPr="00CE70CB">
        <w:rPr>
          <w:lang w:val="fr-FR"/>
        </w:rPr>
        <w:t>5.2.2.1.11.2</w:t>
      </w:r>
      <w:r w:rsidRPr="00CE70CB">
        <w:rPr>
          <w:lang w:val="fr-FR"/>
        </w:rPr>
        <w:tab/>
        <w:t>À l’alinéa d), remplacer « (la rubrique “Indice de transport” n’est pas requise pour la catégorie I-BLANCHE) » par « </w:t>
      </w:r>
      <w:bookmarkStart w:id="111" w:name="_Hlk31370520"/>
      <w:r w:rsidRPr="00CE70CB">
        <w:rPr>
          <w:lang w:val="fr-FR"/>
        </w:rPr>
        <w:t>(sauf pour la catégorie I-BLANCHE)</w:t>
      </w:r>
      <w:bookmarkEnd w:id="111"/>
      <w:r w:rsidRPr="00CE70CB">
        <w:rPr>
          <w:lang w:val="fr-FR"/>
        </w:rPr>
        <w:t> ».</w:t>
      </w:r>
    </w:p>
    <w:p w:rsidR="00267DA7" w:rsidRPr="00CE70CB" w:rsidRDefault="00267DA7" w:rsidP="00267DA7">
      <w:pPr>
        <w:pStyle w:val="SingleTxtG"/>
        <w:rPr>
          <w:lang w:val="fr-FR"/>
        </w:rPr>
      </w:pPr>
      <w:r w:rsidRPr="00CE70CB">
        <w:rPr>
          <w:lang w:val="fr-FR"/>
        </w:rPr>
        <w:t>5.2.2.1.12.1</w:t>
      </w:r>
      <w:r w:rsidRPr="00CE70CB">
        <w:rPr>
          <w:lang w:val="fr-FR"/>
        </w:rPr>
        <w:tab/>
        <w:t>Remplacer « risques » par « dangers ».</w:t>
      </w:r>
    </w:p>
    <w:p w:rsidR="00267DA7" w:rsidRPr="00CE70CB" w:rsidRDefault="00267DA7" w:rsidP="00267DA7">
      <w:pPr>
        <w:pStyle w:val="H1G"/>
        <w:rPr>
          <w:lang w:val="fr-FR"/>
        </w:rPr>
      </w:pPr>
      <w:r w:rsidRPr="00CE70CB">
        <w:rPr>
          <w:lang w:val="fr-FR"/>
        </w:rPr>
        <w:tab/>
      </w:r>
      <w:r w:rsidRPr="00CE70CB">
        <w:rPr>
          <w:lang w:val="fr-FR"/>
        </w:rPr>
        <w:tab/>
        <w:t>Chapitre 5.3</w:t>
      </w:r>
    </w:p>
    <w:p w:rsidR="00267DA7" w:rsidRPr="00CE70CB" w:rsidRDefault="00267DA7" w:rsidP="00267DA7">
      <w:pPr>
        <w:pStyle w:val="SingleTxtG"/>
        <w:ind w:left="2268" w:hanging="1134"/>
        <w:rPr>
          <w:lang w:val="fr-FR"/>
        </w:rPr>
      </w:pPr>
      <w:r w:rsidRPr="00CE70CB">
        <w:rPr>
          <w:lang w:val="fr-FR"/>
        </w:rPr>
        <w:t>5.3.2.3.2</w:t>
      </w:r>
      <w:r w:rsidRPr="00CE70CB">
        <w:rPr>
          <w:lang w:val="fr-FR"/>
        </w:rPr>
        <w:tab/>
      </w:r>
      <w:bookmarkStart w:id="112" w:name="_Hlk23857682"/>
      <w:r w:rsidRPr="00CE70CB">
        <w:rPr>
          <w:lang w:val="fr-FR"/>
        </w:rPr>
        <w:t>Après la rubrique pour « X83 », insérer la nouvelle rubrique suivante :</w:t>
      </w:r>
      <w:bookmarkEnd w:id="112"/>
    </w:p>
    <w:p w:rsidR="00267DA7" w:rsidRPr="00CE70CB" w:rsidRDefault="00267DA7" w:rsidP="00267DA7">
      <w:pPr>
        <w:pStyle w:val="SingleTxtG"/>
        <w:ind w:left="2268"/>
        <w:rPr>
          <w:bCs/>
          <w:lang w:val="fr-FR"/>
        </w:rPr>
      </w:pPr>
      <w:r w:rsidRPr="00CE70CB">
        <w:rPr>
          <w:lang w:val="fr-FR"/>
        </w:rPr>
        <w:t>« </w:t>
      </w:r>
      <w:bookmarkStart w:id="113" w:name="_Hlk31373545"/>
      <w:r w:rsidRPr="00CE70CB">
        <w:rPr>
          <w:lang w:val="fr-FR"/>
        </w:rPr>
        <w:t>836</w:t>
      </w:r>
      <w:r w:rsidRPr="00CE70CB">
        <w:rPr>
          <w:lang w:val="fr-FR"/>
        </w:rPr>
        <w:tab/>
        <w:t>Matière corrosive ou faiblement corrosive, inflammable (point d’éclair de 23 °C à 60 °C, valeurs limites comprises) et toxique</w:t>
      </w:r>
      <w:bookmarkEnd w:id="113"/>
      <w:r w:rsidRPr="00CE70CB">
        <w:rPr>
          <w:lang w:val="fr-FR"/>
        </w:rPr>
        <w:t> »</w:t>
      </w:r>
    </w:p>
    <w:p w:rsidR="00267DA7" w:rsidRPr="00CE70CB" w:rsidRDefault="00267DA7" w:rsidP="00267DA7">
      <w:pPr>
        <w:pStyle w:val="H1G"/>
        <w:rPr>
          <w:lang w:val="fr-FR"/>
        </w:rPr>
      </w:pPr>
      <w:r w:rsidRPr="00CE70CB">
        <w:rPr>
          <w:lang w:val="fr-FR"/>
        </w:rPr>
        <w:tab/>
      </w:r>
      <w:r w:rsidRPr="00CE70CB">
        <w:rPr>
          <w:lang w:val="fr-FR"/>
        </w:rPr>
        <w:tab/>
        <w:t>Chapitre 5.4</w:t>
      </w:r>
    </w:p>
    <w:p w:rsidR="00267DA7" w:rsidRPr="00CE70CB" w:rsidRDefault="00267DA7" w:rsidP="00267DA7">
      <w:pPr>
        <w:pStyle w:val="SingleTxtG"/>
        <w:tabs>
          <w:tab w:val="left" w:pos="2268"/>
        </w:tabs>
        <w:ind w:left="2259" w:hanging="1125"/>
        <w:rPr>
          <w:szCs w:val="24"/>
          <w:lang w:val="fr-FR"/>
        </w:rPr>
      </w:pPr>
      <w:r w:rsidRPr="00CE70CB">
        <w:rPr>
          <w:szCs w:val="24"/>
          <w:lang w:val="fr-FR"/>
        </w:rPr>
        <w:t>5.4.1.1.1 f)</w:t>
      </w:r>
      <w:r w:rsidRPr="00CE70CB">
        <w:rPr>
          <w:szCs w:val="24"/>
          <w:lang w:val="fr-FR"/>
        </w:rPr>
        <w:tab/>
        <w:t>Remplacer « la quantité totale de chaque marchandise dangereuse caractérisée par son numéro ONU, sa désignation officielle de transport et un groupe d'emballage (exprimée en volume ou en masse brute, ou en masse nette selon le cas) » par « </w:t>
      </w:r>
      <w:bookmarkStart w:id="114" w:name="_Hlk31373612"/>
      <w:r w:rsidRPr="00CE70CB">
        <w:rPr>
          <w:szCs w:val="24"/>
          <w:lang w:val="fr-FR"/>
        </w:rPr>
        <w:t>la quantité totale de chaque marchandise dangereuse ayant un numéro ONU, une désignation officielle de transport, ou un groupe d'emballage différent (exprimée en volume, en masse brute ou en masse nette selon le cas)</w:t>
      </w:r>
      <w:bookmarkEnd w:id="114"/>
      <w:r w:rsidRPr="00CE70CB">
        <w:rPr>
          <w:szCs w:val="24"/>
          <w:lang w:val="fr-FR"/>
        </w:rPr>
        <w:t> ».</w:t>
      </w:r>
    </w:p>
    <w:p w:rsidR="00010C88" w:rsidRPr="00CE70CB" w:rsidRDefault="00267DA7" w:rsidP="00267DA7">
      <w:pPr>
        <w:pStyle w:val="SingleTxtG"/>
        <w:ind w:left="2268" w:hanging="1134"/>
        <w:rPr>
          <w:lang w:val="fr-FR"/>
        </w:rPr>
      </w:pPr>
      <w:r w:rsidRPr="00CE70CB">
        <w:rPr>
          <w:lang w:val="fr-FR"/>
        </w:rPr>
        <w:t>5.4.1.1.1 k)</w:t>
      </w:r>
      <w:r w:rsidRPr="00CE70CB">
        <w:rPr>
          <w:lang w:val="fr-FR"/>
        </w:rPr>
        <w:tab/>
      </w:r>
      <w:r w:rsidRPr="00CE70CB">
        <w:rPr>
          <w:lang w:val="fr-FR"/>
        </w:rPr>
        <w:tab/>
      </w:r>
      <w:r w:rsidR="00010C88" w:rsidRPr="00CE70CB">
        <w:rPr>
          <w:lang w:val="fr-FR"/>
        </w:rPr>
        <w:t>Modifier pour lire comme suit :</w:t>
      </w:r>
    </w:p>
    <w:p w:rsidR="00267DA7" w:rsidRPr="00CE70CB" w:rsidRDefault="00010C88" w:rsidP="00267DA7">
      <w:pPr>
        <w:pStyle w:val="SingleTxtG"/>
        <w:ind w:left="2268" w:hanging="1134"/>
        <w:rPr>
          <w:lang w:val="fr-FR"/>
        </w:rPr>
      </w:pPr>
      <w:r w:rsidRPr="00CE70CB">
        <w:rPr>
          <w:lang w:val="fr-FR"/>
        </w:rPr>
        <w:tab/>
      </w:r>
      <w:r w:rsidR="00267DA7" w:rsidRPr="00CE70CB">
        <w:rPr>
          <w:lang w:val="fr-FR"/>
        </w:rPr>
        <w:t>« </w:t>
      </w:r>
      <w:r w:rsidRPr="00CE70CB">
        <w:rPr>
          <w:lang w:val="fr-FR"/>
        </w:rPr>
        <w:t>k)</w:t>
      </w:r>
      <w:r w:rsidRPr="00CE70CB">
        <w:rPr>
          <w:lang w:val="fr-FR"/>
        </w:rPr>
        <w:tab/>
      </w:r>
      <w:bookmarkStart w:id="115" w:name="_Hlk31373710"/>
      <w:r w:rsidR="00267DA7" w:rsidRPr="00CE70CB">
        <w:rPr>
          <w:lang w:val="fr-FR"/>
        </w:rPr>
        <w:t>pour le transport comportant un passage dans des tunnels auxquels s’appliquent des restrictions au passage de véhicules transportant des marchandises dangereuses, le code de restriction en tunnels en majuscules et entre parenthèses ou la mention "(─)" qui figure dans la colonne (15) du tableau A du chapitre 3.2.</w:t>
      </w:r>
      <w:bookmarkEnd w:id="115"/>
      <w:r w:rsidRPr="00CE70CB">
        <w:rPr>
          <w:lang w:val="fr-FR"/>
        </w:rPr>
        <w:t> »</w:t>
      </w:r>
    </w:p>
    <w:p w:rsidR="003E6618" w:rsidRPr="00CE70CB" w:rsidRDefault="003E6618" w:rsidP="003E6618">
      <w:pPr>
        <w:pStyle w:val="SingleTxtG"/>
        <w:tabs>
          <w:tab w:val="left" w:pos="2268"/>
        </w:tabs>
        <w:ind w:left="2259" w:hanging="1125"/>
        <w:rPr>
          <w:szCs w:val="24"/>
          <w:lang w:val="fr-FR"/>
        </w:rPr>
      </w:pPr>
      <w:r w:rsidRPr="00CE70CB">
        <w:rPr>
          <w:szCs w:val="24"/>
          <w:lang w:val="fr-FR"/>
        </w:rPr>
        <w:t>5.4.1.2.2 d)</w:t>
      </w:r>
      <w:r w:rsidRPr="00CE70CB">
        <w:rPr>
          <w:szCs w:val="24"/>
          <w:lang w:val="fr-FR"/>
        </w:rPr>
        <w:tab/>
      </w:r>
      <w:r w:rsidRPr="00CE70CB">
        <w:rPr>
          <w:szCs w:val="24"/>
          <w:lang w:val="fr-FR"/>
        </w:rPr>
        <w:tab/>
        <w:t>Après « des conteneurs-citernes » ajouter « et des citernes mobiles ».</w:t>
      </w:r>
    </w:p>
    <w:p w:rsidR="00267DA7" w:rsidRPr="00CE70CB" w:rsidRDefault="00267DA7" w:rsidP="00267DA7">
      <w:pPr>
        <w:pStyle w:val="SingleTxtG"/>
        <w:tabs>
          <w:tab w:val="left" w:pos="2268"/>
        </w:tabs>
        <w:ind w:left="2259" w:hanging="1125"/>
        <w:rPr>
          <w:szCs w:val="24"/>
          <w:lang w:val="fr-FR"/>
        </w:rPr>
      </w:pPr>
      <w:r w:rsidRPr="00CE70CB">
        <w:rPr>
          <w:szCs w:val="24"/>
          <w:lang w:val="fr-FR"/>
        </w:rPr>
        <w:t>5.4.1.2.5.1</w:t>
      </w:r>
      <w:r w:rsidRPr="00CE70CB">
        <w:rPr>
          <w:szCs w:val="24"/>
          <w:lang w:val="fr-FR"/>
        </w:rPr>
        <w:tab/>
        <w:t>Modifier les alinéas d) et e) pour lire comme suit :</w:t>
      </w:r>
    </w:p>
    <w:p w:rsidR="00267DA7" w:rsidRPr="00CE70CB" w:rsidRDefault="00267DA7" w:rsidP="00267DA7">
      <w:pPr>
        <w:pStyle w:val="SingleTxtG"/>
        <w:tabs>
          <w:tab w:val="left" w:pos="2268"/>
        </w:tabs>
        <w:ind w:left="2835" w:hanging="576"/>
        <w:rPr>
          <w:szCs w:val="24"/>
          <w:lang w:val="fr-FR"/>
        </w:rPr>
      </w:pPr>
      <w:r w:rsidRPr="00CE70CB">
        <w:rPr>
          <w:szCs w:val="24"/>
          <w:lang w:val="fr-FR"/>
        </w:rPr>
        <w:lastRenderedPageBreak/>
        <w:t>« d)</w:t>
      </w:r>
      <w:r w:rsidRPr="00CE70CB">
        <w:rPr>
          <w:szCs w:val="24"/>
          <w:lang w:val="fr-FR"/>
        </w:rPr>
        <w:tab/>
      </w:r>
      <w:bookmarkStart w:id="116" w:name="_Hlk31373764"/>
      <w:r w:rsidRPr="00CE70CB">
        <w:rPr>
          <w:szCs w:val="24"/>
          <w:lang w:val="fr-FR"/>
        </w:rPr>
        <w:t>La catégorie du colis, du suremballage ou du conteneur, telle que déterminée conformément au 5.1.5.3.4 c’est-à-dire I-BLANCHE, II-JAUNE, III-JAUNE ;</w:t>
      </w:r>
      <w:bookmarkEnd w:id="116"/>
    </w:p>
    <w:p w:rsidR="00267DA7" w:rsidRPr="00CE70CB" w:rsidRDefault="00267DA7" w:rsidP="00267DA7">
      <w:pPr>
        <w:pStyle w:val="SingleTxtG"/>
        <w:tabs>
          <w:tab w:val="left" w:pos="2268"/>
        </w:tabs>
        <w:ind w:left="2835" w:hanging="576"/>
        <w:rPr>
          <w:szCs w:val="24"/>
          <w:lang w:val="fr-FR"/>
        </w:rPr>
      </w:pPr>
      <w:r w:rsidRPr="00CE70CB">
        <w:rPr>
          <w:szCs w:val="24"/>
          <w:lang w:val="fr-FR"/>
        </w:rPr>
        <w:t>e)</w:t>
      </w:r>
      <w:r w:rsidRPr="00CE70CB">
        <w:rPr>
          <w:szCs w:val="24"/>
          <w:lang w:val="fr-FR"/>
        </w:rPr>
        <w:tab/>
      </w:r>
      <w:bookmarkStart w:id="117" w:name="_Hlk31373806"/>
      <w:r w:rsidRPr="00CE70CB">
        <w:rPr>
          <w:szCs w:val="24"/>
          <w:lang w:val="fr-FR"/>
        </w:rPr>
        <w:t>Le TI, tel que déterminé conformément aux 5.1.5.3.1 et 5.1.5.3.2 (sauf pour la catégorie I-BLANCHE) ;</w:t>
      </w:r>
      <w:bookmarkEnd w:id="117"/>
      <w:r w:rsidRPr="00CE70CB">
        <w:rPr>
          <w:szCs w:val="24"/>
          <w:lang w:val="fr-FR"/>
        </w:rPr>
        <w:t> »</w:t>
      </w:r>
    </w:p>
    <w:p w:rsidR="00267DA7" w:rsidRPr="00CE70CB" w:rsidRDefault="00267DA7" w:rsidP="00267DA7">
      <w:pPr>
        <w:pStyle w:val="SingleTxtG"/>
        <w:tabs>
          <w:tab w:val="left" w:pos="2268"/>
        </w:tabs>
        <w:ind w:left="2259" w:hanging="1125"/>
        <w:rPr>
          <w:szCs w:val="24"/>
          <w:lang w:val="fr-FR"/>
        </w:rPr>
      </w:pPr>
      <w:r w:rsidRPr="00CE70CB">
        <w:rPr>
          <w:szCs w:val="24"/>
          <w:lang w:val="fr-FR"/>
        </w:rPr>
        <w:t>5.4.1.2.5.1</w:t>
      </w:r>
      <w:r w:rsidRPr="00CE70CB">
        <w:rPr>
          <w:szCs w:val="24"/>
          <w:lang w:val="fr-FR"/>
        </w:rPr>
        <w:tab/>
        <w:t>À l’alinéa j), remplacer « </w:t>
      </w:r>
      <w:r w:rsidR="003E6618" w:rsidRPr="00CE70CB">
        <w:rPr>
          <w:szCs w:val="24"/>
          <w:lang w:val="fr-FR"/>
        </w:rPr>
        <w:t xml:space="preserve">les </w:t>
      </w:r>
      <w:r w:rsidRPr="00CE70CB">
        <w:rPr>
          <w:szCs w:val="24"/>
          <w:lang w:val="fr-FR"/>
        </w:rPr>
        <w:t xml:space="preserve">SCO-I et </w:t>
      </w:r>
      <w:r w:rsidR="003E6618" w:rsidRPr="00CE70CB">
        <w:rPr>
          <w:szCs w:val="24"/>
          <w:lang w:val="fr-FR"/>
        </w:rPr>
        <w:t xml:space="preserve">les </w:t>
      </w:r>
      <w:r w:rsidRPr="00CE70CB">
        <w:rPr>
          <w:szCs w:val="24"/>
          <w:lang w:val="fr-FR"/>
        </w:rPr>
        <w:t>SCO-II » par « </w:t>
      </w:r>
      <w:r w:rsidR="003E6618" w:rsidRPr="00CE70CB">
        <w:rPr>
          <w:szCs w:val="24"/>
          <w:lang w:val="fr-FR"/>
        </w:rPr>
        <w:t xml:space="preserve">les </w:t>
      </w:r>
      <w:r w:rsidRPr="00CE70CB">
        <w:rPr>
          <w:szCs w:val="24"/>
          <w:lang w:val="fr-FR"/>
        </w:rPr>
        <w:t xml:space="preserve">SCO-I, </w:t>
      </w:r>
      <w:r w:rsidR="003E6618" w:rsidRPr="00CE70CB">
        <w:rPr>
          <w:szCs w:val="24"/>
          <w:lang w:val="fr-FR"/>
        </w:rPr>
        <w:t xml:space="preserve">les </w:t>
      </w:r>
      <w:r w:rsidRPr="00CE70CB">
        <w:rPr>
          <w:szCs w:val="24"/>
          <w:lang w:val="fr-FR"/>
        </w:rPr>
        <w:t xml:space="preserve">SCO-II et </w:t>
      </w:r>
      <w:r w:rsidR="003E6618" w:rsidRPr="00CE70CB">
        <w:rPr>
          <w:szCs w:val="24"/>
          <w:lang w:val="fr-FR"/>
        </w:rPr>
        <w:t xml:space="preserve">les </w:t>
      </w:r>
      <w:r w:rsidRPr="00CE70CB">
        <w:rPr>
          <w:szCs w:val="24"/>
          <w:lang w:val="fr-FR"/>
        </w:rPr>
        <w:t>SCO-III ».</w:t>
      </w:r>
    </w:p>
    <w:p w:rsidR="00267DA7" w:rsidRPr="00CE70CB" w:rsidRDefault="00267DA7" w:rsidP="00267DA7">
      <w:pPr>
        <w:pStyle w:val="SingleTxtG"/>
        <w:tabs>
          <w:tab w:val="left" w:pos="2268"/>
        </w:tabs>
        <w:ind w:left="2259" w:hanging="1125"/>
        <w:rPr>
          <w:szCs w:val="24"/>
          <w:lang w:val="fr-FR"/>
        </w:rPr>
      </w:pPr>
      <w:r w:rsidRPr="00CE70CB">
        <w:rPr>
          <w:szCs w:val="24"/>
          <w:lang w:val="fr-FR"/>
        </w:rPr>
        <w:t>5.4.2</w:t>
      </w:r>
      <w:r w:rsidRPr="00CE70CB">
        <w:rPr>
          <w:szCs w:val="24"/>
          <w:lang w:val="fr-FR"/>
        </w:rPr>
        <w:tab/>
        <w:t>Dans le deuxième paragraphe, à la fin de la première phrase, supprimer « les uns aux autres ».</w:t>
      </w:r>
    </w:p>
    <w:p w:rsidR="00267DA7" w:rsidRPr="00CE70CB" w:rsidRDefault="00267DA7" w:rsidP="00267DA7">
      <w:pPr>
        <w:pStyle w:val="SingleTxtG"/>
        <w:tabs>
          <w:tab w:val="left" w:pos="2268"/>
        </w:tabs>
        <w:rPr>
          <w:lang w:val="fr-FR"/>
        </w:rPr>
      </w:pPr>
      <w:bookmarkStart w:id="118" w:name="_Hlk23857811"/>
      <w:r w:rsidRPr="00CE70CB">
        <w:rPr>
          <w:lang w:val="fr-FR"/>
        </w:rPr>
        <w:t>5.4.2, note de bas de page 6</w:t>
      </w:r>
    </w:p>
    <w:p w:rsidR="00267DA7" w:rsidRPr="00CE70CB" w:rsidRDefault="00267DA7" w:rsidP="00267DA7">
      <w:pPr>
        <w:pStyle w:val="SingleTxtG"/>
        <w:tabs>
          <w:tab w:val="left" w:pos="2268"/>
        </w:tabs>
        <w:rPr>
          <w:szCs w:val="24"/>
          <w:lang w:val="fr-FR"/>
        </w:rPr>
      </w:pPr>
      <w:r w:rsidRPr="00CE70CB">
        <w:rPr>
          <w:lang w:val="fr-FR"/>
        </w:rPr>
        <w:tab/>
        <w:t xml:space="preserve">Au début, remplacer « (Amendement 38-16) » par « (Amendement 39-18) ». </w:t>
      </w:r>
    </w:p>
    <w:bookmarkEnd w:id="118"/>
    <w:p w:rsidR="00267DA7" w:rsidRPr="00CE70CB" w:rsidRDefault="00267DA7" w:rsidP="00267DA7">
      <w:pPr>
        <w:pStyle w:val="H1G"/>
        <w:rPr>
          <w:lang w:val="fr-FR"/>
        </w:rPr>
      </w:pPr>
      <w:r w:rsidRPr="00CE70CB">
        <w:rPr>
          <w:lang w:val="fr-FR"/>
        </w:rPr>
        <w:tab/>
      </w:r>
      <w:r w:rsidRPr="00CE70CB">
        <w:rPr>
          <w:lang w:val="fr-FR"/>
        </w:rPr>
        <w:tab/>
        <w:t>Chapitre 5.5</w:t>
      </w:r>
    </w:p>
    <w:p w:rsidR="00267DA7" w:rsidRPr="00CE70CB" w:rsidRDefault="00267DA7" w:rsidP="00267DA7">
      <w:pPr>
        <w:pStyle w:val="SingleTxtG"/>
        <w:tabs>
          <w:tab w:val="left" w:pos="2268"/>
        </w:tabs>
        <w:ind w:left="2259" w:hanging="1125"/>
        <w:rPr>
          <w:lang w:val="fr-FR"/>
        </w:rPr>
      </w:pPr>
      <w:r w:rsidRPr="00CE70CB">
        <w:rPr>
          <w:lang w:val="fr-FR"/>
        </w:rPr>
        <w:t>5.5.3</w:t>
      </w:r>
      <w:r w:rsidRPr="00CE70CB">
        <w:rPr>
          <w:lang w:val="fr-FR"/>
        </w:rPr>
        <w:tab/>
        <w:t xml:space="preserve">Dans le titre, remplacer « applicables aux colis » par « applicables au transport de neige carbonique (No ONU 1845) ainsi qu’aux colis ». </w:t>
      </w:r>
    </w:p>
    <w:p w:rsidR="00267DA7" w:rsidRPr="00CE70CB" w:rsidRDefault="00267DA7" w:rsidP="00267DA7">
      <w:pPr>
        <w:pStyle w:val="SingleTxtG"/>
        <w:tabs>
          <w:tab w:val="left" w:pos="2268"/>
        </w:tabs>
        <w:ind w:left="2259" w:hanging="1125"/>
        <w:rPr>
          <w:lang w:val="fr-FR"/>
        </w:rPr>
      </w:pPr>
      <w:r w:rsidRPr="00CE70CB">
        <w:rPr>
          <w:lang w:val="fr-FR"/>
        </w:rPr>
        <w:tab/>
        <w:t>À la fin du titre, dans le texte entre parenthèses, après « (No ONU 1951) » ajouter « ou l’azote ».</w:t>
      </w:r>
    </w:p>
    <w:p w:rsidR="00267DA7" w:rsidRPr="00CE70CB" w:rsidRDefault="00267DA7" w:rsidP="00267DA7">
      <w:pPr>
        <w:pStyle w:val="SingleTxtG"/>
        <w:tabs>
          <w:tab w:val="left" w:pos="2268"/>
        </w:tabs>
        <w:ind w:left="2259" w:hanging="1125"/>
        <w:rPr>
          <w:lang w:val="fr-FR"/>
        </w:rPr>
      </w:pPr>
      <w:r w:rsidRPr="00CE70CB">
        <w:rPr>
          <w:lang w:val="fr-FR"/>
        </w:rPr>
        <w:tab/>
        <w:t xml:space="preserve">Ajouter le nouveau Nota </w:t>
      </w:r>
      <w:r w:rsidR="001E4CC5" w:rsidRPr="00CE70CB">
        <w:rPr>
          <w:lang w:val="fr-FR"/>
        </w:rPr>
        <w:t xml:space="preserve">suivant </w:t>
      </w:r>
      <w:r w:rsidRPr="00CE70CB">
        <w:rPr>
          <w:lang w:val="fr-FR"/>
        </w:rPr>
        <w:t>après le titre :</w:t>
      </w:r>
    </w:p>
    <w:p w:rsidR="00267DA7" w:rsidRPr="00CE70CB" w:rsidRDefault="00267DA7" w:rsidP="00267DA7">
      <w:pPr>
        <w:pStyle w:val="SingleTxtG"/>
        <w:ind w:left="2259"/>
        <w:rPr>
          <w:lang w:val="fr-FR"/>
        </w:rPr>
      </w:pPr>
      <w:r w:rsidRPr="00CE70CB">
        <w:rPr>
          <w:lang w:val="fr-FR"/>
        </w:rPr>
        <w:t>« </w:t>
      </w:r>
      <w:r w:rsidRPr="00CE70CB">
        <w:rPr>
          <w:b/>
          <w:i/>
          <w:lang w:val="fr-FR"/>
        </w:rPr>
        <w:t>NOTA :</w:t>
      </w:r>
      <w:r w:rsidRPr="00CE70CB">
        <w:rPr>
          <w:i/>
          <w:lang w:val="fr-FR"/>
        </w:rPr>
        <w:t xml:space="preserve"> Dans le contexte de la présente section, le terme “conditionnement” peut être utilisé dans un champ plus large et il inclut la protection.</w:t>
      </w:r>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5.5.3.2.1</w:t>
      </w:r>
      <w:r w:rsidRPr="00CE70CB">
        <w:rPr>
          <w:lang w:val="fr-FR"/>
        </w:rPr>
        <w:tab/>
        <w:t>Au début, après « conteneurs » insérer « dans lesquels est transportée de la neige carbonique (No ONU 1845) ou ».</w:t>
      </w:r>
    </w:p>
    <w:p w:rsidR="00267DA7" w:rsidRPr="00CE70CB" w:rsidRDefault="00267DA7" w:rsidP="00267DA7">
      <w:pPr>
        <w:pStyle w:val="SingleTxtG"/>
        <w:tabs>
          <w:tab w:val="left" w:pos="2268"/>
        </w:tabs>
        <w:ind w:left="2259" w:hanging="1125"/>
        <w:rPr>
          <w:lang w:val="fr-FR"/>
        </w:rPr>
      </w:pPr>
      <w:r w:rsidRPr="00CE70CB">
        <w:rPr>
          <w:lang w:val="fr-FR"/>
        </w:rPr>
        <w:t>5.5.3.2.4</w:t>
      </w:r>
      <w:r w:rsidRPr="00CE70CB">
        <w:rPr>
          <w:lang w:val="fr-FR"/>
        </w:rPr>
        <w:tab/>
        <w:t>Après « conteneurs » insérer « dans lesquels est transportée de la neige carbonique (No ONU 1845) ou ».</w:t>
      </w:r>
    </w:p>
    <w:p w:rsidR="00267DA7" w:rsidRPr="00CE70CB" w:rsidRDefault="00267DA7" w:rsidP="00267DA7">
      <w:pPr>
        <w:pStyle w:val="SingleTxtG"/>
        <w:tabs>
          <w:tab w:val="left" w:pos="2268"/>
        </w:tabs>
        <w:ind w:left="2259" w:hanging="1125"/>
        <w:rPr>
          <w:lang w:val="fr-FR"/>
        </w:rPr>
      </w:pPr>
      <w:r w:rsidRPr="00CE70CB">
        <w:rPr>
          <w:lang w:val="fr-FR"/>
        </w:rPr>
        <w:t>5.5.3.3</w:t>
      </w:r>
      <w:r w:rsidRPr="00CE70CB">
        <w:rPr>
          <w:lang w:val="fr-FR"/>
        </w:rPr>
        <w:tab/>
      </w:r>
      <w:r w:rsidRPr="00CE70CB">
        <w:rPr>
          <w:lang w:val="fr-FR"/>
        </w:rPr>
        <w:tab/>
        <w:t>Dans le titre, après « colis contenant » insérer « de la neige carbonique (No ONU 1845) ou ».</w:t>
      </w:r>
    </w:p>
    <w:p w:rsidR="00267DA7" w:rsidRPr="00CE70CB" w:rsidRDefault="00267DA7" w:rsidP="00267DA7">
      <w:pPr>
        <w:pStyle w:val="SingleTxtG"/>
        <w:tabs>
          <w:tab w:val="left" w:pos="2268"/>
        </w:tabs>
        <w:ind w:left="2259" w:hanging="1125"/>
        <w:rPr>
          <w:lang w:val="fr-FR"/>
        </w:rPr>
      </w:pPr>
      <w:r w:rsidRPr="00CE70CB">
        <w:rPr>
          <w:lang w:val="fr-FR"/>
        </w:rPr>
        <w:t>5.5.3.3.3</w:t>
      </w:r>
      <w:r w:rsidRPr="00CE70CB">
        <w:rPr>
          <w:lang w:val="fr-FR"/>
        </w:rPr>
        <w:tab/>
        <w:t>Après « Les colis contenant » insérer « de la neige carbonique (No ONU 1845) ou ».</w:t>
      </w:r>
    </w:p>
    <w:p w:rsidR="00267DA7" w:rsidRPr="00CE70CB" w:rsidRDefault="00267DA7" w:rsidP="00267DA7">
      <w:pPr>
        <w:pStyle w:val="SingleTxtG"/>
        <w:tabs>
          <w:tab w:val="left" w:pos="2268"/>
        </w:tabs>
        <w:ind w:left="2259" w:hanging="1125"/>
        <w:rPr>
          <w:lang w:val="fr-FR"/>
        </w:rPr>
      </w:pPr>
      <w:r w:rsidRPr="00CE70CB">
        <w:rPr>
          <w:lang w:val="fr-FR"/>
        </w:rPr>
        <w:t>5.5.3.4</w:t>
      </w:r>
      <w:r w:rsidRPr="00CE70CB">
        <w:rPr>
          <w:lang w:val="fr-FR"/>
        </w:rPr>
        <w:tab/>
      </w:r>
      <w:r w:rsidRPr="00CE70CB">
        <w:rPr>
          <w:lang w:val="fr-FR"/>
        </w:rPr>
        <w:tab/>
        <w:t>Dans le titre, après « colis contenant » insérer « de la neige carbonique (No ONU 1845) ou ».</w:t>
      </w:r>
    </w:p>
    <w:p w:rsidR="00267DA7" w:rsidRPr="00CE70CB" w:rsidRDefault="00267DA7" w:rsidP="00267DA7">
      <w:pPr>
        <w:pStyle w:val="SingleTxtG"/>
        <w:tabs>
          <w:tab w:val="left" w:pos="2268"/>
        </w:tabs>
        <w:ind w:left="2259" w:hanging="1125"/>
        <w:rPr>
          <w:lang w:val="fr-FR"/>
        </w:rPr>
      </w:pPr>
      <w:r w:rsidRPr="00CE70CB">
        <w:rPr>
          <w:lang w:val="fr-FR"/>
        </w:rPr>
        <w:t>5.5.3.4.1</w:t>
      </w:r>
      <w:r w:rsidRPr="00CE70CB">
        <w:rPr>
          <w:lang w:val="fr-FR"/>
        </w:rPr>
        <w:tab/>
        <w:t>Au début de la première phrase, remplacer « Les colis » par « Les colis contenant de la neige carbonique (No ONU 1845) en tant qu’envoi doivent porter la mention « DIOXYDE DE CARBONE SOLIDE » ou « NEIGE CARBONIQUE » ; les colis ».</w:t>
      </w:r>
    </w:p>
    <w:p w:rsidR="00267DA7" w:rsidRPr="00CE70CB" w:rsidRDefault="00267DA7" w:rsidP="00267DA7">
      <w:pPr>
        <w:pStyle w:val="SingleTxtG"/>
        <w:tabs>
          <w:tab w:val="left" w:pos="2268"/>
        </w:tabs>
        <w:ind w:left="2259" w:hanging="1125"/>
        <w:rPr>
          <w:lang w:val="fr-FR"/>
        </w:rPr>
      </w:pPr>
      <w:r w:rsidRPr="00CE70CB">
        <w:rPr>
          <w:lang w:val="fr-FR"/>
        </w:rPr>
        <w:t>5.5.3.6.1</w:t>
      </w:r>
      <w:r w:rsidRPr="00CE70CB">
        <w:rPr>
          <w:lang w:val="fr-FR"/>
        </w:rPr>
        <w:tab/>
        <w:t>Au début, après « contenant », insérer « de la neige carbonique (No</w:t>
      </w:r>
      <w:r w:rsidR="00010C88" w:rsidRPr="00CE70CB">
        <w:rPr>
          <w:lang w:val="fr-FR"/>
        </w:rPr>
        <w:t> </w:t>
      </w:r>
      <w:r w:rsidRPr="00CE70CB">
        <w:rPr>
          <w:lang w:val="fr-FR"/>
        </w:rPr>
        <w:t>ONU</w:t>
      </w:r>
      <w:r w:rsidR="00010C88" w:rsidRPr="00CE70CB">
        <w:rPr>
          <w:lang w:val="fr-FR"/>
        </w:rPr>
        <w:t> </w:t>
      </w:r>
      <w:r w:rsidRPr="00CE70CB">
        <w:rPr>
          <w:lang w:val="fr-FR"/>
        </w:rPr>
        <w:t>1845) ou ».</w:t>
      </w:r>
    </w:p>
    <w:p w:rsidR="00267DA7" w:rsidRPr="00CE70CB" w:rsidRDefault="00267DA7" w:rsidP="00010C88">
      <w:pPr>
        <w:pStyle w:val="SingleTxtG"/>
        <w:tabs>
          <w:tab w:val="left" w:pos="2268"/>
        </w:tabs>
        <w:ind w:left="2259" w:hanging="1125"/>
        <w:rPr>
          <w:lang w:val="fr-FR"/>
        </w:rPr>
      </w:pPr>
      <w:r w:rsidRPr="00CE70CB">
        <w:rPr>
          <w:lang w:val="fr-FR"/>
        </w:rPr>
        <w:t>5.5.3.6.1 a)</w:t>
      </w:r>
      <w:r w:rsidRPr="00CE70CB">
        <w:rPr>
          <w:lang w:val="fr-FR"/>
        </w:rPr>
        <w:tab/>
        <w:t>Après « concentrations nocives » insérer « de la neige carbonique (No</w:t>
      </w:r>
      <w:r w:rsidR="00010C88" w:rsidRPr="00CE70CB">
        <w:rPr>
          <w:lang w:val="fr-FR"/>
        </w:rPr>
        <w:t> </w:t>
      </w:r>
      <w:r w:rsidRPr="00CE70CB">
        <w:rPr>
          <w:lang w:val="fr-FR"/>
        </w:rPr>
        <w:t>ONU</w:t>
      </w:r>
      <w:r w:rsidR="00010C88" w:rsidRPr="00CE70CB">
        <w:rPr>
          <w:lang w:val="fr-FR"/>
        </w:rPr>
        <w:t> </w:t>
      </w:r>
      <w:r w:rsidRPr="00CE70CB">
        <w:rPr>
          <w:lang w:val="fr-FR"/>
        </w:rPr>
        <w:t>1845) ou ».</w:t>
      </w:r>
    </w:p>
    <w:p w:rsidR="0004696D" w:rsidRPr="00CE70CB" w:rsidRDefault="00267DA7" w:rsidP="00267DA7">
      <w:pPr>
        <w:pStyle w:val="SingleTxtG"/>
        <w:tabs>
          <w:tab w:val="left" w:pos="2268"/>
        </w:tabs>
        <w:ind w:left="2259" w:hanging="1125"/>
        <w:rPr>
          <w:lang w:val="fr-FR"/>
        </w:rPr>
      </w:pPr>
      <w:r w:rsidRPr="00CE70CB">
        <w:rPr>
          <w:lang w:val="fr-FR"/>
        </w:rPr>
        <w:t>5.5.3.6.1 (b)</w:t>
      </w:r>
      <w:r w:rsidRPr="00CE70CB">
        <w:rPr>
          <w:lang w:val="fr-FR"/>
        </w:rPr>
        <w:tab/>
      </w:r>
      <w:r w:rsidRPr="00CE70CB">
        <w:rPr>
          <w:lang w:val="fr-FR"/>
        </w:rPr>
        <w:tab/>
        <w:t>Remplacer « Les marchandises » par « La neige carbonique (No ONU 1845) ou les marchandises ».</w:t>
      </w:r>
    </w:p>
    <w:p w:rsidR="00267DA7" w:rsidRPr="00CE70CB" w:rsidRDefault="00267DA7" w:rsidP="00267DA7">
      <w:pPr>
        <w:pStyle w:val="SingleTxtG"/>
        <w:tabs>
          <w:tab w:val="left" w:pos="2268"/>
        </w:tabs>
        <w:ind w:left="2259" w:hanging="1125"/>
        <w:rPr>
          <w:w w:val="105"/>
          <w:lang w:val="fr-FR"/>
        </w:rPr>
      </w:pPr>
      <w:r w:rsidRPr="00CE70CB">
        <w:rPr>
          <w:lang w:val="fr-FR"/>
        </w:rPr>
        <w:t>5.5.3.6.2</w:t>
      </w:r>
      <w:r w:rsidRPr="00CE70CB">
        <w:rPr>
          <w:lang w:val="fr-FR"/>
        </w:rPr>
        <w:tab/>
        <w:t>Dans la figure 5.5.3.6.2, modifier le titre sous la figure pour lire « </w:t>
      </w:r>
      <w:bookmarkStart w:id="119" w:name="_Hlk31374709"/>
      <w:r w:rsidRPr="00CE70CB">
        <w:rPr>
          <w:lang w:val="fr-FR"/>
        </w:rPr>
        <w:t>Marque de mise en garde contre l’asphyxie pour les véhicules et conteneurs</w:t>
      </w:r>
      <w:bookmarkEnd w:id="119"/>
      <w:r w:rsidRPr="00CE70CB">
        <w:rPr>
          <w:lang w:val="fr-FR"/>
        </w:rPr>
        <w:t> ». Supprimer la référence à la note ** et la note correspondante. Dans la note *, au début, remplacer « le nom de l’agent de refroidissement ou de conditionnement indiqué en colonne (2) du tableau A du chapitre 3.2 » par « </w:t>
      </w:r>
      <w:bookmarkStart w:id="120" w:name="_Hlk31374745"/>
      <w:r w:rsidRPr="00CE70CB">
        <w:rPr>
          <w:w w:val="105"/>
          <w:lang w:val="fr-FR"/>
        </w:rPr>
        <w:t xml:space="preserve">la désignation officielle de transport </w:t>
      </w:r>
      <w:r w:rsidRPr="00CE70CB">
        <w:rPr>
          <w:lang w:val="fr-FR"/>
        </w:rPr>
        <w:t xml:space="preserve">indiquée en colonne (2) du tableau A du chapitre 3.2 </w:t>
      </w:r>
      <w:r w:rsidRPr="00CE70CB">
        <w:rPr>
          <w:w w:val="105"/>
          <w:lang w:val="fr-FR"/>
        </w:rPr>
        <w:t>ou le nom du gaz asphyxiant utilisé en tant qu’agent de refroidissement ou de conditionnement</w:t>
      </w:r>
      <w:bookmarkEnd w:id="120"/>
      <w:r w:rsidRPr="00CE70CB">
        <w:rPr>
          <w:w w:val="105"/>
          <w:lang w:val="fr-FR"/>
        </w:rPr>
        <w:t> ». À la fin de la note *, ajouter « </w:t>
      </w:r>
      <w:bookmarkStart w:id="121" w:name="_Hlk31374766"/>
      <w:r w:rsidRPr="00CE70CB">
        <w:rPr>
          <w:w w:val="105"/>
          <w:lang w:val="fr-FR"/>
        </w:rPr>
        <w:t xml:space="preserve">Des informations </w:t>
      </w:r>
      <w:r w:rsidRPr="00CE70CB">
        <w:rPr>
          <w:w w:val="105"/>
          <w:lang w:val="fr-FR"/>
        </w:rPr>
        <w:lastRenderedPageBreak/>
        <w:t>additionnelles comme la mention "AGENT DE RÉFRIGÉRATION" ou "AGENT DE CONDITIONNEMENT" peuvent être ajoutées.</w:t>
      </w:r>
      <w:bookmarkEnd w:id="121"/>
      <w:r w:rsidRPr="00CE70CB">
        <w:rPr>
          <w:w w:val="105"/>
          <w:lang w:val="fr-FR"/>
        </w:rPr>
        <w:t xml:space="preserve"> ». </w:t>
      </w:r>
    </w:p>
    <w:p w:rsidR="00267DA7" w:rsidRPr="00CE70CB" w:rsidRDefault="00267DA7" w:rsidP="00267DA7">
      <w:pPr>
        <w:pStyle w:val="SingleTxtG"/>
        <w:tabs>
          <w:tab w:val="left" w:pos="2268"/>
        </w:tabs>
        <w:ind w:left="2259" w:hanging="1125"/>
        <w:rPr>
          <w:lang w:val="fr-FR"/>
        </w:rPr>
      </w:pPr>
      <w:r w:rsidRPr="00CE70CB">
        <w:rPr>
          <w:lang w:val="fr-FR"/>
        </w:rPr>
        <w:t>5.5.3.7.1</w:t>
      </w:r>
      <w:r w:rsidRPr="00CE70CB">
        <w:rPr>
          <w:lang w:val="fr-FR"/>
        </w:rPr>
        <w:tab/>
        <w:t>Au début, après « ayant contenu », insérer « </w:t>
      </w:r>
      <w:bookmarkStart w:id="122" w:name="_Hlk31374828"/>
      <w:r w:rsidRPr="00CE70CB">
        <w:rPr>
          <w:lang w:val="fr-FR"/>
        </w:rPr>
        <w:t>de la neige carbonique (No</w:t>
      </w:r>
      <w:r w:rsidR="0004696D" w:rsidRPr="00CE70CB">
        <w:rPr>
          <w:lang w:val="fr-FR"/>
        </w:rPr>
        <w:t> </w:t>
      </w:r>
      <w:r w:rsidRPr="00CE70CB">
        <w:rPr>
          <w:lang w:val="fr-FR"/>
        </w:rPr>
        <w:t>ONU</w:t>
      </w:r>
      <w:r w:rsidR="0004696D" w:rsidRPr="00CE70CB">
        <w:rPr>
          <w:lang w:val="fr-FR"/>
        </w:rPr>
        <w:t> </w:t>
      </w:r>
      <w:r w:rsidRPr="00CE70CB">
        <w:rPr>
          <w:lang w:val="fr-FR"/>
        </w:rPr>
        <w:t>1845) ou</w:t>
      </w:r>
      <w:bookmarkEnd w:id="122"/>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 xml:space="preserve">5.5.3.7.1 b) </w:t>
      </w:r>
      <w:r w:rsidRPr="00CE70CB">
        <w:rPr>
          <w:lang w:val="fr-FR"/>
        </w:rPr>
        <w:tab/>
        <w:t>Avant « des mots « AGENT DE REFRIGERATION », insérer « </w:t>
      </w:r>
      <w:bookmarkStart w:id="123" w:name="_Hlk31374850"/>
      <w:r w:rsidRPr="00CE70CB">
        <w:rPr>
          <w:lang w:val="fr-FR"/>
        </w:rPr>
        <w:t>, le cas échéant,</w:t>
      </w:r>
      <w:bookmarkEnd w:id="123"/>
      <w:r w:rsidRPr="00CE70CB">
        <w:rPr>
          <w:lang w:val="fr-FR"/>
        </w:rPr>
        <w:t> ». Supprimer « selon le cas » avant « dans une langue officielle ».</w:t>
      </w:r>
    </w:p>
    <w:p w:rsidR="00267DA7" w:rsidRPr="00CE70CB" w:rsidRDefault="00267DA7" w:rsidP="00267DA7">
      <w:pPr>
        <w:pStyle w:val="SingleTxtG"/>
        <w:tabs>
          <w:tab w:val="left" w:pos="2268"/>
        </w:tabs>
        <w:ind w:left="2259" w:hanging="1125"/>
        <w:rPr>
          <w:lang w:val="fr-FR"/>
        </w:rPr>
      </w:pPr>
      <w:r w:rsidRPr="00CE70CB">
        <w:rPr>
          <w:lang w:val="fr-FR"/>
        </w:rPr>
        <w:t>5.5.4</w:t>
      </w:r>
      <w:r w:rsidRPr="00CE70CB">
        <w:rPr>
          <w:lang w:val="fr-FR"/>
        </w:rPr>
        <w:tab/>
        <w:t xml:space="preserve">Ajouter une nouvelle section 5.5.4 pour lire comme suit : </w:t>
      </w:r>
    </w:p>
    <w:p w:rsidR="00267DA7" w:rsidRPr="00CE70CB" w:rsidRDefault="00267DA7" w:rsidP="00267DA7">
      <w:pPr>
        <w:pStyle w:val="SingleTxtG"/>
        <w:tabs>
          <w:tab w:val="left" w:pos="2268"/>
        </w:tabs>
        <w:ind w:left="2259" w:hanging="1125"/>
        <w:rPr>
          <w:b/>
          <w:bCs/>
          <w:lang w:val="fr-FR"/>
        </w:rPr>
      </w:pPr>
      <w:r w:rsidRPr="00CE70CB">
        <w:rPr>
          <w:b/>
          <w:bCs/>
          <w:lang w:val="fr-FR"/>
        </w:rPr>
        <w:t>« </w:t>
      </w:r>
      <w:bookmarkStart w:id="124" w:name="_Hlk31374880"/>
      <w:r w:rsidRPr="00CE70CB">
        <w:rPr>
          <w:b/>
          <w:bCs/>
          <w:lang w:val="fr-FR"/>
        </w:rPr>
        <w:t>5.5.4</w:t>
      </w:r>
      <w:r w:rsidRPr="00CE70CB">
        <w:rPr>
          <w:b/>
          <w:bCs/>
          <w:lang w:val="fr-FR"/>
        </w:rPr>
        <w:tab/>
        <w:t xml:space="preserve">Marchandises dangereuses contenues dans des équipements utilisés ou destinés à être utilisé en cours de transport qui sont attachés ou placés dans des colis, des suremballages, des conteneurs ou des compartiments de charge </w:t>
      </w:r>
    </w:p>
    <w:p w:rsidR="00267DA7" w:rsidRPr="00CE70CB" w:rsidRDefault="00267DA7" w:rsidP="00267DA7">
      <w:pPr>
        <w:pStyle w:val="SingleTxtG"/>
        <w:tabs>
          <w:tab w:val="left" w:pos="2268"/>
        </w:tabs>
        <w:ind w:left="2259" w:hanging="1125"/>
        <w:rPr>
          <w:lang w:val="fr-FR"/>
        </w:rPr>
      </w:pPr>
      <w:r w:rsidRPr="00CE70CB">
        <w:rPr>
          <w:lang w:val="fr-FR"/>
        </w:rPr>
        <w:t>5.5.4.1</w:t>
      </w:r>
      <w:r w:rsidRPr="00CE70CB">
        <w:rPr>
          <w:lang w:val="fr-FR"/>
        </w:rPr>
        <w:tab/>
        <w:t xml:space="preserve">Les marchandises dangereuses (par exemple les piles au lithium, cartouches pour pile à combustible) contenues dans des équipements tels que les enregistreurs de données et les dispositifs de suivi des cargaisons, qui sont attachés ou placés dans des colis, des suremballages ou des conteneurs ou compartiments de charge, ne font pas l’objet des dispositions de l’ADR autres que les dispositions suivantes : </w:t>
      </w:r>
    </w:p>
    <w:p w:rsidR="00267DA7" w:rsidRPr="00CE70CB" w:rsidRDefault="00267DA7" w:rsidP="00267DA7">
      <w:pPr>
        <w:pStyle w:val="SingleTxtG"/>
        <w:ind w:left="2552" w:hanging="284"/>
        <w:rPr>
          <w:lang w:val="fr-FR"/>
        </w:rPr>
      </w:pPr>
      <w:r w:rsidRPr="00CE70CB">
        <w:rPr>
          <w:lang w:val="fr-FR"/>
        </w:rPr>
        <w:t xml:space="preserve">a)   l’équipement doit être </w:t>
      </w:r>
      <w:bookmarkStart w:id="125" w:name="_Hlk11162481"/>
      <w:r w:rsidRPr="00CE70CB">
        <w:rPr>
          <w:lang w:val="fr-FR"/>
        </w:rPr>
        <w:t>utilisé ou destiné à être utilisé en cours de transport</w:t>
      </w:r>
      <w:bookmarkEnd w:id="125"/>
      <w:r w:rsidRPr="00CE70CB">
        <w:rPr>
          <w:lang w:val="fr-FR"/>
        </w:rPr>
        <w:t xml:space="preserve"> ; </w:t>
      </w:r>
    </w:p>
    <w:p w:rsidR="00267DA7" w:rsidRPr="00CE70CB" w:rsidRDefault="00267DA7" w:rsidP="00267DA7">
      <w:pPr>
        <w:pStyle w:val="SingleTxtG"/>
        <w:ind w:left="2552" w:hanging="284"/>
        <w:rPr>
          <w:lang w:val="fr-FR"/>
        </w:rPr>
      </w:pPr>
      <w:r w:rsidRPr="00CE70CB">
        <w:rPr>
          <w:lang w:val="fr-FR"/>
        </w:rPr>
        <w:t xml:space="preserve">b)  </w:t>
      </w:r>
      <w:r w:rsidRPr="00CE70CB">
        <w:rPr>
          <w:lang w:val="fr-FR"/>
        </w:rPr>
        <w:tab/>
        <w:t>les marchandises dangereuses contenues (par exemple les piles au lithium, cartouches pour pile à combustible) doivent répondre aux exigences de conception et d’épreuves prescrites par l’ADR ; et</w:t>
      </w:r>
    </w:p>
    <w:p w:rsidR="00267DA7" w:rsidRPr="00CE70CB" w:rsidRDefault="00267DA7" w:rsidP="00267DA7">
      <w:pPr>
        <w:pStyle w:val="SingleTxtG"/>
        <w:ind w:left="2552" w:hanging="284"/>
        <w:rPr>
          <w:lang w:val="fr-FR"/>
        </w:rPr>
      </w:pPr>
      <w:r w:rsidRPr="00CE70CB">
        <w:rPr>
          <w:lang w:val="fr-FR"/>
        </w:rPr>
        <w:t>c)  l’équipement doit être capable de résister aux chocs et aux sollicitations habituelles en cours de transport.</w:t>
      </w:r>
    </w:p>
    <w:p w:rsidR="00267DA7" w:rsidRPr="00CE70CB" w:rsidRDefault="00267DA7" w:rsidP="00267DA7">
      <w:pPr>
        <w:pStyle w:val="SingleTxtG"/>
        <w:tabs>
          <w:tab w:val="left" w:pos="2268"/>
        </w:tabs>
        <w:ind w:left="2259" w:hanging="1125"/>
        <w:rPr>
          <w:lang w:val="fr-FR"/>
        </w:rPr>
      </w:pPr>
      <w:r w:rsidRPr="00CE70CB">
        <w:rPr>
          <w:lang w:val="fr-FR"/>
        </w:rPr>
        <w:t>5.5.4.2</w:t>
      </w:r>
      <w:r w:rsidRPr="00CE70CB">
        <w:rPr>
          <w:lang w:val="fr-FR"/>
        </w:rPr>
        <w:tab/>
        <w:t>Lorsqu’un tel équipement contenant des marchandises dangereuses est transporté en tant que cargaison, la rubrique appropriée dans le tableau A du chapitre 3.2 doit être utilisée et toutes les dispositions applicables de l’ADR</w:t>
      </w:r>
      <w:r w:rsidRPr="00CE70CB" w:rsidDel="00F83AD6">
        <w:rPr>
          <w:lang w:val="fr-FR"/>
        </w:rPr>
        <w:t xml:space="preserve"> </w:t>
      </w:r>
      <w:r w:rsidRPr="00CE70CB">
        <w:rPr>
          <w:lang w:val="fr-FR"/>
        </w:rPr>
        <w:t>doivent être appliquées.</w:t>
      </w:r>
      <w:bookmarkEnd w:id="124"/>
      <w:r w:rsidRPr="00CE70CB">
        <w:rPr>
          <w:lang w:val="fr-FR"/>
        </w:rPr>
        <w:t> »</w:t>
      </w:r>
    </w:p>
    <w:p w:rsidR="00267DA7" w:rsidRPr="00CE70CB" w:rsidRDefault="00267DA7" w:rsidP="00267DA7">
      <w:pPr>
        <w:pStyle w:val="H1G"/>
        <w:rPr>
          <w:lang w:val="fr-FR"/>
        </w:rPr>
      </w:pPr>
      <w:r w:rsidRPr="00CE70CB">
        <w:rPr>
          <w:bCs/>
          <w:szCs w:val="24"/>
          <w:lang w:val="fr-FR"/>
        </w:rPr>
        <w:tab/>
      </w:r>
      <w:r w:rsidRPr="00CE70CB">
        <w:rPr>
          <w:bCs/>
          <w:szCs w:val="24"/>
          <w:lang w:val="fr-FR"/>
        </w:rPr>
        <w:tab/>
      </w:r>
      <w:r w:rsidRPr="00CE70CB">
        <w:rPr>
          <w:lang w:val="fr-FR"/>
        </w:rPr>
        <w:tab/>
        <w:t>Chapitre 6.1</w:t>
      </w:r>
    </w:p>
    <w:p w:rsidR="00267DA7" w:rsidRPr="00CE70CB" w:rsidRDefault="00267DA7" w:rsidP="00267DA7">
      <w:pPr>
        <w:pStyle w:val="SingleTxtG"/>
        <w:tabs>
          <w:tab w:val="left" w:pos="2268"/>
        </w:tabs>
        <w:ind w:left="2259" w:hanging="1125"/>
        <w:rPr>
          <w:lang w:val="fr-FR"/>
        </w:rPr>
      </w:pPr>
      <w:r w:rsidRPr="00CE70CB">
        <w:rPr>
          <w:lang w:val="fr-FR"/>
        </w:rPr>
        <w:t>6.1.1.1 b)</w:t>
      </w:r>
      <w:r w:rsidRPr="00CE70CB">
        <w:rPr>
          <w:lang w:val="fr-FR"/>
        </w:rPr>
        <w:tab/>
        <w:t>Remplacer « instruction d’emballage P621 » par « instructions d’emballage P621 et P622 ».</w:t>
      </w:r>
    </w:p>
    <w:p w:rsidR="00267DA7" w:rsidRPr="00CE70CB" w:rsidRDefault="00267DA7" w:rsidP="00267DA7">
      <w:pPr>
        <w:pStyle w:val="SingleTxtG"/>
        <w:tabs>
          <w:tab w:val="left" w:pos="2268"/>
        </w:tabs>
        <w:ind w:left="2259" w:hanging="1125"/>
        <w:rPr>
          <w:lang w:val="fr-FR"/>
        </w:rPr>
      </w:pPr>
      <w:r w:rsidRPr="00CE70CB">
        <w:rPr>
          <w:lang w:val="fr-FR"/>
        </w:rPr>
        <w:t>6.1.3.1</w:t>
      </w:r>
      <w:r w:rsidRPr="00CE70CB">
        <w:rPr>
          <w:lang w:val="fr-FR"/>
        </w:rPr>
        <w:tab/>
        <w:t>Modifier la troisième phrase pour lire comme suit :</w:t>
      </w:r>
    </w:p>
    <w:p w:rsidR="00267DA7" w:rsidRPr="00CE70CB" w:rsidRDefault="00267DA7" w:rsidP="00267DA7">
      <w:pPr>
        <w:pStyle w:val="SingleTxtG"/>
        <w:tabs>
          <w:tab w:val="left" w:pos="2268"/>
        </w:tabs>
        <w:ind w:left="2259" w:hanging="1125"/>
        <w:rPr>
          <w:lang w:val="fr-FR"/>
        </w:rPr>
      </w:pPr>
      <w:r w:rsidRPr="00CE70CB">
        <w:rPr>
          <w:lang w:val="fr-FR"/>
        </w:rPr>
        <w:tab/>
        <w:t>« </w:t>
      </w:r>
      <w:bookmarkStart w:id="126" w:name="_Hlk31379519"/>
      <w:r w:rsidRPr="00CE70CB">
        <w:rPr>
          <w:lang w:val="fr-FR"/>
        </w:rPr>
        <w:t xml:space="preserve">Les lettres, les chiffres et les symboles doivent avoir au moins 12 mm de hauteur, sauf sur les emballages d’une capacité ne dépassant pas 30 </w:t>
      </w:r>
      <w:r w:rsidRPr="00CE70CB">
        <w:rPr>
          <w:i/>
          <w:iCs/>
          <w:lang w:val="fr-FR"/>
        </w:rPr>
        <w:t>l</w:t>
      </w:r>
      <w:r w:rsidRPr="00CE70CB">
        <w:rPr>
          <w:lang w:val="fr-FR"/>
        </w:rPr>
        <w:t xml:space="preserve"> ou d’une masse nette ne dépassant pas 30 kg où leur hauteur doit être d'au moins 6 mm, ainsi que sur les emballages d’une capacité ne dépassant pas 5 </w:t>
      </w:r>
      <w:r w:rsidRPr="00CE70CB">
        <w:rPr>
          <w:i/>
          <w:iCs/>
          <w:lang w:val="fr-FR"/>
        </w:rPr>
        <w:t>l</w:t>
      </w:r>
      <w:r w:rsidRPr="00CE70CB">
        <w:rPr>
          <w:lang w:val="fr-FR"/>
        </w:rPr>
        <w:t xml:space="preserve"> ou d’une masse nette de dépassant pas 5 kg, où ils doivent avoir des dimensions appropriées.</w:t>
      </w:r>
      <w:bookmarkEnd w:id="126"/>
      <w:r w:rsidRPr="00CE70CB">
        <w:rPr>
          <w:lang w:val="fr-FR"/>
        </w:rPr>
        <w:t> »</w:t>
      </w:r>
    </w:p>
    <w:p w:rsidR="00267DA7" w:rsidRPr="00CE70CB" w:rsidRDefault="00267DA7" w:rsidP="00267DA7">
      <w:pPr>
        <w:pStyle w:val="SingleTxtG"/>
        <w:tabs>
          <w:tab w:val="left" w:pos="2268"/>
        </w:tabs>
        <w:ind w:left="2259" w:hanging="1125"/>
        <w:rPr>
          <w:lang w:val="fr-FR"/>
        </w:rPr>
      </w:pPr>
      <w:bookmarkStart w:id="127" w:name="_Hlk31206895"/>
      <w:r w:rsidRPr="00CE70CB">
        <w:rPr>
          <w:lang w:val="fr-FR"/>
        </w:rPr>
        <w:t>6.1.3.1 e)</w:t>
      </w:r>
      <w:r w:rsidRPr="00CE70CB">
        <w:rPr>
          <w:lang w:val="fr-FR"/>
        </w:rPr>
        <w:tab/>
        <w:t xml:space="preserve">Dans le texte du renvoi de l’astérisque, sous le cadran, remplacer la deuxième phrase pour lire comme suit : </w:t>
      </w:r>
    </w:p>
    <w:p w:rsidR="00267DA7" w:rsidRPr="00CE70CB" w:rsidRDefault="00267DA7" w:rsidP="00267DA7">
      <w:pPr>
        <w:pStyle w:val="SingleTxtG"/>
        <w:tabs>
          <w:tab w:val="left" w:pos="2268"/>
        </w:tabs>
        <w:ind w:left="2259" w:hanging="1125"/>
        <w:rPr>
          <w:iCs/>
          <w:w w:val="105"/>
          <w:lang w:val="fr-FR"/>
        </w:rPr>
      </w:pPr>
      <w:r w:rsidRPr="00CE70CB">
        <w:rPr>
          <w:lang w:val="fr-FR"/>
        </w:rPr>
        <w:tab/>
        <w:t>« </w:t>
      </w:r>
      <w:bookmarkStart w:id="128" w:name="_Hlk31379625"/>
      <w:r w:rsidRPr="00CE70CB">
        <w:rPr>
          <w:lang w:val="fr-FR"/>
        </w:rPr>
        <w:t xml:space="preserve">Dans ce cas, et quand le cadran est accolé à la marque </w:t>
      </w:r>
      <w:r w:rsidR="00A95ADD" w:rsidRPr="00CE70CB">
        <w:rPr>
          <w:lang w:val="fr-FR"/>
        </w:rPr>
        <w:t>"UN" du modèle type</w:t>
      </w:r>
      <w:r w:rsidRPr="00CE70CB">
        <w:rPr>
          <w:lang w:val="fr-FR"/>
        </w:rPr>
        <w:t xml:space="preserve">, l’indication de l’année dans la marque n’est pas obligatoire. Toutefois, si le cadran n’est pas accolé à la </w:t>
      </w:r>
      <w:r w:rsidR="0048644E" w:rsidRPr="00CE70CB">
        <w:rPr>
          <w:lang w:val="fr-FR"/>
        </w:rPr>
        <w:t xml:space="preserve">marque </w:t>
      </w:r>
      <w:r w:rsidR="00A95ADD" w:rsidRPr="00CE70CB">
        <w:rPr>
          <w:lang w:val="fr-FR"/>
        </w:rPr>
        <w:t>"UN" du modèle type</w:t>
      </w:r>
      <w:r w:rsidRPr="00CE70CB" w:rsidDel="00C32229">
        <w:rPr>
          <w:lang w:val="fr-FR"/>
        </w:rPr>
        <w:t xml:space="preserve"> </w:t>
      </w:r>
      <w:r w:rsidRPr="00CE70CB">
        <w:rPr>
          <w:lang w:val="fr-FR"/>
        </w:rPr>
        <w:t>les deux chiffres indiquant l’année dans la marque et dans le cadran doivent être identiques.</w:t>
      </w:r>
      <w:bookmarkEnd w:id="128"/>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Ajouter le nouveau 6.1.3.14 suivant :</w:t>
      </w:r>
    </w:p>
    <w:p w:rsidR="00267DA7" w:rsidRPr="00CE70CB" w:rsidRDefault="0004696D" w:rsidP="00267DA7">
      <w:pPr>
        <w:pStyle w:val="SingleTxtG"/>
        <w:tabs>
          <w:tab w:val="left" w:pos="2268"/>
        </w:tabs>
        <w:ind w:left="2259" w:hanging="1125"/>
        <w:rPr>
          <w:lang w:val="fr-FR"/>
        </w:rPr>
      </w:pPr>
      <w:r w:rsidRPr="00CE70CB">
        <w:rPr>
          <w:lang w:val="fr-FR"/>
        </w:rPr>
        <w:tab/>
      </w:r>
      <w:r w:rsidR="00267DA7" w:rsidRPr="00CE70CB">
        <w:rPr>
          <w:lang w:val="fr-FR"/>
        </w:rPr>
        <w:t>« </w:t>
      </w:r>
      <w:bookmarkStart w:id="129" w:name="_Hlk31379687"/>
      <w:r w:rsidR="00267DA7" w:rsidRPr="00CE70CB">
        <w:rPr>
          <w:lang w:val="fr-FR"/>
        </w:rPr>
        <w:t>6.1.3.14</w:t>
      </w:r>
      <w:r w:rsidR="00267DA7" w:rsidRPr="00CE70CB">
        <w:rPr>
          <w:lang w:val="fr-FR"/>
        </w:rPr>
        <w:tab/>
        <w:t xml:space="preserve">Lorsqu'un emballage est conforme à un ou plusieurs modèles types d’emballages ayant satisfait aux épreuves, y compris un ou plusieurs modèles types de GRV ou de grands emballages, l'emballage peut porter plus d’une marque pour indiquer les exigences d’épreuves de performance applicables qui ont été atteintes. Lorsque plus d'une marque apparaît sur un </w:t>
      </w:r>
      <w:r w:rsidR="00267DA7" w:rsidRPr="00CE70CB">
        <w:rPr>
          <w:lang w:val="fr-FR"/>
        </w:rPr>
        <w:lastRenderedPageBreak/>
        <w:t>emballage, les marques doivent apparaître à proximité immédiate les unes des autres et chaque marque doit apparaître dans son intégralité.</w:t>
      </w:r>
      <w:bookmarkEnd w:id="129"/>
      <w:r w:rsidR="00267DA7" w:rsidRPr="00CE70CB">
        <w:rPr>
          <w:lang w:val="fr-FR"/>
        </w:rPr>
        <w:t> »</w:t>
      </w:r>
    </w:p>
    <w:bookmarkEnd w:id="127"/>
    <w:p w:rsidR="00267DA7" w:rsidRPr="00CE70CB" w:rsidRDefault="00267DA7" w:rsidP="00267DA7">
      <w:pPr>
        <w:pStyle w:val="SingleTxtG"/>
        <w:tabs>
          <w:tab w:val="left" w:pos="2268"/>
        </w:tabs>
        <w:ind w:left="2259" w:hanging="1125"/>
        <w:rPr>
          <w:lang w:val="fr-FR"/>
        </w:rPr>
      </w:pPr>
      <w:r w:rsidRPr="00CE70CB">
        <w:rPr>
          <w:lang w:val="fr-FR"/>
        </w:rPr>
        <w:t>Renuméroter le 6.1.3.14 actuel en tant que 6.1.3.15.</w:t>
      </w:r>
    </w:p>
    <w:p w:rsidR="0004696D" w:rsidRPr="00CE70CB" w:rsidRDefault="00267DA7" w:rsidP="0004696D">
      <w:pPr>
        <w:pStyle w:val="SingleTxtG"/>
        <w:tabs>
          <w:tab w:val="left" w:pos="2268"/>
        </w:tabs>
        <w:ind w:left="2259" w:hanging="1125"/>
        <w:rPr>
          <w:lang w:val="fr-FR"/>
        </w:rPr>
      </w:pPr>
      <w:r w:rsidRPr="00CE70CB">
        <w:rPr>
          <w:lang w:val="fr-FR"/>
        </w:rPr>
        <w:t xml:space="preserve">Ajouter le nouveau </w:t>
      </w:r>
      <w:r w:rsidRPr="00CE70CB">
        <w:rPr>
          <w:bCs/>
          <w:iCs/>
          <w:lang w:val="fr-FR"/>
        </w:rPr>
        <w:t>6.1.4.2.6</w:t>
      </w:r>
      <w:r w:rsidRPr="00CE70CB">
        <w:rPr>
          <w:bCs/>
          <w:i/>
          <w:lang w:val="fr-FR"/>
        </w:rPr>
        <w:t xml:space="preserve"> </w:t>
      </w:r>
      <w:r w:rsidRPr="00CE70CB">
        <w:rPr>
          <w:lang w:val="fr-FR"/>
        </w:rPr>
        <w:t>suivant :</w:t>
      </w:r>
    </w:p>
    <w:p w:rsidR="00267DA7" w:rsidRPr="00CE70CB" w:rsidRDefault="0004696D" w:rsidP="0004696D">
      <w:pPr>
        <w:pStyle w:val="SingleTxtG"/>
        <w:tabs>
          <w:tab w:val="left" w:pos="2268"/>
        </w:tabs>
        <w:ind w:left="2259" w:hanging="1125"/>
        <w:rPr>
          <w:lang w:val="fr-FR"/>
        </w:rPr>
      </w:pPr>
      <w:r w:rsidRPr="00CE70CB">
        <w:rPr>
          <w:lang w:val="fr-FR"/>
        </w:rPr>
        <w:tab/>
      </w:r>
      <w:r w:rsidR="00267DA7" w:rsidRPr="00CE70CB">
        <w:rPr>
          <w:bCs/>
          <w:lang w:val="fr-FR"/>
        </w:rPr>
        <w:t>« </w:t>
      </w:r>
      <w:bookmarkStart w:id="130" w:name="_Hlk31380039"/>
      <w:r w:rsidR="00267DA7" w:rsidRPr="00CE70CB">
        <w:rPr>
          <w:bCs/>
          <w:lang w:val="fr-FR"/>
        </w:rPr>
        <w:t>6.1.4.2.6</w:t>
      </w:r>
      <w:r w:rsidR="00267DA7" w:rsidRPr="00CE70CB">
        <w:rPr>
          <w:bCs/>
          <w:lang w:val="fr-FR"/>
        </w:rPr>
        <w:tab/>
      </w:r>
      <w:r w:rsidR="00267DA7" w:rsidRPr="00CE70CB">
        <w:rPr>
          <w:lang w:val="fr-FR"/>
        </w:rPr>
        <w:t>Si les matériaux utilisés pour la virole, les fonds, les fermetures et les accessoires ne sont pas eux-mêmes compatibles avec la matière à transporter, des revêtements ou traitements intérieurs appropriés de protection doivent être appliqués. Ces revêtements ou traitements doivent garder leurs propriétés protectrices dans les conditions normales de transport.</w:t>
      </w:r>
      <w:bookmarkEnd w:id="130"/>
      <w:r w:rsidR="00267DA7"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Renuméroter les 6.1.4.2.6 et 6.1.4.2.7 existants en tant que 6.1.4.2.7 et 6.1.4.2.8.</w:t>
      </w:r>
    </w:p>
    <w:p w:rsidR="0004696D" w:rsidRPr="00CE70CB" w:rsidRDefault="00267DA7" w:rsidP="0004696D">
      <w:pPr>
        <w:pStyle w:val="SingleTxtG"/>
        <w:tabs>
          <w:tab w:val="left" w:pos="2268"/>
        </w:tabs>
        <w:ind w:left="2259" w:hanging="1125"/>
        <w:rPr>
          <w:lang w:val="fr-FR"/>
        </w:rPr>
      </w:pPr>
      <w:r w:rsidRPr="00CE70CB">
        <w:rPr>
          <w:lang w:val="fr-FR"/>
        </w:rPr>
        <w:t xml:space="preserve">Ajouter le nouveau </w:t>
      </w:r>
      <w:r w:rsidRPr="00CE70CB">
        <w:rPr>
          <w:bCs/>
          <w:iCs/>
          <w:lang w:val="fr-FR"/>
        </w:rPr>
        <w:t>6.1.4.3.6</w:t>
      </w:r>
      <w:r w:rsidRPr="00CE70CB">
        <w:rPr>
          <w:bCs/>
          <w:i/>
          <w:lang w:val="fr-FR"/>
        </w:rPr>
        <w:t xml:space="preserve"> </w:t>
      </w:r>
      <w:r w:rsidRPr="00CE70CB">
        <w:rPr>
          <w:lang w:val="fr-FR"/>
        </w:rPr>
        <w:t>suivant :</w:t>
      </w:r>
    </w:p>
    <w:p w:rsidR="00267DA7" w:rsidRPr="00CE70CB" w:rsidRDefault="0004696D" w:rsidP="0004696D">
      <w:pPr>
        <w:pStyle w:val="SingleTxtG"/>
        <w:tabs>
          <w:tab w:val="left" w:pos="2268"/>
        </w:tabs>
        <w:ind w:left="2259" w:hanging="1125"/>
        <w:rPr>
          <w:lang w:val="fr-FR"/>
        </w:rPr>
      </w:pPr>
      <w:r w:rsidRPr="00CE70CB">
        <w:rPr>
          <w:lang w:val="fr-FR"/>
        </w:rPr>
        <w:tab/>
      </w:r>
      <w:r w:rsidR="00267DA7" w:rsidRPr="00CE70CB">
        <w:rPr>
          <w:bCs/>
          <w:lang w:val="fr-FR"/>
        </w:rPr>
        <w:t>« </w:t>
      </w:r>
      <w:bookmarkStart w:id="131" w:name="_Hlk31380067"/>
      <w:r w:rsidR="00267DA7" w:rsidRPr="00CE70CB">
        <w:rPr>
          <w:bCs/>
          <w:lang w:val="fr-FR"/>
        </w:rPr>
        <w:t>6.1.4.3.6</w:t>
      </w:r>
      <w:r w:rsidR="00267DA7" w:rsidRPr="00CE70CB">
        <w:rPr>
          <w:bCs/>
          <w:lang w:val="fr-FR"/>
        </w:rPr>
        <w:tab/>
      </w:r>
      <w:r w:rsidR="00267DA7" w:rsidRPr="00CE70CB">
        <w:rPr>
          <w:lang w:val="fr-FR"/>
        </w:rPr>
        <w:t>Si les matériaux utilisés pour la virole, les fonds, les fermetures et les accessoires ne sont pas eux-mêmes compatibles avec la matière à transporter, des revêtements ou traitements intérieurs appropriés de protection doivent être appliqués. Ces revêtements ou traitements doivent garder leurs propriétés protectrices dans les conditions normales de transport.</w:t>
      </w:r>
      <w:bookmarkEnd w:id="131"/>
      <w:r w:rsidR="00267DA7"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Renuméroter les 6.1.4.3.6 et 6.1.4.3.7 existants en tant que 6.1.4.3.7 et 6.1.4.3.8.</w:t>
      </w:r>
    </w:p>
    <w:p w:rsidR="00267DA7" w:rsidRPr="00CE70CB" w:rsidRDefault="00267DA7" w:rsidP="00267DA7">
      <w:pPr>
        <w:pStyle w:val="H1G"/>
        <w:rPr>
          <w:lang w:val="fr-FR"/>
        </w:rPr>
      </w:pPr>
      <w:r w:rsidRPr="00CE70CB">
        <w:rPr>
          <w:lang w:val="fr-FR"/>
        </w:rPr>
        <w:tab/>
      </w:r>
      <w:r w:rsidRPr="00CE70CB">
        <w:rPr>
          <w:lang w:val="fr-FR"/>
        </w:rPr>
        <w:tab/>
        <w:t>Chapitre 6.2</w:t>
      </w:r>
    </w:p>
    <w:p w:rsidR="00267DA7" w:rsidRPr="00CE70CB" w:rsidRDefault="00267DA7" w:rsidP="00267DA7">
      <w:pPr>
        <w:pStyle w:val="SingleTxtG"/>
        <w:tabs>
          <w:tab w:val="left" w:pos="2268"/>
        </w:tabs>
        <w:ind w:left="2259" w:hanging="1125"/>
        <w:rPr>
          <w:lang w:val="fr-FR"/>
        </w:rPr>
      </w:pPr>
      <w:r w:rsidRPr="00CE70CB">
        <w:rPr>
          <w:lang w:val="fr-FR"/>
        </w:rPr>
        <w:t>6.2.2.1.1</w:t>
      </w:r>
      <w:r w:rsidRPr="00CE70CB">
        <w:rPr>
          <w:lang w:val="fr-FR"/>
        </w:rPr>
        <w:tab/>
        <w:t>Dans le tableau, pour les normes « ISO 11119-3:2002 » et « ISO 11119-3:2013 », ajouter le Nota suivant dans la deuxième colonne :</w:t>
      </w:r>
    </w:p>
    <w:p w:rsidR="00267DA7" w:rsidRPr="00CE70CB" w:rsidRDefault="00267DA7" w:rsidP="00267DA7">
      <w:pPr>
        <w:pStyle w:val="SingleTxtG"/>
        <w:tabs>
          <w:tab w:val="left" w:pos="2268"/>
        </w:tabs>
        <w:ind w:left="2259" w:hanging="1125"/>
        <w:rPr>
          <w:bCs/>
          <w:lang w:val="fr-FR"/>
        </w:rPr>
      </w:pPr>
      <w:r w:rsidRPr="00CE70CB">
        <w:rPr>
          <w:bCs/>
          <w:lang w:val="fr-FR"/>
        </w:rPr>
        <w:tab/>
        <w:t>« </w:t>
      </w:r>
      <w:r w:rsidRPr="00CE70CB">
        <w:rPr>
          <w:b/>
          <w:i/>
          <w:iCs/>
          <w:lang w:val="fr-FR"/>
        </w:rPr>
        <w:t>NOTA :</w:t>
      </w:r>
      <w:r w:rsidRPr="00CE70CB">
        <w:rPr>
          <w:bCs/>
          <w:lang w:val="fr-FR"/>
        </w:rPr>
        <w:t xml:space="preserve"> </w:t>
      </w:r>
      <w:r w:rsidRPr="00CE70CB">
        <w:rPr>
          <w:bCs/>
          <w:lang w:val="fr-FR"/>
        </w:rPr>
        <w:tab/>
        <w:t>Cette norme ne doit pas être utilisée pour les bouteilles sans liner constituées de deux pièces assemblées. »</w:t>
      </w:r>
    </w:p>
    <w:p w:rsidR="00267DA7" w:rsidRPr="00CE70CB" w:rsidRDefault="00267DA7" w:rsidP="00267DA7">
      <w:pPr>
        <w:pStyle w:val="SingleTxtG"/>
        <w:tabs>
          <w:tab w:val="left" w:pos="2268"/>
        </w:tabs>
        <w:ind w:left="2259" w:hanging="1125"/>
        <w:rPr>
          <w:lang w:val="fr-FR"/>
        </w:rPr>
      </w:pPr>
      <w:r w:rsidRPr="00CE70CB">
        <w:rPr>
          <w:lang w:val="fr-FR"/>
        </w:rPr>
        <w:t>6.2.2.1.1</w:t>
      </w:r>
      <w:r w:rsidRPr="00CE70CB">
        <w:rPr>
          <w:lang w:val="fr-FR"/>
        </w:rPr>
        <w:tab/>
        <w:t>Ajouter la nouvelle ligne suivante dans le tableau</w:t>
      </w:r>
      <w:r w:rsidR="0004696D" w:rsidRPr="00CE70CB">
        <w:rPr>
          <w:lang w:val="fr-FR"/>
        </w:rPr>
        <w:t xml:space="preserve">, </w:t>
      </w:r>
      <w:r w:rsidRPr="00CE70CB">
        <w:rPr>
          <w:lang w:val="fr-FR"/>
        </w:rPr>
        <w:t>après ISO 11119-3:2013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6"/>
        <w:gridCol w:w="4498"/>
        <w:gridCol w:w="1275"/>
      </w:tblGrid>
      <w:tr w:rsidR="00267DA7" w:rsidRPr="00CE70CB" w:rsidTr="00267DA7">
        <w:trPr>
          <w:cantSplit/>
        </w:trPr>
        <w:tc>
          <w:tcPr>
            <w:tcW w:w="1706" w:type="dxa"/>
            <w:shd w:val="clear" w:color="auto" w:fill="auto"/>
          </w:tcPr>
          <w:p w:rsidR="00267DA7" w:rsidRPr="00CE70CB" w:rsidRDefault="00267DA7" w:rsidP="00267DA7">
            <w:pPr>
              <w:spacing w:before="60" w:after="60"/>
              <w:ind w:left="57" w:right="57"/>
              <w:rPr>
                <w:lang w:val="fr-FR"/>
              </w:rPr>
            </w:pPr>
            <w:r w:rsidRPr="00CE70CB">
              <w:rPr>
                <w:lang w:val="fr-FR"/>
              </w:rPr>
              <w:t xml:space="preserve">ISO 11119-4:2016 </w:t>
            </w:r>
          </w:p>
        </w:tc>
        <w:tc>
          <w:tcPr>
            <w:tcW w:w="4498" w:type="dxa"/>
            <w:shd w:val="clear" w:color="auto" w:fill="auto"/>
          </w:tcPr>
          <w:p w:rsidR="00267DA7" w:rsidRPr="00CE70CB" w:rsidRDefault="00267DA7" w:rsidP="00267DA7">
            <w:pPr>
              <w:spacing w:before="60" w:after="60"/>
              <w:ind w:left="57" w:right="57"/>
              <w:rPr>
                <w:lang w:val="fr-FR"/>
              </w:rPr>
            </w:pPr>
            <w:r w:rsidRPr="00CE70CB">
              <w:rPr>
                <w:lang w:val="fr-FR"/>
              </w:rPr>
              <w:t>Bouteilles à gaz − Bouteilles à gaz rechargeables en matériau composite et tubes − Conception, construction et essais − Partie 4 : Bouteilles à gaz composites entièrement bobinées renforcées par des fibres et tubes d’une contenance allant jusqu’à 150 l avec liners métalliques transmettant la charge</w:t>
            </w:r>
          </w:p>
        </w:tc>
        <w:tc>
          <w:tcPr>
            <w:tcW w:w="1275" w:type="dxa"/>
            <w:shd w:val="clear" w:color="auto" w:fill="auto"/>
          </w:tcPr>
          <w:p w:rsidR="00267DA7" w:rsidRPr="00CE70CB" w:rsidRDefault="00267DA7" w:rsidP="00267DA7">
            <w:pPr>
              <w:spacing w:before="60" w:after="60"/>
              <w:ind w:left="57" w:right="57"/>
              <w:rPr>
                <w:lang w:val="fr-FR"/>
              </w:rPr>
            </w:pPr>
            <w:r w:rsidRPr="00CE70CB">
              <w:rPr>
                <w:lang w:val="fr-FR"/>
              </w:rPr>
              <w:t>Jusqu’à nouvel ordre</w:t>
            </w:r>
          </w:p>
        </w:tc>
      </w:tr>
    </w:tbl>
    <w:p w:rsidR="00267DA7" w:rsidRPr="00CE70CB" w:rsidRDefault="00267DA7" w:rsidP="00267DA7">
      <w:pPr>
        <w:pStyle w:val="SingleTxtG"/>
        <w:tabs>
          <w:tab w:val="left" w:pos="2268"/>
        </w:tabs>
        <w:spacing w:before="120"/>
        <w:ind w:left="2257" w:hanging="1123"/>
        <w:rPr>
          <w:lang w:val="fr-FR"/>
        </w:rPr>
      </w:pPr>
      <w:r w:rsidRPr="00CE70CB">
        <w:rPr>
          <w:lang w:val="fr-FR"/>
        </w:rPr>
        <w:t>6.2.2.1.2</w:t>
      </w:r>
      <w:r w:rsidRPr="00CE70CB">
        <w:rPr>
          <w:lang w:val="fr-FR"/>
        </w:rPr>
        <w:tab/>
        <w:t>Dans le tableau, pour la norme ISO 11119-3:2013, ajouter le Nota suivant dans la deuxième colonne :</w:t>
      </w:r>
    </w:p>
    <w:p w:rsidR="00267DA7" w:rsidRPr="00CE70CB" w:rsidRDefault="00267DA7" w:rsidP="00267DA7">
      <w:pPr>
        <w:pStyle w:val="SingleTxtG"/>
        <w:tabs>
          <w:tab w:val="left" w:pos="2268"/>
        </w:tabs>
        <w:ind w:left="2259" w:hanging="1125"/>
        <w:rPr>
          <w:lang w:val="fr-FR"/>
        </w:rPr>
      </w:pPr>
      <w:r w:rsidRPr="00CE70CB">
        <w:rPr>
          <w:lang w:val="fr-FR"/>
        </w:rPr>
        <w:tab/>
        <w:t>« </w:t>
      </w:r>
      <w:r w:rsidRPr="00CE70CB">
        <w:rPr>
          <w:b/>
          <w:bCs/>
          <w:i/>
          <w:iCs/>
          <w:lang w:val="fr-FR"/>
        </w:rPr>
        <w:t>NOTA :</w:t>
      </w:r>
      <w:r w:rsidRPr="00CE70CB">
        <w:rPr>
          <w:lang w:val="fr-FR"/>
        </w:rPr>
        <w:t xml:space="preserve"> </w:t>
      </w:r>
      <w:r w:rsidRPr="00CE70CB">
        <w:rPr>
          <w:lang w:val="fr-FR"/>
        </w:rPr>
        <w:tab/>
        <w:t>Cette norme ne doit pas être utilisée pour les tubes sans liner constitués de deux pièces assemblées. »</w:t>
      </w:r>
    </w:p>
    <w:p w:rsidR="00267DA7" w:rsidRPr="00CE70CB" w:rsidRDefault="00267DA7" w:rsidP="00267DA7">
      <w:pPr>
        <w:pStyle w:val="SingleTxtG"/>
        <w:tabs>
          <w:tab w:val="left" w:pos="2268"/>
        </w:tabs>
        <w:ind w:left="2259" w:hanging="1125"/>
        <w:rPr>
          <w:lang w:val="fr-FR"/>
        </w:rPr>
      </w:pPr>
      <w:r w:rsidRPr="00CE70CB">
        <w:rPr>
          <w:lang w:val="fr-FR"/>
        </w:rPr>
        <w:t>6.2.2.1.3</w:t>
      </w:r>
      <w:r w:rsidRPr="00CE70CB">
        <w:rPr>
          <w:lang w:val="fr-FR"/>
        </w:rPr>
        <w:tab/>
        <w:t>Dans le tableau sous « Pour l'enveloppe des bouteilles : », ajouter les deux nouvelles lignes suivantes à la fin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4498"/>
        <w:gridCol w:w="1275"/>
      </w:tblGrid>
      <w:tr w:rsidR="00267DA7" w:rsidRPr="00CE70CB" w:rsidTr="00267DA7">
        <w:tc>
          <w:tcPr>
            <w:tcW w:w="1706" w:type="dxa"/>
            <w:shd w:val="clear" w:color="auto" w:fill="auto"/>
            <w:tcMar>
              <w:left w:w="0" w:type="dxa"/>
              <w:right w:w="0" w:type="dxa"/>
            </w:tcMar>
          </w:tcPr>
          <w:p w:rsidR="00267DA7" w:rsidRPr="00CE70CB" w:rsidRDefault="00267DA7" w:rsidP="00267DA7">
            <w:pPr>
              <w:spacing w:before="60" w:after="60"/>
              <w:ind w:left="57" w:right="57"/>
              <w:rPr>
                <w:lang w:val="fr-FR"/>
              </w:rPr>
            </w:pPr>
            <w:r w:rsidRPr="00CE70CB">
              <w:rPr>
                <w:lang w:val="fr-FR"/>
              </w:rPr>
              <w:t>ISO 4706:2008</w:t>
            </w:r>
          </w:p>
        </w:tc>
        <w:tc>
          <w:tcPr>
            <w:tcW w:w="4498" w:type="dxa"/>
            <w:shd w:val="clear" w:color="auto" w:fill="auto"/>
            <w:tcMar>
              <w:left w:w="0" w:type="dxa"/>
              <w:right w:w="0" w:type="dxa"/>
            </w:tcMar>
          </w:tcPr>
          <w:p w:rsidR="00267DA7" w:rsidRPr="00CE70CB" w:rsidRDefault="00267DA7" w:rsidP="00267DA7">
            <w:pPr>
              <w:spacing w:before="60" w:after="60"/>
              <w:ind w:left="57" w:right="57"/>
              <w:rPr>
                <w:lang w:val="fr-FR"/>
              </w:rPr>
            </w:pPr>
            <w:r w:rsidRPr="00CE70CB">
              <w:rPr>
                <w:lang w:val="fr-FR"/>
              </w:rPr>
              <w:t>Bouteilles à gaz − Bouteilles en acier soudées rechargeables – Pression d’essai de 60 bar et moins</w:t>
            </w:r>
          </w:p>
        </w:tc>
        <w:tc>
          <w:tcPr>
            <w:tcW w:w="1275" w:type="dxa"/>
            <w:shd w:val="clear" w:color="auto" w:fill="auto"/>
            <w:tcMar>
              <w:left w:w="0" w:type="dxa"/>
              <w:right w:w="0" w:type="dxa"/>
            </w:tcMar>
          </w:tcPr>
          <w:p w:rsidR="00267DA7" w:rsidRPr="00CE70CB" w:rsidRDefault="00267DA7" w:rsidP="00267DA7">
            <w:pPr>
              <w:spacing w:before="60" w:after="60"/>
              <w:ind w:left="57" w:right="57"/>
              <w:rPr>
                <w:lang w:val="fr-FR"/>
              </w:rPr>
            </w:pPr>
            <w:r w:rsidRPr="00CE70CB">
              <w:rPr>
                <w:lang w:val="fr-FR"/>
              </w:rPr>
              <w:t>Jusqu’à nouvel ordre</w:t>
            </w:r>
          </w:p>
        </w:tc>
      </w:tr>
      <w:tr w:rsidR="00267DA7" w:rsidRPr="00CE70CB" w:rsidTr="00267DA7">
        <w:tc>
          <w:tcPr>
            <w:tcW w:w="1706" w:type="dxa"/>
            <w:shd w:val="clear" w:color="auto" w:fill="auto"/>
            <w:tcMar>
              <w:left w:w="0" w:type="dxa"/>
              <w:right w:w="0" w:type="dxa"/>
            </w:tcMar>
          </w:tcPr>
          <w:p w:rsidR="00267DA7" w:rsidRPr="00CE70CB" w:rsidRDefault="00267DA7" w:rsidP="00267DA7">
            <w:pPr>
              <w:spacing w:before="60" w:after="60"/>
              <w:ind w:left="57" w:right="57"/>
              <w:rPr>
                <w:lang w:val="fr-FR"/>
              </w:rPr>
            </w:pPr>
            <w:r w:rsidRPr="00CE70CB">
              <w:rPr>
                <w:lang w:val="fr-FR"/>
              </w:rPr>
              <w:t>ISO 7866:2012 + Cor 1:2014</w:t>
            </w:r>
          </w:p>
        </w:tc>
        <w:tc>
          <w:tcPr>
            <w:tcW w:w="4498" w:type="dxa"/>
            <w:shd w:val="clear" w:color="auto" w:fill="auto"/>
            <w:tcMar>
              <w:left w:w="0" w:type="dxa"/>
              <w:right w:w="0" w:type="dxa"/>
            </w:tcMar>
          </w:tcPr>
          <w:p w:rsidR="00267DA7" w:rsidRPr="00CE70CB" w:rsidRDefault="00267DA7" w:rsidP="00267DA7">
            <w:pPr>
              <w:spacing w:before="60" w:after="60"/>
              <w:ind w:left="57" w:right="57"/>
              <w:rPr>
                <w:lang w:val="fr-FR"/>
              </w:rPr>
            </w:pPr>
            <w:r w:rsidRPr="00CE70CB">
              <w:rPr>
                <w:lang w:val="fr-FR"/>
              </w:rPr>
              <w:t>Bouteilles à gaz − Bouteilles à gaz sans soudure en alliage d'aluminium destinées à être rechargées − Conception, construction et essais</w:t>
            </w:r>
          </w:p>
          <w:p w:rsidR="00267DA7" w:rsidRPr="00CE70CB" w:rsidRDefault="00267DA7" w:rsidP="00267DA7">
            <w:pPr>
              <w:spacing w:before="60" w:after="60"/>
              <w:ind w:left="57" w:right="57"/>
              <w:rPr>
                <w:i/>
                <w:iCs/>
                <w:lang w:val="fr-FR"/>
              </w:rPr>
            </w:pPr>
            <w:r w:rsidRPr="00CE70CB">
              <w:rPr>
                <w:b/>
                <w:bCs/>
                <w:i/>
                <w:iCs/>
                <w:lang w:val="fr-FR"/>
              </w:rPr>
              <w:t>NOTA :</w:t>
            </w:r>
            <w:r w:rsidRPr="00CE70CB">
              <w:rPr>
                <w:i/>
                <w:iCs/>
                <w:lang w:val="fr-FR"/>
              </w:rPr>
              <w:t xml:space="preserve"> L’alliage d’aluminium 6351A ou son équivalent ne doit pas être utilisé.</w:t>
            </w:r>
          </w:p>
        </w:tc>
        <w:tc>
          <w:tcPr>
            <w:tcW w:w="1275" w:type="dxa"/>
            <w:shd w:val="clear" w:color="auto" w:fill="auto"/>
            <w:tcMar>
              <w:left w:w="0" w:type="dxa"/>
              <w:right w:w="0" w:type="dxa"/>
            </w:tcMar>
          </w:tcPr>
          <w:p w:rsidR="00267DA7" w:rsidRPr="00CE70CB" w:rsidRDefault="00267DA7" w:rsidP="00267DA7">
            <w:pPr>
              <w:spacing w:before="60" w:after="60"/>
              <w:ind w:left="57" w:right="57"/>
              <w:rPr>
                <w:lang w:val="fr-FR"/>
              </w:rPr>
            </w:pPr>
            <w:r w:rsidRPr="00CE70CB">
              <w:rPr>
                <w:lang w:val="fr-FR"/>
              </w:rPr>
              <w:t>Jusqu’à nouvel ordre</w:t>
            </w:r>
          </w:p>
        </w:tc>
      </w:tr>
    </w:tbl>
    <w:p w:rsidR="00267DA7" w:rsidRPr="00CE70CB" w:rsidRDefault="00267DA7" w:rsidP="00267DA7">
      <w:pPr>
        <w:pStyle w:val="SingleTxtG"/>
        <w:tabs>
          <w:tab w:val="left" w:pos="2268"/>
        </w:tabs>
        <w:spacing w:before="120"/>
        <w:ind w:left="2257" w:hanging="1123"/>
        <w:rPr>
          <w:lang w:val="fr-FR"/>
        </w:rPr>
      </w:pPr>
      <w:r w:rsidRPr="00CE70CB">
        <w:rPr>
          <w:lang w:val="fr-FR"/>
        </w:rPr>
        <w:t>6.2.2.1.3</w:t>
      </w:r>
      <w:r w:rsidRPr="00CE70CB">
        <w:rPr>
          <w:lang w:val="fr-FR"/>
        </w:rPr>
        <w:tab/>
        <w:t xml:space="preserve">Modifier </w:t>
      </w:r>
      <w:bookmarkStart w:id="132" w:name="_Hlk30083665"/>
      <w:r w:rsidRPr="00CE70CB">
        <w:rPr>
          <w:lang w:val="fr-FR"/>
        </w:rPr>
        <w:t xml:space="preserve">le </w:t>
      </w:r>
      <w:r w:rsidR="00326E0F" w:rsidRPr="00CE70CB">
        <w:rPr>
          <w:lang w:val="fr-FR"/>
        </w:rPr>
        <w:t>titre du</w:t>
      </w:r>
      <w:r w:rsidRPr="00CE70CB">
        <w:rPr>
          <w:lang w:val="fr-FR"/>
        </w:rPr>
        <w:t xml:space="preserve"> </w:t>
      </w:r>
      <w:bookmarkEnd w:id="132"/>
      <w:r w:rsidRPr="00CE70CB">
        <w:rPr>
          <w:lang w:val="fr-FR"/>
        </w:rPr>
        <w:t>deuxième tableau pour lire « </w:t>
      </w:r>
      <w:bookmarkStart w:id="133" w:name="_Hlk31380470"/>
      <w:r w:rsidRPr="00CE70CB">
        <w:rPr>
          <w:lang w:val="fr-FR"/>
        </w:rPr>
        <w:t>Pour les bouteilles d’acétylène, y compris la matière poreuse :</w:t>
      </w:r>
      <w:bookmarkEnd w:id="133"/>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6.2.2.2, 6.2.2.7.4 p) et 6.2.2.9.2 j)</w:t>
      </w:r>
    </w:p>
    <w:p w:rsidR="00267DA7" w:rsidRPr="00CE70CB" w:rsidRDefault="00267DA7" w:rsidP="00267DA7">
      <w:pPr>
        <w:pStyle w:val="SingleTxtG"/>
        <w:tabs>
          <w:tab w:val="left" w:pos="2268"/>
        </w:tabs>
        <w:ind w:left="2259" w:hanging="1125"/>
        <w:rPr>
          <w:lang w:val="fr-FR"/>
        </w:rPr>
      </w:pPr>
      <w:r w:rsidRPr="00CE70CB">
        <w:rPr>
          <w:lang w:val="fr-FR"/>
        </w:rPr>
        <w:tab/>
        <w:t>Remplacer « ISO 11114-1:2012 » par « </w:t>
      </w:r>
      <w:bookmarkStart w:id="134" w:name="_Hlk31380540"/>
      <w:r w:rsidRPr="00CE70CB">
        <w:rPr>
          <w:lang w:val="fr-FR"/>
        </w:rPr>
        <w:t>ISO 11114-1:2012 + A1:2017</w:t>
      </w:r>
      <w:bookmarkEnd w:id="134"/>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lastRenderedPageBreak/>
        <w:t>6.2.2.3</w:t>
      </w:r>
      <w:r w:rsidRPr="00CE70CB">
        <w:rPr>
          <w:lang w:val="fr-FR"/>
        </w:rPr>
        <w:tab/>
      </w:r>
      <w:r w:rsidRPr="00CE70CB">
        <w:rPr>
          <w:lang w:val="fr-FR"/>
        </w:rPr>
        <w:tab/>
        <w:t>Dans le premier tableau, pour la norme ISO 10297:2014, dans la colonne « Applicable à la fabrication », remplacer « Jusqu’à nouvel ordre » par « Jusqu’au 31 décembre 2022 ». Après la norme ISO 10297:2014, à la ligne suivante, insérer la nouvelle norme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68"/>
        <w:gridCol w:w="3969"/>
        <w:gridCol w:w="1842"/>
      </w:tblGrid>
      <w:tr w:rsidR="00267DA7" w:rsidRPr="00CE70CB" w:rsidTr="00267DA7">
        <w:trPr>
          <w:trHeight w:val="603"/>
        </w:trPr>
        <w:tc>
          <w:tcPr>
            <w:tcW w:w="1668" w:type="dxa"/>
            <w:tcBorders>
              <w:top w:val="single" w:sz="4" w:space="0" w:color="auto"/>
              <w:left w:val="single" w:sz="4" w:space="0" w:color="auto"/>
              <w:bottom w:val="single" w:sz="4" w:space="0" w:color="auto"/>
              <w:right w:val="single" w:sz="4" w:space="0" w:color="auto"/>
            </w:tcBorders>
            <w:hideMark/>
          </w:tcPr>
          <w:p w:rsidR="00267DA7" w:rsidRPr="00CE70CB" w:rsidRDefault="00267DA7" w:rsidP="00267DA7">
            <w:pPr>
              <w:spacing w:before="60" w:after="60"/>
              <w:ind w:left="57" w:right="57"/>
              <w:rPr>
                <w:lang w:val="fr-FR"/>
              </w:rPr>
            </w:pPr>
            <w:r w:rsidRPr="00CE70CB">
              <w:rPr>
                <w:lang w:val="fr-FR"/>
              </w:rPr>
              <w:t>ISO 10297:2014 + A1:2017</w:t>
            </w:r>
          </w:p>
        </w:tc>
        <w:tc>
          <w:tcPr>
            <w:tcW w:w="3969" w:type="dxa"/>
            <w:tcBorders>
              <w:top w:val="single" w:sz="4" w:space="0" w:color="auto"/>
              <w:left w:val="single" w:sz="4" w:space="0" w:color="auto"/>
              <w:bottom w:val="single" w:sz="4" w:space="0" w:color="auto"/>
              <w:right w:val="single" w:sz="4" w:space="0" w:color="auto"/>
            </w:tcBorders>
            <w:hideMark/>
          </w:tcPr>
          <w:p w:rsidR="00267DA7" w:rsidRPr="00CE70CB" w:rsidRDefault="00267DA7" w:rsidP="00267DA7">
            <w:pPr>
              <w:spacing w:before="60" w:after="60"/>
              <w:ind w:left="57" w:right="57"/>
              <w:jc w:val="both"/>
              <w:rPr>
                <w:lang w:val="fr-FR"/>
              </w:rPr>
            </w:pPr>
            <w:r w:rsidRPr="00CE70CB">
              <w:rPr>
                <w:lang w:val="fr-FR"/>
              </w:rPr>
              <w:t>Bouteilles à gaz transportables − Robinets de bouteilles − Spécifications et essais de type</w:t>
            </w:r>
          </w:p>
        </w:tc>
        <w:tc>
          <w:tcPr>
            <w:tcW w:w="1842" w:type="dxa"/>
            <w:tcBorders>
              <w:top w:val="single" w:sz="4" w:space="0" w:color="auto"/>
              <w:left w:val="single" w:sz="4" w:space="0" w:color="auto"/>
              <w:bottom w:val="single" w:sz="4" w:space="0" w:color="auto"/>
              <w:right w:val="single" w:sz="4" w:space="0" w:color="auto"/>
            </w:tcBorders>
            <w:hideMark/>
          </w:tcPr>
          <w:p w:rsidR="00267DA7" w:rsidRPr="00CE70CB" w:rsidRDefault="00267DA7" w:rsidP="00267DA7">
            <w:pPr>
              <w:spacing w:before="60" w:after="60"/>
              <w:ind w:left="57" w:right="57"/>
              <w:rPr>
                <w:lang w:val="fr-FR"/>
              </w:rPr>
            </w:pPr>
            <w:r w:rsidRPr="00CE70CB">
              <w:rPr>
                <w:lang w:val="fr-FR"/>
              </w:rPr>
              <w:t>Jusqu’à nouvel ordre</w:t>
            </w:r>
          </w:p>
        </w:tc>
      </w:tr>
    </w:tbl>
    <w:p w:rsidR="00267DA7" w:rsidRPr="00CE70CB" w:rsidRDefault="00267DA7" w:rsidP="00267DA7">
      <w:pPr>
        <w:pStyle w:val="SingleTxtG"/>
        <w:tabs>
          <w:tab w:val="left" w:pos="2268"/>
        </w:tabs>
        <w:spacing w:before="120"/>
        <w:ind w:left="2257" w:hanging="1123"/>
        <w:rPr>
          <w:lang w:val="fr-FR"/>
        </w:rPr>
      </w:pPr>
      <w:r w:rsidRPr="00CE70CB">
        <w:rPr>
          <w:lang w:val="fr-FR"/>
        </w:rPr>
        <w:t>6.2.2.3</w:t>
      </w:r>
      <w:r w:rsidRPr="00CE70CB">
        <w:rPr>
          <w:lang w:val="fr-FR"/>
        </w:rPr>
        <w:tab/>
      </w:r>
      <w:r w:rsidRPr="00CE70CB">
        <w:rPr>
          <w:lang w:val="fr-FR"/>
        </w:rPr>
        <w:tab/>
        <w:t>Pour ISO 14246:2014, dans la colonne « Applicable à la fabrication », remplacer « Jusqu’à nouvel ordre » par « Jusqu’au 31 décembre 2024 ». Après la ligne pour ISO 14246:2014,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3905"/>
        <w:gridCol w:w="1868"/>
      </w:tblGrid>
      <w:tr w:rsidR="00267DA7" w:rsidRPr="00CE70CB" w:rsidTr="00267DA7">
        <w:tc>
          <w:tcPr>
            <w:tcW w:w="1706" w:type="dxa"/>
            <w:shd w:val="clear" w:color="auto" w:fill="auto"/>
            <w:tcMar>
              <w:left w:w="0" w:type="dxa"/>
              <w:right w:w="0" w:type="dxa"/>
            </w:tcMar>
          </w:tcPr>
          <w:p w:rsidR="00267DA7" w:rsidRPr="00CE70CB" w:rsidRDefault="00267DA7" w:rsidP="00267DA7">
            <w:pPr>
              <w:spacing w:before="60" w:after="60"/>
              <w:ind w:left="57" w:right="57"/>
              <w:rPr>
                <w:lang w:val="fr-FR"/>
              </w:rPr>
            </w:pPr>
            <w:r w:rsidRPr="00CE70CB">
              <w:rPr>
                <w:lang w:val="fr-FR"/>
              </w:rPr>
              <w:t xml:space="preserve">ISO 14246:2014 + A1:2017 </w:t>
            </w:r>
          </w:p>
        </w:tc>
        <w:tc>
          <w:tcPr>
            <w:tcW w:w="3905" w:type="dxa"/>
            <w:shd w:val="clear" w:color="auto" w:fill="auto"/>
            <w:tcMar>
              <w:left w:w="0" w:type="dxa"/>
              <w:right w:w="0" w:type="dxa"/>
            </w:tcMar>
          </w:tcPr>
          <w:p w:rsidR="00267DA7" w:rsidRPr="00CE70CB" w:rsidRDefault="00267DA7" w:rsidP="00267DA7">
            <w:pPr>
              <w:spacing w:before="60" w:after="60"/>
              <w:ind w:left="57" w:right="57"/>
              <w:rPr>
                <w:lang w:val="fr-FR"/>
              </w:rPr>
            </w:pPr>
            <w:r w:rsidRPr="00CE70CB">
              <w:rPr>
                <w:lang w:val="fr-FR"/>
              </w:rPr>
              <w:t>Bouteilles à gaz − Robinets de bouteilles à gaz − Essais de fabrication et contrôles</w:t>
            </w:r>
          </w:p>
        </w:tc>
        <w:tc>
          <w:tcPr>
            <w:tcW w:w="1868" w:type="dxa"/>
            <w:shd w:val="clear" w:color="auto" w:fill="auto"/>
            <w:tcMar>
              <w:left w:w="0" w:type="dxa"/>
              <w:right w:w="0" w:type="dxa"/>
            </w:tcMar>
          </w:tcPr>
          <w:p w:rsidR="00267DA7" w:rsidRPr="00CE70CB" w:rsidRDefault="00267DA7" w:rsidP="00267DA7">
            <w:pPr>
              <w:spacing w:before="60" w:after="60"/>
              <w:ind w:left="57" w:right="57"/>
              <w:rPr>
                <w:lang w:val="fr-FR"/>
              </w:rPr>
            </w:pPr>
            <w:r w:rsidRPr="00CE70CB">
              <w:rPr>
                <w:lang w:val="fr-FR"/>
              </w:rPr>
              <w:t>Jusqu’à nouvel ordre</w:t>
            </w:r>
          </w:p>
        </w:tc>
      </w:tr>
    </w:tbl>
    <w:p w:rsidR="00267DA7" w:rsidRPr="00CE70CB" w:rsidRDefault="00267DA7" w:rsidP="00267DA7">
      <w:pPr>
        <w:pStyle w:val="SingleTxtG"/>
        <w:tabs>
          <w:tab w:val="left" w:pos="2268"/>
        </w:tabs>
        <w:spacing w:before="120"/>
        <w:ind w:left="2257" w:hanging="1123"/>
        <w:rPr>
          <w:lang w:val="fr-FR"/>
        </w:rPr>
      </w:pPr>
      <w:r w:rsidRPr="00CE70CB">
        <w:rPr>
          <w:lang w:val="fr-FR"/>
        </w:rPr>
        <w:t>6.2.2.3</w:t>
      </w:r>
      <w:r w:rsidRPr="00CE70CB">
        <w:rPr>
          <w:lang w:val="fr-FR"/>
        </w:rPr>
        <w:tab/>
      </w:r>
      <w:r w:rsidRPr="00CE70CB">
        <w:rPr>
          <w:lang w:val="fr-FR"/>
        </w:rPr>
        <w:tab/>
        <w:t>Dans le premier tableau, ajouter la nouvelle ligne suivante à la fin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649"/>
        <w:gridCol w:w="1275"/>
      </w:tblGrid>
      <w:tr w:rsidR="00267DA7" w:rsidRPr="00CE70CB" w:rsidTr="00267DA7">
        <w:tc>
          <w:tcPr>
            <w:tcW w:w="1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67DA7" w:rsidRPr="00CE70CB" w:rsidRDefault="00267DA7" w:rsidP="00267DA7">
            <w:pPr>
              <w:spacing w:before="60" w:after="60"/>
              <w:ind w:left="57" w:right="57"/>
              <w:rPr>
                <w:lang w:val="fr-FR"/>
              </w:rPr>
            </w:pPr>
            <w:r w:rsidRPr="00CE70CB">
              <w:rPr>
                <w:lang w:val="fr-FR"/>
              </w:rPr>
              <w:t>ISO 17879:2017</w:t>
            </w:r>
          </w:p>
        </w:tc>
        <w:tc>
          <w:tcPr>
            <w:tcW w:w="46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67DA7" w:rsidRPr="00CE70CB" w:rsidRDefault="00267DA7" w:rsidP="00267DA7">
            <w:pPr>
              <w:spacing w:before="60" w:after="60"/>
              <w:ind w:left="57" w:right="57"/>
              <w:rPr>
                <w:lang w:val="fr-FR"/>
              </w:rPr>
            </w:pPr>
            <w:r w:rsidRPr="00CE70CB">
              <w:rPr>
                <w:lang w:val="fr-FR"/>
              </w:rPr>
              <w:t>Bouteilles à gaz − Robinets de bouteilles équipés de clapets auto-obturants − Spécifications et essais de type</w:t>
            </w:r>
          </w:p>
          <w:p w:rsidR="00267DA7" w:rsidRPr="00CE70CB" w:rsidRDefault="00267DA7" w:rsidP="00267DA7">
            <w:pPr>
              <w:spacing w:before="60" w:after="60"/>
              <w:ind w:left="57" w:right="57"/>
              <w:rPr>
                <w:lang w:val="fr-FR"/>
              </w:rPr>
            </w:pPr>
            <w:r w:rsidRPr="00CE70CB">
              <w:rPr>
                <w:b/>
                <w:bCs/>
                <w:i/>
                <w:iCs/>
                <w:lang w:val="fr-FR"/>
              </w:rPr>
              <w:t>NOTA</w:t>
            </w:r>
            <w:r w:rsidR="00885950" w:rsidRPr="00CE70CB">
              <w:rPr>
                <w:b/>
                <w:bCs/>
                <w:i/>
                <w:iCs/>
                <w:lang w:val="fr-FR"/>
              </w:rPr>
              <w:t xml:space="preserve"> </w:t>
            </w:r>
            <w:r w:rsidRPr="00CE70CB">
              <w:rPr>
                <w:b/>
                <w:bCs/>
                <w:i/>
                <w:iCs/>
                <w:lang w:val="fr-FR"/>
              </w:rPr>
              <w:t>:</w:t>
            </w:r>
            <w:r w:rsidRPr="00CE70CB">
              <w:rPr>
                <w:i/>
                <w:iCs/>
                <w:lang w:val="fr-FR"/>
              </w:rPr>
              <w:t xml:space="preserve"> Cette norme ne doit pas être utilisée pour les robinets équipés de clapets auto-obturants des bouteilles d'acétylène.</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67DA7" w:rsidRPr="00CE70CB" w:rsidRDefault="00267DA7" w:rsidP="00267DA7">
            <w:pPr>
              <w:spacing w:before="60" w:after="60"/>
              <w:ind w:left="57" w:right="57"/>
              <w:rPr>
                <w:lang w:val="fr-FR"/>
              </w:rPr>
            </w:pPr>
            <w:r w:rsidRPr="00CE70CB">
              <w:rPr>
                <w:lang w:val="fr-FR"/>
              </w:rPr>
              <w:t>Jusqu’à nouvel ordre</w:t>
            </w:r>
          </w:p>
        </w:tc>
      </w:tr>
    </w:tbl>
    <w:p w:rsidR="00267DA7" w:rsidRPr="00CE70CB" w:rsidRDefault="00267DA7" w:rsidP="00267DA7">
      <w:pPr>
        <w:pStyle w:val="SingleTxtG"/>
        <w:tabs>
          <w:tab w:val="left" w:pos="2268"/>
        </w:tabs>
        <w:spacing w:before="120"/>
        <w:ind w:left="2257" w:hanging="1123"/>
        <w:rPr>
          <w:lang w:val="fr-FR"/>
        </w:rPr>
      </w:pPr>
      <w:r w:rsidRPr="00CE70CB">
        <w:rPr>
          <w:lang w:val="fr-FR"/>
        </w:rPr>
        <w:t>6.2.2.4</w:t>
      </w:r>
      <w:r w:rsidRPr="00CE70CB">
        <w:rPr>
          <w:lang w:val="fr-FR"/>
        </w:rPr>
        <w:tab/>
      </w:r>
      <w:r w:rsidRPr="00CE70CB">
        <w:rPr>
          <w:lang w:val="fr-FR"/>
        </w:rPr>
        <w:tab/>
        <w:t>Supprimer la ligne pour ISO 10462:2005.</w:t>
      </w:r>
    </w:p>
    <w:p w:rsidR="00267DA7" w:rsidRPr="00CE70CB" w:rsidRDefault="00267DA7" w:rsidP="00267DA7">
      <w:pPr>
        <w:pStyle w:val="SingleTxtG"/>
        <w:tabs>
          <w:tab w:val="left" w:pos="2268"/>
        </w:tabs>
        <w:ind w:left="2259" w:hanging="1125"/>
        <w:rPr>
          <w:lang w:val="fr-FR"/>
        </w:rPr>
      </w:pPr>
      <w:r w:rsidRPr="00CE70CB">
        <w:rPr>
          <w:lang w:val="fr-FR"/>
        </w:rPr>
        <w:tab/>
      </w:r>
      <w:bookmarkStart w:id="135" w:name="_Hlk31619253"/>
      <w:r w:rsidRPr="00CE70CB">
        <w:rPr>
          <w:lang w:val="fr-FR"/>
        </w:rPr>
        <w:t xml:space="preserve">Ajouter </w:t>
      </w:r>
      <w:r w:rsidR="00ED73D9" w:rsidRPr="00CE70CB">
        <w:rPr>
          <w:lang w:val="fr-FR"/>
        </w:rPr>
        <w:t>une</w:t>
      </w:r>
      <w:r w:rsidRPr="00CE70CB">
        <w:rPr>
          <w:lang w:val="fr-FR"/>
        </w:rPr>
        <w:t xml:space="preserve"> nouvelle ligne dans le tableau</w:t>
      </w:r>
      <w:r w:rsidR="00ED73D9" w:rsidRPr="00CE70CB">
        <w:rPr>
          <w:lang w:val="fr-FR"/>
        </w:rPr>
        <w:t>,</w:t>
      </w:r>
      <w:r w:rsidRPr="00CE70CB">
        <w:rPr>
          <w:lang w:val="fr-FR"/>
        </w:rPr>
        <w:t xml:space="preserve"> après la ligne pour ISO</w:t>
      </w:r>
      <w:r w:rsidR="00326E0F" w:rsidRPr="00CE70CB">
        <w:rPr>
          <w:lang w:val="fr-FR"/>
        </w:rPr>
        <w:t> </w:t>
      </w:r>
      <w:r w:rsidRPr="00CE70CB">
        <w:rPr>
          <w:lang w:val="fr-FR"/>
        </w:rPr>
        <w:t>22434:2006</w:t>
      </w:r>
      <w:r w:rsidR="00ED73D9" w:rsidRPr="00CE70CB">
        <w:rPr>
          <w:lang w:val="fr-FR"/>
        </w:rPr>
        <w:t>,</w:t>
      </w:r>
      <w:r w:rsidRPr="00CE70CB">
        <w:rPr>
          <w:lang w:val="fr-FR"/>
        </w:rPr>
        <w:t xml:space="preserve"> comme suit :</w:t>
      </w:r>
      <w:bookmarkEnd w:id="135"/>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4290"/>
        <w:gridCol w:w="1275"/>
      </w:tblGrid>
      <w:tr w:rsidR="00267DA7" w:rsidRPr="00CE70CB" w:rsidTr="00267DA7">
        <w:tc>
          <w:tcPr>
            <w:tcW w:w="1914" w:type="dxa"/>
            <w:shd w:val="clear" w:color="auto" w:fill="auto"/>
            <w:tcMar>
              <w:left w:w="0" w:type="dxa"/>
              <w:right w:w="0" w:type="dxa"/>
            </w:tcMar>
          </w:tcPr>
          <w:p w:rsidR="00267DA7" w:rsidRPr="00CE70CB" w:rsidRDefault="00267DA7" w:rsidP="00267DA7">
            <w:pPr>
              <w:spacing w:before="60" w:after="60"/>
              <w:ind w:left="57" w:right="57"/>
              <w:rPr>
                <w:lang w:val="fr-FR"/>
              </w:rPr>
            </w:pPr>
            <w:r w:rsidRPr="00CE70CB">
              <w:rPr>
                <w:lang w:val="fr-FR"/>
              </w:rPr>
              <w:t>ISO 20475:2018</w:t>
            </w:r>
          </w:p>
        </w:tc>
        <w:tc>
          <w:tcPr>
            <w:tcW w:w="4290" w:type="dxa"/>
            <w:shd w:val="clear" w:color="auto" w:fill="auto"/>
            <w:tcMar>
              <w:left w:w="0" w:type="dxa"/>
              <w:right w:w="0" w:type="dxa"/>
            </w:tcMar>
          </w:tcPr>
          <w:p w:rsidR="00267DA7" w:rsidRPr="00CE70CB" w:rsidRDefault="00267DA7" w:rsidP="00267DA7">
            <w:pPr>
              <w:spacing w:before="60" w:after="60"/>
              <w:ind w:left="57" w:right="57"/>
              <w:rPr>
                <w:lang w:val="fr-FR"/>
              </w:rPr>
            </w:pPr>
            <w:r w:rsidRPr="00CE70CB">
              <w:rPr>
                <w:lang w:val="fr-FR"/>
              </w:rPr>
              <w:t>Bouteilles à gaz − Cadres de bouteilles − Contrôles et essais périodiques</w:t>
            </w:r>
          </w:p>
        </w:tc>
        <w:tc>
          <w:tcPr>
            <w:tcW w:w="1275" w:type="dxa"/>
            <w:shd w:val="clear" w:color="auto" w:fill="auto"/>
            <w:tcMar>
              <w:left w:w="0" w:type="dxa"/>
              <w:right w:w="0" w:type="dxa"/>
            </w:tcMar>
          </w:tcPr>
          <w:p w:rsidR="00267DA7" w:rsidRPr="00CE70CB" w:rsidRDefault="00267DA7" w:rsidP="00267DA7">
            <w:pPr>
              <w:spacing w:before="60" w:after="60"/>
              <w:ind w:left="57" w:right="57"/>
              <w:rPr>
                <w:lang w:val="fr-FR"/>
              </w:rPr>
            </w:pPr>
            <w:r w:rsidRPr="00CE70CB">
              <w:rPr>
                <w:lang w:val="fr-FR"/>
              </w:rPr>
              <w:t>Jusqu’à nouvel ordre</w:t>
            </w:r>
          </w:p>
        </w:tc>
      </w:tr>
    </w:tbl>
    <w:p w:rsidR="00267DA7" w:rsidRPr="00CE70CB" w:rsidRDefault="00267DA7" w:rsidP="00267DA7">
      <w:pPr>
        <w:pStyle w:val="SingleTxtG"/>
        <w:tabs>
          <w:tab w:val="left" w:pos="2268"/>
        </w:tabs>
        <w:spacing w:before="120"/>
        <w:ind w:left="2257" w:hanging="1123"/>
        <w:rPr>
          <w:lang w:val="fr-FR"/>
        </w:rPr>
      </w:pPr>
      <w:r w:rsidRPr="00CE70CB">
        <w:rPr>
          <w:lang w:val="fr-FR"/>
        </w:rPr>
        <w:t>6.2.2.7.2 c)</w:t>
      </w:r>
      <w:r w:rsidRPr="00CE70CB">
        <w:rPr>
          <w:lang w:val="fr-FR"/>
        </w:rPr>
        <w:tab/>
        <w:t>Modifier le Nota pour lire comme suit :</w:t>
      </w:r>
    </w:p>
    <w:p w:rsidR="00267DA7" w:rsidRPr="00CE70CB" w:rsidRDefault="00267DA7" w:rsidP="00267DA7">
      <w:pPr>
        <w:pStyle w:val="SingleTxtG"/>
        <w:tabs>
          <w:tab w:val="left" w:pos="2268"/>
        </w:tabs>
        <w:ind w:left="2259" w:hanging="1125"/>
        <w:rPr>
          <w:lang w:val="fr-FR"/>
        </w:rPr>
      </w:pPr>
      <w:r w:rsidRPr="00CE70CB">
        <w:rPr>
          <w:lang w:val="fr-FR"/>
        </w:rPr>
        <w:tab/>
        <w:t>« </w:t>
      </w:r>
      <w:r w:rsidRPr="00CE70CB">
        <w:rPr>
          <w:b/>
          <w:bCs/>
          <w:i/>
          <w:iCs/>
          <w:lang w:val="fr-FR"/>
        </w:rPr>
        <w:t>NOTA:</w:t>
      </w:r>
      <w:r w:rsidRPr="00CE70CB">
        <w:rPr>
          <w:lang w:val="fr-FR"/>
        </w:rPr>
        <w:t xml:space="preserve"> </w:t>
      </w:r>
      <w:r w:rsidRPr="00CE70CB">
        <w:rPr>
          <w:lang w:val="fr-FR"/>
        </w:rPr>
        <w:tab/>
      </w:r>
      <w:bookmarkStart w:id="136" w:name="_Hlk31621574"/>
      <w:r w:rsidRPr="00CE70CB">
        <w:rPr>
          <w:lang w:val="fr-FR"/>
        </w:rPr>
        <w:t>Aux fins de cette marque, on entend par « pays d’agrément » le pays de l’autorité compétente qui a autorisé le contrôle et l’épreuve initiaux du récipient individuel au moment de la fabrication.</w:t>
      </w:r>
      <w:bookmarkEnd w:id="136"/>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6.2.2.9.2 c)</w:t>
      </w:r>
      <w:r w:rsidRPr="00CE70CB">
        <w:rPr>
          <w:lang w:val="fr-FR"/>
        </w:rPr>
        <w:tab/>
        <w:t>Modifier le Nota pour lire comme suit :</w:t>
      </w:r>
    </w:p>
    <w:p w:rsidR="00267DA7" w:rsidRPr="00CE70CB" w:rsidRDefault="00267DA7" w:rsidP="00267DA7">
      <w:pPr>
        <w:pStyle w:val="SingleTxtG"/>
        <w:tabs>
          <w:tab w:val="left" w:pos="2268"/>
        </w:tabs>
        <w:ind w:left="2259" w:hanging="1125"/>
        <w:rPr>
          <w:lang w:val="fr-FR"/>
        </w:rPr>
      </w:pPr>
      <w:r w:rsidRPr="00CE70CB">
        <w:rPr>
          <w:lang w:val="fr-FR"/>
        </w:rPr>
        <w:tab/>
        <w:t>« </w:t>
      </w:r>
      <w:r w:rsidRPr="00CE70CB">
        <w:rPr>
          <w:b/>
          <w:bCs/>
          <w:i/>
          <w:iCs/>
          <w:lang w:val="fr-FR"/>
        </w:rPr>
        <w:t>NOTA :</w:t>
      </w:r>
      <w:r w:rsidRPr="00CE70CB">
        <w:rPr>
          <w:lang w:val="fr-FR"/>
        </w:rPr>
        <w:t xml:space="preserve"> </w:t>
      </w:r>
      <w:r w:rsidRPr="00CE70CB">
        <w:rPr>
          <w:lang w:val="fr-FR"/>
        </w:rPr>
        <w:tab/>
      </w:r>
      <w:bookmarkStart w:id="137" w:name="_Hlk31621637"/>
      <w:r w:rsidRPr="00CE70CB">
        <w:rPr>
          <w:lang w:val="fr-FR"/>
        </w:rPr>
        <w:t>Aux fins de cette marque, on entend par « pays d’agrément » le pays de l’autorité compétente qui a autorisé le contrôle et l’épreuve initiaux du dispositif individuel au moment de la fabrication.</w:t>
      </w:r>
      <w:bookmarkEnd w:id="137"/>
      <w:r w:rsidRPr="00CE70CB">
        <w:rPr>
          <w:lang w:val="fr-FR"/>
        </w:rPr>
        <w:t> »</w:t>
      </w:r>
    </w:p>
    <w:p w:rsidR="007A0DF1" w:rsidRPr="00CE70CB" w:rsidRDefault="007A0DF1" w:rsidP="007A0DF1">
      <w:pPr>
        <w:pStyle w:val="SingleTxtG"/>
        <w:tabs>
          <w:tab w:val="left" w:pos="2268"/>
        </w:tabs>
        <w:ind w:left="2259" w:hanging="1125"/>
        <w:rPr>
          <w:lang w:val="fr-FR"/>
        </w:rPr>
      </w:pPr>
      <w:r w:rsidRPr="00CE70CB">
        <w:rPr>
          <w:lang w:val="fr-FR"/>
        </w:rPr>
        <w:t>6.2.2.10.2</w:t>
      </w:r>
      <w:r w:rsidRPr="00CE70CB">
        <w:rPr>
          <w:lang w:val="fr-FR"/>
        </w:rPr>
        <w:tab/>
        <w:t xml:space="preserve">Remplacer « le symbole </w:t>
      </w:r>
      <w:r w:rsidR="0085101C" w:rsidRPr="00CE70CB">
        <w:rPr>
          <w:iCs/>
        </w:rPr>
        <w:t>"</w:t>
      </w:r>
      <w:r w:rsidRPr="00CE70CB">
        <w:rPr>
          <w:lang w:val="fr-FR"/>
        </w:rPr>
        <w:t>UN</w:t>
      </w:r>
      <w:r w:rsidR="0085101C" w:rsidRPr="00CE70CB">
        <w:rPr>
          <w:iCs/>
        </w:rPr>
        <w:t>"</w:t>
      </w:r>
      <w:r w:rsidRPr="00CE70CB">
        <w:rPr>
          <w:lang w:val="fr-FR"/>
        </w:rPr>
        <w:t> » par « </w:t>
      </w:r>
      <w:bookmarkStart w:id="138" w:name="_Hlk32581674"/>
      <w:r w:rsidRPr="00CE70CB">
        <w:rPr>
          <w:lang w:val="fr-FR"/>
        </w:rPr>
        <w:t>le symbole de l’ONU pour les emballages</w:t>
      </w:r>
      <w:bookmarkEnd w:id="138"/>
      <w:r w:rsidRPr="00CE70CB">
        <w:rPr>
          <w:lang w:val="fr-FR"/>
        </w:rPr>
        <w:t> » (deux fois).</w:t>
      </w:r>
    </w:p>
    <w:p w:rsidR="00267DA7" w:rsidRPr="00CE70CB" w:rsidRDefault="00267DA7" w:rsidP="00267DA7">
      <w:pPr>
        <w:pStyle w:val="SingleTxtG"/>
        <w:tabs>
          <w:tab w:val="left" w:pos="2268"/>
        </w:tabs>
        <w:ind w:left="2259" w:hanging="1125"/>
        <w:rPr>
          <w:lang w:val="fr-FR"/>
        </w:rPr>
      </w:pPr>
      <w:r w:rsidRPr="00CE70CB">
        <w:rPr>
          <w:lang w:val="fr-FR"/>
        </w:rPr>
        <w:t>6.2.2.11</w:t>
      </w:r>
      <w:r w:rsidRPr="00CE70CB">
        <w:rPr>
          <w:lang w:val="fr-FR"/>
        </w:rPr>
        <w:tab/>
        <w:t xml:space="preserve">Ajouter </w:t>
      </w:r>
      <w:bookmarkStart w:id="139" w:name="_Hlk31805599"/>
      <w:r w:rsidR="00D44FF2" w:rsidRPr="00CE70CB">
        <w:rPr>
          <w:lang w:val="fr-FR"/>
        </w:rPr>
        <w:t>le paragraphe suivant</w:t>
      </w:r>
      <w:r w:rsidRPr="00CE70CB">
        <w:rPr>
          <w:lang w:val="fr-FR"/>
        </w:rPr>
        <w:t xml:space="preserve"> </w:t>
      </w:r>
      <w:bookmarkEnd w:id="139"/>
      <w:r w:rsidRPr="00CE70CB">
        <w:rPr>
          <w:lang w:val="fr-FR"/>
        </w:rPr>
        <w:t>après le tableau :</w:t>
      </w:r>
    </w:p>
    <w:p w:rsidR="00267DA7" w:rsidRPr="00CE70CB" w:rsidRDefault="00267DA7" w:rsidP="00267DA7">
      <w:pPr>
        <w:pStyle w:val="SingleTxtG"/>
        <w:tabs>
          <w:tab w:val="left" w:pos="2268"/>
        </w:tabs>
        <w:ind w:left="2259" w:hanging="1125"/>
        <w:rPr>
          <w:lang w:val="fr-FR"/>
        </w:rPr>
      </w:pPr>
      <w:r w:rsidRPr="00CE70CB">
        <w:rPr>
          <w:lang w:val="fr-FR"/>
        </w:rPr>
        <w:tab/>
        <w:t>« </w:t>
      </w:r>
      <w:bookmarkStart w:id="140" w:name="_Hlk31621684"/>
      <w:r w:rsidRPr="00CE70CB">
        <w:rPr>
          <w:lang w:val="fr-FR"/>
        </w:rPr>
        <w:t>Pour les récipients à pression rechargeables, l'évaluation de la conformité des robinets et autres accessoires démontables ayant une fonction directe de sécurité peut être effectuée séparément de celle des récipients à pression.</w:t>
      </w:r>
      <w:bookmarkEnd w:id="140"/>
      <w:r w:rsidRPr="00CE70CB">
        <w:rPr>
          <w:lang w:val="fr-FR"/>
        </w:rPr>
        <w:t> »</w:t>
      </w:r>
    </w:p>
    <w:p w:rsidR="00267DA7" w:rsidRPr="00CE70CB" w:rsidRDefault="00267DA7" w:rsidP="00267DA7">
      <w:pPr>
        <w:pStyle w:val="SingleTxtG"/>
        <w:ind w:left="2268" w:hanging="1134"/>
        <w:rPr>
          <w:lang w:val="fr-FR"/>
        </w:rPr>
      </w:pPr>
      <w:r w:rsidRPr="00CE70CB">
        <w:rPr>
          <w:lang w:val="fr-FR"/>
        </w:rPr>
        <w:t>6.2.3.5.1</w:t>
      </w:r>
      <w:r w:rsidRPr="00CE70CB">
        <w:rPr>
          <w:lang w:val="fr-FR"/>
        </w:rPr>
        <w:tab/>
        <w:t>Remplacer le N</w:t>
      </w:r>
      <w:r w:rsidR="00D40718" w:rsidRPr="00CE70CB">
        <w:rPr>
          <w:lang w:val="fr-FR"/>
        </w:rPr>
        <w:t>ota</w:t>
      </w:r>
      <w:r w:rsidRPr="00CE70CB">
        <w:rPr>
          <w:lang w:val="fr-FR"/>
        </w:rPr>
        <w:t xml:space="preserve"> 3 par le texte suivant :</w:t>
      </w:r>
    </w:p>
    <w:p w:rsidR="00267DA7" w:rsidRPr="00CE70CB" w:rsidRDefault="00267DA7" w:rsidP="00267DA7">
      <w:pPr>
        <w:pStyle w:val="SingleTxtG"/>
        <w:ind w:left="2268"/>
        <w:rPr>
          <w:i/>
          <w:lang w:val="fr-FR"/>
        </w:rPr>
      </w:pPr>
      <w:r w:rsidRPr="00CE70CB">
        <w:rPr>
          <w:lang w:val="fr-FR"/>
        </w:rPr>
        <w:t>« </w:t>
      </w:r>
      <w:r w:rsidRPr="00CE70CB">
        <w:rPr>
          <w:b/>
          <w:i/>
          <w:lang w:val="fr-FR"/>
        </w:rPr>
        <w:t>3 :</w:t>
      </w:r>
      <w:r w:rsidRPr="00CE70CB">
        <w:rPr>
          <w:i/>
          <w:lang w:val="fr-FR"/>
        </w:rPr>
        <w:tab/>
      </w:r>
      <w:bookmarkStart w:id="141" w:name="_Hlk31631890"/>
      <w:r w:rsidRPr="00CE70CB">
        <w:rPr>
          <w:i/>
          <w:lang w:val="fr-FR"/>
        </w:rPr>
        <w:t>Le contrôle du 6.2.1.6.1 b) et l’épreuve de pression hydraulique du 6.2.1.6.1 d) peuvent être remplacés par un examen ultrasonique réalisé conformément à la norme EN ISO 18119:2018 pour les bouteilles et les tubes, sans soudure, en acier ou en alliages d’aluminium. Nonobstant l’article B.1 de cette norme, toutes les bouteilles et tubes dont l’épaisseur de paroi est inférieure à l’épaisseur de paroi minimale de calcul doivent être rejetés.</w:t>
      </w:r>
      <w:bookmarkEnd w:id="141"/>
      <w:r w:rsidRPr="00CE70CB">
        <w:rPr>
          <w:i/>
          <w:lang w:val="fr-FR"/>
        </w:rPr>
        <w:t> </w:t>
      </w:r>
      <w:r w:rsidRPr="00CE70CB">
        <w:rPr>
          <w:lang w:val="fr-FR"/>
        </w:rPr>
        <w:t>»</w:t>
      </w:r>
    </w:p>
    <w:p w:rsidR="00267DA7" w:rsidRPr="00CE70CB" w:rsidRDefault="00267DA7" w:rsidP="00267DA7">
      <w:pPr>
        <w:pStyle w:val="SingleTxtG"/>
        <w:tabs>
          <w:tab w:val="left" w:pos="2268"/>
        </w:tabs>
        <w:rPr>
          <w:lang w:val="fr-FR"/>
        </w:rPr>
      </w:pPr>
      <w:r w:rsidRPr="00CE70CB">
        <w:rPr>
          <w:lang w:val="fr-FR"/>
        </w:rPr>
        <w:t>6.2.4.1</w:t>
      </w:r>
      <w:r w:rsidRPr="00CE70CB">
        <w:rPr>
          <w:lang w:val="fr-FR"/>
        </w:rPr>
        <w:tab/>
        <w:t>Dans le tableau, sous « Pour la conception et la fabrication » :</w:t>
      </w:r>
    </w:p>
    <w:p w:rsidR="00267DA7" w:rsidRPr="00CE70CB" w:rsidRDefault="00267DA7" w:rsidP="00326E0F">
      <w:pPr>
        <w:pStyle w:val="Bullet1G"/>
        <w:tabs>
          <w:tab w:val="clear" w:pos="1701"/>
          <w:tab w:val="num" w:pos="2438"/>
        </w:tabs>
        <w:spacing w:before="120"/>
        <w:ind w:left="2438"/>
        <w:rPr>
          <w:lang w:val="fr-FR"/>
        </w:rPr>
      </w:pPr>
      <w:r w:rsidRPr="00CE70CB">
        <w:rPr>
          <w:lang w:val="fr-FR"/>
        </w:rPr>
        <w:t>Insérer le N</w:t>
      </w:r>
      <w:r w:rsidR="009B0044" w:rsidRPr="00CE70CB">
        <w:rPr>
          <w:lang w:val="fr-FR"/>
        </w:rPr>
        <w:t>ota</w:t>
      </w:r>
      <w:r w:rsidRPr="00CE70CB">
        <w:rPr>
          <w:lang w:val="fr-FR"/>
        </w:rPr>
        <w:t xml:space="preserve"> suivant à la colonne (2), </w:t>
      </w:r>
      <w:r w:rsidR="009B0044" w:rsidRPr="00CE70CB">
        <w:rPr>
          <w:lang w:val="fr-FR"/>
        </w:rPr>
        <w:t>pour</w:t>
      </w:r>
      <w:r w:rsidRPr="00CE70CB">
        <w:rPr>
          <w:lang w:val="fr-FR"/>
        </w:rPr>
        <w:t xml:space="preserve"> les références aux directives 84/525/CEE, 84/526/CEE et 84/527/CEE :</w:t>
      </w:r>
    </w:p>
    <w:p w:rsidR="00267DA7" w:rsidRPr="00CE70CB" w:rsidRDefault="00267DA7" w:rsidP="00326E0F">
      <w:pPr>
        <w:pStyle w:val="SingleTxtG"/>
        <w:keepNext/>
        <w:ind w:left="2438"/>
        <w:rPr>
          <w:i/>
          <w:lang w:val="fr-FR"/>
        </w:rPr>
      </w:pPr>
      <w:r w:rsidRPr="00CE70CB">
        <w:rPr>
          <w:lang w:val="fr-FR"/>
        </w:rPr>
        <w:lastRenderedPageBreak/>
        <w:t>« </w:t>
      </w:r>
      <w:r w:rsidRPr="00CE70CB">
        <w:rPr>
          <w:b/>
          <w:i/>
          <w:lang w:val="fr-FR"/>
        </w:rPr>
        <w:t>NOTA </w:t>
      </w:r>
      <w:r w:rsidRPr="00CE70CB">
        <w:rPr>
          <w:i/>
          <w:lang w:val="fr-FR"/>
        </w:rPr>
        <w:t>: Malgré l’abrogation des directives 84/525/CEE, 84/526/CEE et 84/527/CEE, telles que publiées au Journal officiel des Communautés européennes No L300 du 19 novembre 1984, les annexes de ces directives demeurent applicables en tant que normes pour la conception, la fabrication et les contrôle et épreuve initiaux pour les bouteilles à gaz. Ces annexes peuvent être consultées à l’adresse suivante :</w:t>
      </w:r>
      <w:r w:rsidRPr="00CE70CB">
        <w:rPr>
          <w:i/>
          <w:lang w:val="fr-FR"/>
        </w:rPr>
        <w:br/>
        <w:t xml:space="preserve"> </w:t>
      </w:r>
      <w:hyperlink r:id="rId8" w:history="1">
        <w:r w:rsidRPr="00CE70CB">
          <w:rPr>
            <w:rStyle w:val="Hyperlink"/>
            <w:i/>
            <w:lang w:val="fr-FR"/>
          </w:rPr>
          <w:t>https://eur-lex.europa.eu/oj/direct-access.html</w:t>
        </w:r>
      </w:hyperlink>
      <w:r w:rsidRPr="00CE70CB">
        <w:rPr>
          <w:i/>
          <w:lang w:val="fr-FR"/>
        </w:rPr>
        <w:t> .</w:t>
      </w:r>
      <w:r w:rsidRPr="00CE70CB">
        <w:rPr>
          <w:lang w:val="fr-FR"/>
        </w:rPr>
        <w:t xml:space="preserve">». </w:t>
      </w:r>
    </w:p>
    <w:p w:rsidR="00267DA7" w:rsidRPr="00CE70CB" w:rsidRDefault="00267DA7" w:rsidP="00326E0F">
      <w:pPr>
        <w:pStyle w:val="Bullet1G"/>
        <w:tabs>
          <w:tab w:val="clear" w:pos="1701"/>
          <w:tab w:val="num" w:pos="2438"/>
        </w:tabs>
        <w:spacing w:before="120"/>
        <w:ind w:left="2438"/>
        <w:rPr>
          <w:i/>
          <w:lang w:val="fr-FR"/>
        </w:rPr>
      </w:pPr>
      <w:r w:rsidRPr="00CE70CB">
        <w:rPr>
          <w:lang w:val="fr-FR"/>
        </w:rPr>
        <w:t>Pour « EN 12807:2008 », dans la colonne (4), remplacer le texte existant par « Entre le 1</w:t>
      </w:r>
      <w:r w:rsidRPr="00CE70CB">
        <w:rPr>
          <w:vertAlign w:val="superscript"/>
          <w:lang w:val="fr-FR"/>
        </w:rPr>
        <w:t>er</w:t>
      </w:r>
      <w:r w:rsidRPr="00CE70CB">
        <w:rPr>
          <w:lang w:val="fr-FR"/>
        </w:rPr>
        <w:t xml:space="preserve"> janvier 2009 et le 31 décembre 2022 ». </w:t>
      </w:r>
    </w:p>
    <w:p w:rsidR="00267DA7" w:rsidRPr="00CE70CB" w:rsidRDefault="00267DA7" w:rsidP="00326E0F">
      <w:pPr>
        <w:pStyle w:val="Bullet1G"/>
        <w:tabs>
          <w:tab w:val="clear" w:pos="1701"/>
          <w:tab w:val="num" w:pos="2438"/>
        </w:tabs>
        <w:spacing w:before="120"/>
        <w:ind w:left="2438"/>
        <w:rPr>
          <w:lang w:val="fr-FR"/>
        </w:rPr>
      </w:pPr>
      <w:r w:rsidRPr="00CE70CB">
        <w:rPr>
          <w:lang w:val="fr-FR"/>
        </w:rPr>
        <w:t>Après la rubrique existante pour la norme « EN 12807:2008 »,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7"/>
        <w:gridCol w:w="4253"/>
        <w:gridCol w:w="1176"/>
        <w:gridCol w:w="1267"/>
        <w:gridCol w:w="452"/>
      </w:tblGrid>
      <w:tr w:rsidR="00267DA7" w:rsidRPr="00CE70CB" w:rsidTr="00267DA7">
        <w:tc>
          <w:tcPr>
            <w:tcW w:w="1350" w:type="dxa"/>
          </w:tcPr>
          <w:p w:rsidR="00267DA7" w:rsidRPr="00CE70CB" w:rsidRDefault="00267DA7" w:rsidP="00267DA7">
            <w:pPr>
              <w:widowControl w:val="0"/>
              <w:spacing w:before="40" w:after="40"/>
              <w:ind w:left="57" w:right="57"/>
              <w:rPr>
                <w:bCs/>
                <w:sz w:val="18"/>
                <w:szCs w:val="18"/>
                <w:lang w:val="fr-FR"/>
              </w:rPr>
            </w:pPr>
            <w:r w:rsidRPr="00CE70CB">
              <w:rPr>
                <w:lang w:val="fr-FR"/>
              </w:rPr>
              <w:t>EN 12807:2019</w:t>
            </w:r>
          </w:p>
        </w:tc>
        <w:tc>
          <w:tcPr>
            <w:tcW w:w="4230" w:type="dxa"/>
            <w:vAlign w:val="center"/>
          </w:tcPr>
          <w:p w:rsidR="00267DA7" w:rsidRPr="00CE70CB" w:rsidRDefault="00267DA7" w:rsidP="00267DA7">
            <w:pPr>
              <w:widowControl w:val="0"/>
              <w:spacing w:before="40" w:after="40"/>
              <w:ind w:left="57" w:right="57"/>
              <w:rPr>
                <w:bCs/>
                <w:sz w:val="18"/>
                <w:szCs w:val="18"/>
                <w:lang w:val="fr-FR"/>
              </w:rPr>
            </w:pPr>
            <w:r w:rsidRPr="00CE70CB">
              <w:rPr>
                <w:lang w:val="fr-FR"/>
              </w:rPr>
              <w:t>Équipement et accessoires pour GPL − Bouteilles transportables et rechargeables en acier brasé pour gaz de pétrole liquéfié (GPL) − Conception et fabrication</w:t>
            </w:r>
          </w:p>
        </w:tc>
        <w:tc>
          <w:tcPr>
            <w:tcW w:w="1170" w:type="dxa"/>
          </w:tcPr>
          <w:p w:rsidR="00267DA7" w:rsidRPr="00CE70CB" w:rsidRDefault="00267DA7" w:rsidP="00267DA7">
            <w:pPr>
              <w:widowControl w:val="0"/>
              <w:spacing w:before="40" w:after="40"/>
              <w:ind w:left="57" w:right="57"/>
              <w:rPr>
                <w:bCs/>
                <w:sz w:val="18"/>
                <w:szCs w:val="18"/>
                <w:lang w:val="fr-FR"/>
              </w:rPr>
            </w:pPr>
            <w:r w:rsidRPr="00CE70CB">
              <w:rPr>
                <w:lang w:val="fr-FR"/>
              </w:rPr>
              <w:t>6.2.3.1 et 6.2.3.4</w:t>
            </w:r>
          </w:p>
        </w:tc>
        <w:tc>
          <w:tcPr>
            <w:tcW w:w="1260" w:type="dxa"/>
            <w:shd w:val="clear" w:color="auto" w:fill="auto"/>
          </w:tcPr>
          <w:p w:rsidR="00267DA7" w:rsidRPr="00CE70CB" w:rsidRDefault="00267DA7" w:rsidP="00267DA7">
            <w:pPr>
              <w:widowControl w:val="0"/>
              <w:spacing w:before="40" w:after="40"/>
              <w:ind w:left="57" w:right="57"/>
              <w:rPr>
                <w:bCs/>
                <w:sz w:val="18"/>
                <w:szCs w:val="18"/>
                <w:lang w:val="fr-FR"/>
              </w:rPr>
            </w:pPr>
            <w:r w:rsidRPr="00CE70CB">
              <w:rPr>
                <w:lang w:val="fr-FR"/>
              </w:rPr>
              <w:t>Jusqu’à nouvel ordre</w:t>
            </w:r>
          </w:p>
        </w:tc>
        <w:tc>
          <w:tcPr>
            <w:tcW w:w="450" w:type="dxa"/>
            <w:shd w:val="clear" w:color="auto" w:fill="auto"/>
          </w:tcPr>
          <w:p w:rsidR="00267DA7" w:rsidRPr="00CE70CB" w:rsidRDefault="00267DA7" w:rsidP="00267DA7">
            <w:pPr>
              <w:widowControl w:val="0"/>
              <w:spacing w:before="40" w:after="40"/>
              <w:ind w:left="57" w:right="57"/>
              <w:rPr>
                <w:bCs/>
                <w:sz w:val="18"/>
                <w:szCs w:val="18"/>
                <w:lang w:val="fr-FR"/>
              </w:rPr>
            </w:pPr>
          </w:p>
        </w:tc>
      </w:tr>
    </w:tbl>
    <w:p w:rsidR="00267DA7" w:rsidRPr="00CE70CB" w:rsidRDefault="00267DA7" w:rsidP="00326E0F">
      <w:pPr>
        <w:pStyle w:val="Bullet1G"/>
        <w:tabs>
          <w:tab w:val="clear" w:pos="1701"/>
          <w:tab w:val="num" w:pos="2438"/>
        </w:tabs>
        <w:spacing w:before="120"/>
        <w:ind w:left="2438"/>
        <w:rPr>
          <w:lang w:val="fr-FR"/>
        </w:rPr>
      </w:pPr>
      <w:r w:rsidRPr="00CE70CB">
        <w:rPr>
          <w:lang w:val="fr-FR"/>
        </w:rPr>
        <w:t>Pour « </w:t>
      </w:r>
      <w:r w:rsidRPr="00CE70CB">
        <w:rPr>
          <w:bCs/>
          <w:lang w:val="fr-FR"/>
        </w:rPr>
        <w:t>EN ISO 9809-1:2010</w:t>
      </w:r>
      <w:r w:rsidRPr="00CE70CB">
        <w:rPr>
          <w:lang w:val="fr-FR"/>
        </w:rPr>
        <w:t> », dans la colonne (4), remplacer « Jusqu’à nouvel ordre » par « Entre le 1er janvier 2013 et le 31 décembre 2022 ». Après la ligne pour « </w:t>
      </w:r>
      <w:r w:rsidRPr="00CE70CB">
        <w:rPr>
          <w:bCs/>
          <w:lang w:val="fr-FR"/>
        </w:rPr>
        <w:t>EN ISO 9809-1:2010</w:t>
      </w:r>
      <w:r w:rsidRPr="00CE70CB">
        <w:rPr>
          <w:lang w:val="fr-FR"/>
        </w:rPr>
        <w:t> », ajouter la nouvelle ligne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7"/>
        <w:gridCol w:w="4253"/>
        <w:gridCol w:w="1176"/>
        <w:gridCol w:w="1267"/>
        <w:gridCol w:w="452"/>
      </w:tblGrid>
      <w:tr w:rsidR="00AE5923" w:rsidRPr="00CE70CB" w:rsidTr="00B61577">
        <w:tc>
          <w:tcPr>
            <w:tcW w:w="1350" w:type="dxa"/>
          </w:tcPr>
          <w:p w:rsidR="00AE5923" w:rsidRPr="00CE70CB" w:rsidRDefault="00AE5923" w:rsidP="00B61577">
            <w:pPr>
              <w:widowControl w:val="0"/>
              <w:spacing w:before="40" w:after="40"/>
              <w:ind w:left="57" w:right="57"/>
              <w:rPr>
                <w:bCs/>
                <w:sz w:val="18"/>
                <w:szCs w:val="18"/>
                <w:lang w:val="fr-FR"/>
              </w:rPr>
            </w:pPr>
            <w:r w:rsidRPr="00CE70CB">
              <w:rPr>
                <w:bCs/>
                <w:lang w:val="fr-FR"/>
              </w:rPr>
              <w:t>EN ISO 9809-1:2019</w:t>
            </w:r>
          </w:p>
        </w:tc>
        <w:tc>
          <w:tcPr>
            <w:tcW w:w="4230" w:type="dxa"/>
            <w:vAlign w:val="center"/>
          </w:tcPr>
          <w:p w:rsidR="00AE5923" w:rsidRPr="00CE70CB" w:rsidRDefault="00AE5923" w:rsidP="00B61577">
            <w:pPr>
              <w:widowControl w:val="0"/>
              <w:spacing w:before="40" w:after="40"/>
              <w:ind w:left="57" w:right="57"/>
              <w:rPr>
                <w:bCs/>
                <w:sz w:val="18"/>
                <w:szCs w:val="18"/>
                <w:lang w:val="fr-FR"/>
              </w:rPr>
            </w:pPr>
            <w:r w:rsidRPr="00CE70CB">
              <w:rPr>
                <w:lang w:val="fr-FR"/>
              </w:rPr>
              <w:t>Bouteilles à gaz – Bouteilles à gaz rechargeables en acier sans soudure – Conception, construction et essais – Partie 1 : Bouteilles en acier trempé et revenu ayant une résistance à la traction inférieure à 1 100 MPa</w:t>
            </w:r>
          </w:p>
        </w:tc>
        <w:tc>
          <w:tcPr>
            <w:tcW w:w="1170" w:type="dxa"/>
          </w:tcPr>
          <w:p w:rsidR="00AE5923" w:rsidRPr="00CE70CB" w:rsidRDefault="00AE5923" w:rsidP="00B61577">
            <w:pPr>
              <w:widowControl w:val="0"/>
              <w:spacing w:before="40" w:after="40"/>
              <w:ind w:left="57" w:right="57"/>
              <w:rPr>
                <w:bCs/>
                <w:sz w:val="18"/>
                <w:szCs w:val="18"/>
                <w:lang w:val="fr-FR"/>
              </w:rPr>
            </w:pPr>
            <w:r w:rsidRPr="00CE70CB">
              <w:rPr>
                <w:lang w:val="fr-FR"/>
              </w:rPr>
              <w:t>6.2.3.1 et 6.2.3.4</w:t>
            </w:r>
          </w:p>
        </w:tc>
        <w:tc>
          <w:tcPr>
            <w:tcW w:w="1260" w:type="dxa"/>
            <w:shd w:val="clear" w:color="auto" w:fill="auto"/>
          </w:tcPr>
          <w:p w:rsidR="00AE5923" w:rsidRPr="00CE70CB" w:rsidRDefault="00AE5923" w:rsidP="00B61577">
            <w:pPr>
              <w:widowControl w:val="0"/>
              <w:spacing w:before="40" w:after="40"/>
              <w:ind w:left="57" w:right="57"/>
              <w:rPr>
                <w:bCs/>
                <w:sz w:val="18"/>
                <w:szCs w:val="18"/>
                <w:lang w:val="fr-FR"/>
              </w:rPr>
            </w:pPr>
            <w:r w:rsidRPr="00CE70CB">
              <w:rPr>
                <w:lang w:val="fr-FR"/>
              </w:rPr>
              <w:t>Jusqu’à nouvel ordre</w:t>
            </w:r>
          </w:p>
        </w:tc>
        <w:tc>
          <w:tcPr>
            <w:tcW w:w="450" w:type="dxa"/>
            <w:shd w:val="clear" w:color="auto" w:fill="auto"/>
          </w:tcPr>
          <w:p w:rsidR="00AE5923" w:rsidRPr="00CE70CB" w:rsidRDefault="00AE5923" w:rsidP="00B61577">
            <w:pPr>
              <w:widowControl w:val="0"/>
              <w:spacing w:before="40" w:after="40"/>
              <w:ind w:left="57" w:right="57"/>
              <w:rPr>
                <w:bCs/>
                <w:sz w:val="18"/>
                <w:szCs w:val="18"/>
                <w:lang w:val="fr-FR"/>
              </w:rPr>
            </w:pPr>
          </w:p>
        </w:tc>
      </w:tr>
    </w:tbl>
    <w:p w:rsidR="00267DA7" w:rsidRPr="00CE70CB" w:rsidRDefault="00267DA7" w:rsidP="00326E0F">
      <w:pPr>
        <w:pStyle w:val="Bullet1G"/>
        <w:tabs>
          <w:tab w:val="clear" w:pos="1701"/>
          <w:tab w:val="num" w:pos="2438"/>
        </w:tabs>
        <w:spacing w:before="120"/>
        <w:ind w:left="2438"/>
        <w:rPr>
          <w:lang w:val="fr-FR"/>
        </w:rPr>
      </w:pPr>
      <w:bookmarkStart w:id="142" w:name="_Hlk20298360"/>
      <w:r w:rsidRPr="00CE70CB">
        <w:rPr>
          <w:lang w:val="fr-FR"/>
        </w:rPr>
        <w:t>Pour « E</w:t>
      </w:r>
      <w:r w:rsidRPr="00CE70CB">
        <w:rPr>
          <w:bCs/>
          <w:lang w:val="fr-FR"/>
        </w:rPr>
        <w:t>N ISO 9809-2:2010</w:t>
      </w:r>
      <w:r w:rsidRPr="00CE70CB">
        <w:rPr>
          <w:lang w:val="fr-FR"/>
        </w:rPr>
        <w:t> », dans la colonne (4), remplacer « Jusqu’à nouvel ordre » par « Entre le 1er janvier 2013 et le 31 décembre 2022 ». Après la ligne pour « </w:t>
      </w:r>
      <w:r w:rsidRPr="00CE70CB">
        <w:rPr>
          <w:bCs/>
          <w:lang w:val="fr-FR"/>
        </w:rPr>
        <w:t>EN ISO 9809-2:2010</w:t>
      </w:r>
      <w:r w:rsidRPr="00CE70CB">
        <w:rPr>
          <w:lang w:val="fr-FR"/>
        </w:rPr>
        <w:t> », ajouter la nouvelle ligne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7"/>
        <w:gridCol w:w="4253"/>
        <w:gridCol w:w="1176"/>
        <w:gridCol w:w="1267"/>
        <w:gridCol w:w="452"/>
      </w:tblGrid>
      <w:tr w:rsidR="00AE5923" w:rsidRPr="00CE70CB" w:rsidTr="00B61577">
        <w:tc>
          <w:tcPr>
            <w:tcW w:w="1350" w:type="dxa"/>
          </w:tcPr>
          <w:p w:rsidR="00AE5923" w:rsidRPr="00CE70CB" w:rsidRDefault="00AE5923" w:rsidP="00B61577">
            <w:pPr>
              <w:widowControl w:val="0"/>
              <w:spacing w:before="40" w:after="40"/>
              <w:ind w:left="57" w:right="57"/>
              <w:rPr>
                <w:bCs/>
                <w:sz w:val="18"/>
                <w:szCs w:val="18"/>
                <w:lang w:val="fr-FR"/>
              </w:rPr>
            </w:pPr>
            <w:r w:rsidRPr="00CE70CB">
              <w:rPr>
                <w:bCs/>
                <w:lang w:val="fr-FR"/>
              </w:rPr>
              <w:t>EN ISO 9809-2:2019</w:t>
            </w:r>
          </w:p>
        </w:tc>
        <w:tc>
          <w:tcPr>
            <w:tcW w:w="4230" w:type="dxa"/>
            <w:vAlign w:val="center"/>
          </w:tcPr>
          <w:p w:rsidR="00AE5923" w:rsidRPr="00CE70CB" w:rsidRDefault="00AE5923" w:rsidP="00B61577">
            <w:pPr>
              <w:widowControl w:val="0"/>
              <w:spacing w:before="40" w:after="40"/>
              <w:ind w:left="57" w:right="57"/>
              <w:rPr>
                <w:bCs/>
                <w:sz w:val="18"/>
                <w:szCs w:val="18"/>
                <w:lang w:val="fr-FR"/>
              </w:rPr>
            </w:pPr>
            <w:r w:rsidRPr="00CE70CB">
              <w:rPr>
                <w:lang w:val="fr-FR"/>
              </w:rPr>
              <w:t>Bouteilles à gaz – Bouteilles à gaz rechargeables en acier sans soudure – Conception, construction et essais – Partie 2 : Bouteilles en acier trempé et revenu ayant une résistance à la traction supérieure ou égale à 1 100 MPa</w:t>
            </w:r>
          </w:p>
        </w:tc>
        <w:tc>
          <w:tcPr>
            <w:tcW w:w="1170" w:type="dxa"/>
          </w:tcPr>
          <w:p w:rsidR="00AE5923" w:rsidRPr="00CE70CB" w:rsidRDefault="00AE5923" w:rsidP="00B61577">
            <w:pPr>
              <w:widowControl w:val="0"/>
              <w:spacing w:before="40" w:after="40"/>
              <w:ind w:left="57" w:right="57"/>
              <w:rPr>
                <w:bCs/>
                <w:sz w:val="18"/>
                <w:szCs w:val="18"/>
                <w:lang w:val="fr-FR"/>
              </w:rPr>
            </w:pPr>
            <w:r w:rsidRPr="00CE70CB">
              <w:rPr>
                <w:lang w:val="fr-FR"/>
              </w:rPr>
              <w:t>6.2.3.1 et 6.2.3.4</w:t>
            </w:r>
          </w:p>
        </w:tc>
        <w:tc>
          <w:tcPr>
            <w:tcW w:w="1260" w:type="dxa"/>
            <w:shd w:val="clear" w:color="auto" w:fill="auto"/>
          </w:tcPr>
          <w:p w:rsidR="00AE5923" w:rsidRPr="00CE70CB" w:rsidRDefault="00AE5923" w:rsidP="00B61577">
            <w:pPr>
              <w:widowControl w:val="0"/>
              <w:spacing w:before="40" w:after="40"/>
              <w:ind w:left="57" w:right="57"/>
              <w:rPr>
                <w:bCs/>
                <w:sz w:val="18"/>
                <w:szCs w:val="18"/>
                <w:lang w:val="fr-FR"/>
              </w:rPr>
            </w:pPr>
            <w:r w:rsidRPr="00CE70CB">
              <w:rPr>
                <w:lang w:val="fr-FR"/>
              </w:rPr>
              <w:t>Jusqu’à nouvel ordre</w:t>
            </w:r>
          </w:p>
        </w:tc>
        <w:tc>
          <w:tcPr>
            <w:tcW w:w="450" w:type="dxa"/>
            <w:shd w:val="clear" w:color="auto" w:fill="auto"/>
          </w:tcPr>
          <w:p w:rsidR="00AE5923" w:rsidRPr="00CE70CB" w:rsidRDefault="00AE5923" w:rsidP="00B61577">
            <w:pPr>
              <w:widowControl w:val="0"/>
              <w:spacing w:before="40" w:after="40"/>
              <w:ind w:left="57" w:right="57"/>
              <w:rPr>
                <w:bCs/>
                <w:sz w:val="18"/>
                <w:szCs w:val="18"/>
                <w:lang w:val="fr-FR"/>
              </w:rPr>
            </w:pPr>
          </w:p>
        </w:tc>
      </w:tr>
    </w:tbl>
    <w:bookmarkEnd w:id="142"/>
    <w:p w:rsidR="00267DA7" w:rsidRPr="00CE70CB" w:rsidRDefault="00267DA7" w:rsidP="00326E0F">
      <w:pPr>
        <w:pStyle w:val="Bullet1G"/>
        <w:tabs>
          <w:tab w:val="clear" w:pos="1701"/>
          <w:tab w:val="num" w:pos="2438"/>
        </w:tabs>
        <w:spacing w:before="120"/>
        <w:ind w:left="2438"/>
        <w:rPr>
          <w:lang w:val="fr-FR"/>
        </w:rPr>
      </w:pPr>
      <w:r w:rsidRPr="00CE70CB">
        <w:rPr>
          <w:lang w:val="fr-FR"/>
        </w:rPr>
        <w:t>Pour « EN ISO 9809-3:2010 », dans la colonne (4), remplacer « Jusqu’à nouvel ordre » par « Entre le 1er janvier 2013 et le 31 décembre 2022 ». Après la ligne pour « EN ISO 9809-3:2010 », ajouter la nouvelle ligne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7"/>
        <w:gridCol w:w="4253"/>
        <w:gridCol w:w="1176"/>
        <w:gridCol w:w="1267"/>
        <w:gridCol w:w="452"/>
      </w:tblGrid>
      <w:tr w:rsidR="00AE5923" w:rsidRPr="00CE70CB" w:rsidTr="00B61577">
        <w:tc>
          <w:tcPr>
            <w:tcW w:w="1350" w:type="dxa"/>
          </w:tcPr>
          <w:p w:rsidR="00AE5923" w:rsidRPr="00CE70CB" w:rsidRDefault="00AE5923" w:rsidP="00B61577">
            <w:pPr>
              <w:widowControl w:val="0"/>
              <w:spacing w:before="40" w:after="40"/>
              <w:ind w:left="57" w:right="57"/>
              <w:rPr>
                <w:bCs/>
                <w:sz w:val="18"/>
                <w:szCs w:val="18"/>
                <w:lang w:val="fr-FR"/>
              </w:rPr>
            </w:pPr>
            <w:r w:rsidRPr="00CE70CB">
              <w:rPr>
                <w:bCs/>
                <w:lang w:val="fr-FR"/>
              </w:rPr>
              <w:t>EN ISO 9809-3:2019</w:t>
            </w:r>
          </w:p>
        </w:tc>
        <w:tc>
          <w:tcPr>
            <w:tcW w:w="4230" w:type="dxa"/>
            <w:vAlign w:val="center"/>
          </w:tcPr>
          <w:p w:rsidR="00AE5923" w:rsidRPr="00CE70CB" w:rsidRDefault="00AE5923" w:rsidP="00B61577">
            <w:pPr>
              <w:widowControl w:val="0"/>
              <w:spacing w:before="40" w:after="40"/>
              <w:ind w:left="57" w:right="57"/>
              <w:rPr>
                <w:bCs/>
                <w:sz w:val="18"/>
                <w:szCs w:val="18"/>
                <w:lang w:val="fr-FR"/>
              </w:rPr>
            </w:pPr>
            <w:r w:rsidRPr="00CE70CB">
              <w:rPr>
                <w:lang w:val="fr-FR"/>
              </w:rPr>
              <w:t>Bouteilles à gaz – Bouteilles à gaz rechargeables en acier sans soudure – Conception, construction et essais – Partie 3 : Bouteilles en acier normalisé</w:t>
            </w:r>
          </w:p>
        </w:tc>
        <w:tc>
          <w:tcPr>
            <w:tcW w:w="1170" w:type="dxa"/>
          </w:tcPr>
          <w:p w:rsidR="00AE5923" w:rsidRPr="00CE70CB" w:rsidRDefault="00AE5923" w:rsidP="00B61577">
            <w:pPr>
              <w:widowControl w:val="0"/>
              <w:spacing w:before="40" w:after="40"/>
              <w:ind w:left="57" w:right="57"/>
              <w:rPr>
                <w:bCs/>
                <w:sz w:val="18"/>
                <w:szCs w:val="18"/>
                <w:lang w:val="fr-FR"/>
              </w:rPr>
            </w:pPr>
            <w:r w:rsidRPr="00CE70CB">
              <w:rPr>
                <w:lang w:val="fr-FR"/>
              </w:rPr>
              <w:t>6.2.3.1 et 6.2.3.4</w:t>
            </w:r>
          </w:p>
        </w:tc>
        <w:tc>
          <w:tcPr>
            <w:tcW w:w="1260" w:type="dxa"/>
            <w:shd w:val="clear" w:color="auto" w:fill="auto"/>
          </w:tcPr>
          <w:p w:rsidR="00AE5923" w:rsidRPr="00CE70CB" w:rsidRDefault="00AE5923" w:rsidP="00B61577">
            <w:pPr>
              <w:widowControl w:val="0"/>
              <w:spacing w:before="40" w:after="40"/>
              <w:ind w:left="57" w:right="57"/>
              <w:rPr>
                <w:bCs/>
                <w:sz w:val="18"/>
                <w:szCs w:val="18"/>
                <w:lang w:val="fr-FR"/>
              </w:rPr>
            </w:pPr>
            <w:r w:rsidRPr="00CE70CB">
              <w:rPr>
                <w:lang w:val="fr-FR"/>
              </w:rPr>
              <w:t>Jusqu’à nouvel ordre</w:t>
            </w:r>
          </w:p>
        </w:tc>
        <w:tc>
          <w:tcPr>
            <w:tcW w:w="450" w:type="dxa"/>
            <w:shd w:val="clear" w:color="auto" w:fill="auto"/>
          </w:tcPr>
          <w:p w:rsidR="00AE5923" w:rsidRPr="00CE70CB" w:rsidRDefault="00AE5923" w:rsidP="00B61577">
            <w:pPr>
              <w:widowControl w:val="0"/>
              <w:spacing w:before="40" w:after="40"/>
              <w:ind w:left="57" w:right="57"/>
              <w:rPr>
                <w:bCs/>
                <w:sz w:val="18"/>
                <w:szCs w:val="18"/>
                <w:lang w:val="fr-FR"/>
              </w:rPr>
            </w:pPr>
          </w:p>
        </w:tc>
      </w:tr>
    </w:tbl>
    <w:p w:rsidR="00267DA7" w:rsidRPr="00CE70CB" w:rsidRDefault="00267DA7" w:rsidP="00267DA7">
      <w:pPr>
        <w:pStyle w:val="SingleTxtG"/>
        <w:tabs>
          <w:tab w:val="left" w:pos="2268"/>
        </w:tabs>
        <w:spacing w:before="120"/>
        <w:rPr>
          <w:lang w:val="fr-FR"/>
        </w:rPr>
      </w:pPr>
      <w:r w:rsidRPr="00CE70CB">
        <w:rPr>
          <w:lang w:val="fr-FR"/>
        </w:rPr>
        <w:t>6.2.4.1</w:t>
      </w:r>
      <w:r w:rsidRPr="00CE70CB">
        <w:rPr>
          <w:lang w:val="fr-FR"/>
        </w:rPr>
        <w:tab/>
        <w:t>Dans le tableau, sous « Pour les fermetures » :</w:t>
      </w:r>
    </w:p>
    <w:p w:rsidR="00267DA7" w:rsidRPr="00CE70CB" w:rsidRDefault="00267DA7" w:rsidP="00326E0F">
      <w:pPr>
        <w:pStyle w:val="Bullet1G"/>
        <w:tabs>
          <w:tab w:val="clear" w:pos="1701"/>
          <w:tab w:val="num" w:pos="2438"/>
        </w:tabs>
        <w:spacing w:before="120"/>
        <w:ind w:left="2438"/>
        <w:rPr>
          <w:lang w:val="fr-FR"/>
        </w:rPr>
      </w:pPr>
      <w:r w:rsidRPr="00CE70CB">
        <w:rPr>
          <w:lang w:val="fr-FR"/>
        </w:rPr>
        <w:t>Pour « EN ISO 17871:2015 », dans la colonne (4), remplacer le texte existant par « Entre le 1</w:t>
      </w:r>
      <w:r w:rsidRPr="00CE70CB">
        <w:rPr>
          <w:vertAlign w:val="superscript"/>
          <w:lang w:val="fr-FR"/>
        </w:rPr>
        <w:t>er</w:t>
      </w:r>
      <w:r w:rsidRPr="00CE70CB">
        <w:rPr>
          <w:lang w:val="fr-FR"/>
        </w:rPr>
        <w:t xml:space="preserve"> janvier 2017 et le 31 décembre 2021 ».</w:t>
      </w:r>
    </w:p>
    <w:p w:rsidR="00267DA7" w:rsidRPr="00CE70CB" w:rsidRDefault="00267DA7" w:rsidP="00326E0F">
      <w:pPr>
        <w:pStyle w:val="Bullet1G"/>
        <w:tabs>
          <w:tab w:val="clear" w:pos="1701"/>
          <w:tab w:val="num" w:pos="2438"/>
        </w:tabs>
        <w:spacing w:before="120"/>
        <w:ind w:left="2438"/>
        <w:rPr>
          <w:lang w:val="fr-FR"/>
        </w:rPr>
      </w:pPr>
      <w:r w:rsidRPr="00CE70CB">
        <w:rPr>
          <w:lang w:val="fr-FR"/>
        </w:rPr>
        <w:t>Après la rubrique existante pour la norme « EN ISO 17871:2015 »,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4253"/>
        <w:gridCol w:w="1176"/>
        <w:gridCol w:w="1267"/>
        <w:gridCol w:w="452"/>
      </w:tblGrid>
      <w:tr w:rsidR="00267DA7" w:rsidRPr="00CE70CB" w:rsidTr="00267DA7">
        <w:tc>
          <w:tcPr>
            <w:tcW w:w="1357" w:type="dxa"/>
          </w:tcPr>
          <w:p w:rsidR="00267DA7" w:rsidRPr="00CE70CB" w:rsidRDefault="00267DA7" w:rsidP="00267DA7">
            <w:pPr>
              <w:widowControl w:val="0"/>
              <w:spacing w:before="40" w:after="40"/>
              <w:ind w:left="57" w:right="57"/>
              <w:rPr>
                <w:lang w:val="fr-FR"/>
              </w:rPr>
            </w:pPr>
            <w:r w:rsidRPr="00CE70CB">
              <w:rPr>
                <w:lang w:val="fr-FR"/>
              </w:rPr>
              <w:t>EN ISO 17871:2015+</w:t>
            </w:r>
            <w:r w:rsidRPr="00CE70CB">
              <w:rPr>
                <w:lang w:val="fr-FR"/>
              </w:rPr>
              <w:br/>
              <w:t>A1:2018</w:t>
            </w:r>
          </w:p>
        </w:tc>
        <w:tc>
          <w:tcPr>
            <w:tcW w:w="4253" w:type="dxa"/>
          </w:tcPr>
          <w:p w:rsidR="00267DA7" w:rsidRPr="00CE70CB" w:rsidRDefault="00267DA7" w:rsidP="00267DA7">
            <w:pPr>
              <w:widowControl w:val="0"/>
              <w:spacing w:before="40" w:after="40"/>
              <w:ind w:left="57" w:right="57"/>
              <w:rPr>
                <w:lang w:val="fr-FR"/>
              </w:rPr>
            </w:pPr>
            <w:r w:rsidRPr="00CE70CB">
              <w:rPr>
                <w:lang w:val="fr-FR"/>
              </w:rPr>
              <w:t>Bouteilles à gaz − Robinets de bouteilles à ouverture rapide − Spécifications et essais de type</w:t>
            </w:r>
          </w:p>
        </w:tc>
        <w:tc>
          <w:tcPr>
            <w:tcW w:w="1176" w:type="dxa"/>
          </w:tcPr>
          <w:p w:rsidR="00267DA7" w:rsidRPr="00CE70CB" w:rsidRDefault="00267DA7" w:rsidP="00267DA7">
            <w:pPr>
              <w:widowControl w:val="0"/>
              <w:spacing w:before="40" w:after="40"/>
              <w:ind w:left="57" w:right="57"/>
              <w:rPr>
                <w:lang w:val="fr-FR"/>
              </w:rPr>
            </w:pPr>
            <w:r w:rsidRPr="00CE70CB">
              <w:rPr>
                <w:lang w:val="fr-FR"/>
              </w:rPr>
              <w:t>6.2.3.1, 6.2.3.3 et 6.2.3.4</w:t>
            </w:r>
          </w:p>
        </w:tc>
        <w:tc>
          <w:tcPr>
            <w:tcW w:w="1267" w:type="dxa"/>
          </w:tcPr>
          <w:p w:rsidR="00267DA7" w:rsidRPr="00CE70CB" w:rsidRDefault="00267DA7" w:rsidP="00267DA7">
            <w:pPr>
              <w:widowControl w:val="0"/>
              <w:spacing w:before="40" w:after="40"/>
              <w:ind w:left="57" w:right="57"/>
              <w:rPr>
                <w:lang w:val="fr-FR"/>
              </w:rPr>
            </w:pPr>
            <w:r w:rsidRPr="00CE70CB">
              <w:rPr>
                <w:lang w:val="fr-FR"/>
              </w:rPr>
              <w:t>Jusqu’à nouvel ordre</w:t>
            </w:r>
          </w:p>
        </w:tc>
        <w:tc>
          <w:tcPr>
            <w:tcW w:w="452" w:type="dxa"/>
          </w:tcPr>
          <w:p w:rsidR="00267DA7" w:rsidRPr="00CE70CB" w:rsidRDefault="00267DA7" w:rsidP="00267DA7">
            <w:pPr>
              <w:widowControl w:val="0"/>
              <w:spacing w:before="40" w:after="40"/>
              <w:ind w:left="57" w:right="57"/>
              <w:rPr>
                <w:lang w:val="fr-FR"/>
              </w:rPr>
            </w:pPr>
          </w:p>
        </w:tc>
      </w:tr>
    </w:tbl>
    <w:p w:rsidR="00267DA7" w:rsidRPr="00CE70CB" w:rsidRDefault="00267DA7" w:rsidP="00267DA7">
      <w:pPr>
        <w:tabs>
          <w:tab w:val="left" w:pos="426"/>
        </w:tabs>
        <w:spacing w:before="120" w:after="120"/>
        <w:ind w:left="1134"/>
        <w:rPr>
          <w:bCs/>
          <w:lang w:val="fr-FR"/>
        </w:rPr>
      </w:pPr>
      <w:r w:rsidRPr="00CE70CB">
        <w:rPr>
          <w:bCs/>
          <w:lang w:val="fr-FR"/>
        </w:rPr>
        <w:t>6.2.4.2</w:t>
      </w:r>
      <w:r w:rsidRPr="00CE70CB">
        <w:rPr>
          <w:bCs/>
          <w:lang w:val="fr-FR"/>
        </w:rPr>
        <w:tab/>
      </w:r>
      <w:r w:rsidRPr="00CE70CB">
        <w:rPr>
          <w:bCs/>
          <w:lang w:val="fr-FR"/>
        </w:rPr>
        <w:tab/>
        <w:t>Dans le tableau, sous « Pour les contrôles et épreuves périodiques » :</w:t>
      </w:r>
    </w:p>
    <w:p w:rsidR="00267DA7" w:rsidRPr="00CE70CB" w:rsidRDefault="00267DA7" w:rsidP="00326E0F">
      <w:pPr>
        <w:pStyle w:val="Bullet1G"/>
        <w:tabs>
          <w:tab w:val="clear" w:pos="1701"/>
          <w:tab w:val="num" w:pos="2438"/>
        </w:tabs>
        <w:spacing w:before="120"/>
        <w:ind w:left="2438"/>
        <w:rPr>
          <w:iCs/>
          <w:lang w:val="fr-FR"/>
        </w:rPr>
      </w:pPr>
      <w:r w:rsidRPr="00CE70CB">
        <w:rPr>
          <w:lang w:val="fr-FR"/>
        </w:rPr>
        <w:lastRenderedPageBreak/>
        <w:t>Pour « EN 1968:2002+A1:2005 (sauf annexe B) », dans la colonne (3), remplacer le texte existant par « </w:t>
      </w:r>
      <w:r w:rsidR="000342CF" w:rsidRPr="00CE70CB">
        <w:rPr>
          <w:lang w:val="fr-FR"/>
        </w:rPr>
        <w:t>J</w:t>
      </w:r>
      <w:r w:rsidRPr="00CE70CB">
        <w:rPr>
          <w:lang w:val="fr-FR"/>
        </w:rPr>
        <w:t xml:space="preserve">usqu’au 31 décembre 2022 ». </w:t>
      </w:r>
    </w:p>
    <w:p w:rsidR="00267DA7" w:rsidRPr="00CE70CB" w:rsidRDefault="00267DA7" w:rsidP="00326E0F">
      <w:pPr>
        <w:pStyle w:val="Bullet1G"/>
        <w:tabs>
          <w:tab w:val="clear" w:pos="1701"/>
          <w:tab w:val="num" w:pos="2438"/>
        </w:tabs>
        <w:spacing w:before="120"/>
        <w:ind w:left="2438"/>
        <w:rPr>
          <w:lang w:val="fr-FR"/>
        </w:rPr>
      </w:pPr>
      <w:r w:rsidRPr="00CE70CB">
        <w:rPr>
          <w:lang w:val="fr-FR"/>
        </w:rPr>
        <w:t>Pour « EN 1802:2002 (sauf annexe B) », dans la colonne (3), remplacer le texte existant par « </w:t>
      </w:r>
      <w:r w:rsidR="000342CF" w:rsidRPr="00CE70CB">
        <w:rPr>
          <w:lang w:val="fr-FR"/>
        </w:rPr>
        <w:t>J</w:t>
      </w:r>
      <w:r w:rsidRPr="00CE70CB">
        <w:rPr>
          <w:lang w:val="fr-FR"/>
        </w:rPr>
        <w:t xml:space="preserve">usqu’au 31 décembre 2022 ». </w:t>
      </w:r>
    </w:p>
    <w:p w:rsidR="00267DA7" w:rsidRPr="00CE70CB" w:rsidRDefault="00267DA7" w:rsidP="00326E0F">
      <w:pPr>
        <w:pStyle w:val="Bullet1G"/>
        <w:tabs>
          <w:tab w:val="clear" w:pos="1701"/>
          <w:tab w:val="num" w:pos="2438"/>
        </w:tabs>
        <w:spacing w:before="120"/>
        <w:ind w:left="2438"/>
        <w:rPr>
          <w:lang w:val="fr-FR"/>
        </w:rPr>
      </w:pPr>
      <w:r w:rsidRPr="00CE70CB">
        <w:rPr>
          <w:lang w:val="fr-FR"/>
        </w:rPr>
        <w:t>Après la rubrique existante pour la norme « EN 1802:2002 (sauf annexe B) »,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8"/>
        <w:gridCol w:w="5067"/>
        <w:gridCol w:w="1900"/>
      </w:tblGrid>
      <w:tr w:rsidR="00267DA7" w:rsidRPr="00CE70CB" w:rsidTr="00267DA7">
        <w:trPr>
          <w:trHeight w:val="1015"/>
        </w:trPr>
        <w:tc>
          <w:tcPr>
            <w:tcW w:w="1530" w:type="dxa"/>
          </w:tcPr>
          <w:p w:rsidR="00267DA7" w:rsidRPr="00CE70CB" w:rsidRDefault="00267DA7" w:rsidP="00267DA7">
            <w:pPr>
              <w:widowControl w:val="0"/>
              <w:spacing w:before="40" w:after="40"/>
              <w:ind w:left="57" w:right="57"/>
              <w:rPr>
                <w:bCs/>
                <w:iCs/>
                <w:sz w:val="18"/>
                <w:szCs w:val="18"/>
                <w:lang w:val="fr-FR"/>
              </w:rPr>
            </w:pPr>
            <w:r w:rsidRPr="00CE70CB">
              <w:rPr>
                <w:lang w:val="fr-FR"/>
              </w:rPr>
              <w:t>EN ISO 18119:2018</w:t>
            </w:r>
          </w:p>
        </w:tc>
        <w:tc>
          <w:tcPr>
            <w:tcW w:w="5040" w:type="dxa"/>
          </w:tcPr>
          <w:p w:rsidR="00267DA7" w:rsidRPr="00CE70CB" w:rsidRDefault="00267DA7" w:rsidP="00267DA7">
            <w:pPr>
              <w:widowControl w:val="0"/>
              <w:spacing w:before="40" w:after="40"/>
              <w:ind w:left="57" w:right="57"/>
              <w:rPr>
                <w:bCs/>
                <w:noProof/>
                <w:sz w:val="18"/>
                <w:szCs w:val="18"/>
                <w:lang w:val="fr-FR"/>
              </w:rPr>
            </w:pPr>
            <w:r w:rsidRPr="00CE70CB">
              <w:rPr>
                <w:lang w:val="fr-FR"/>
              </w:rPr>
              <w:t>Bouteilles à gaz − Bouteilles à gaz en acier et en alliages d’aluminium, sans soudure − Contrôles et essais périodiques</w:t>
            </w:r>
          </w:p>
          <w:p w:rsidR="00267DA7" w:rsidRPr="00CE70CB" w:rsidRDefault="00267DA7" w:rsidP="00267DA7">
            <w:pPr>
              <w:widowControl w:val="0"/>
              <w:spacing w:before="40" w:after="40"/>
              <w:ind w:left="57" w:right="57"/>
              <w:rPr>
                <w:bCs/>
                <w:i/>
                <w:iCs/>
                <w:sz w:val="18"/>
                <w:szCs w:val="18"/>
                <w:lang w:val="fr-FR"/>
              </w:rPr>
            </w:pPr>
            <w:r w:rsidRPr="00CE70CB">
              <w:rPr>
                <w:b/>
                <w:i/>
                <w:lang w:val="fr-FR"/>
              </w:rPr>
              <w:t>NOTA </w:t>
            </w:r>
            <w:r w:rsidRPr="00CE70CB">
              <w:rPr>
                <w:i/>
                <w:lang w:val="fr-FR"/>
              </w:rPr>
              <w:t>: Nonobstant l’article B.1 de cette norme, toutes les bouteilles et tubes dont l’épaisseur de paroi est inférieure à l’épaisseur de paroi minimale de calcul doivent être rejetés.</w:t>
            </w:r>
          </w:p>
        </w:tc>
        <w:tc>
          <w:tcPr>
            <w:tcW w:w="1890" w:type="dxa"/>
          </w:tcPr>
          <w:p w:rsidR="00267DA7" w:rsidRPr="00CE70CB" w:rsidRDefault="00267DA7" w:rsidP="00267DA7">
            <w:pPr>
              <w:widowControl w:val="0"/>
              <w:spacing w:before="40" w:after="40"/>
              <w:ind w:left="57" w:right="57"/>
              <w:rPr>
                <w:bCs/>
                <w:sz w:val="18"/>
                <w:szCs w:val="18"/>
                <w:lang w:val="fr-FR"/>
              </w:rPr>
            </w:pPr>
            <w:r w:rsidRPr="00CE70CB">
              <w:rPr>
                <w:lang w:val="fr-FR"/>
              </w:rPr>
              <w:t>Obligatoirement à partir du 1</w:t>
            </w:r>
            <w:r w:rsidRPr="00CE70CB">
              <w:rPr>
                <w:vertAlign w:val="superscript"/>
                <w:lang w:val="fr-FR"/>
              </w:rPr>
              <w:t>er</w:t>
            </w:r>
            <w:r w:rsidRPr="00CE70CB">
              <w:rPr>
                <w:lang w:val="fr-FR"/>
              </w:rPr>
              <w:t xml:space="preserve"> janvier 2023</w:t>
            </w:r>
          </w:p>
        </w:tc>
      </w:tr>
    </w:tbl>
    <w:p w:rsidR="00267DA7" w:rsidRPr="00CE70CB" w:rsidRDefault="00267DA7" w:rsidP="00326E0F">
      <w:pPr>
        <w:pStyle w:val="Bullet1G"/>
        <w:tabs>
          <w:tab w:val="clear" w:pos="1701"/>
          <w:tab w:val="num" w:pos="2438"/>
        </w:tabs>
        <w:spacing w:before="120"/>
        <w:ind w:left="2438"/>
        <w:rPr>
          <w:lang w:val="fr-FR"/>
        </w:rPr>
      </w:pPr>
      <w:r w:rsidRPr="00CE70CB">
        <w:rPr>
          <w:lang w:val="fr-FR"/>
        </w:rPr>
        <w:t xml:space="preserve">Pour « EN 1440:2016 (sauf annexe C) », dans la colonne (3), remplacer le texte existant par « Jusqu’au 31 décembre 2021 ». </w:t>
      </w:r>
    </w:p>
    <w:p w:rsidR="00267DA7" w:rsidRPr="00CE70CB" w:rsidRDefault="00267DA7" w:rsidP="00326E0F">
      <w:pPr>
        <w:pStyle w:val="Bullet1G"/>
        <w:tabs>
          <w:tab w:val="clear" w:pos="1701"/>
          <w:tab w:val="num" w:pos="2438"/>
        </w:tabs>
        <w:spacing w:before="120"/>
        <w:ind w:left="2438"/>
        <w:rPr>
          <w:lang w:val="fr-FR"/>
        </w:rPr>
      </w:pPr>
      <w:r w:rsidRPr="00CE70CB">
        <w:rPr>
          <w:lang w:val="fr-FR"/>
        </w:rPr>
        <w:t>Après la rubrique pour la norme « EN 1440:2016 (sauf annexe C) »,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2"/>
        <w:gridCol w:w="5130"/>
        <w:gridCol w:w="1843"/>
      </w:tblGrid>
      <w:tr w:rsidR="00267DA7" w:rsidRPr="00CE70CB" w:rsidTr="00267DA7">
        <w:tc>
          <w:tcPr>
            <w:tcW w:w="1524" w:type="dxa"/>
            <w:vAlign w:val="center"/>
          </w:tcPr>
          <w:p w:rsidR="00267DA7" w:rsidRPr="00CE70CB" w:rsidRDefault="00267DA7" w:rsidP="00267DA7">
            <w:pPr>
              <w:keepNext/>
              <w:widowControl w:val="0"/>
              <w:spacing w:before="40" w:after="40"/>
              <w:ind w:left="57" w:right="57"/>
              <w:rPr>
                <w:rFonts w:cs="Arial"/>
                <w:sz w:val="18"/>
                <w:szCs w:val="18"/>
                <w:lang w:val="fr-FR"/>
              </w:rPr>
            </w:pPr>
            <w:r w:rsidRPr="00CE70CB">
              <w:rPr>
                <w:lang w:val="fr-FR"/>
              </w:rPr>
              <w:t>EN 1440:2016 +</w:t>
            </w:r>
            <w:r w:rsidRPr="00CE70CB">
              <w:rPr>
                <w:lang w:val="fr-FR"/>
              </w:rPr>
              <w:br/>
              <w:t>A1:2018 (sauf annexe C)</w:t>
            </w:r>
          </w:p>
        </w:tc>
        <w:tc>
          <w:tcPr>
            <w:tcW w:w="5103" w:type="dxa"/>
            <w:vAlign w:val="center"/>
          </w:tcPr>
          <w:p w:rsidR="00267DA7" w:rsidRPr="00CE70CB" w:rsidRDefault="00267DA7" w:rsidP="00267DA7">
            <w:pPr>
              <w:widowControl w:val="0"/>
              <w:spacing w:before="40" w:after="40"/>
              <w:ind w:left="57" w:right="57"/>
              <w:rPr>
                <w:rFonts w:cs="Arial"/>
                <w:sz w:val="18"/>
                <w:szCs w:val="18"/>
                <w:lang w:val="fr-FR"/>
              </w:rPr>
            </w:pPr>
            <w:r w:rsidRPr="00CE70CB">
              <w:rPr>
                <w:lang w:val="fr-FR"/>
              </w:rPr>
              <w:t>Équipements pour GPL et leurs accessoires − Bouteilles de gaz de pétrole liquéfié (GPL) en acier soudé et brasé transportables et rechargeables − Contrôle périodique</w:t>
            </w:r>
          </w:p>
        </w:tc>
        <w:tc>
          <w:tcPr>
            <w:tcW w:w="1833" w:type="dxa"/>
          </w:tcPr>
          <w:p w:rsidR="00267DA7" w:rsidRPr="00CE70CB" w:rsidRDefault="00267DA7" w:rsidP="00267DA7">
            <w:pPr>
              <w:widowControl w:val="0"/>
              <w:spacing w:before="40" w:after="40"/>
              <w:ind w:left="57" w:right="57"/>
              <w:rPr>
                <w:rFonts w:cs="Arial"/>
                <w:sz w:val="18"/>
                <w:szCs w:val="18"/>
                <w:lang w:val="fr-FR"/>
              </w:rPr>
            </w:pPr>
            <w:r w:rsidRPr="00CE70CB">
              <w:rPr>
                <w:lang w:val="fr-FR"/>
              </w:rPr>
              <w:t>Obligatoirement à partir du 1</w:t>
            </w:r>
            <w:r w:rsidRPr="00CE70CB">
              <w:rPr>
                <w:vertAlign w:val="superscript"/>
                <w:lang w:val="fr-FR"/>
              </w:rPr>
              <w:t>er</w:t>
            </w:r>
            <w:r w:rsidRPr="00CE70CB">
              <w:rPr>
                <w:lang w:val="fr-FR"/>
              </w:rPr>
              <w:t xml:space="preserve"> janvier 2022</w:t>
            </w:r>
          </w:p>
        </w:tc>
      </w:tr>
    </w:tbl>
    <w:p w:rsidR="00267DA7" w:rsidRPr="00CE70CB" w:rsidRDefault="00267DA7" w:rsidP="00326E0F">
      <w:pPr>
        <w:pStyle w:val="Bullet1G"/>
        <w:tabs>
          <w:tab w:val="clear" w:pos="1701"/>
          <w:tab w:val="num" w:pos="2438"/>
        </w:tabs>
        <w:spacing w:before="120"/>
        <w:ind w:left="2438"/>
        <w:rPr>
          <w:lang w:val="fr-FR"/>
        </w:rPr>
      </w:pPr>
      <w:r w:rsidRPr="00CE70CB">
        <w:rPr>
          <w:lang w:val="fr-FR"/>
        </w:rPr>
        <w:t>Pour « EN 16728:2016 (sauf art</w:t>
      </w:r>
      <w:r w:rsidR="007F53E6" w:rsidRPr="00CE70CB">
        <w:rPr>
          <w:lang w:val="fr-FR"/>
        </w:rPr>
        <w:t>icle</w:t>
      </w:r>
      <w:r w:rsidRPr="00CE70CB">
        <w:rPr>
          <w:lang w:val="fr-FR"/>
        </w:rPr>
        <w:t xml:space="preserve"> 3.5, annexe F et annexe G) », dans la colonne (3), remplacer le texte existant par « Jusqu’au 31 décembre 2021 ». </w:t>
      </w:r>
    </w:p>
    <w:p w:rsidR="00267DA7" w:rsidRPr="00CE70CB" w:rsidRDefault="00267DA7" w:rsidP="00326E0F">
      <w:pPr>
        <w:pStyle w:val="Bullet1G"/>
        <w:tabs>
          <w:tab w:val="clear" w:pos="1701"/>
          <w:tab w:val="num" w:pos="2438"/>
        </w:tabs>
        <w:spacing w:before="120"/>
        <w:ind w:left="2438"/>
        <w:rPr>
          <w:lang w:val="fr-FR"/>
        </w:rPr>
      </w:pPr>
      <w:r w:rsidRPr="00CE70CB">
        <w:rPr>
          <w:lang w:val="fr-FR"/>
        </w:rPr>
        <w:t>Après la rubrique existante pour la norme « EN 16728:2016 (sauf art</w:t>
      </w:r>
      <w:r w:rsidR="00037ED4" w:rsidRPr="00CE70CB">
        <w:rPr>
          <w:lang w:val="fr-FR"/>
        </w:rPr>
        <w:t>icle</w:t>
      </w:r>
      <w:r w:rsidRPr="00CE70CB">
        <w:rPr>
          <w:lang w:val="fr-FR"/>
        </w:rPr>
        <w:t> 3.5, annexe F et annexe G) »,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1"/>
        <w:gridCol w:w="5123"/>
        <w:gridCol w:w="1851"/>
      </w:tblGrid>
      <w:tr w:rsidR="00267DA7" w:rsidRPr="00CE70CB" w:rsidTr="00267DA7">
        <w:tc>
          <w:tcPr>
            <w:tcW w:w="1531" w:type="dxa"/>
          </w:tcPr>
          <w:p w:rsidR="00267DA7" w:rsidRPr="00CE70CB" w:rsidRDefault="00267DA7" w:rsidP="00267DA7">
            <w:pPr>
              <w:widowControl w:val="0"/>
              <w:spacing w:before="40" w:after="40"/>
              <w:ind w:left="57" w:right="57"/>
              <w:rPr>
                <w:rFonts w:cs="Arial"/>
                <w:sz w:val="18"/>
                <w:szCs w:val="18"/>
                <w:lang w:val="fr-FR"/>
              </w:rPr>
            </w:pPr>
            <w:r w:rsidRPr="00CE70CB">
              <w:rPr>
                <w:lang w:val="fr-FR"/>
              </w:rPr>
              <w:t>EN 16728:2016+</w:t>
            </w:r>
            <w:r w:rsidRPr="00CE70CB">
              <w:rPr>
                <w:lang w:val="fr-FR"/>
              </w:rPr>
              <w:br/>
              <w:t>A1:2018</w:t>
            </w:r>
          </w:p>
        </w:tc>
        <w:tc>
          <w:tcPr>
            <w:tcW w:w="5123" w:type="dxa"/>
          </w:tcPr>
          <w:p w:rsidR="00267DA7" w:rsidRPr="00CE70CB" w:rsidRDefault="00267DA7" w:rsidP="00267DA7">
            <w:pPr>
              <w:widowControl w:val="0"/>
              <w:spacing w:before="40" w:after="40"/>
              <w:ind w:left="57" w:right="57"/>
              <w:rPr>
                <w:rFonts w:cs="Arial"/>
                <w:sz w:val="18"/>
                <w:szCs w:val="18"/>
                <w:lang w:val="fr-FR"/>
              </w:rPr>
            </w:pPr>
            <w:r w:rsidRPr="00CE70CB">
              <w:rPr>
                <w:lang w:val="fr-FR"/>
              </w:rPr>
              <w:t>Équipements pour GPL et leurs accessoires − Bouteilles transportables et rechargeables pour GPL autres que celles en acier soudé et brasé − Contrôle périodique</w:t>
            </w:r>
          </w:p>
        </w:tc>
        <w:tc>
          <w:tcPr>
            <w:tcW w:w="1851" w:type="dxa"/>
          </w:tcPr>
          <w:p w:rsidR="00267DA7" w:rsidRPr="00CE70CB" w:rsidRDefault="00267DA7" w:rsidP="00267DA7">
            <w:pPr>
              <w:widowControl w:val="0"/>
              <w:spacing w:before="40" w:after="40"/>
              <w:ind w:left="57" w:right="57"/>
              <w:rPr>
                <w:rFonts w:cs="Arial"/>
                <w:sz w:val="18"/>
                <w:szCs w:val="18"/>
                <w:lang w:val="fr-FR"/>
              </w:rPr>
            </w:pPr>
            <w:r w:rsidRPr="00CE70CB">
              <w:rPr>
                <w:lang w:val="fr-FR"/>
              </w:rPr>
              <w:t>Obligatoirement à partir du 1</w:t>
            </w:r>
            <w:r w:rsidRPr="00CE70CB">
              <w:rPr>
                <w:vertAlign w:val="superscript"/>
                <w:lang w:val="fr-FR"/>
              </w:rPr>
              <w:t>er</w:t>
            </w:r>
            <w:r w:rsidRPr="00CE70CB">
              <w:rPr>
                <w:lang w:val="fr-FR"/>
              </w:rPr>
              <w:t xml:space="preserve"> janvier 2022</w:t>
            </w:r>
          </w:p>
        </w:tc>
      </w:tr>
    </w:tbl>
    <w:p w:rsidR="00326E0F" w:rsidRPr="00CE70CB" w:rsidRDefault="00267DA7" w:rsidP="00326E0F">
      <w:pPr>
        <w:pStyle w:val="Bullet1G"/>
        <w:tabs>
          <w:tab w:val="clear" w:pos="1701"/>
          <w:tab w:val="num" w:pos="2438"/>
        </w:tabs>
        <w:spacing w:before="120"/>
        <w:ind w:left="2438"/>
        <w:rPr>
          <w:lang w:val="fr-FR"/>
        </w:rPr>
      </w:pPr>
      <w:r w:rsidRPr="00CE70CB">
        <w:rPr>
          <w:lang w:val="fr-FR"/>
        </w:rPr>
        <w:t xml:space="preserve">Pour « EN ISO 10462:2013 », dans la colonne 3), remplacer « Jusqu’à nouvel ordre » par « Jusqu’au 31 décembre 2022 ». </w:t>
      </w:r>
    </w:p>
    <w:p w:rsidR="00267DA7" w:rsidRPr="00CE70CB" w:rsidRDefault="00267DA7" w:rsidP="00326E0F">
      <w:pPr>
        <w:pStyle w:val="Bullet1G"/>
        <w:tabs>
          <w:tab w:val="clear" w:pos="1701"/>
          <w:tab w:val="num" w:pos="2438"/>
        </w:tabs>
        <w:spacing w:before="120"/>
        <w:ind w:left="2438"/>
        <w:rPr>
          <w:lang w:val="fr-FR"/>
        </w:rPr>
      </w:pPr>
      <w:r w:rsidRPr="00CE70CB">
        <w:rPr>
          <w:lang w:val="fr-FR"/>
        </w:rPr>
        <w:t>Après la ligne pour « </w:t>
      </w:r>
      <w:r w:rsidRPr="00CE70CB">
        <w:rPr>
          <w:bCs/>
          <w:lang w:val="fr-FR"/>
        </w:rPr>
        <w:t>EN ISO 10462:2013</w:t>
      </w:r>
      <w:r w:rsidRPr="00CE70CB">
        <w:rPr>
          <w:lang w:val="fr-FR"/>
        </w:rPr>
        <w:t> », ajouter la nouvelle ligne suivante :</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3827"/>
        <w:gridCol w:w="2835"/>
      </w:tblGrid>
      <w:tr w:rsidR="00267DA7" w:rsidRPr="00CE70CB" w:rsidTr="00267DA7">
        <w:tc>
          <w:tcPr>
            <w:tcW w:w="1843" w:type="dxa"/>
            <w:shd w:val="clear" w:color="auto" w:fill="auto"/>
          </w:tcPr>
          <w:p w:rsidR="00267DA7" w:rsidRPr="00CE70CB" w:rsidRDefault="00267DA7" w:rsidP="00267DA7">
            <w:pPr>
              <w:keepNext/>
              <w:spacing w:line="240" w:lineRule="auto"/>
              <w:ind w:hanging="22"/>
              <w:rPr>
                <w:bCs/>
                <w:lang w:val="fr-FR"/>
              </w:rPr>
            </w:pPr>
            <w:r w:rsidRPr="00CE70CB">
              <w:rPr>
                <w:bCs/>
                <w:lang w:val="fr-FR"/>
              </w:rPr>
              <w:t>EN ISO 10462:2013 + A1:2019</w:t>
            </w:r>
          </w:p>
        </w:tc>
        <w:tc>
          <w:tcPr>
            <w:tcW w:w="3827" w:type="dxa"/>
            <w:shd w:val="clear" w:color="auto" w:fill="auto"/>
          </w:tcPr>
          <w:p w:rsidR="00267DA7" w:rsidRPr="00CE70CB" w:rsidRDefault="00267DA7" w:rsidP="00267DA7">
            <w:pPr>
              <w:keepNext/>
              <w:spacing w:line="240" w:lineRule="auto"/>
              <w:ind w:hanging="22"/>
              <w:rPr>
                <w:bCs/>
                <w:lang w:val="fr-FR"/>
              </w:rPr>
            </w:pPr>
            <w:r w:rsidRPr="00CE70CB">
              <w:rPr>
                <w:lang w:val="fr-FR"/>
              </w:rPr>
              <w:t xml:space="preserve">Bouteilles à gaz - Bouteilles d'acétylène - Contrôle et entretien périodiques – Amendement 1 (ISO 10462:2013 + A1:2019)  </w:t>
            </w:r>
          </w:p>
        </w:tc>
        <w:tc>
          <w:tcPr>
            <w:tcW w:w="2835" w:type="dxa"/>
            <w:shd w:val="clear" w:color="auto" w:fill="auto"/>
          </w:tcPr>
          <w:p w:rsidR="00267DA7" w:rsidRPr="00CE70CB" w:rsidRDefault="00267DA7" w:rsidP="00267DA7">
            <w:pPr>
              <w:spacing w:line="240" w:lineRule="auto"/>
              <w:jc w:val="center"/>
              <w:rPr>
                <w:lang w:val="fr-FR"/>
              </w:rPr>
            </w:pPr>
            <w:r w:rsidRPr="00CE70CB">
              <w:rPr>
                <w:lang w:val="fr-FR"/>
              </w:rPr>
              <w:t>Obligatoirement à partir du 1er janvier 2023</w:t>
            </w:r>
          </w:p>
        </w:tc>
      </w:tr>
    </w:tbl>
    <w:p w:rsidR="00326E0F" w:rsidRPr="00CE70CB" w:rsidRDefault="00267DA7" w:rsidP="00326E0F">
      <w:pPr>
        <w:pStyle w:val="Bullet1G"/>
        <w:tabs>
          <w:tab w:val="clear" w:pos="1701"/>
          <w:tab w:val="num" w:pos="2438"/>
        </w:tabs>
        <w:spacing w:before="120"/>
        <w:ind w:left="2438"/>
        <w:rPr>
          <w:lang w:val="fr-FR"/>
        </w:rPr>
      </w:pPr>
      <w:r w:rsidRPr="00CE70CB">
        <w:rPr>
          <w:lang w:val="fr-FR"/>
        </w:rPr>
        <w:t xml:space="preserve">Pour « EN 1803:2002 (sauf annexe B) », dans la colonne 3), remplacer « Jusqu’à nouvel ordre » par « Jusqu’au 31 décembre 2022 ». </w:t>
      </w:r>
    </w:p>
    <w:p w:rsidR="00267DA7" w:rsidRPr="00CE70CB" w:rsidRDefault="00267DA7" w:rsidP="00326E0F">
      <w:pPr>
        <w:pStyle w:val="Bullet1G"/>
        <w:tabs>
          <w:tab w:val="clear" w:pos="1701"/>
          <w:tab w:val="num" w:pos="2438"/>
        </w:tabs>
        <w:spacing w:before="120"/>
        <w:ind w:left="2438"/>
        <w:rPr>
          <w:lang w:val="fr-FR"/>
        </w:rPr>
      </w:pPr>
      <w:r w:rsidRPr="00CE70CB">
        <w:rPr>
          <w:lang w:val="fr-FR"/>
        </w:rPr>
        <w:t>Après la ligne pour « EN 1803:2002 (sauf annexe B) », ajouter la nouvelle ligne suivante :</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3827"/>
        <w:gridCol w:w="2835"/>
      </w:tblGrid>
      <w:tr w:rsidR="00267DA7" w:rsidRPr="00CE70CB" w:rsidTr="00267DA7">
        <w:tc>
          <w:tcPr>
            <w:tcW w:w="1843" w:type="dxa"/>
            <w:shd w:val="clear" w:color="auto" w:fill="auto"/>
          </w:tcPr>
          <w:p w:rsidR="00267DA7" w:rsidRPr="00CE70CB" w:rsidRDefault="00267DA7" w:rsidP="00267DA7">
            <w:pPr>
              <w:keepNext/>
              <w:spacing w:line="240" w:lineRule="auto"/>
              <w:ind w:hanging="22"/>
              <w:rPr>
                <w:bCs/>
                <w:lang w:val="fr-FR"/>
              </w:rPr>
            </w:pPr>
            <w:r w:rsidRPr="00CE70CB">
              <w:rPr>
                <w:bCs/>
                <w:lang w:val="fr-FR"/>
              </w:rPr>
              <w:t>EN ISO 10460:2018</w:t>
            </w:r>
          </w:p>
        </w:tc>
        <w:tc>
          <w:tcPr>
            <w:tcW w:w="3827" w:type="dxa"/>
            <w:shd w:val="clear" w:color="auto" w:fill="auto"/>
          </w:tcPr>
          <w:p w:rsidR="00267DA7" w:rsidRPr="00CE70CB" w:rsidRDefault="00267DA7" w:rsidP="00267DA7">
            <w:pPr>
              <w:keepNext/>
              <w:spacing w:line="240" w:lineRule="auto"/>
              <w:ind w:hanging="22"/>
              <w:rPr>
                <w:bCs/>
                <w:lang w:val="fr-FR"/>
              </w:rPr>
            </w:pPr>
            <w:r w:rsidRPr="00CE70CB">
              <w:rPr>
                <w:lang w:val="fr-FR"/>
              </w:rPr>
              <w:t>Bouteilles à gaz - Bouteilles à gaz soudées en alliage d'aluminium, carbone et acier inoxydable - Contrôles et essais périodiques</w:t>
            </w:r>
          </w:p>
        </w:tc>
        <w:tc>
          <w:tcPr>
            <w:tcW w:w="2835" w:type="dxa"/>
            <w:shd w:val="clear" w:color="auto" w:fill="auto"/>
          </w:tcPr>
          <w:p w:rsidR="00267DA7" w:rsidRPr="00CE70CB" w:rsidRDefault="00267DA7" w:rsidP="00267DA7">
            <w:pPr>
              <w:spacing w:line="240" w:lineRule="auto"/>
              <w:jc w:val="center"/>
              <w:rPr>
                <w:lang w:val="fr-FR"/>
              </w:rPr>
            </w:pPr>
            <w:r w:rsidRPr="00CE70CB">
              <w:rPr>
                <w:lang w:val="fr-FR"/>
              </w:rPr>
              <w:t>Obligatoirement à partir du 1er janvier 2023</w:t>
            </w:r>
          </w:p>
        </w:tc>
      </w:tr>
    </w:tbl>
    <w:p w:rsidR="00267DA7" w:rsidRPr="00CE70CB" w:rsidRDefault="00267DA7" w:rsidP="00267DA7">
      <w:pPr>
        <w:pStyle w:val="SingleTxtG"/>
        <w:tabs>
          <w:tab w:val="left" w:pos="2268"/>
        </w:tabs>
        <w:spacing w:before="120"/>
        <w:ind w:left="2268" w:hanging="1134"/>
        <w:rPr>
          <w:lang w:val="fr-FR"/>
        </w:rPr>
      </w:pPr>
      <w:r w:rsidRPr="00CE70CB">
        <w:rPr>
          <w:bCs/>
          <w:lang w:val="fr-FR"/>
        </w:rPr>
        <w:t>6.2.5</w:t>
      </w:r>
      <w:r w:rsidRPr="00CE70CB">
        <w:rPr>
          <w:bCs/>
          <w:lang w:val="fr-FR"/>
        </w:rPr>
        <w:tab/>
      </w:r>
      <w:r w:rsidRPr="00CE70CB">
        <w:rPr>
          <w:lang w:val="fr-FR"/>
        </w:rPr>
        <w:t>Insérer le nouveau paragraphe suivant après le deuxième paragraphe :</w:t>
      </w:r>
    </w:p>
    <w:p w:rsidR="00267DA7" w:rsidRPr="00CE70CB" w:rsidRDefault="00267DA7" w:rsidP="00267DA7">
      <w:pPr>
        <w:pStyle w:val="SingleTxtG"/>
        <w:ind w:left="2268"/>
        <w:rPr>
          <w:lang w:val="fr-FR"/>
        </w:rPr>
      </w:pPr>
      <w:r w:rsidRPr="00CE70CB">
        <w:rPr>
          <w:lang w:val="fr-FR"/>
        </w:rPr>
        <w:tab/>
        <w:t>« Dès qu’une norme nouvellement référencée au 6.2.2 ou au 6.2.4 peut être appliquée, l’autorité compétente doit retirer sa reconnaissance du code technique correspondant. Une période transitoire s’achevant au plus tard à la date d’entrée en vigueur de l’édition suivante de l’ADR peut s’appliquer. »</w:t>
      </w:r>
    </w:p>
    <w:p w:rsidR="00746650" w:rsidRPr="00CE70CB" w:rsidRDefault="00746650" w:rsidP="00746650">
      <w:pPr>
        <w:pStyle w:val="SingleTxtG"/>
        <w:tabs>
          <w:tab w:val="left" w:pos="2268"/>
        </w:tabs>
        <w:ind w:left="2268" w:hanging="1134"/>
        <w:rPr>
          <w:lang w:val="fr-FR"/>
        </w:rPr>
      </w:pPr>
      <w:r w:rsidRPr="00CE70CB">
        <w:rPr>
          <w:lang w:val="fr-FR"/>
        </w:rPr>
        <w:tab/>
        <w:t>À la fin de la première phrase du désormais quatrième paragraphe (auparavant troisième paragraphe), ajouter « et elle doit la mettre à jour en cas de modification. ».</w:t>
      </w:r>
    </w:p>
    <w:p w:rsidR="00267DA7" w:rsidRPr="00CE70CB" w:rsidRDefault="00267DA7" w:rsidP="00326E0F">
      <w:pPr>
        <w:pStyle w:val="SingleTxtG"/>
        <w:spacing w:before="120"/>
        <w:ind w:left="2268" w:hanging="1134"/>
        <w:rPr>
          <w:lang w:val="fr-FR"/>
        </w:rPr>
      </w:pPr>
      <w:r w:rsidRPr="00CE70CB">
        <w:rPr>
          <w:lang w:val="fr-FR"/>
        </w:rPr>
        <w:lastRenderedPageBreak/>
        <w:t>6.2.6.1.5</w:t>
      </w:r>
      <w:r w:rsidRPr="00CE70CB">
        <w:rPr>
          <w:lang w:val="fr-FR"/>
        </w:rPr>
        <w:tab/>
        <w:t>Modifier la première phrase comme suit : « La pression intérieure des générateurs d’aérosols à 50 °C ne doit dépasser ni les deux tiers de la pression d’épreuve, ni 1,2 MPa (12 bar) en cas d’utilisation de gaz liquéfié inflammable, 1,32 MPa (13,2 bar) en cas d’utilisation de gaz liquéfié non inflammable et 1,5 MPa (15 bar) en cas d’utilisation de gaz comprimé ou dissous non inflammable. ».</w:t>
      </w:r>
    </w:p>
    <w:p w:rsidR="00267DA7" w:rsidRPr="00CE70CB" w:rsidRDefault="00267DA7" w:rsidP="00267DA7">
      <w:pPr>
        <w:pStyle w:val="H1G"/>
        <w:rPr>
          <w:lang w:val="fr-FR"/>
        </w:rPr>
      </w:pPr>
      <w:r w:rsidRPr="00CE70CB">
        <w:rPr>
          <w:lang w:val="fr-FR"/>
        </w:rPr>
        <w:tab/>
      </w:r>
      <w:r w:rsidRPr="00CE70CB">
        <w:rPr>
          <w:lang w:val="fr-FR"/>
        </w:rPr>
        <w:tab/>
        <w:t>Chapitre 6.3</w:t>
      </w:r>
    </w:p>
    <w:p w:rsidR="00267DA7" w:rsidRPr="00CE70CB" w:rsidRDefault="00267DA7" w:rsidP="00267DA7">
      <w:pPr>
        <w:pStyle w:val="SingleTxtG"/>
        <w:tabs>
          <w:tab w:val="left" w:pos="2268"/>
        </w:tabs>
        <w:ind w:left="2259" w:hanging="1125"/>
        <w:rPr>
          <w:lang w:val="fr-FR"/>
        </w:rPr>
      </w:pPr>
      <w:r w:rsidRPr="00CE70CB">
        <w:rPr>
          <w:lang w:val="fr-FR"/>
        </w:rPr>
        <w:t>Dans le titre du chapitre 6.3, ajouter « </w:t>
      </w:r>
      <w:bookmarkStart w:id="143" w:name="_Hlk31642346"/>
      <w:r w:rsidRPr="00CE70CB">
        <w:rPr>
          <w:lang w:val="fr-FR"/>
        </w:rPr>
        <w:t>(</w:t>
      </w:r>
      <w:r w:rsidR="00032D96" w:rsidRPr="00CE70CB">
        <w:rPr>
          <w:lang w:val="fr-FR"/>
        </w:rPr>
        <w:t>NOS ONU 2814 ET 2900</w:t>
      </w:r>
      <w:r w:rsidRPr="00CE70CB">
        <w:rPr>
          <w:lang w:val="fr-FR"/>
        </w:rPr>
        <w:t>)</w:t>
      </w:r>
      <w:bookmarkEnd w:id="143"/>
      <w:r w:rsidRPr="00CE70CB">
        <w:rPr>
          <w:lang w:val="fr-FR"/>
        </w:rPr>
        <w:t> » après « </w:t>
      </w:r>
      <w:r w:rsidR="00032D96" w:rsidRPr="00CE70CB">
        <w:rPr>
          <w:lang w:val="fr-FR"/>
        </w:rPr>
        <w:t>DE LA CLASSE 6.2</w:t>
      </w:r>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6.3.1.1</w:t>
      </w:r>
      <w:r w:rsidRPr="00CE70CB">
        <w:rPr>
          <w:lang w:val="fr-FR"/>
        </w:rPr>
        <w:tab/>
        <w:t>À la fin, ajouter « </w:t>
      </w:r>
      <w:bookmarkStart w:id="144" w:name="_Hlk31642372"/>
      <w:r w:rsidRPr="00CE70CB">
        <w:rPr>
          <w:lang w:val="fr-FR"/>
        </w:rPr>
        <w:t>, Nos ONU 2814 et 2900</w:t>
      </w:r>
      <w:bookmarkEnd w:id="144"/>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6.3.4.1</w:t>
      </w:r>
      <w:r w:rsidRPr="00CE70CB">
        <w:rPr>
          <w:lang w:val="fr-FR"/>
        </w:rPr>
        <w:tab/>
      </w:r>
      <w:r w:rsidRPr="00CE70CB">
        <w:rPr>
          <w:lang w:val="fr-FR"/>
        </w:rPr>
        <w:tab/>
        <w:t>Modifier la troisième phrase pour lire comme suit :</w:t>
      </w:r>
    </w:p>
    <w:p w:rsidR="00267DA7" w:rsidRPr="00CE70CB" w:rsidRDefault="00267DA7" w:rsidP="00267DA7">
      <w:pPr>
        <w:pStyle w:val="SingleTxtG"/>
        <w:tabs>
          <w:tab w:val="left" w:pos="2268"/>
        </w:tabs>
        <w:ind w:left="2259" w:hanging="1125"/>
        <w:rPr>
          <w:lang w:val="fr-FR"/>
        </w:rPr>
      </w:pPr>
      <w:r w:rsidRPr="00CE70CB">
        <w:rPr>
          <w:lang w:val="fr-FR"/>
        </w:rPr>
        <w:tab/>
        <w:t>« </w:t>
      </w:r>
      <w:bookmarkStart w:id="145" w:name="_Hlk31642400"/>
      <w:r w:rsidRPr="00CE70CB">
        <w:rPr>
          <w:lang w:val="fr-FR"/>
        </w:rPr>
        <w:t xml:space="preserve">Les lettres, les chiffres et les symboles doivent avoir au moins 12 mm de hauteur, sauf sur les emballages d’une capacité ne dépassant pas 30 </w:t>
      </w:r>
      <w:r w:rsidRPr="00CE70CB">
        <w:rPr>
          <w:i/>
          <w:iCs/>
          <w:lang w:val="fr-FR"/>
        </w:rPr>
        <w:t>l</w:t>
      </w:r>
      <w:r w:rsidRPr="00CE70CB">
        <w:rPr>
          <w:lang w:val="fr-FR"/>
        </w:rPr>
        <w:t xml:space="preserve"> ou d’une masse nette ne dépassant pas 30 kg où leur hauteur doit être d'au moins 6 mm, ainsi que sur les emballages d’une capacité ne dépassant pas 5 </w:t>
      </w:r>
      <w:r w:rsidRPr="00CE70CB">
        <w:rPr>
          <w:i/>
          <w:iCs/>
          <w:lang w:val="fr-FR"/>
        </w:rPr>
        <w:t>l</w:t>
      </w:r>
      <w:r w:rsidRPr="00CE70CB">
        <w:rPr>
          <w:lang w:val="fr-FR"/>
        </w:rPr>
        <w:t xml:space="preserve"> ou d’une masse nette de dépassant pas 5 kg, où ils doivent avoir des dimensions appropriées.</w:t>
      </w:r>
      <w:bookmarkEnd w:id="145"/>
      <w:r w:rsidRPr="00CE70CB">
        <w:rPr>
          <w:lang w:val="fr-FR"/>
        </w:rPr>
        <w:t> »</w:t>
      </w:r>
    </w:p>
    <w:p w:rsidR="00267DA7" w:rsidRPr="00CE70CB" w:rsidRDefault="00267DA7" w:rsidP="00267DA7">
      <w:pPr>
        <w:pStyle w:val="SingleTxtG"/>
        <w:tabs>
          <w:tab w:val="left" w:pos="2268"/>
        </w:tabs>
        <w:ind w:left="2259" w:hanging="1125"/>
        <w:rPr>
          <w:iCs/>
          <w:w w:val="105"/>
          <w:lang w:val="fr-FR"/>
        </w:rPr>
      </w:pPr>
      <w:r w:rsidRPr="00CE70CB">
        <w:rPr>
          <w:lang w:val="fr-FR"/>
        </w:rPr>
        <w:t>6.3.5.2.2</w:t>
      </w:r>
      <w:r w:rsidRPr="00CE70CB">
        <w:rPr>
          <w:lang w:val="fr-FR"/>
        </w:rPr>
        <w:tab/>
        <w:t>Dans les « </w:t>
      </w:r>
      <w:r w:rsidRPr="00CE70CB">
        <w:rPr>
          <w:i/>
          <w:w w:val="105"/>
          <w:lang w:val="fr-FR"/>
        </w:rPr>
        <w:t>Explications concernant l’utilisation du tableau</w:t>
      </w:r>
      <w:r w:rsidRPr="00CE70CB">
        <w:rPr>
          <w:iCs/>
          <w:w w:val="105"/>
          <w:lang w:val="fr-FR"/>
        </w:rPr>
        <w:t> », à la fin du premier paragraphe, remplacer « cinq essais de chute après conditionnement » par « </w:t>
      </w:r>
      <w:bookmarkStart w:id="146" w:name="_Hlk31642478"/>
      <w:r w:rsidRPr="00CE70CB">
        <w:rPr>
          <w:iCs/>
          <w:w w:val="105"/>
          <w:lang w:val="fr-FR"/>
        </w:rPr>
        <w:t>un essai de chute</w:t>
      </w:r>
      <w:bookmarkEnd w:id="146"/>
      <w:r w:rsidRPr="00CE70CB">
        <w:rPr>
          <w:iCs/>
          <w:w w:val="105"/>
          <w:lang w:val="fr-FR"/>
        </w:rPr>
        <w:t> ».</w:t>
      </w:r>
    </w:p>
    <w:p w:rsidR="00267DA7" w:rsidRPr="00CE70CB" w:rsidRDefault="00267DA7" w:rsidP="00267DA7">
      <w:pPr>
        <w:pStyle w:val="SingleTxtG"/>
        <w:tabs>
          <w:tab w:val="left" w:pos="2268"/>
        </w:tabs>
        <w:ind w:left="2259" w:hanging="1125"/>
        <w:rPr>
          <w:iCs/>
          <w:w w:val="105"/>
          <w:lang w:val="fr-FR"/>
        </w:rPr>
      </w:pPr>
      <w:r w:rsidRPr="00CE70CB">
        <w:rPr>
          <w:lang w:val="fr-FR"/>
        </w:rPr>
        <w:t>6.3.5.3.1</w:t>
      </w:r>
      <w:r w:rsidRPr="00CE70CB">
        <w:rPr>
          <w:lang w:val="fr-FR"/>
        </w:rPr>
        <w:tab/>
        <w:t>Ajouter le titre suivant à ce paragraphe « </w:t>
      </w:r>
      <w:bookmarkStart w:id="147" w:name="_Hlk31642497"/>
      <w:r w:rsidRPr="00CE70CB">
        <w:rPr>
          <w:i/>
          <w:iCs/>
          <w:lang w:val="fr-FR"/>
        </w:rPr>
        <w:t>Hauteur de chute et cible</w:t>
      </w:r>
      <w:bookmarkEnd w:id="147"/>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6.3.5.3.2</w:t>
      </w:r>
      <w:r w:rsidRPr="00CE70CB">
        <w:rPr>
          <w:lang w:val="fr-FR"/>
        </w:rPr>
        <w:tab/>
        <w:t>Ajouter le titre suivant à ce paragraphe « </w:t>
      </w:r>
      <w:r w:rsidRPr="00CE70CB">
        <w:rPr>
          <w:i/>
          <w:iCs/>
          <w:lang w:val="fr-FR"/>
        </w:rPr>
        <w:t>Nombre d’échantillons et orientations de chute</w:t>
      </w:r>
      <w:r w:rsidRPr="00CE70CB">
        <w:rPr>
          <w:lang w:val="fr-FR"/>
        </w:rPr>
        <w:t xml:space="preserve"> ». Numéroter le texte sous ce titre en tant que 6.3.5.3.2.1. </w:t>
      </w:r>
    </w:p>
    <w:p w:rsidR="00267DA7" w:rsidRPr="00CE70CB" w:rsidRDefault="00267DA7" w:rsidP="00267DA7">
      <w:pPr>
        <w:pStyle w:val="SingleTxtG"/>
        <w:tabs>
          <w:tab w:val="left" w:pos="2268"/>
        </w:tabs>
        <w:ind w:left="2259" w:hanging="1125"/>
        <w:rPr>
          <w:lang w:val="fr-FR"/>
        </w:rPr>
      </w:pPr>
      <w:r w:rsidRPr="00CE70CB">
        <w:rPr>
          <w:lang w:val="fr-FR"/>
        </w:rPr>
        <w:t>6.3.5.3.3</w:t>
      </w:r>
      <w:r w:rsidRPr="00CE70CB">
        <w:rPr>
          <w:lang w:val="fr-FR"/>
        </w:rPr>
        <w:tab/>
        <w:t>Renuméroter en tant que 6.3.5.3.2.2.</w:t>
      </w:r>
    </w:p>
    <w:p w:rsidR="00267DA7" w:rsidRPr="00CE70CB" w:rsidRDefault="00267DA7" w:rsidP="00267DA7">
      <w:pPr>
        <w:pStyle w:val="SingleTxtG"/>
        <w:tabs>
          <w:tab w:val="left" w:pos="2268"/>
        </w:tabs>
        <w:ind w:left="2259" w:hanging="1125"/>
        <w:rPr>
          <w:lang w:val="fr-FR"/>
        </w:rPr>
      </w:pPr>
      <w:r w:rsidRPr="00CE70CB">
        <w:rPr>
          <w:lang w:val="fr-FR"/>
        </w:rPr>
        <w:tab/>
        <w:t>Renuméroter les paragraphes 6.3.5.3.4, 6.3.5.3.5, 6.3.5.3.6, 6.3.5.3.6.1, 6.3.5.3.6.2 et 6.3.5.3.6.3 en tant que 6.3.5.3.3, 6.3.5.3.4, 6.3.5.3.5, 6.3.5.3.5.1, 6.3.5.3.5.2 et 6.3.5.3.5.3, respectivement. Adapter les références croisées en conséquence comme suit :</w:t>
      </w:r>
    </w:p>
    <w:p w:rsidR="00267DA7" w:rsidRPr="00CE70CB" w:rsidRDefault="00267DA7" w:rsidP="00267DA7">
      <w:pPr>
        <w:pStyle w:val="SingleTxtG"/>
        <w:tabs>
          <w:tab w:val="left" w:pos="2268"/>
        </w:tabs>
        <w:ind w:left="2259" w:hanging="1125"/>
        <w:rPr>
          <w:lang w:val="fr-FR"/>
        </w:rPr>
      </w:pPr>
      <w:r w:rsidRPr="00CE70CB">
        <w:rPr>
          <w:lang w:val="fr-FR"/>
        </w:rPr>
        <w:tab/>
        <w:t>Au 6.3.5.2.2, dans le tableau et dans les « </w:t>
      </w:r>
      <w:r w:rsidRPr="00CE70CB">
        <w:rPr>
          <w:i/>
          <w:w w:val="105"/>
          <w:lang w:val="fr-FR"/>
        </w:rPr>
        <w:t>Explications concernant l’utilisation du tableau</w:t>
      </w:r>
      <w:r w:rsidRPr="00CE70CB">
        <w:rPr>
          <w:iCs/>
          <w:w w:val="105"/>
          <w:lang w:val="fr-FR"/>
        </w:rPr>
        <w:t> », remplacer « </w:t>
      </w:r>
      <w:r w:rsidRPr="00CE70CB">
        <w:rPr>
          <w:lang w:val="fr-FR"/>
        </w:rPr>
        <w:t xml:space="preserve">6.3.5.3.6.1 », « 6.3.5.3.6.2 » et « 6.3.5.3.6.3 » par </w:t>
      </w:r>
      <w:r w:rsidRPr="00CE70CB">
        <w:rPr>
          <w:iCs/>
          <w:w w:val="105"/>
          <w:lang w:val="fr-FR"/>
        </w:rPr>
        <w:t>« </w:t>
      </w:r>
      <w:r w:rsidRPr="00CE70CB">
        <w:rPr>
          <w:lang w:val="fr-FR"/>
        </w:rPr>
        <w:t>6.3.5.3.5.1 », « 6.3.5.3.5.2 » et « 6.3.5.3.5.3 », respectivement.</w:t>
      </w:r>
    </w:p>
    <w:p w:rsidR="00267DA7" w:rsidRPr="00CE70CB" w:rsidRDefault="00267DA7" w:rsidP="00267DA7">
      <w:pPr>
        <w:pStyle w:val="SingleTxtG"/>
        <w:tabs>
          <w:tab w:val="left" w:pos="2268"/>
        </w:tabs>
        <w:ind w:left="2259" w:hanging="1125"/>
        <w:rPr>
          <w:lang w:val="fr-FR"/>
        </w:rPr>
      </w:pPr>
      <w:r w:rsidRPr="00CE70CB">
        <w:rPr>
          <w:lang w:val="fr-FR"/>
        </w:rPr>
        <w:tab/>
        <w:t>Au 6.3.5.3.6.3</w:t>
      </w:r>
      <w:r w:rsidR="00D44FF2" w:rsidRPr="00CE70CB">
        <w:rPr>
          <w:lang w:val="fr-FR"/>
        </w:rPr>
        <w:t xml:space="preserve"> (</w:t>
      </w:r>
      <w:r w:rsidRPr="00CE70CB">
        <w:rPr>
          <w:lang w:val="fr-FR"/>
        </w:rPr>
        <w:t>renuméroté 6.3.5.3.5.3</w:t>
      </w:r>
      <w:r w:rsidR="00D44FF2" w:rsidRPr="00CE70CB">
        <w:rPr>
          <w:lang w:val="fr-FR"/>
        </w:rPr>
        <w:t>)</w:t>
      </w:r>
      <w:r w:rsidRPr="00CE70CB">
        <w:rPr>
          <w:lang w:val="fr-FR"/>
        </w:rPr>
        <w:t xml:space="preserve">, remplacer </w:t>
      </w:r>
      <w:r w:rsidRPr="00CE70CB">
        <w:rPr>
          <w:iCs/>
          <w:w w:val="105"/>
          <w:lang w:val="fr-FR"/>
        </w:rPr>
        <w:t>« </w:t>
      </w:r>
      <w:r w:rsidRPr="00CE70CB">
        <w:rPr>
          <w:lang w:val="fr-FR"/>
        </w:rPr>
        <w:t xml:space="preserve">6.3.5.3.6.1 » et « 6.3.5.3.6.2 » par </w:t>
      </w:r>
      <w:r w:rsidRPr="00CE70CB">
        <w:rPr>
          <w:iCs/>
          <w:w w:val="105"/>
          <w:lang w:val="fr-FR"/>
        </w:rPr>
        <w:t>« </w:t>
      </w:r>
      <w:r w:rsidRPr="00CE70CB">
        <w:rPr>
          <w:lang w:val="fr-FR"/>
        </w:rPr>
        <w:t>6.3.5.3.5.1 » et « 6.3.5.3.5.2 », respectivement. À la fin, remplacer « au 6.3.5.3.2 » par « au 6.3.5.3.2.1 ou au 6.3.5.3.2.2, selon le cas ».</w:t>
      </w:r>
    </w:p>
    <w:p w:rsidR="00267DA7" w:rsidRPr="00CE70CB" w:rsidRDefault="00267DA7" w:rsidP="00267DA7">
      <w:pPr>
        <w:pStyle w:val="H1G"/>
        <w:rPr>
          <w:szCs w:val="24"/>
          <w:lang w:val="fr-FR"/>
        </w:rPr>
      </w:pPr>
      <w:r w:rsidRPr="00CE70CB">
        <w:rPr>
          <w:bCs/>
          <w:szCs w:val="24"/>
          <w:lang w:val="fr-FR"/>
        </w:rPr>
        <w:tab/>
      </w:r>
      <w:r w:rsidRPr="00CE70CB">
        <w:rPr>
          <w:bCs/>
          <w:szCs w:val="24"/>
          <w:lang w:val="fr-FR"/>
        </w:rPr>
        <w:tab/>
        <w:t>Chapitre 6.4</w:t>
      </w:r>
    </w:p>
    <w:p w:rsidR="00267DA7" w:rsidRPr="00CE70CB" w:rsidRDefault="00267DA7" w:rsidP="00267DA7">
      <w:pPr>
        <w:pStyle w:val="SingleTxtG"/>
        <w:tabs>
          <w:tab w:val="left" w:pos="2268"/>
        </w:tabs>
        <w:ind w:left="2259" w:hanging="1125"/>
        <w:rPr>
          <w:szCs w:val="24"/>
          <w:lang w:val="fr-FR"/>
        </w:rPr>
      </w:pPr>
      <w:r w:rsidRPr="00CE70CB">
        <w:rPr>
          <w:szCs w:val="24"/>
          <w:lang w:val="fr-FR"/>
        </w:rPr>
        <w:t>6.4.2.4</w:t>
      </w:r>
      <w:r w:rsidRPr="00CE70CB">
        <w:rPr>
          <w:szCs w:val="24"/>
          <w:lang w:val="fr-FR"/>
        </w:rPr>
        <w:tab/>
      </w:r>
      <w:r w:rsidRPr="00CE70CB">
        <w:rPr>
          <w:szCs w:val="24"/>
          <w:lang w:val="fr-FR"/>
        </w:rPr>
        <w:tab/>
        <w:t>Supprimer « et fini ».</w:t>
      </w:r>
    </w:p>
    <w:p w:rsidR="00267DA7" w:rsidRPr="00CE70CB" w:rsidRDefault="00267DA7" w:rsidP="00267DA7">
      <w:pPr>
        <w:pStyle w:val="SingleTxtG"/>
        <w:tabs>
          <w:tab w:val="left" w:pos="2268"/>
        </w:tabs>
        <w:ind w:left="2259" w:hanging="1125"/>
        <w:rPr>
          <w:szCs w:val="24"/>
          <w:lang w:val="fr-FR"/>
        </w:rPr>
      </w:pPr>
      <w:r w:rsidRPr="00CE70CB">
        <w:rPr>
          <w:szCs w:val="24"/>
          <w:lang w:val="fr-FR"/>
        </w:rPr>
        <w:t>6.4.2.8</w:t>
      </w:r>
      <w:r w:rsidRPr="00CE70CB">
        <w:rPr>
          <w:szCs w:val="24"/>
          <w:lang w:val="fr-FR"/>
        </w:rPr>
        <w:tab/>
        <w:t>Insérer un nouveau paragraphe libellé comme suit :</w:t>
      </w:r>
    </w:p>
    <w:p w:rsidR="00267DA7" w:rsidRPr="00CE70CB" w:rsidRDefault="00267DA7" w:rsidP="00267DA7">
      <w:pPr>
        <w:pStyle w:val="SingleTxtG"/>
        <w:tabs>
          <w:tab w:val="left" w:pos="2268"/>
        </w:tabs>
        <w:ind w:left="2259" w:hanging="1125"/>
        <w:rPr>
          <w:szCs w:val="24"/>
          <w:lang w:val="fr-FR"/>
        </w:rPr>
      </w:pPr>
      <w:r w:rsidRPr="00CE70CB">
        <w:rPr>
          <w:szCs w:val="24"/>
          <w:lang w:val="fr-FR"/>
        </w:rPr>
        <w:t>« 6.4.2.8</w:t>
      </w:r>
      <w:r w:rsidRPr="00CE70CB">
        <w:rPr>
          <w:szCs w:val="24"/>
          <w:lang w:val="fr-FR"/>
        </w:rPr>
        <w:tab/>
        <w:t>Dans la conception du colis, il faut prendre en compte les mécanismes de vieillissement. ».</w:t>
      </w:r>
    </w:p>
    <w:p w:rsidR="00267DA7" w:rsidRPr="00CE70CB" w:rsidRDefault="00267DA7" w:rsidP="00267DA7">
      <w:pPr>
        <w:pStyle w:val="SingleTxtG"/>
        <w:tabs>
          <w:tab w:val="left" w:pos="2268"/>
        </w:tabs>
        <w:ind w:left="2259" w:hanging="1125"/>
        <w:rPr>
          <w:szCs w:val="24"/>
          <w:lang w:val="fr-FR"/>
        </w:rPr>
      </w:pPr>
      <w:r w:rsidRPr="00CE70CB">
        <w:rPr>
          <w:szCs w:val="24"/>
          <w:lang w:val="fr-FR"/>
        </w:rPr>
        <w:t>Renuméroter en conséquence les paragraphes suivants du 6.4.2.</w:t>
      </w:r>
    </w:p>
    <w:p w:rsidR="00267DA7" w:rsidRPr="00CE70CB" w:rsidRDefault="00267DA7" w:rsidP="00267DA7">
      <w:pPr>
        <w:pStyle w:val="SingleTxtG"/>
        <w:tabs>
          <w:tab w:val="left" w:pos="2268"/>
        </w:tabs>
        <w:ind w:left="2259" w:hanging="1125"/>
        <w:rPr>
          <w:szCs w:val="24"/>
          <w:lang w:val="fr-FR"/>
        </w:rPr>
      </w:pPr>
      <w:r w:rsidRPr="00CE70CB">
        <w:rPr>
          <w:szCs w:val="24"/>
          <w:lang w:val="fr-FR"/>
        </w:rPr>
        <w:t>6.4.2.11 (renuméroté 6.4.2.12)</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Remplacer « l’intensité du rayonnement » par « le débit de dose ».</w:t>
      </w:r>
    </w:p>
    <w:p w:rsidR="00267DA7" w:rsidRPr="00CE70CB" w:rsidRDefault="00267DA7" w:rsidP="00267DA7">
      <w:pPr>
        <w:pStyle w:val="SingleTxtG"/>
        <w:tabs>
          <w:tab w:val="left" w:pos="2268"/>
        </w:tabs>
        <w:ind w:left="2259" w:hanging="1125"/>
        <w:rPr>
          <w:szCs w:val="24"/>
          <w:lang w:val="fr-FR"/>
        </w:rPr>
      </w:pPr>
      <w:r w:rsidRPr="00CE70CB">
        <w:rPr>
          <w:szCs w:val="24"/>
          <w:lang w:val="fr-FR"/>
        </w:rPr>
        <w:t>6.4.4</w:t>
      </w:r>
      <w:r w:rsidRPr="00CE70CB">
        <w:rPr>
          <w:szCs w:val="24"/>
          <w:lang w:val="fr-FR"/>
        </w:rPr>
        <w:tab/>
        <w:t xml:space="preserve">Modifier la phrase </w:t>
      </w:r>
      <w:r w:rsidR="00E064A4" w:rsidRPr="00CE70CB">
        <w:rPr>
          <w:szCs w:val="24"/>
          <w:lang w:val="fr-FR"/>
        </w:rPr>
        <w:t>sous</w:t>
      </w:r>
      <w:r w:rsidRPr="00CE70CB">
        <w:rPr>
          <w:szCs w:val="24"/>
          <w:lang w:val="fr-FR"/>
        </w:rPr>
        <w:t xml:space="preserve"> le titre pour lire comme suit :</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 xml:space="preserve">« Les colis exceptés doivent être conçus pour satisfaire aux prescriptions énoncées aux 6.4.2.1 à 6.4.2.13 et, en outre, à celles énoncées au 6.4.7.2 s’ils </w:t>
      </w:r>
      <w:r w:rsidRPr="00CE70CB">
        <w:rPr>
          <w:szCs w:val="24"/>
          <w:lang w:val="fr-FR"/>
        </w:rPr>
        <w:lastRenderedPageBreak/>
        <w:t>contiennent des matières fissiles autorisées en vertu de l’une des dispositions du 2.2.7.2.3.5 a) à f). »</w:t>
      </w:r>
    </w:p>
    <w:p w:rsidR="00267DA7" w:rsidRPr="00CE70CB" w:rsidRDefault="00267DA7" w:rsidP="00267DA7">
      <w:pPr>
        <w:pStyle w:val="SingleTxtG"/>
        <w:tabs>
          <w:tab w:val="left" w:pos="2268"/>
        </w:tabs>
        <w:ind w:left="2259" w:hanging="1125"/>
        <w:rPr>
          <w:szCs w:val="24"/>
          <w:lang w:val="fr-FR"/>
        </w:rPr>
      </w:pPr>
      <w:r w:rsidRPr="00CE70CB">
        <w:rPr>
          <w:szCs w:val="24"/>
          <w:lang w:val="fr-FR"/>
        </w:rPr>
        <w:t>6.4.5.2 b)</w:t>
      </w:r>
      <w:r w:rsidRPr="00CE70CB">
        <w:rPr>
          <w:szCs w:val="24"/>
          <w:lang w:val="fr-FR"/>
        </w:rPr>
        <w:tab/>
        <w:t>Remplacer « de l’intensité maximale de rayonnement » par « du débit de dose maximal ».</w:t>
      </w:r>
    </w:p>
    <w:p w:rsidR="00267DA7" w:rsidRPr="00CE70CB" w:rsidRDefault="00267DA7" w:rsidP="00267DA7">
      <w:pPr>
        <w:pStyle w:val="SingleTxtG"/>
        <w:tabs>
          <w:tab w:val="left" w:pos="2268"/>
        </w:tabs>
        <w:ind w:left="2259" w:hanging="1125"/>
        <w:rPr>
          <w:szCs w:val="24"/>
          <w:lang w:val="fr-FR"/>
        </w:rPr>
      </w:pPr>
      <w:r w:rsidRPr="00CE70CB">
        <w:rPr>
          <w:szCs w:val="24"/>
          <w:lang w:val="fr-FR"/>
        </w:rPr>
        <w:t>6.4.5.4.1 c) ii)</w:t>
      </w:r>
      <w:r w:rsidRPr="00CE70CB">
        <w:rPr>
          <w:szCs w:val="24"/>
          <w:lang w:val="fr-FR"/>
        </w:rPr>
        <w:tab/>
      </w:r>
      <w:r w:rsidRPr="00CE70CB">
        <w:rPr>
          <w:szCs w:val="24"/>
          <w:lang w:val="fr-FR"/>
        </w:rPr>
        <w:tab/>
      </w:r>
    </w:p>
    <w:p w:rsidR="00267DA7" w:rsidRPr="00CE70CB" w:rsidRDefault="00267DA7" w:rsidP="00267DA7">
      <w:pPr>
        <w:pStyle w:val="SingleTxtG"/>
        <w:tabs>
          <w:tab w:val="left" w:pos="2268"/>
        </w:tabs>
        <w:ind w:left="2259" w:hanging="1125"/>
        <w:rPr>
          <w:szCs w:val="24"/>
          <w:lang w:val="fr-FR"/>
        </w:rPr>
      </w:pPr>
      <w:r w:rsidRPr="00CE70CB">
        <w:rPr>
          <w:szCs w:val="24"/>
          <w:lang w:val="fr-FR"/>
        </w:rPr>
        <w:tab/>
        <w:t>Remplacer « de l’intensité maximale de rayonnement » par « du débit de dose maximal ».</w:t>
      </w:r>
    </w:p>
    <w:p w:rsidR="00267DA7" w:rsidRPr="00CE70CB" w:rsidRDefault="00267DA7" w:rsidP="00267DA7">
      <w:pPr>
        <w:pStyle w:val="SingleTxtG"/>
        <w:tabs>
          <w:tab w:val="left" w:pos="2268"/>
        </w:tabs>
        <w:ind w:left="2259" w:hanging="1125"/>
        <w:rPr>
          <w:szCs w:val="24"/>
          <w:lang w:val="fr-FR"/>
        </w:rPr>
      </w:pPr>
      <w:r w:rsidRPr="00CE70CB">
        <w:rPr>
          <w:szCs w:val="24"/>
          <w:lang w:val="fr-FR"/>
        </w:rPr>
        <w:t>6.4.5.4.2 c)</w:t>
      </w:r>
      <w:r w:rsidRPr="00CE70CB">
        <w:rPr>
          <w:szCs w:val="24"/>
          <w:lang w:val="fr-FR"/>
        </w:rPr>
        <w:tab/>
      </w:r>
      <w:r w:rsidRPr="00CE70CB">
        <w:rPr>
          <w:szCs w:val="24"/>
          <w:lang w:val="fr-FR"/>
        </w:rPr>
        <w:tab/>
        <w:t>Remplacer « de l’intensité maximale de rayonnement » par « du débit de dose maximal ».</w:t>
      </w:r>
    </w:p>
    <w:p w:rsidR="00267DA7" w:rsidRPr="00CE70CB" w:rsidRDefault="00267DA7" w:rsidP="00267DA7">
      <w:pPr>
        <w:pStyle w:val="SingleTxtG"/>
        <w:tabs>
          <w:tab w:val="left" w:pos="2268"/>
        </w:tabs>
        <w:ind w:left="2259" w:hanging="1125"/>
        <w:rPr>
          <w:szCs w:val="24"/>
          <w:lang w:val="fr-FR"/>
        </w:rPr>
      </w:pPr>
      <w:r w:rsidRPr="00CE70CB">
        <w:rPr>
          <w:szCs w:val="24"/>
          <w:lang w:val="fr-FR"/>
        </w:rPr>
        <w:t>6.4.5.4.3</w:t>
      </w:r>
      <w:r w:rsidRPr="00CE70CB">
        <w:rPr>
          <w:szCs w:val="24"/>
          <w:lang w:val="fr-FR"/>
        </w:rPr>
        <w:tab/>
        <w:t>Dans la première phrase, supprimer « sous forme liquide et gazeuse ».</w:t>
      </w:r>
    </w:p>
    <w:p w:rsidR="00267DA7" w:rsidRPr="00CE70CB" w:rsidRDefault="00267DA7" w:rsidP="00267DA7">
      <w:pPr>
        <w:pStyle w:val="SingleTxtG"/>
        <w:tabs>
          <w:tab w:val="left" w:pos="2268"/>
        </w:tabs>
        <w:ind w:left="2259" w:hanging="1125"/>
        <w:rPr>
          <w:lang w:val="fr-FR"/>
        </w:rPr>
      </w:pPr>
      <w:r w:rsidRPr="00CE70CB">
        <w:rPr>
          <w:lang w:val="fr-FR"/>
        </w:rPr>
        <w:t>6.4.5.4.3 c)</w:t>
      </w:r>
      <w:r w:rsidRPr="00CE70CB">
        <w:rPr>
          <w:lang w:val="fr-FR"/>
        </w:rPr>
        <w:tab/>
      </w:r>
      <w:r w:rsidRPr="00CE70CB">
        <w:rPr>
          <w:szCs w:val="24"/>
          <w:lang w:val="fr-FR"/>
        </w:rPr>
        <w:tab/>
        <w:t>Remplacer « de l’intensité maximale de rayonnement » par « du débit de dose maximal ».</w:t>
      </w:r>
    </w:p>
    <w:p w:rsidR="00267DA7" w:rsidRPr="00CE70CB" w:rsidRDefault="00267DA7" w:rsidP="00267DA7">
      <w:pPr>
        <w:pStyle w:val="SingleTxtG"/>
        <w:ind w:left="2268" w:hanging="1134"/>
        <w:rPr>
          <w:lang w:val="fr-FR"/>
        </w:rPr>
      </w:pPr>
      <w:r w:rsidRPr="00CE70CB">
        <w:rPr>
          <w:lang w:val="fr-FR"/>
        </w:rPr>
        <w:t>6.4.5.4.4 c) ii)</w:t>
      </w:r>
      <w:r w:rsidRPr="00CE70CB">
        <w:rPr>
          <w:lang w:val="fr-FR"/>
        </w:rPr>
        <w:tab/>
      </w:r>
      <w:r w:rsidRPr="00CE70CB">
        <w:rPr>
          <w:lang w:val="fr-FR"/>
        </w:rPr>
        <w:tab/>
      </w:r>
    </w:p>
    <w:p w:rsidR="00267DA7" w:rsidRPr="00CE70CB" w:rsidRDefault="00267DA7" w:rsidP="00267DA7">
      <w:pPr>
        <w:pStyle w:val="SingleTxtG"/>
        <w:ind w:left="2268" w:hanging="1134"/>
        <w:rPr>
          <w:lang w:val="fr-FR"/>
        </w:rPr>
      </w:pPr>
      <w:r w:rsidRPr="00CE70CB">
        <w:rPr>
          <w:lang w:val="fr-FR"/>
        </w:rPr>
        <w:tab/>
      </w:r>
      <w:r w:rsidRPr="00CE70CB">
        <w:rPr>
          <w:szCs w:val="24"/>
          <w:lang w:val="fr-FR"/>
        </w:rPr>
        <w:t>Remplacer « de l’intensité maximale de rayonnement » par « du débit de dose maximal ».</w:t>
      </w:r>
    </w:p>
    <w:p w:rsidR="00267DA7" w:rsidRPr="00CE70CB" w:rsidRDefault="00267DA7" w:rsidP="00267DA7">
      <w:pPr>
        <w:pStyle w:val="SingleTxtG"/>
        <w:tabs>
          <w:tab w:val="left" w:pos="2268"/>
        </w:tabs>
        <w:ind w:left="2259" w:hanging="1125"/>
        <w:rPr>
          <w:lang w:val="fr-FR"/>
        </w:rPr>
      </w:pPr>
      <w:r w:rsidRPr="00CE70CB">
        <w:rPr>
          <w:lang w:val="fr-FR"/>
        </w:rPr>
        <w:t>6.4.5.4.5 b) ii)</w:t>
      </w:r>
    </w:p>
    <w:p w:rsidR="00267DA7" w:rsidRPr="00CE70CB" w:rsidRDefault="00267DA7" w:rsidP="00267DA7">
      <w:pPr>
        <w:pStyle w:val="SingleTxtG"/>
        <w:tabs>
          <w:tab w:val="left" w:pos="2268"/>
        </w:tabs>
        <w:ind w:left="2259" w:hanging="1125"/>
        <w:rPr>
          <w:lang w:val="fr-FR"/>
        </w:rPr>
      </w:pPr>
      <w:r w:rsidRPr="00CE70CB">
        <w:rPr>
          <w:lang w:val="fr-FR"/>
        </w:rPr>
        <w:tab/>
      </w:r>
      <w:r w:rsidRPr="00CE70CB">
        <w:rPr>
          <w:szCs w:val="24"/>
          <w:lang w:val="fr-FR"/>
        </w:rPr>
        <w:t>Remplacer « de l’intensité maximale de rayonnement » par « du débit de dose maximal ».</w:t>
      </w:r>
    </w:p>
    <w:p w:rsidR="00267DA7" w:rsidRPr="00CE70CB" w:rsidRDefault="00267DA7" w:rsidP="00267DA7">
      <w:pPr>
        <w:pStyle w:val="SingleTxtG"/>
        <w:tabs>
          <w:tab w:val="left" w:pos="2268"/>
        </w:tabs>
        <w:ind w:left="2259" w:hanging="1125"/>
        <w:rPr>
          <w:szCs w:val="24"/>
          <w:lang w:val="fr-FR"/>
        </w:rPr>
      </w:pPr>
      <w:r w:rsidRPr="00CE70CB">
        <w:rPr>
          <w:szCs w:val="24"/>
          <w:lang w:val="fr-FR"/>
        </w:rPr>
        <w:t>6.4.6.2</w:t>
      </w:r>
      <w:r w:rsidRPr="00CE70CB">
        <w:rPr>
          <w:szCs w:val="24"/>
          <w:lang w:val="fr-FR"/>
        </w:rPr>
        <w:tab/>
      </w:r>
      <w:r w:rsidRPr="00CE70CB">
        <w:rPr>
          <w:szCs w:val="24"/>
          <w:lang w:val="fr-FR"/>
        </w:rPr>
        <w:tab/>
        <w:t xml:space="preserve">L’amendement est sans objet en français. </w:t>
      </w:r>
    </w:p>
    <w:p w:rsidR="00267DA7" w:rsidRPr="00CE70CB" w:rsidRDefault="00267DA7" w:rsidP="00267DA7">
      <w:pPr>
        <w:pStyle w:val="SingleTxtG"/>
        <w:tabs>
          <w:tab w:val="left" w:pos="2268"/>
        </w:tabs>
        <w:ind w:left="2259" w:hanging="1125"/>
        <w:rPr>
          <w:szCs w:val="24"/>
          <w:lang w:val="fr-FR"/>
        </w:rPr>
      </w:pPr>
      <w:r w:rsidRPr="00CE70CB">
        <w:rPr>
          <w:szCs w:val="24"/>
          <w:lang w:val="fr-FR"/>
        </w:rPr>
        <w:t>6.4.7.9</w:t>
      </w:r>
      <w:r w:rsidRPr="00CE70CB">
        <w:rPr>
          <w:szCs w:val="24"/>
          <w:lang w:val="fr-FR"/>
        </w:rPr>
        <w:tab/>
      </w:r>
      <w:r w:rsidRPr="00CE70CB">
        <w:rPr>
          <w:szCs w:val="24"/>
          <w:lang w:val="fr-FR"/>
        </w:rPr>
        <w:tab/>
        <w:t>L’amendement est sans objet en français.</w:t>
      </w:r>
    </w:p>
    <w:p w:rsidR="00267DA7" w:rsidRPr="00CE70CB" w:rsidRDefault="00267DA7" w:rsidP="00267DA7">
      <w:pPr>
        <w:pStyle w:val="SingleTxtG"/>
        <w:tabs>
          <w:tab w:val="left" w:pos="2268"/>
        </w:tabs>
        <w:ind w:left="2259" w:hanging="1125"/>
        <w:rPr>
          <w:lang w:val="fr-FR"/>
        </w:rPr>
      </w:pPr>
      <w:r w:rsidRPr="00CE70CB">
        <w:rPr>
          <w:lang w:val="fr-FR"/>
        </w:rPr>
        <w:t>6.4.7.14 b)</w:t>
      </w:r>
      <w:r w:rsidRPr="00CE70CB">
        <w:rPr>
          <w:lang w:val="fr-FR"/>
        </w:rPr>
        <w:tab/>
      </w:r>
      <w:r w:rsidRPr="00CE70CB">
        <w:rPr>
          <w:szCs w:val="24"/>
          <w:lang w:val="fr-FR"/>
        </w:rPr>
        <w:t>Remplacer « de l’intensité maximale de rayonnement » par « du débit de dose maximal ».</w:t>
      </w:r>
    </w:p>
    <w:p w:rsidR="00267DA7" w:rsidRPr="00CE70CB" w:rsidRDefault="00267DA7" w:rsidP="00267DA7">
      <w:pPr>
        <w:pStyle w:val="SingleTxtG"/>
        <w:tabs>
          <w:tab w:val="left" w:pos="2268"/>
        </w:tabs>
        <w:ind w:left="2259" w:hanging="1125"/>
        <w:rPr>
          <w:szCs w:val="24"/>
          <w:lang w:val="fr-FR"/>
        </w:rPr>
      </w:pPr>
      <w:r w:rsidRPr="00CE70CB">
        <w:rPr>
          <w:szCs w:val="24"/>
          <w:lang w:val="fr-FR"/>
        </w:rPr>
        <w:t>6.4.7.17</w:t>
      </w:r>
      <w:r w:rsidRPr="00CE70CB">
        <w:rPr>
          <w:szCs w:val="24"/>
          <w:lang w:val="fr-FR"/>
        </w:rPr>
        <w:tab/>
        <w:t>Modifier pour lire comme suit :</w:t>
      </w:r>
    </w:p>
    <w:p w:rsidR="00267DA7" w:rsidRPr="00CE70CB" w:rsidRDefault="00267DA7" w:rsidP="00267DA7">
      <w:pPr>
        <w:pStyle w:val="SingleTxtG"/>
        <w:tabs>
          <w:tab w:val="left" w:pos="2268"/>
        </w:tabs>
        <w:ind w:left="2259" w:hanging="1125"/>
        <w:rPr>
          <w:szCs w:val="24"/>
          <w:lang w:val="fr-FR"/>
        </w:rPr>
      </w:pPr>
      <w:r w:rsidRPr="00CE70CB">
        <w:rPr>
          <w:szCs w:val="24"/>
          <w:lang w:val="fr-FR"/>
        </w:rPr>
        <w:t>« 6.4.7.17</w:t>
      </w:r>
      <w:r w:rsidRPr="00CE70CB">
        <w:rPr>
          <w:szCs w:val="24"/>
          <w:lang w:val="fr-FR"/>
        </w:rPr>
        <w:tab/>
        <w:t>Un colis du type A conçu pour le transport de gaz doit empêcher la perte ou la dispersion du contenu radioactif s’il est soumis aux épreuves spécifiées au 6.4.16, à l’exception d’un colis du type A conçu pour contenir du tritium ou de gaz rares. »</w:t>
      </w:r>
    </w:p>
    <w:p w:rsidR="00267DA7" w:rsidRPr="00CE70CB" w:rsidRDefault="00267DA7" w:rsidP="00267DA7">
      <w:pPr>
        <w:pStyle w:val="SingleTxtG"/>
        <w:tabs>
          <w:tab w:val="left" w:pos="2268"/>
        </w:tabs>
        <w:ind w:left="2259" w:hanging="1125"/>
        <w:rPr>
          <w:szCs w:val="24"/>
          <w:lang w:val="fr-FR"/>
        </w:rPr>
      </w:pPr>
      <w:r w:rsidRPr="00CE70CB">
        <w:rPr>
          <w:szCs w:val="24"/>
          <w:lang w:val="fr-FR"/>
        </w:rPr>
        <w:t>6.4.8.2</w:t>
      </w:r>
      <w:r w:rsidRPr="00CE70CB">
        <w:rPr>
          <w:szCs w:val="24"/>
          <w:lang w:val="fr-FR"/>
        </w:rPr>
        <w:tab/>
        <w:t xml:space="preserve">L’amendement est sans objet en français. </w:t>
      </w:r>
    </w:p>
    <w:p w:rsidR="00267DA7" w:rsidRPr="00CE70CB" w:rsidRDefault="00267DA7" w:rsidP="00267DA7">
      <w:pPr>
        <w:pStyle w:val="SingleTxtG"/>
        <w:tabs>
          <w:tab w:val="left" w:pos="2268"/>
        </w:tabs>
        <w:ind w:left="2259" w:hanging="1125"/>
        <w:rPr>
          <w:szCs w:val="24"/>
          <w:lang w:val="fr-FR"/>
        </w:rPr>
      </w:pPr>
      <w:r w:rsidRPr="00CE70CB">
        <w:rPr>
          <w:szCs w:val="24"/>
          <w:lang w:val="fr-FR"/>
        </w:rPr>
        <w:t>6.4.8.8</w:t>
      </w:r>
      <w:r w:rsidRPr="00CE70CB">
        <w:rPr>
          <w:szCs w:val="24"/>
          <w:lang w:val="fr-FR"/>
        </w:rPr>
        <w:tab/>
        <w:t>Au premier tiret suivant les alinéas, remplacer « l’intensité de rayonnement » par « le débit de dose ». Au dernier paragraphe, remplacer « limitations de la contamination externe » par « </w:t>
      </w:r>
      <w:bookmarkStart w:id="148" w:name="_Hlk31643702"/>
      <w:r w:rsidRPr="00CE70CB">
        <w:rPr>
          <w:szCs w:val="24"/>
          <w:lang w:val="fr-FR"/>
        </w:rPr>
        <w:t>limitations de la contamination non fixée externe</w:t>
      </w:r>
      <w:bookmarkEnd w:id="148"/>
      <w:r w:rsidRPr="00CE70CB">
        <w:rPr>
          <w:szCs w:val="24"/>
          <w:lang w:val="fr-FR"/>
        </w:rPr>
        <w:t> ».</w:t>
      </w:r>
    </w:p>
    <w:p w:rsidR="00267DA7" w:rsidRPr="00CE70CB" w:rsidRDefault="00267DA7" w:rsidP="00267DA7">
      <w:pPr>
        <w:pStyle w:val="SingleTxtG"/>
        <w:tabs>
          <w:tab w:val="left" w:pos="2268"/>
        </w:tabs>
        <w:ind w:left="2259" w:hanging="1125"/>
        <w:rPr>
          <w:szCs w:val="24"/>
          <w:lang w:val="fr-FR"/>
        </w:rPr>
      </w:pPr>
      <w:r w:rsidRPr="00CE70CB">
        <w:rPr>
          <w:szCs w:val="24"/>
          <w:lang w:val="fr-FR"/>
        </w:rPr>
        <w:t>6.4.9.1</w:t>
      </w:r>
      <w:r w:rsidRPr="00CE70CB">
        <w:rPr>
          <w:szCs w:val="24"/>
          <w:lang w:val="fr-FR"/>
        </w:rPr>
        <w:tab/>
        <w:t>À la fin de la deuxième phrase, supprimer « néanmoins ».</w:t>
      </w:r>
    </w:p>
    <w:p w:rsidR="00267DA7" w:rsidRPr="00CE70CB" w:rsidRDefault="00267DA7" w:rsidP="00267DA7">
      <w:pPr>
        <w:pStyle w:val="SingleTxtG"/>
        <w:tabs>
          <w:tab w:val="left" w:pos="2268"/>
        </w:tabs>
        <w:ind w:left="2259" w:hanging="1125"/>
        <w:rPr>
          <w:lang w:val="fr-FR"/>
        </w:rPr>
      </w:pPr>
      <w:r w:rsidRPr="00CE70CB">
        <w:rPr>
          <w:lang w:val="fr-FR"/>
        </w:rPr>
        <w:t>6.4.10.3 b) i)</w:t>
      </w:r>
      <w:r w:rsidRPr="00CE70CB">
        <w:rPr>
          <w:lang w:val="fr-FR"/>
        </w:rPr>
        <w:tab/>
      </w:r>
      <w:r w:rsidRPr="00CE70CB">
        <w:rPr>
          <w:szCs w:val="24"/>
          <w:lang w:val="fr-FR"/>
        </w:rPr>
        <w:t>Remplacer « l’intensité de rayonnement » par « </w:t>
      </w:r>
      <w:bookmarkStart w:id="149" w:name="_Hlk31643745"/>
      <w:r w:rsidRPr="00CE70CB">
        <w:rPr>
          <w:szCs w:val="24"/>
          <w:lang w:val="fr-FR"/>
        </w:rPr>
        <w:t>le débit de dose </w:t>
      </w:r>
      <w:bookmarkEnd w:id="149"/>
      <w:r w:rsidRPr="00CE70CB">
        <w:rPr>
          <w:szCs w:val="24"/>
          <w:lang w:val="fr-FR"/>
        </w:rPr>
        <w:t>».</w:t>
      </w:r>
    </w:p>
    <w:p w:rsidR="00267DA7" w:rsidRPr="00CE70CB" w:rsidRDefault="00267DA7" w:rsidP="00267DA7">
      <w:pPr>
        <w:pStyle w:val="SingleTxtG"/>
        <w:tabs>
          <w:tab w:val="left" w:pos="2268"/>
        </w:tabs>
        <w:ind w:left="2259" w:hanging="1125"/>
        <w:rPr>
          <w:szCs w:val="24"/>
          <w:lang w:val="fr-FR"/>
        </w:rPr>
      </w:pPr>
      <w:r w:rsidRPr="00CE70CB">
        <w:rPr>
          <w:szCs w:val="24"/>
          <w:lang w:val="fr-FR"/>
        </w:rPr>
        <w:t xml:space="preserve">6.4.11.2 </w:t>
      </w:r>
      <w:r w:rsidRPr="00CE70CB">
        <w:rPr>
          <w:szCs w:val="24"/>
          <w:lang w:val="fr-FR"/>
        </w:rPr>
        <w:tab/>
        <w:t>À l’alinéa c) iv), remplacer « masse maximum » par « masse totale ».</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À l’alinéa d) Remplacer « leur concentration totale » par « </w:t>
      </w:r>
      <w:bookmarkStart w:id="150" w:name="_Hlk31643793"/>
      <w:r w:rsidRPr="00CE70CB">
        <w:rPr>
          <w:szCs w:val="24"/>
          <w:lang w:val="fr-FR"/>
        </w:rPr>
        <w:t>la concentration totale de ces matières</w:t>
      </w:r>
      <w:bookmarkEnd w:id="150"/>
      <w:r w:rsidRPr="00CE70CB">
        <w:rPr>
          <w:szCs w:val="24"/>
          <w:lang w:val="fr-FR"/>
        </w:rPr>
        <w:t> ».</w:t>
      </w:r>
    </w:p>
    <w:p w:rsidR="00267DA7" w:rsidRPr="00CE70CB" w:rsidRDefault="00267DA7" w:rsidP="00267DA7">
      <w:pPr>
        <w:pStyle w:val="SingleTxtG"/>
        <w:tabs>
          <w:tab w:val="left" w:pos="2268"/>
        </w:tabs>
        <w:ind w:left="2259" w:hanging="1125"/>
        <w:rPr>
          <w:szCs w:val="24"/>
          <w:lang w:val="fr-FR"/>
        </w:rPr>
      </w:pPr>
      <w:r w:rsidRPr="00CE70CB">
        <w:rPr>
          <w:szCs w:val="24"/>
          <w:lang w:val="fr-FR"/>
        </w:rPr>
        <w:t>6.4.11.8 b) i)</w:t>
      </w:r>
      <w:r w:rsidRPr="00CE70CB">
        <w:rPr>
          <w:szCs w:val="24"/>
          <w:lang w:val="fr-FR"/>
        </w:rPr>
        <w:tab/>
        <w:t>Ajouter « ou le bouchon » après « entre la valve » et, à la fin, après « les valves », ajouter « et le bouchon ».</w:t>
      </w:r>
    </w:p>
    <w:p w:rsidR="00267DA7" w:rsidRPr="00CE70CB" w:rsidRDefault="00267DA7" w:rsidP="00267DA7">
      <w:pPr>
        <w:pStyle w:val="SingleTxtG"/>
        <w:tabs>
          <w:tab w:val="left" w:pos="2268"/>
        </w:tabs>
        <w:ind w:left="2259" w:hanging="1125"/>
        <w:rPr>
          <w:szCs w:val="24"/>
          <w:lang w:val="fr-FR"/>
        </w:rPr>
      </w:pPr>
      <w:r w:rsidRPr="00CE70CB">
        <w:rPr>
          <w:szCs w:val="24"/>
          <w:lang w:val="fr-FR"/>
        </w:rPr>
        <w:t>6.4.12.1 a)</w:t>
      </w:r>
      <w:r w:rsidRPr="00CE70CB">
        <w:rPr>
          <w:szCs w:val="24"/>
          <w:lang w:val="fr-FR"/>
        </w:rPr>
        <w:tab/>
        <w:t>Au début, supprimer « des matières LSA-III, ».</w:t>
      </w:r>
    </w:p>
    <w:p w:rsidR="00267DA7" w:rsidRPr="00CE70CB" w:rsidRDefault="00267DA7" w:rsidP="00267DA7">
      <w:pPr>
        <w:pStyle w:val="SingleTxtG"/>
        <w:tabs>
          <w:tab w:val="left" w:pos="2268"/>
        </w:tabs>
        <w:ind w:left="2259" w:hanging="1125"/>
        <w:rPr>
          <w:szCs w:val="24"/>
          <w:lang w:val="fr-FR"/>
        </w:rPr>
      </w:pPr>
      <w:r w:rsidRPr="00CE70CB">
        <w:rPr>
          <w:szCs w:val="24"/>
          <w:lang w:val="fr-FR"/>
        </w:rPr>
        <w:t>6.4.13</w:t>
      </w:r>
      <w:r w:rsidRPr="00CE70CB">
        <w:rPr>
          <w:szCs w:val="24"/>
          <w:lang w:val="fr-FR"/>
        </w:rPr>
        <w:tab/>
      </w:r>
      <w:r w:rsidRPr="00CE70CB">
        <w:rPr>
          <w:szCs w:val="24"/>
          <w:lang w:val="fr-FR"/>
        </w:rPr>
        <w:tab/>
        <w:t>Modifier la phrase introductive pour lire comme suit :</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 </w:t>
      </w:r>
      <w:bookmarkStart w:id="151" w:name="_Hlk31643921"/>
      <w:r w:rsidRPr="00CE70CB">
        <w:rPr>
          <w:szCs w:val="24"/>
          <w:lang w:val="fr-FR"/>
        </w:rPr>
        <w:t>Après chacune des épreuves applicables, chaque groupe ou chaque séquence d’épreuves applicables, selon le cas, spécifié aux 6.4.15 à 6.4.21 :</w:t>
      </w:r>
      <w:bookmarkEnd w:id="151"/>
      <w:r w:rsidRPr="00CE70CB">
        <w:rPr>
          <w:szCs w:val="24"/>
          <w:lang w:val="fr-FR"/>
        </w:rPr>
        <w:t> »</w:t>
      </w:r>
    </w:p>
    <w:p w:rsidR="00267DA7" w:rsidRPr="00CE70CB" w:rsidRDefault="00267DA7" w:rsidP="00267DA7">
      <w:pPr>
        <w:pStyle w:val="SingleTxtG"/>
        <w:tabs>
          <w:tab w:val="left" w:pos="2268"/>
        </w:tabs>
        <w:ind w:left="2259" w:hanging="1125"/>
        <w:rPr>
          <w:szCs w:val="24"/>
          <w:lang w:val="fr-FR"/>
        </w:rPr>
      </w:pPr>
      <w:r w:rsidRPr="00CE70CB">
        <w:rPr>
          <w:szCs w:val="24"/>
          <w:lang w:val="fr-FR"/>
        </w:rPr>
        <w:t>6.4.15.4 a)</w:t>
      </w:r>
      <w:r w:rsidRPr="00CE70CB">
        <w:rPr>
          <w:szCs w:val="24"/>
          <w:lang w:val="fr-FR"/>
        </w:rPr>
        <w:tab/>
        <w:t>Remplacer « de chute » par « de la chute ». La deuxième modification est sans objet en français.</w:t>
      </w:r>
    </w:p>
    <w:p w:rsidR="00267DA7" w:rsidRPr="00CE70CB" w:rsidRDefault="00267DA7" w:rsidP="00267DA7">
      <w:pPr>
        <w:pStyle w:val="SingleTxtG"/>
        <w:tabs>
          <w:tab w:val="left" w:pos="2268"/>
        </w:tabs>
        <w:ind w:left="2259" w:hanging="1125"/>
        <w:rPr>
          <w:szCs w:val="24"/>
          <w:lang w:val="fr-FR"/>
        </w:rPr>
      </w:pPr>
      <w:r w:rsidRPr="00CE70CB">
        <w:rPr>
          <w:szCs w:val="24"/>
          <w:lang w:val="fr-FR"/>
        </w:rPr>
        <w:lastRenderedPageBreak/>
        <w:t>6.4.15.6 b)</w:t>
      </w:r>
      <w:r w:rsidRPr="00CE70CB">
        <w:rPr>
          <w:szCs w:val="24"/>
          <w:lang w:val="fr-FR"/>
        </w:rPr>
        <w:tab/>
      </w:r>
      <w:r w:rsidR="003A1E21" w:rsidRPr="00CE70CB">
        <w:rPr>
          <w:szCs w:val="24"/>
          <w:lang w:val="fr-FR"/>
        </w:rPr>
        <w:t xml:space="preserve">La première modification est sans objet en français. </w:t>
      </w:r>
      <w:r w:rsidRPr="00CE70CB">
        <w:rPr>
          <w:szCs w:val="24"/>
          <w:lang w:val="fr-FR"/>
        </w:rPr>
        <w:t xml:space="preserve">Ajouter une virgule avant « mesurée » et après « du spécimen ». </w:t>
      </w:r>
    </w:p>
    <w:p w:rsidR="00267DA7" w:rsidRPr="00CE70CB" w:rsidRDefault="00267DA7" w:rsidP="00267DA7">
      <w:pPr>
        <w:pStyle w:val="SingleTxtG"/>
        <w:tabs>
          <w:tab w:val="left" w:pos="2268"/>
        </w:tabs>
        <w:ind w:left="2259" w:hanging="1125"/>
        <w:rPr>
          <w:szCs w:val="24"/>
          <w:lang w:val="fr-FR"/>
        </w:rPr>
      </w:pPr>
      <w:r w:rsidRPr="00CE70CB">
        <w:rPr>
          <w:szCs w:val="24"/>
          <w:lang w:val="fr-FR"/>
        </w:rPr>
        <w:t>6.4.17.2 b)</w:t>
      </w:r>
      <w:r w:rsidRPr="00CE70CB">
        <w:rPr>
          <w:szCs w:val="24"/>
          <w:lang w:val="fr-FR"/>
        </w:rPr>
        <w:tab/>
        <w:t>L’amendement est sans objet en français.</w:t>
      </w:r>
    </w:p>
    <w:p w:rsidR="00267DA7" w:rsidRPr="00CE70CB" w:rsidRDefault="00267DA7" w:rsidP="00267DA7">
      <w:pPr>
        <w:pStyle w:val="SingleTxtG"/>
        <w:tabs>
          <w:tab w:val="left" w:pos="2268"/>
        </w:tabs>
        <w:ind w:left="2259" w:hanging="1125"/>
        <w:rPr>
          <w:szCs w:val="24"/>
          <w:lang w:val="fr-FR"/>
        </w:rPr>
      </w:pPr>
      <w:r w:rsidRPr="00CE70CB">
        <w:rPr>
          <w:szCs w:val="24"/>
          <w:lang w:val="fr-FR"/>
        </w:rPr>
        <w:t>6.4.17.3 b)</w:t>
      </w:r>
      <w:r w:rsidRPr="00CE70CB">
        <w:rPr>
          <w:szCs w:val="24"/>
          <w:lang w:val="fr-FR"/>
        </w:rPr>
        <w:tab/>
        <w:t>L’amendement est sans objet en français.</w:t>
      </w:r>
    </w:p>
    <w:p w:rsidR="00267DA7" w:rsidRPr="00CE70CB" w:rsidRDefault="00267DA7" w:rsidP="00267DA7">
      <w:pPr>
        <w:pStyle w:val="SingleTxtG"/>
        <w:tabs>
          <w:tab w:val="left" w:pos="2268"/>
        </w:tabs>
        <w:ind w:left="2259" w:hanging="1125"/>
        <w:rPr>
          <w:szCs w:val="24"/>
          <w:lang w:val="fr-FR"/>
        </w:rPr>
      </w:pPr>
      <w:r w:rsidRPr="00CE70CB">
        <w:rPr>
          <w:szCs w:val="24"/>
          <w:lang w:val="fr-FR"/>
        </w:rPr>
        <w:t>6.4.23.2</w:t>
      </w:r>
      <w:r w:rsidRPr="00CE70CB">
        <w:rPr>
          <w:szCs w:val="24"/>
          <w:lang w:val="fr-FR"/>
        </w:rPr>
        <w:tab/>
        <w:t>Ajouter un nouveau titre pour lire « </w:t>
      </w:r>
      <w:bookmarkStart w:id="152" w:name="_Hlk31704863"/>
      <w:r w:rsidRPr="00CE70CB">
        <w:rPr>
          <w:b/>
          <w:bCs/>
          <w:szCs w:val="24"/>
          <w:lang w:val="fr-FR"/>
        </w:rPr>
        <w:t>6.4.23.2</w:t>
      </w:r>
      <w:r w:rsidRPr="00CE70CB">
        <w:rPr>
          <w:b/>
          <w:bCs/>
          <w:szCs w:val="24"/>
          <w:lang w:val="fr-FR"/>
        </w:rPr>
        <w:tab/>
      </w:r>
      <w:r w:rsidRPr="00CE70CB">
        <w:rPr>
          <w:b/>
          <w:bCs/>
          <w:i/>
          <w:iCs/>
          <w:szCs w:val="24"/>
          <w:lang w:val="fr-FR"/>
        </w:rPr>
        <w:t>Demandes d’approbations des expéditions</w:t>
      </w:r>
      <w:bookmarkEnd w:id="152"/>
      <w:r w:rsidRPr="00CE70CB">
        <w:rPr>
          <w:szCs w:val="24"/>
          <w:lang w:val="fr-FR"/>
        </w:rPr>
        <w:t> ». Renuméroter le 6.4.23.2 actuel en tant que 6.4.23.2.1</w:t>
      </w:r>
      <w:r w:rsidR="00326E0F" w:rsidRPr="00CE70CB">
        <w:rPr>
          <w:szCs w:val="24"/>
          <w:lang w:val="fr-FR"/>
        </w:rPr>
        <w:t>.</w:t>
      </w:r>
    </w:p>
    <w:p w:rsidR="00267DA7" w:rsidRPr="00CE70CB" w:rsidRDefault="00267DA7" w:rsidP="00267DA7">
      <w:pPr>
        <w:pStyle w:val="SingleTxtG"/>
        <w:tabs>
          <w:tab w:val="left" w:pos="2268"/>
        </w:tabs>
        <w:ind w:left="2259" w:hanging="1125"/>
        <w:rPr>
          <w:szCs w:val="24"/>
          <w:lang w:val="fr-FR"/>
        </w:rPr>
      </w:pPr>
      <w:r w:rsidRPr="00CE70CB">
        <w:rPr>
          <w:szCs w:val="24"/>
          <w:lang w:val="fr-FR"/>
        </w:rPr>
        <w:t>6.4.23.2</w:t>
      </w:r>
      <w:r w:rsidRPr="00CE70CB">
        <w:rPr>
          <w:szCs w:val="24"/>
          <w:lang w:val="fr-FR"/>
        </w:rPr>
        <w:tab/>
        <w:t>Ajouter un nouveau paragraphe 6.4.23.2.2, pour lire comme suit :</w:t>
      </w:r>
    </w:p>
    <w:p w:rsidR="00267DA7" w:rsidRPr="00CE70CB" w:rsidRDefault="00326E0F" w:rsidP="00267DA7">
      <w:pPr>
        <w:pStyle w:val="SingleTxtG"/>
        <w:tabs>
          <w:tab w:val="left" w:pos="2268"/>
        </w:tabs>
        <w:ind w:left="2259" w:hanging="1125"/>
        <w:rPr>
          <w:szCs w:val="24"/>
          <w:lang w:val="fr-FR"/>
        </w:rPr>
      </w:pPr>
      <w:r w:rsidRPr="00CE70CB">
        <w:rPr>
          <w:szCs w:val="24"/>
          <w:lang w:val="fr-FR"/>
        </w:rPr>
        <w:tab/>
      </w:r>
      <w:r w:rsidR="00267DA7" w:rsidRPr="00CE70CB">
        <w:rPr>
          <w:szCs w:val="24"/>
          <w:lang w:val="fr-FR"/>
        </w:rPr>
        <w:t>« </w:t>
      </w:r>
      <w:bookmarkStart w:id="153" w:name="_Hlk31704930"/>
      <w:r w:rsidR="00267DA7" w:rsidRPr="00CE70CB">
        <w:rPr>
          <w:szCs w:val="24"/>
          <w:lang w:val="fr-FR"/>
        </w:rPr>
        <w:t>6.4.23.2.2</w:t>
      </w:r>
      <w:r w:rsidR="00267DA7" w:rsidRPr="00CE70CB">
        <w:rPr>
          <w:szCs w:val="24"/>
          <w:lang w:val="fr-FR"/>
        </w:rPr>
        <w:tab/>
        <w:t>La demande d’approbation d’une expédition de SCO-III doit :</w:t>
      </w:r>
    </w:p>
    <w:p w:rsidR="00267DA7" w:rsidRPr="00CE70CB" w:rsidRDefault="00267DA7" w:rsidP="00267DA7">
      <w:pPr>
        <w:pStyle w:val="SingleTxtG"/>
        <w:tabs>
          <w:tab w:val="left" w:pos="2268"/>
        </w:tabs>
        <w:ind w:left="2835" w:hanging="576"/>
        <w:rPr>
          <w:szCs w:val="24"/>
          <w:lang w:val="fr-FR"/>
        </w:rPr>
      </w:pPr>
      <w:r w:rsidRPr="00CE70CB">
        <w:rPr>
          <w:szCs w:val="24"/>
          <w:lang w:val="fr-FR"/>
        </w:rPr>
        <w:t>a)</w:t>
      </w:r>
      <w:r w:rsidRPr="00CE70CB">
        <w:rPr>
          <w:szCs w:val="24"/>
          <w:lang w:val="fr-FR"/>
        </w:rPr>
        <w:tab/>
        <w:t>Exposer dans quelle mesure et pour quelles raisons l’envoi est considéré comme un SCO-III ;</w:t>
      </w:r>
    </w:p>
    <w:p w:rsidR="00267DA7" w:rsidRPr="00CE70CB" w:rsidRDefault="00267DA7" w:rsidP="00267DA7">
      <w:pPr>
        <w:pStyle w:val="SingleTxtG"/>
        <w:tabs>
          <w:tab w:val="left" w:pos="2268"/>
        </w:tabs>
        <w:ind w:left="2835" w:hanging="576"/>
        <w:rPr>
          <w:szCs w:val="24"/>
          <w:lang w:val="fr-FR"/>
        </w:rPr>
      </w:pPr>
      <w:r w:rsidRPr="00CE70CB">
        <w:rPr>
          <w:szCs w:val="24"/>
          <w:lang w:val="fr-FR"/>
        </w:rPr>
        <w:t>b)</w:t>
      </w:r>
      <w:r w:rsidRPr="00CE70CB">
        <w:rPr>
          <w:szCs w:val="24"/>
          <w:lang w:val="fr-FR"/>
        </w:rPr>
        <w:tab/>
        <w:t>Justifier le choix du SCO-III en démontrant :</w:t>
      </w:r>
    </w:p>
    <w:p w:rsidR="00267DA7" w:rsidRPr="00CE70CB" w:rsidRDefault="00267DA7" w:rsidP="00267DA7">
      <w:pPr>
        <w:pStyle w:val="SingleTxtG"/>
        <w:tabs>
          <w:tab w:val="left" w:pos="2268"/>
        </w:tabs>
        <w:ind w:left="2268" w:firstLine="567"/>
        <w:rPr>
          <w:szCs w:val="24"/>
          <w:lang w:val="fr-FR"/>
        </w:rPr>
      </w:pPr>
      <w:r w:rsidRPr="00CE70CB">
        <w:rPr>
          <w:szCs w:val="24"/>
          <w:lang w:val="fr-FR"/>
        </w:rPr>
        <w:t>i)</w:t>
      </w:r>
      <w:r w:rsidRPr="00CE70CB">
        <w:rPr>
          <w:szCs w:val="24"/>
          <w:lang w:val="fr-FR"/>
        </w:rPr>
        <w:tab/>
        <w:t>Qu’il n’existe pas pour le moment d’emballage adapté ;</w:t>
      </w:r>
    </w:p>
    <w:p w:rsidR="00267DA7" w:rsidRPr="00CE70CB" w:rsidRDefault="00267DA7" w:rsidP="00267DA7">
      <w:pPr>
        <w:pStyle w:val="SingleTxtG"/>
        <w:tabs>
          <w:tab w:val="left" w:pos="2268"/>
        </w:tabs>
        <w:ind w:left="3402" w:hanging="567"/>
        <w:rPr>
          <w:szCs w:val="24"/>
          <w:lang w:val="fr-FR"/>
        </w:rPr>
      </w:pPr>
      <w:r w:rsidRPr="00CE70CB">
        <w:rPr>
          <w:szCs w:val="24"/>
          <w:lang w:val="fr-FR"/>
        </w:rPr>
        <w:t>ii)</w:t>
      </w:r>
      <w:r w:rsidRPr="00CE70CB">
        <w:rPr>
          <w:szCs w:val="24"/>
          <w:lang w:val="fr-FR"/>
        </w:rPr>
        <w:tab/>
      </w:r>
      <w:r w:rsidR="008E671D" w:rsidRPr="00CE70CB">
        <w:rPr>
          <w:szCs w:val="24"/>
          <w:lang w:val="fr-FR"/>
        </w:rPr>
        <w:t>Que</w:t>
      </w:r>
      <w:r w:rsidRPr="00CE70CB">
        <w:rPr>
          <w:szCs w:val="24"/>
          <w:lang w:val="fr-FR"/>
        </w:rPr>
        <w:t xml:space="preserve"> la conception et/ou la construction d’un emballage ou que la segmentation de l’objet n’est pas possible d’un point de vue pratique, technique ou économique ;</w:t>
      </w:r>
    </w:p>
    <w:p w:rsidR="00267DA7" w:rsidRPr="00CE70CB" w:rsidRDefault="00267DA7" w:rsidP="00267DA7">
      <w:pPr>
        <w:pStyle w:val="SingleTxtG"/>
        <w:tabs>
          <w:tab w:val="left" w:pos="2268"/>
        </w:tabs>
        <w:ind w:left="2268" w:firstLine="567"/>
        <w:rPr>
          <w:szCs w:val="24"/>
          <w:lang w:val="fr-FR"/>
        </w:rPr>
      </w:pPr>
      <w:r w:rsidRPr="00CE70CB">
        <w:rPr>
          <w:szCs w:val="24"/>
          <w:lang w:val="fr-FR"/>
        </w:rPr>
        <w:t>iii)</w:t>
      </w:r>
      <w:r w:rsidRPr="00CE70CB">
        <w:rPr>
          <w:szCs w:val="24"/>
          <w:lang w:val="fr-FR"/>
        </w:rPr>
        <w:tab/>
        <w:t>Qu’il n’existe pas d’autre solution viable ;</w:t>
      </w:r>
    </w:p>
    <w:p w:rsidR="00267DA7" w:rsidRPr="00CE70CB" w:rsidRDefault="00267DA7" w:rsidP="00267DA7">
      <w:pPr>
        <w:pStyle w:val="SingleTxtG"/>
        <w:tabs>
          <w:tab w:val="left" w:pos="2268"/>
        </w:tabs>
        <w:ind w:left="2835" w:hanging="576"/>
        <w:rPr>
          <w:szCs w:val="24"/>
          <w:lang w:val="fr-FR"/>
        </w:rPr>
      </w:pPr>
      <w:r w:rsidRPr="00CE70CB">
        <w:rPr>
          <w:szCs w:val="24"/>
          <w:lang w:val="fr-FR"/>
        </w:rPr>
        <w:t>c)</w:t>
      </w:r>
      <w:r w:rsidRPr="00CE70CB">
        <w:rPr>
          <w:szCs w:val="24"/>
          <w:lang w:val="fr-FR"/>
        </w:rPr>
        <w:tab/>
        <w:t>Décrire de manière détaillée le contenu radioactif prévu, en indiquant notamment son état physique, sa forme chimique et la nature du rayonnement émis ;</w:t>
      </w:r>
    </w:p>
    <w:p w:rsidR="00267DA7" w:rsidRPr="00CE70CB" w:rsidRDefault="00267DA7" w:rsidP="00267DA7">
      <w:pPr>
        <w:pStyle w:val="SingleTxtG"/>
        <w:tabs>
          <w:tab w:val="left" w:pos="2268"/>
        </w:tabs>
        <w:ind w:left="2835" w:hanging="576"/>
        <w:rPr>
          <w:szCs w:val="24"/>
          <w:lang w:val="fr-FR"/>
        </w:rPr>
      </w:pPr>
      <w:r w:rsidRPr="00CE70CB">
        <w:rPr>
          <w:szCs w:val="24"/>
          <w:lang w:val="fr-FR"/>
        </w:rPr>
        <w:t>d)</w:t>
      </w:r>
      <w:r w:rsidRPr="00CE70CB">
        <w:rPr>
          <w:szCs w:val="24"/>
          <w:lang w:val="fr-FR"/>
        </w:rPr>
        <w:tab/>
        <w:t>Définir de manière détaillée le modèle du SCO-III, notamment les plans complets du modèle, les listes des matériaux et les méthodes de construction ;</w:t>
      </w:r>
    </w:p>
    <w:p w:rsidR="00267DA7" w:rsidRPr="00CE70CB" w:rsidRDefault="00267DA7" w:rsidP="00267DA7">
      <w:pPr>
        <w:pStyle w:val="SingleTxtG"/>
        <w:tabs>
          <w:tab w:val="left" w:pos="2268"/>
        </w:tabs>
        <w:ind w:left="2835" w:hanging="576"/>
        <w:rPr>
          <w:szCs w:val="24"/>
          <w:lang w:val="fr-FR"/>
        </w:rPr>
      </w:pPr>
      <w:r w:rsidRPr="00CE70CB">
        <w:rPr>
          <w:szCs w:val="24"/>
          <w:lang w:val="fr-FR"/>
        </w:rPr>
        <w:t>e)</w:t>
      </w:r>
      <w:r w:rsidRPr="00CE70CB">
        <w:rPr>
          <w:szCs w:val="24"/>
          <w:lang w:val="fr-FR"/>
        </w:rPr>
        <w:tab/>
        <w:t>Comporter tous les renseignements nécessaires pour que l’autorité compétente ait l’assurance que les prescriptions du 4.1.9.2.4 e) et les prescriptions applicables du 7.5.11, CV33 (2) sont satisfaites ;</w:t>
      </w:r>
    </w:p>
    <w:p w:rsidR="00267DA7" w:rsidRPr="00CE70CB" w:rsidRDefault="00267DA7" w:rsidP="00267DA7">
      <w:pPr>
        <w:pStyle w:val="SingleTxtG"/>
        <w:tabs>
          <w:tab w:val="left" w:pos="2268"/>
        </w:tabs>
        <w:ind w:left="2835" w:hanging="576"/>
        <w:rPr>
          <w:szCs w:val="24"/>
          <w:lang w:val="fr-FR"/>
        </w:rPr>
      </w:pPr>
      <w:r w:rsidRPr="00CE70CB">
        <w:rPr>
          <w:szCs w:val="24"/>
          <w:lang w:val="fr-FR"/>
        </w:rPr>
        <w:t>f)</w:t>
      </w:r>
      <w:r w:rsidRPr="00CE70CB">
        <w:rPr>
          <w:szCs w:val="24"/>
          <w:lang w:val="fr-FR"/>
        </w:rPr>
        <w:tab/>
        <w:t>Comprendre un plan de transport ;</w:t>
      </w:r>
    </w:p>
    <w:p w:rsidR="00267DA7" w:rsidRPr="00CE70CB" w:rsidRDefault="00267DA7" w:rsidP="00267DA7">
      <w:pPr>
        <w:pStyle w:val="SingleTxtG"/>
        <w:tabs>
          <w:tab w:val="left" w:pos="2268"/>
        </w:tabs>
        <w:ind w:left="2835" w:hanging="576"/>
        <w:rPr>
          <w:szCs w:val="24"/>
          <w:lang w:val="fr-FR"/>
        </w:rPr>
      </w:pPr>
      <w:r w:rsidRPr="00CE70CB">
        <w:rPr>
          <w:szCs w:val="24"/>
          <w:lang w:val="fr-FR"/>
        </w:rPr>
        <w:t>g)</w:t>
      </w:r>
      <w:r w:rsidRPr="00CE70CB">
        <w:rPr>
          <w:szCs w:val="24"/>
          <w:lang w:val="fr-FR"/>
        </w:rPr>
        <w:tab/>
        <w:t>Décrire le système de management applicable conformément au 1.7.3.</w:t>
      </w:r>
      <w:bookmarkEnd w:id="153"/>
      <w:r w:rsidRPr="00CE70CB">
        <w:rPr>
          <w:szCs w:val="24"/>
          <w:lang w:val="fr-FR"/>
        </w:rPr>
        <w:t> »</w:t>
      </w:r>
    </w:p>
    <w:p w:rsidR="00267DA7" w:rsidRPr="00CE70CB" w:rsidRDefault="00267DA7" w:rsidP="00267DA7">
      <w:pPr>
        <w:pStyle w:val="SingleTxtG"/>
        <w:tabs>
          <w:tab w:val="left" w:pos="2268"/>
        </w:tabs>
        <w:ind w:left="2259" w:hanging="1125"/>
        <w:rPr>
          <w:szCs w:val="24"/>
          <w:lang w:val="fr-FR"/>
        </w:rPr>
      </w:pPr>
      <w:r w:rsidRPr="00CE70CB">
        <w:rPr>
          <w:szCs w:val="24"/>
          <w:lang w:val="fr-FR"/>
        </w:rPr>
        <w:t>6.4.23.4</w:t>
      </w:r>
      <w:r w:rsidRPr="00CE70CB">
        <w:rPr>
          <w:szCs w:val="24"/>
          <w:lang w:val="fr-FR"/>
        </w:rPr>
        <w:tab/>
        <w:t>Insérer un nouvel alinéa f) ainsi libellé :</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 </w:t>
      </w:r>
      <w:bookmarkStart w:id="154" w:name="_Hlk31705017"/>
      <w:r w:rsidRPr="00CE70CB">
        <w:rPr>
          <w:szCs w:val="24"/>
          <w:lang w:val="fr-FR"/>
        </w:rPr>
        <w:t xml:space="preserve">f) </w:t>
      </w:r>
      <w:r w:rsidRPr="00CE70CB">
        <w:rPr>
          <w:szCs w:val="24"/>
          <w:lang w:val="fr-FR"/>
        </w:rPr>
        <w:tab/>
        <w:t>Si le colis doit être utilisé à des fins d’expédition après entreposage, une justification de la prise en compte des mécanismes de vieillissement, dans l’analyse de la sûreté dans le cadre des instructions prévues pour le mode d’emploi et l’entretien ;</w:t>
      </w:r>
      <w:bookmarkEnd w:id="154"/>
      <w:r w:rsidRPr="00CE70CB">
        <w:rPr>
          <w:szCs w:val="24"/>
          <w:lang w:val="fr-FR"/>
        </w:rPr>
        <w:t> »</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Renuméroter les alinéas suivants en conséquence.</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À la fin du nouvel alinéa i) (actuel h)), supprimer « et ». à la fin du nouvel alinéa j) (actuel i)), remplacer « . » par « ; et ».</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Ajouter un nouvel alinéa k) ainsi libellé :</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 </w:t>
      </w:r>
      <w:bookmarkStart w:id="155" w:name="_Hlk31705069"/>
      <w:r w:rsidRPr="00CE70CB">
        <w:rPr>
          <w:szCs w:val="24"/>
          <w:lang w:val="fr-FR"/>
        </w:rPr>
        <w:t>k)</w:t>
      </w:r>
      <w:r w:rsidRPr="00CE70CB">
        <w:rPr>
          <w:szCs w:val="24"/>
          <w:lang w:val="fr-FR"/>
        </w:rPr>
        <w:tab/>
        <w:t>Pour les colis destinés à être utilisés pour une expédition après entreposage, un programme d’analyse des écarts décrivant une procédure systématique d’évaluation périodique des changements au niveau de la réglementation applicable, des connaissances techniques et de l’état du modèle de colis pendant l’entreposage.</w:t>
      </w:r>
      <w:bookmarkEnd w:id="155"/>
      <w:r w:rsidRPr="00CE70CB">
        <w:rPr>
          <w:szCs w:val="24"/>
          <w:lang w:val="fr-FR"/>
        </w:rPr>
        <w:t> »</w:t>
      </w:r>
    </w:p>
    <w:p w:rsidR="00267DA7" w:rsidRPr="00CE70CB" w:rsidRDefault="00267DA7" w:rsidP="00267DA7">
      <w:pPr>
        <w:pStyle w:val="SingleTxtG"/>
        <w:tabs>
          <w:tab w:val="left" w:pos="2268"/>
        </w:tabs>
        <w:ind w:left="2259" w:hanging="1125"/>
        <w:rPr>
          <w:szCs w:val="24"/>
          <w:lang w:val="fr-FR"/>
        </w:rPr>
      </w:pPr>
      <w:r w:rsidRPr="00CE70CB">
        <w:rPr>
          <w:szCs w:val="24"/>
          <w:lang w:val="fr-FR"/>
        </w:rPr>
        <w:t>6.4.23.8 c)</w:t>
      </w:r>
      <w:r w:rsidRPr="00CE70CB">
        <w:rPr>
          <w:szCs w:val="24"/>
          <w:lang w:val="fr-FR"/>
        </w:rPr>
        <w:tab/>
        <w:t>L’amendement est sans objet en français.</w:t>
      </w:r>
    </w:p>
    <w:p w:rsidR="00267DA7" w:rsidRPr="00CE70CB" w:rsidRDefault="00267DA7" w:rsidP="00267DA7">
      <w:pPr>
        <w:pStyle w:val="SingleTxtG"/>
        <w:tabs>
          <w:tab w:val="left" w:pos="2268"/>
        </w:tabs>
        <w:ind w:left="2259" w:hanging="1125"/>
        <w:rPr>
          <w:lang w:val="fr-FR"/>
        </w:rPr>
      </w:pPr>
      <w:r w:rsidRPr="00CE70CB">
        <w:rPr>
          <w:lang w:val="fr-FR"/>
        </w:rPr>
        <w:t>6.4.23.10 c)</w:t>
      </w:r>
      <w:r w:rsidRPr="00CE70CB">
        <w:rPr>
          <w:lang w:val="fr-FR"/>
        </w:rPr>
        <w:tab/>
      </w:r>
      <w:r w:rsidRPr="00CE70CB">
        <w:rPr>
          <w:szCs w:val="24"/>
          <w:lang w:val="fr-FR"/>
        </w:rPr>
        <w:t>Remplacer « </w:t>
      </w:r>
      <w:r w:rsidR="000F358E" w:rsidRPr="00CE70CB">
        <w:rPr>
          <w:szCs w:val="24"/>
          <w:lang w:val="fr-FR"/>
        </w:rPr>
        <w:t>L</w:t>
      </w:r>
      <w:r w:rsidRPr="00CE70CB">
        <w:rPr>
          <w:szCs w:val="24"/>
          <w:lang w:val="fr-FR"/>
        </w:rPr>
        <w:t>’intensité de rayonnement externe maximale » par « </w:t>
      </w:r>
      <w:r w:rsidR="000F358E" w:rsidRPr="00CE70CB">
        <w:rPr>
          <w:szCs w:val="24"/>
          <w:lang w:val="fr-FR"/>
        </w:rPr>
        <w:t>L</w:t>
      </w:r>
      <w:r w:rsidRPr="00CE70CB">
        <w:rPr>
          <w:szCs w:val="24"/>
          <w:lang w:val="fr-FR"/>
        </w:rPr>
        <w:t>e débit de dose externe maximal ».</w:t>
      </w:r>
    </w:p>
    <w:p w:rsidR="00267DA7" w:rsidRPr="00CE70CB" w:rsidRDefault="00267DA7" w:rsidP="00267DA7">
      <w:pPr>
        <w:pStyle w:val="SingleTxtG"/>
        <w:tabs>
          <w:tab w:val="left" w:pos="2268"/>
        </w:tabs>
        <w:ind w:left="2259" w:hanging="1125"/>
        <w:rPr>
          <w:lang w:val="fr-FR"/>
        </w:rPr>
      </w:pPr>
      <w:r w:rsidRPr="00CE70CB">
        <w:rPr>
          <w:lang w:val="fr-FR"/>
        </w:rPr>
        <w:lastRenderedPageBreak/>
        <w:t>6.4.23.10 f)</w:t>
      </w:r>
      <w:r w:rsidRPr="00CE70CB">
        <w:rPr>
          <w:lang w:val="fr-FR"/>
        </w:rPr>
        <w:tab/>
      </w:r>
      <w:r w:rsidRPr="00CE70CB">
        <w:rPr>
          <w:szCs w:val="24"/>
          <w:lang w:val="fr-FR"/>
        </w:rPr>
        <w:t>Remplacer « l’intensité maximale spécifiée de rayonnement pour l’appareil ou l’objet n’est pas dépassée » par « le débit de dose maximal spécifié pour l’appareil ou l’objet ne sont pas dépassés ».</w:t>
      </w:r>
    </w:p>
    <w:p w:rsidR="00267DA7" w:rsidRPr="00CE70CB" w:rsidRDefault="00267DA7" w:rsidP="00267DA7">
      <w:pPr>
        <w:pStyle w:val="SingleTxtG"/>
        <w:tabs>
          <w:tab w:val="left" w:pos="2268"/>
        </w:tabs>
        <w:ind w:left="2259" w:hanging="1125"/>
        <w:rPr>
          <w:szCs w:val="24"/>
          <w:lang w:val="fr-FR"/>
        </w:rPr>
      </w:pPr>
      <w:r w:rsidRPr="00CE70CB">
        <w:rPr>
          <w:szCs w:val="24"/>
          <w:lang w:val="fr-FR"/>
        </w:rPr>
        <w:t>6.4.23.10 h)</w:t>
      </w:r>
      <w:r w:rsidRPr="00CE70CB">
        <w:rPr>
          <w:szCs w:val="24"/>
          <w:lang w:val="fr-FR"/>
        </w:rPr>
        <w:tab/>
        <w:t xml:space="preserve">Remplacer « Normes fondamentales internationales de protection contre les rayonnements ionisants et de sûreté des sources de rayonnements, </w:t>
      </w:r>
      <w:r w:rsidR="007B2F5C" w:rsidRPr="00CE70CB">
        <w:rPr>
          <w:szCs w:val="24"/>
          <w:lang w:val="fr-FR"/>
        </w:rPr>
        <w:t>c</w:t>
      </w:r>
      <w:r w:rsidRPr="00CE70CB">
        <w:rPr>
          <w:szCs w:val="24"/>
          <w:lang w:val="fr-FR"/>
        </w:rPr>
        <w:t>ollection Sécurité, n</w:t>
      </w:r>
      <w:r w:rsidRPr="00CE70CB">
        <w:rPr>
          <w:szCs w:val="24"/>
          <w:vertAlign w:val="superscript"/>
          <w:lang w:val="fr-FR"/>
        </w:rPr>
        <w:t>o</w:t>
      </w:r>
      <w:r w:rsidRPr="00CE70CB">
        <w:rPr>
          <w:szCs w:val="24"/>
          <w:lang w:val="fr-FR"/>
        </w:rPr>
        <w:t> 115, AIEA, Vienne (1996) » par « Radioprotection et sûreté des sources de rayonnements : normes fondamentales internationales de sûreté, collection Normes de sûreté de l’AIEA, n</w:t>
      </w:r>
      <w:r w:rsidRPr="00CE70CB">
        <w:rPr>
          <w:szCs w:val="24"/>
          <w:vertAlign w:val="superscript"/>
          <w:lang w:val="fr-FR"/>
        </w:rPr>
        <w:t>o</w:t>
      </w:r>
      <w:r w:rsidRPr="00CE70CB">
        <w:rPr>
          <w:szCs w:val="24"/>
          <w:lang w:val="fr-FR"/>
        </w:rPr>
        <w:t> GSR Partie 3, AIEA, Vienne (2014) ».</w:t>
      </w:r>
    </w:p>
    <w:p w:rsidR="00267DA7" w:rsidRPr="00CE70CB" w:rsidRDefault="00267DA7" w:rsidP="00267DA7">
      <w:pPr>
        <w:pStyle w:val="SingleTxtG"/>
        <w:tabs>
          <w:tab w:val="left" w:pos="2268"/>
        </w:tabs>
        <w:ind w:left="2259" w:hanging="1125"/>
        <w:rPr>
          <w:szCs w:val="24"/>
          <w:lang w:val="fr-FR"/>
        </w:rPr>
      </w:pPr>
      <w:r w:rsidRPr="00CE70CB">
        <w:rPr>
          <w:szCs w:val="24"/>
          <w:lang w:val="fr-FR"/>
        </w:rPr>
        <w:t>6.4.23.11</w:t>
      </w:r>
      <w:r w:rsidRPr="00CE70CB">
        <w:rPr>
          <w:szCs w:val="24"/>
          <w:lang w:val="fr-FR"/>
        </w:rPr>
        <w:tab/>
        <w:t>Supprimer l’alinéa d).</w:t>
      </w:r>
    </w:p>
    <w:p w:rsidR="00267DA7" w:rsidRPr="00CE70CB" w:rsidRDefault="00267DA7" w:rsidP="00267DA7">
      <w:pPr>
        <w:pStyle w:val="SingleTxtG"/>
        <w:tabs>
          <w:tab w:val="left" w:pos="2268"/>
        </w:tabs>
        <w:ind w:left="2259" w:hanging="1125"/>
        <w:rPr>
          <w:szCs w:val="24"/>
          <w:lang w:val="fr-FR"/>
        </w:rPr>
      </w:pPr>
      <w:r w:rsidRPr="00CE70CB">
        <w:rPr>
          <w:szCs w:val="24"/>
          <w:lang w:val="fr-FR"/>
        </w:rPr>
        <w:t>6.4.23.12 a)</w:t>
      </w:r>
      <w:r w:rsidRPr="00CE70CB">
        <w:rPr>
          <w:szCs w:val="24"/>
          <w:lang w:val="fr-FR"/>
        </w:rPr>
        <w:tab/>
        <w:t>Remplacer « aux alinéas a), b), c) et d) du 6.4.23.11 » par « au 6.4.23.11 a), b) et c) » et supprimer « </w:t>
      </w:r>
      <w:r w:rsidR="002F4CB4" w:rsidRPr="00CE70CB">
        <w:rPr>
          <w:szCs w:val="24"/>
          <w:lang w:val="fr-FR"/>
        </w:rPr>
        <w:t xml:space="preserve">, </w:t>
      </w:r>
      <w:r w:rsidRPr="00CE70CB">
        <w:rPr>
          <w:szCs w:val="24"/>
          <w:lang w:val="fr-FR"/>
        </w:rPr>
        <w:t xml:space="preserve">y compris, le cas échéant, le symbole </w:t>
      </w:r>
      <w:r w:rsidR="002F4CB4" w:rsidRPr="00CE70CB">
        <w:rPr>
          <w:szCs w:val="24"/>
          <w:lang w:val="fr-FR"/>
        </w:rPr>
        <w:t>"</w:t>
      </w:r>
      <w:r w:rsidRPr="00CE70CB">
        <w:rPr>
          <w:szCs w:val="24"/>
          <w:lang w:val="fr-FR"/>
        </w:rPr>
        <w:noBreakHyphen/>
        <w:t>96</w:t>
      </w:r>
      <w:r w:rsidR="002F4CB4" w:rsidRPr="00CE70CB">
        <w:rPr>
          <w:szCs w:val="24"/>
          <w:lang w:val="fr-FR"/>
        </w:rPr>
        <w:t>", »</w:t>
      </w:r>
      <w:r w:rsidRPr="00CE70CB">
        <w:rPr>
          <w:szCs w:val="24"/>
          <w:lang w:val="fr-FR"/>
        </w:rPr>
        <w:t xml:space="preserve">. </w:t>
      </w:r>
      <w:bookmarkStart w:id="156" w:name="_Hlk31706823"/>
      <w:r w:rsidR="00323839" w:rsidRPr="00CE70CB">
        <w:rPr>
          <w:szCs w:val="24"/>
          <w:lang w:val="fr-FR"/>
        </w:rPr>
        <w:t>La modification à la fin de la première phrase ne s’applique pas au texte français.</w:t>
      </w:r>
      <w:bookmarkEnd w:id="156"/>
    </w:p>
    <w:p w:rsidR="00267DA7" w:rsidRPr="00CE70CB" w:rsidRDefault="00267DA7" w:rsidP="00267DA7">
      <w:pPr>
        <w:pStyle w:val="SingleTxtG"/>
        <w:tabs>
          <w:tab w:val="left" w:pos="2268"/>
        </w:tabs>
        <w:ind w:left="2259" w:hanging="1125"/>
        <w:rPr>
          <w:szCs w:val="24"/>
          <w:lang w:val="fr-FR"/>
        </w:rPr>
      </w:pPr>
      <w:r w:rsidRPr="00CE70CB">
        <w:rPr>
          <w:szCs w:val="24"/>
          <w:lang w:val="fr-FR"/>
        </w:rPr>
        <w:t xml:space="preserve">6.4.23.15 </w:t>
      </w:r>
      <w:r w:rsidRPr="00CE70CB">
        <w:rPr>
          <w:szCs w:val="24"/>
          <w:lang w:val="fr-FR"/>
        </w:rPr>
        <w:tab/>
        <w:t xml:space="preserve">À l’alinéa k) iii), remplacer « contenu » par « colis ». </w:t>
      </w:r>
    </w:p>
    <w:p w:rsidR="00267DA7" w:rsidRPr="00CE70CB" w:rsidRDefault="00267DA7" w:rsidP="00267DA7">
      <w:pPr>
        <w:pStyle w:val="SingleTxtG"/>
        <w:tabs>
          <w:tab w:val="left" w:pos="2268"/>
        </w:tabs>
        <w:ind w:left="2259" w:hanging="1125"/>
        <w:rPr>
          <w:szCs w:val="24"/>
          <w:lang w:val="fr-FR"/>
        </w:rPr>
      </w:pPr>
      <w:r w:rsidRPr="00CE70CB">
        <w:rPr>
          <w:szCs w:val="24"/>
          <w:lang w:val="fr-FR"/>
        </w:rPr>
        <w:t xml:space="preserve">6.4.23.17 </w:t>
      </w:r>
      <w:r w:rsidRPr="00CE70CB">
        <w:rPr>
          <w:szCs w:val="24"/>
          <w:lang w:val="fr-FR"/>
        </w:rPr>
        <w:tab/>
        <w:t>À l’alinéa n) iv), remplacer « contenu » par « colis ».</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Ajouter un nouvel alinéa p) après l’alinéa o) du 6.4.23.17 et renuméroter en conséquence les alinéas suivants :</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 </w:t>
      </w:r>
      <w:bookmarkStart w:id="157" w:name="_Hlk31706909"/>
      <w:r w:rsidRPr="00CE70CB">
        <w:rPr>
          <w:szCs w:val="24"/>
          <w:lang w:val="fr-FR"/>
        </w:rPr>
        <w:t>p)</w:t>
      </w:r>
      <w:r w:rsidRPr="00CE70CB">
        <w:rPr>
          <w:szCs w:val="24"/>
          <w:lang w:val="fr-FR"/>
        </w:rPr>
        <w:tab/>
        <w:t>Pour les modèles de colis soumis aux mesures transitoires du 1.6.6.2.1, une déclaration indiquant celles des prescriptions de l’ADR applicable à partir du 1er janvier 2021 auxquelles le colis ne satisfait pas ;</w:t>
      </w:r>
      <w:bookmarkEnd w:id="157"/>
      <w:r w:rsidRPr="00CE70CB">
        <w:rPr>
          <w:szCs w:val="24"/>
          <w:lang w:val="fr-FR"/>
        </w:rPr>
        <w:t> »</w:t>
      </w:r>
    </w:p>
    <w:p w:rsidR="00267DA7" w:rsidRPr="00CE70CB" w:rsidRDefault="00267DA7" w:rsidP="00267DA7">
      <w:pPr>
        <w:pStyle w:val="H1G"/>
        <w:rPr>
          <w:lang w:val="fr-FR"/>
        </w:rPr>
      </w:pPr>
      <w:r w:rsidRPr="00CE70CB">
        <w:rPr>
          <w:lang w:val="fr-FR"/>
        </w:rPr>
        <w:tab/>
      </w:r>
      <w:r w:rsidRPr="00CE70CB">
        <w:rPr>
          <w:lang w:val="fr-FR"/>
        </w:rPr>
        <w:tab/>
        <w:t>Chapitre 6.5</w:t>
      </w:r>
    </w:p>
    <w:p w:rsidR="00A71AC8" w:rsidRPr="00CE70CB" w:rsidRDefault="00A71AC8" w:rsidP="00A71AC8">
      <w:pPr>
        <w:pStyle w:val="SingleTxtG"/>
        <w:tabs>
          <w:tab w:val="left" w:pos="2268"/>
        </w:tabs>
        <w:ind w:left="2259" w:hanging="1125"/>
        <w:rPr>
          <w:lang w:val="fr-FR"/>
        </w:rPr>
      </w:pPr>
      <w:r w:rsidRPr="00CE70CB">
        <w:rPr>
          <w:lang w:val="fr-FR"/>
        </w:rPr>
        <w:t>6.5.1.4.3</w:t>
      </w:r>
      <w:r w:rsidRPr="00CE70CB">
        <w:rPr>
          <w:lang w:val="fr-FR"/>
        </w:rPr>
        <w:tab/>
        <w:t>Dans le tableau, dans la première colonne, remplacer « N. Autre métal » par « N. Métal autre que l’acier ou l’aluminium ».</w:t>
      </w:r>
    </w:p>
    <w:p w:rsidR="00267DA7" w:rsidRPr="00CE70CB" w:rsidRDefault="00267DA7" w:rsidP="00267DA7">
      <w:pPr>
        <w:pStyle w:val="SingleTxtG"/>
        <w:tabs>
          <w:tab w:val="left" w:pos="2268"/>
        </w:tabs>
        <w:ind w:left="2259" w:hanging="1125"/>
        <w:rPr>
          <w:lang w:val="fr-FR"/>
        </w:rPr>
      </w:pPr>
      <w:r w:rsidRPr="00CE70CB">
        <w:rPr>
          <w:lang w:val="fr-FR"/>
        </w:rPr>
        <w:t>Ajouter le nouveau paragraphe 6.5.2.1.3 suivant :</w:t>
      </w:r>
    </w:p>
    <w:p w:rsidR="00267DA7" w:rsidRPr="00CE70CB" w:rsidRDefault="00197101" w:rsidP="00267DA7">
      <w:pPr>
        <w:pStyle w:val="SingleTxtG"/>
        <w:tabs>
          <w:tab w:val="left" w:pos="2268"/>
        </w:tabs>
        <w:ind w:left="2259" w:hanging="1125"/>
        <w:rPr>
          <w:lang w:val="fr-FR"/>
        </w:rPr>
      </w:pPr>
      <w:r w:rsidRPr="00CE70CB">
        <w:rPr>
          <w:lang w:val="fr-FR"/>
        </w:rPr>
        <w:tab/>
      </w:r>
      <w:r w:rsidR="00267DA7" w:rsidRPr="00CE70CB">
        <w:rPr>
          <w:lang w:val="fr-FR"/>
        </w:rPr>
        <w:t>« </w:t>
      </w:r>
      <w:bookmarkStart w:id="158" w:name="_Hlk31707304"/>
      <w:r w:rsidR="00267DA7" w:rsidRPr="00CE70CB">
        <w:rPr>
          <w:lang w:val="fr-FR"/>
        </w:rPr>
        <w:t>6.5.2.1.3</w:t>
      </w:r>
      <w:r w:rsidR="00267DA7" w:rsidRPr="00CE70CB">
        <w:rPr>
          <w:lang w:val="fr-FR"/>
        </w:rPr>
        <w:tab/>
        <w:t>Lorsqu'un GRV est conforme à un ou plusieurs modèles types de GRV ayant satisfait aux épreuves, y compris un ou plusieurs modèles types d’emballages ou de grands emballages, le GRV peut porter plus d’une marque pour indiquer les exigences d’épreuves de performance applicables qui ont été atteintes. Lorsque plus d'une marque apparaît sur un GRV, les marques doivent apparaître à proximité immédiate les unes des autres et chaque marque doit apparaître dans son intégralité.</w:t>
      </w:r>
      <w:bookmarkEnd w:id="158"/>
      <w:r w:rsidR="00267DA7"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6.5.2.2.1</w:t>
      </w:r>
      <w:r w:rsidRPr="00CE70CB">
        <w:rPr>
          <w:lang w:val="fr-FR"/>
        </w:rPr>
        <w:tab/>
        <w:t>Supprimer la dernière ligne du tableau (Charge de gerbage maximale autorisée) et la note b y relative.</w:t>
      </w:r>
    </w:p>
    <w:p w:rsidR="00267DA7" w:rsidRPr="00CE70CB" w:rsidRDefault="00267DA7" w:rsidP="00267DA7">
      <w:pPr>
        <w:pStyle w:val="SingleTxtG"/>
        <w:tabs>
          <w:tab w:val="left" w:pos="2268"/>
        </w:tabs>
        <w:ind w:left="2259" w:hanging="1125"/>
        <w:rPr>
          <w:lang w:val="fr-FR"/>
        </w:rPr>
      </w:pPr>
      <w:r w:rsidRPr="00CE70CB">
        <w:rPr>
          <w:lang w:val="fr-FR"/>
        </w:rPr>
        <w:t>6.5.2.2.2</w:t>
      </w:r>
      <w:r w:rsidRPr="00CE70CB">
        <w:rPr>
          <w:lang w:val="fr-FR"/>
        </w:rPr>
        <w:tab/>
        <w:t>Dans la première phrase, supprimer « lorsque le GRV est en cours d’utilisation ».</w:t>
      </w:r>
    </w:p>
    <w:p w:rsidR="00267DA7" w:rsidRPr="00CE70CB" w:rsidRDefault="00267DA7" w:rsidP="00267DA7">
      <w:pPr>
        <w:pStyle w:val="SingleTxtG"/>
        <w:tabs>
          <w:tab w:val="left" w:pos="2268"/>
        </w:tabs>
        <w:ind w:left="2259" w:hanging="1125"/>
        <w:rPr>
          <w:lang w:val="fr-FR"/>
        </w:rPr>
      </w:pPr>
      <w:r w:rsidRPr="00CE70CB">
        <w:rPr>
          <w:lang w:val="fr-FR"/>
        </w:rPr>
        <w:t>6.5.2.2.4</w:t>
      </w:r>
      <w:r w:rsidRPr="00CE70CB">
        <w:rPr>
          <w:lang w:val="fr-FR"/>
        </w:rPr>
        <w:tab/>
        <w:t>Modifier la dernière phrase du premier paragraphe pour lire comme suit :</w:t>
      </w:r>
    </w:p>
    <w:p w:rsidR="00267DA7" w:rsidRPr="00CE70CB" w:rsidRDefault="00267DA7" w:rsidP="00267DA7">
      <w:pPr>
        <w:pStyle w:val="SingleTxtG"/>
        <w:tabs>
          <w:tab w:val="left" w:pos="2268"/>
        </w:tabs>
        <w:ind w:left="2259" w:hanging="1125"/>
        <w:rPr>
          <w:lang w:val="fr-FR"/>
        </w:rPr>
      </w:pPr>
      <w:r w:rsidRPr="00CE70CB">
        <w:rPr>
          <w:lang w:val="fr-FR"/>
        </w:rPr>
        <w:tab/>
        <w:t>« </w:t>
      </w:r>
      <w:bookmarkStart w:id="159" w:name="_Hlk31707391"/>
      <w:r w:rsidRPr="00CE70CB">
        <w:rPr>
          <w:lang w:val="fr-FR"/>
        </w:rPr>
        <w:t>Elles doivent être durables, lisibles, et placées dans un endroit facilement accessible pour l’inspection après assemblage du récipient intérieur dans l’enveloppe extérieure. Lorsque les marques sur le récipient intérieur ne sont pas facilement accessibles pour l’inspection en raison du modèle de l’enveloppe extérieure, les marques requises sur le récipient intérieur doivent être reproduites sur l’enveloppe extérieure précédées du texte « Récipient intérieur ». Cette reproduction doit être durable, lisible et placée de sorte à être facilement accessible pour l’inspection.</w:t>
      </w:r>
      <w:bookmarkEnd w:id="159"/>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ab/>
        <w:t>Modifier la deuxième phrase du deuxième paragraphe pour lire comme suit : « </w:t>
      </w:r>
      <w:bookmarkStart w:id="160" w:name="_Hlk31707484"/>
      <w:r w:rsidRPr="00CE70CB">
        <w:rPr>
          <w:lang w:val="fr-FR"/>
        </w:rPr>
        <w:t>Dans ce cas, il n’est pas obligatoire d’indiquer l’année dans les autres marques.</w:t>
      </w:r>
      <w:bookmarkEnd w:id="160"/>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6.5.5.1.6</w:t>
      </w:r>
      <w:r w:rsidRPr="00CE70CB">
        <w:rPr>
          <w:lang w:val="fr-FR"/>
        </w:rPr>
        <w:tab/>
        <w:t>Ajouter la nouvelle phrase introductive suivante :</w:t>
      </w:r>
    </w:p>
    <w:p w:rsidR="00267DA7" w:rsidRPr="00CE70CB" w:rsidRDefault="00267DA7" w:rsidP="00267DA7">
      <w:pPr>
        <w:pStyle w:val="SingleTxtG"/>
        <w:tabs>
          <w:tab w:val="left" w:pos="2268"/>
        </w:tabs>
        <w:ind w:left="2259" w:hanging="1125"/>
        <w:rPr>
          <w:lang w:val="fr-FR"/>
        </w:rPr>
      </w:pPr>
      <w:r w:rsidRPr="00CE70CB">
        <w:rPr>
          <w:lang w:val="fr-FR"/>
        </w:rPr>
        <w:lastRenderedPageBreak/>
        <w:tab/>
        <w:t>« </w:t>
      </w:r>
      <w:bookmarkStart w:id="161" w:name="_Hlk31707510"/>
      <w:r w:rsidRPr="00CE70CB">
        <w:rPr>
          <w:lang w:val="fr-FR"/>
        </w:rPr>
        <w:t>Les GRV métalliques d’une capacité supérieure à 1</w:t>
      </w:r>
      <w:r w:rsidR="00077E85" w:rsidRPr="00CE70CB">
        <w:rPr>
          <w:lang w:val="fr-FR"/>
        </w:rPr>
        <w:t> </w:t>
      </w:r>
      <w:r w:rsidRPr="00CE70CB">
        <w:rPr>
          <w:lang w:val="fr-FR"/>
        </w:rPr>
        <w:t xml:space="preserve">500 </w:t>
      </w:r>
      <w:r w:rsidRPr="00CE70CB">
        <w:rPr>
          <w:i/>
          <w:iCs/>
          <w:lang w:val="fr-FR"/>
        </w:rPr>
        <w:t>l</w:t>
      </w:r>
      <w:r w:rsidRPr="00CE70CB">
        <w:rPr>
          <w:lang w:val="fr-FR"/>
        </w:rPr>
        <w:t xml:space="preserve"> doivent satisfaire aux prescriptions relatives aux épaisseurs de paroi minimales suivantes :</w:t>
      </w:r>
      <w:bookmarkEnd w:id="161"/>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ab/>
        <w:t>Modifier le tableau sous a) pour lire comme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2"/>
        <w:gridCol w:w="1698"/>
        <w:gridCol w:w="1773"/>
        <w:gridCol w:w="2050"/>
      </w:tblGrid>
      <w:tr w:rsidR="00267DA7" w:rsidRPr="00CE70CB" w:rsidTr="00267DA7">
        <w:trPr>
          <w:tblHeader/>
          <w:jc w:val="center"/>
        </w:trPr>
        <w:tc>
          <w:tcPr>
            <w:tcW w:w="7503" w:type="dxa"/>
            <w:gridSpan w:val="4"/>
            <w:vAlign w:val="center"/>
            <w:hideMark/>
          </w:tcPr>
          <w:p w:rsidR="00267DA7" w:rsidRPr="00CE70CB" w:rsidRDefault="00267DA7" w:rsidP="00267DA7">
            <w:pPr>
              <w:ind w:left="21"/>
              <w:jc w:val="center"/>
              <w:rPr>
                <w:b/>
                <w:bCs/>
                <w:lang w:val="fr-FR" w:eastAsia="de-DE"/>
              </w:rPr>
            </w:pPr>
            <w:bookmarkStart w:id="162" w:name="_Hlk31707562"/>
            <w:r w:rsidRPr="00CE70CB">
              <w:rPr>
                <w:b/>
                <w:bCs/>
                <w:lang w:val="fr-FR" w:eastAsia="de-DE"/>
              </w:rPr>
              <w:t>Épaisseur (e) de la paroi, en mm</w:t>
            </w:r>
          </w:p>
        </w:tc>
      </w:tr>
      <w:tr w:rsidR="00267DA7" w:rsidRPr="00CE70CB" w:rsidTr="00267DA7">
        <w:trPr>
          <w:tblHeader/>
          <w:jc w:val="center"/>
        </w:trPr>
        <w:tc>
          <w:tcPr>
            <w:tcW w:w="3680" w:type="dxa"/>
            <w:gridSpan w:val="2"/>
            <w:vAlign w:val="center"/>
            <w:hideMark/>
          </w:tcPr>
          <w:p w:rsidR="00267DA7" w:rsidRPr="00CE70CB" w:rsidRDefault="00267DA7" w:rsidP="00267DA7">
            <w:pPr>
              <w:ind w:left="21"/>
              <w:jc w:val="center"/>
              <w:rPr>
                <w:b/>
                <w:bCs/>
                <w:lang w:val="fr-FR" w:eastAsia="de-DE"/>
              </w:rPr>
            </w:pPr>
            <w:r w:rsidRPr="00CE70CB">
              <w:rPr>
                <w:b/>
                <w:bCs/>
                <w:lang w:val="fr-FR" w:eastAsia="de-DE"/>
              </w:rPr>
              <w:t>Types 11A, 11B, 11N</w:t>
            </w:r>
          </w:p>
        </w:tc>
        <w:tc>
          <w:tcPr>
            <w:tcW w:w="3823" w:type="dxa"/>
            <w:gridSpan w:val="2"/>
            <w:vAlign w:val="center"/>
            <w:hideMark/>
          </w:tcPr>
          <w:p w:rsidR="00267DA7" w:rsidRPr="00CE70CB" w:rsidRDefault="00267DA7" w:rsidP="00267DA7">
            <w:pPr>
              <w:jc w:val="center"/>
              <w:rPr>
                <w:b/>
                <w:bCs/>
                <w:lang w:val="fr-FR" w:eastAsia="de-DE"/>
              </w:rPr>
            </w:pPr>
            <w:r w:rsidRPr="00CE70CB">
              <w:rPr>
                <w:b/>
                <w:bCs/>
                <w:lang w:val="fr-FR" w:eastAsia="de-DE"/>
              </w:rPr>
              <w:t>Types 21A, 21B, 21N, 31A, 31B, 31N</w:t>
            </w:r>
          </w:p>
        </w:tc>
      </w:tr>
      <w:tr w:rsidR="00267DA7" w:rsidRPr="00CE70CB" w:rsidTr="00267DA7">
        <w:trPr>
          <w:tblHeader/>
          <w:jc w:val="center"/>
        </w:trPr>
        <w:tc>
          <w:tcPr>
            <w:tcW w:w="1982" w:type="dxa"/>
            <w:vAlign w:val="center"/>
            <w:hideMark/>
          </w:tcPr>
          <w:p w:rsidR="00267DA7" w:rsidRPr="00CE70CB" w:rsidRDefault="00267DA7" w:rsidP="00267DA7">
            <w:pPr>
              <w:ind w:left="163"/>
              <w:jc w:val="center"/>
              <w:rPr>
                <w:b/>
                <w:bCs/>
                <w:lang w:val="fr-FR" w:eastAsia="de-DE"/>
              </w:rPr>
            </w:pPr>
            <w:r w:rsidRPr="00CE70CB">
              <w:rPr>
                <w:b/>
                <w:bCs/>
                <w:lang w:val="fr-FR" w:eastAsia="de-DE"/>
              </w:rPr>
              <w:t>Non protégé</w:t>
            </w:r>
          </w:p>
        </w:tc>
        <w:tc>
          <w:tcPr>
            <w:tcW w:w="1698" w:type="dxa"/>
            <w:vAlign w:val="center"/>
            <w:hideMark/>
          </w:tcPr>
          <w:p w:rsidR="00267DA7" w:rsidRPr="00CE70CB" w:rsidRDefault="00267DA7" w:rsidP="00267DA7">
            <w:pPr>
              <w:jc w:val="center"/>
              <w:rPr>
                <w:b/>
                <w:bCs/>
                <w:lang w:val="fr-FR" w:eastAsia="de-DE"/>
              </w:rPr>
            </w:pPr>
            <w:r w:rsidRPr="00CE70CB">
              <w:rPr>
                <w:b/>
                <w:bCs/>
                <w:lang w:val="fr-FR" w:eastAsia="de-DE"/>
              </w:rPr>
              <w:t>Protégé</w:t>
            </w:r>
          </w:p>
        </w:tc>
        <w:tc>
          <w:tcPr>
            <w:tcW w:w="1773" w:type="dxa"/>
            <w:vAlign w:val="center"/>
            <w:hideMark/>
          </w:tcPr>
          <w:p w:rsidR="00267DA7" w:rsidRPr="00CE70CB" w:rsidRDefault="00267DA7" w:rsidP="00267DA7">
            <w:pPr>
              <w:ind w:left="163"/>
              <w:jc w:val="center"/>
              <w:rPr>
                <w:b/>
                <w:bCs/>
                <w:lang w:val="fr-FR" w:eastAsia="de-DE"/>
              </w:rPr>
            </w:pPr>
            <w:r w:rsidRPr="00CE70CB">
              <w:rPr>
                <w:b/>
                <w:bCs/>
                <w:lang w:val="fr-FR" w:eastAsia="de-DE"/>
              </w:rPr>
              <w:t>Non protégé</w:t>
            </w:r>
          </w:p>
        </w:tc>
        <w:tc>
          <w:tcPr>
            <w:tcW w:w="2050" w:type="dxa"/>
            <w:vAlign w:val="center"/>
            <w:hideMark/>
          </w:tcPr>
          <w:p w:rsidR="00267DA7" w:rsidRPr="00CE70CB" w:rsidRDefault="00267DA7" w:rsidP="00267DA7">
            <w:pPr>
              <w:jc w:val="center"/>
              <w:rPr>
                <w:b/>
                <w:bCs/>
                <w:lang w:val="fr-FR" w:eastAsia="de-DE"/>
              </w:rPr>
            </w:pPr>
            <w:r w:rsidRPr="00CE70CB">
              <w:rPr>
                <w:b/>
                <w:bCs/>
                <w:lang w:val="fr-FR" w:eastAsia="de-DE"/>
              </w:rPr>
              <w:t>Protégé</w:t>
            </w:r>
          </w:p>
        </w:tc>
      </w:tr>
      <w:tr w:rsidR="00267DA7" w:rsidRPr="00CE70CB" w:rsidTr="00267DA7">
        <w:trPr>
          <w:trHeight w:val="455"/>
          <w:jc w:val="center"/>
        </w:trPr>
        <w:tc>
          <w:tcPr>
            <w:tcW w:w="1982" w:type="dxa"/>
            <w:tcBorders>
              <w:top w:val="nil"/>
            </w:tcBorders>
            <w:vAlign w:val="center"/>
            <w:hideMark/>
          </w:tcPr>
          <w:p w:rsidR="00267DA7" w:rsidRPr="00CE70CB" w:rsidRDefault="00267DA7" w:rsidP="00267DA7">
            <w:pPr>
              <w:ind w:left="22"/>
              <w:jc w:val="center"/>
              <w:rPr>
                <w:lang w:val="fr-FR" w:eastAsia="de-DE"/>
              </w:rPr>
            </w:pPr>
            <w:r w:rsidRPr="00CE70CB">
              <w:rPr>
                <w:lang w:val="fr-FR" w:eastAsia="de-DE"/>
              </w:rPr>
              <w:t>e = C/2000 + 1,5</w:t>
            </w:r>
          </w:p>
        </w:tc>
        <w:tc>
          <w:tcPr>
            <w:tcW w:w="1698" w:type="dxa"/>
            <w:tcBorders>
              <w:top w:val="nil"/>
            </w:tcBorders>
            <w:vAlign w:val="center"/>
            <w:hideMark/>
          </w:tcPr>
          <w:p w:rsidR="00267DA7" w:rsidRPr="00CE70CB" w:rsidRDefault="00267DA7" w:rsidP="00267DA7">
            <w:pPr>
              <w:ind w:left="22"/>
              <w:jc w:val="center"/>
              <w:rPr>
                <w:lang w:val="fr-FR" w:eastAsia="de-DE"/>
              </w:rPr>
            </w:pPr>
            <w:r w:rsidRPr="00CE70CB">
              <w:rPr>
                <w:lang w:val="fr-FR" w:eastAsia="de-DE"/>
              </w:rPr>
              <w:t>e = C/2000 + 1,0</w:t>
            </w:r>
          </w:p>
        </w:tc>
        <w:tc>
          <w:tcPr>
            <w:tcW w:w="1773" w:type="dxa"/>
            <w:tcBorders>
              <w:top w:val="nil"/>
            </w:tcBorders>
            <w:vAlign w:val="center"/>
            <w:hideMark/>
          </w:tcPr>
          <w:p w:rsidR="00267DA7" w:rsidRPr="00CE70CB" w:rsidRDefault="00267DA7" w:rsidP="00267DA7">
            <w:pPr>
              <w:ind w:left="22"/>
              <w:jc w:val="center"/>
              <w:rPr>
                <w:lang w:val="fr-FR" w:eastAsia="de-DE"/>
              </w:rPr>
            </w:pPr>
            <w:r w:rsidRPr="00CE70CB">
              <w:rPr>
                <w:lang w:val="fr-FR" w:eastAsia="de-DE"/>
              </w:rPr>
              <w:t>e = C/1000 + 1,0</w:t>
            </w:r>
          </w:p>
        </w:tc>
        <w:tc>
          <w:tcPr>
            <w:tcW w:w="2050" w:type="dxa"/>
            <w:tcBorders>
              <w:top w:val="nil"/>
            </w:tcBorders>
            <w:vAlign w:val="center"/>
            <w:hideMark/>
          </w:tcPr>
          <w:p w:rsidR="00267DA7" w:rsidRPr="00CE70CB" w:rsidRDefault="00267DA7" w:rsidP="00267DA7">
            <w:pPr>
              <w:ind w:left="22"/>
              <w:jc w:val="center"/>
              <w:rPr>
                <w:lang w:val="fr-FR" w:eastAsia="de-DE"/>
              </w:rPr>
            </w:pPr>
            <w:r w:rsidRPr="00CE70CB">
              <w:rPr>
                <w:lang w:val="fr-FR" w:eastAsia="de-DE"/>
              </w:rPr>
              <w:t>e = C/2000 + 1,5</w:t>
            </w:r>
          </w:p>
        </w:tc>
      </w:tr>
    </w:tbl>
    <w:bookmarkEnd w:id="162"/>
    <w:p w:rsidR="00267DA7" w:rsidRPr="00CE70CB" w:rsidRDefault="00267DA7" w:rsidP="00267DA7">
      <w:pPr>
        <w:pStyle w:val="H1G"/>
        <w:rPr>
          <w:lang w:val="fr-FR"/>
        </w:rPr>
      </w:pPr>
      <w:r w:rsidRPr="00CE70CB">
        <w:rPr>
          <w:lang w:val="fr-FR"/>
        </w:rPr>
        <w:tab/>
      </w:r>
      <w:r w:rsidRPr="00CE70CB">
        <w:rPr>
          <w:lang w:val="fr-FR"/>
        </w:rPr>
        <w:tab/>
        <w:t>Chapitre 6.6</w:t>
      </w:r>
    </w:p>
    <w:p w:rsidR="00267DA7" w:rsidRPr="00CE70CB" w:rsidRDefault="00267DA7" w:rsidP="00267DA7">
      <w:pPr>
        <w:pStyle w:val="SingleTxtG"/>
        <w:tabs>
          <w:tab w:val="left" w:pos="2268"/>
        </w:tabs>
        <w:ind w:left="2259" w:hanging="1125"/>
        <w:rPr>
          <w:lang w:val="fr-FR"/>
        </w:rPr>
      </w:pPr>
      <w:r w:rsidRPr="00CE70CB">
        <w:rPr>
          <w:lang w:val="fr-FR"/>
        </w:rPr>
        <w:t>6.6.3.3</w:t>
      </w:r>
      <w:r w:rsidRPr="00CE70CB">
        <w:rPr>
          <w:lang w:val="fr-FR"/>
        </w:rPr>
        <w:tab/>
        <w:t>Dans la première phrase, supprimer « lorsque le grand emballage est en cours d’utilisation ».</w:t>
      </w:r>
    </w:p>
    <w:p w:rsidR="00267DA7" w:rsidRPr="00CE70CB" w:rsidRDefault="00267DA7" w:rsidP="00267DA7">
      <w:pPr>
        <w:pStyle w:val="SingleTxtG"/>
        <w:tabs>
          <w:tab w:val="left" w:pos="2268"/>
        </w:tabs>
        <w:ind w:left="2259" w:hanging="1125"/>
        <w:rPr>
          <w:lang w:val="fr-FR"/>
        </w:rPr>
      </w:pPr>
      <w:r w:rsidRPr="00CE70CB">
        <w:rPr>
          <w:lang w:val="fr-FR"/>
        </w:rPr>
        <w:t>Ajouter le nouveau paragraphe 6.6.3.4 suivant :</w:t>
      </w:r>
    </w:p>
    <w:p w:rsidR="00267DA7" w:rsidRPr="00CE70CB" w:rsidRDefault="00197101" w:rsidP="00267DA7">
      <w:pPr>
        <w:pStyle w:val="SingleTxtG"/>
        <w:tabs>
          <w:tab w:val="left" w:pos="2268"/>
        </w:tabs>
        <w:ind w:left="2259" w:hanging="1125"/>
        <w:rPr>
          <w:lang w:val="fr-FR"/>
        </w:rPr>
      </w:pPr>
      <w:r w:rsidRPr="00CE70CB">
        <w:rPr>
          <w:lang w:val="fr-FR"/>
        </w:rPr>
        <w:tab/>
      </w:r>
      <w:r w:rsidR="00267DA7" w:rsidRPr="00CE70CB">
        <w:rPr>
          <w:lang w:val="fr-FR"/>
        </w:rPr>
        <w:t>« </w:t>
      </w:r>
      <w:bookmarkStart w:id="163" w:name="_Hlk31708046"/>
      <w:r w:rsidR="00267DA7" w:rsidRPr="00CE70CB">
        <w:rPr>
          <w:lang w:val="fr-FR"/>
        </w:rPr>
        <w:t>6.6.3.4</w:t>
      </w:r>
      <w:r w:rsidR="00267DA7" w:rsidRPr="00CE70CB">
        <w:rPr>
          <w:lang w:val="fr-FR"/>
        </w:rPr>
        <w:tab/>
        <w:t>Lorsqu'un grand emballage est conforme à un ou plusieurs modèles types de grands emballages ayant satisfait aux épreuves, y compris un ou plusieurs modèles types d’emballages ou de GRV, le grand emballage peut porter plus d’une marque pour indiquer les exigences d’épreuves de performance applicables qui ont été atteintes. Lorsque plus d'une marque apparaît sur un grand emballage, les marques doivent apparaître à proximité immédiate les unes des autres et chaque marque doit apparaître dans son intégralité.</w:t>
      </w:r>
      <w:bookmarkEnd w:id="163"/>
      <w:r w:rsidR="00267DA7" w:rsidRPr="00CE70CB">
        <w:rPr>
          <w:lang w:val="fr-FR"/>
        </w:rPr>
        <w:t> »</w:t>
      </w:r>
    </w:p>
    <w:p w:rsidR="00267DA7" w:rsidRPr="00CE70CB" w:rsidRDefault="00267DA7" w:rsidP="00267DA7">
      <w:pPr>
        <w:pStyle w:val="H1G"/>
        <w:rPr>
          <w:lang w:val="fr-FR"/>
        </w:rPr>
      </w:pPr>
      <w:r w:rsidRPr="00CE70CB">
        <w:rPr>
          <w:lang w:val="fr-FR"/>
        </w:rPr>
        <w:tab/>
      </w:r>
      <w:r w:rsidRPr="00CE70CB">
        <w:rPr>
          <w:lang w:val="fr-FR"/>
        </w:rPr>
        <w:tab/>
        <w:t>Chapitre 6.7</w:t>
      </w:r>
    </w:p>
    <w:p w:rsidR="00267DA7" w:rsidRPr="00CE70CB" w:rsidRDefault="00267DA7" w:rsidP="00267DA7">
      <w:pPr>
        <w:pStyle w:val="SingleTxtG"/>
        <w:tabs>
          <w:tab w:val="left" w:pos="2268"/>
        </w:tabs>
        <w:ind w:left="2259" w:hanging="1125"/>
        <w:rPr>
          <w:lang w:val="fr-FR"/>
        </w:rPr>
      </w:pPr>
      <w:r w:rsidRPr="00CE70CB">
        <w:rPr>
          <w:lang w:val="fr-FR"/>
        </w:rPr>
        <w:t>6.7.2.4.8</w:t>
      </w:r>
      <w:r w:rsidRPr="00CE70CB">
        <w:rPr>
          <w:lang w:val="fr-FR"/>
        </w:rPr>
        <w:tab/>
        <w:t>Remplacer « tolérance pour la corrosion » par « </w:t>
      </w:r>
      <w:bookmarkStart w:id="164" w:name="_Hlk31708114"/>
      <w:r w:rsidRPr="00CE70CB">
        <w:rPr>
          <w:lang w:val="fr-FR"/>
        </w:rPr>
        <w:t>surépaisseur de corrosion</w:t>
      </w:r>
      <w:bookmarkEnd w:id="164"/>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6.7.2.12.2.1 et 6.7.3.8.1.1</w:t>
      </w:r>
    </w:p>
    <w:p w:rsidR="00267DA7" w:rsidRPr="00CE70CB" w:rsidRDefault="00267DA7" w:rsidP="00267DA7">
      <w:pPr>
        <w:pStyle w:val="SingleTxtG"/>
        <w:tabs>
          <w:tab w:val="left" w:pos="2268"/>
        </w:tabs>
        <w:ind w:left="2259" w:hanging="1125"/>
        <w:rPr>
          <w:lang w:val="fr-FR"/>
        </w:rPr>
      </w:pPr>
      <w:r w:rsidRPr="00CE70CB">
        <w:rPr>
          <w:lang w:val="fr-FR"/>
        </w:rPr>
        <w:tab/>
        <w:t>Modifier la définition du facteur « U » pour lire comme suit :</w:t>
      </w:r>
    </w:p>
    <w:p w:rsidR="00267DA7" w:rsidRPr="00CE70CB" w:rsidRDefault="00267DA7" w:rsidP="00267DA7">
      <w:pPr>
        <w:pStyle w:val="SingleTxtG"/>
        <w:tabs>
          <w:tab w:val="left" w:pos="2268"/>
        </w:tabs>
        <w:ind w:left="2259" w:hanging="1125"/>
        <w:rPr>
          <w:lang w:val="fr-FR"/>
        </w:rPr>
      </w:pPr>
      <w:r w:rsidRPr="00CE70CB">
        <w:rPr>
          <w:lang w:val="fr-FR"/>
        </w:rPr>
        <w:tab/>
        <w:t>« U = coefficient de transfert thermique de l’isolation à 38 °C exprimée en kW·m</w:t>
      </w:r>
      <w:r w:rsidRPr="00CE70CB">
        <w:rPr>
          <w:vertAlign w:val="superscript"/>
          <w:lang w:val="fr-FR"/>
        </w:rPr>
        <w:t>-2</w:t>
      </w:r>
      <w:r w:rsidRPr="00CE70CB">
        <w:rPr>
          <w:lang w:val="fr-FR"/>
        </w:rPr>
        <w:t>·K</w:t>
      </w:r>
      <w:r w:rsidRPr="00CE70CB">
        <w:rPr>
          <w:vertAlign w:val="superscript"/>
          <w:lang w:val="fr-FR"/>
        </w:rPr>
        <w:t>-1</w:t>
      </w:r>
      <w:r w:rsidR="00077E85" w:rsidRPr="00CE70CB">
        <w:rPr>
          <w:vertAlign w:val="superscript"/>
          <w:lang w:val="fr-FR"/>
        </w:rPr>
        <w:t> </w:t>
      </w:r>
      <w:r w:rsidRPr="00CE70CB">
        <w:rPr>
          <w:lang w:val="fr-FR"/>
        </w:rPr>
        <w:t>; »</w:t>
      </w:r>
    </w:p>
    <w:p w:rsidR="00A71AC8" w:rsidRPr="00CE70CB" w:rsidRDefault="00A71AC8" w:rsidP="00A71AC8">
      <w:pPr>
        <w:pStyle w:val="SingleTxtG"/>
        <w:tabs>
          <w:tab w:val="left" w:pos="2268"/>
        </w:tabs>
        <w:ind w:left="2259" w:hanging="1125"/>
        <w:rPr>
          <w:lang w:val="fr-FR"/>
        </w:rPr>
      </w:pPr>
      <w:r w:rsidRPr="00CE70CB">
        <w:rPr>
          <w:lang w:val="fr-FR"/>
        </w:rPr>
        <w:t>6.7.2.18.1</w:t>
      </w:r>
      <w:r w:rsidRPr="00CE70CB">
        <w:rPr>
          <w:lang w:val="fr-FR"/>
        </w:rPr>
        <w:tab/>
        <w:t>Dans la deuxième phrase, supprimer « générales ».</w:t>
      </w:r>
    </w:p>
    <w:p w:rsidR="00267DA7" w:rsidRPr="00CE70CB" w:rsidRDefault="00267DA7" w:rsidP="00267DA7">
      <w:pPr>
        <w:pStyle w:val="SingleTxtG"/>
        <w:tabs>
          <w:tab w:val="left" w:pos="2268"/>
        </w:tabs>
        <w:ind w:left="2259" w:hanging="1125"/>
        <w:rPr>
          <w:lang w:val="fr-FR"/>
        </w:rPr>
      </w:pPr>
      <w:r w:rsidRPr="00CE70CB">
        <w:rPr>
          <w:lang w:val="fr-FR"/>
        </w:rPr>
        <w:t>6.7.2.19.6</w:t>
      </w:r>
      <w:r w:rsidRPr="00CE70CB">
        <w:rPr>
          <w:lang w:val="fr-FR"/>
        </w:rPr>
        <w:tab/>
        <w:t xml:space="preserve">Ajouter un nouveau titre pour lire </w:t>
      </w:r>
      <w:bookmarkStart w:id="165" w:name="_Hlk31708243"/>
      <w:r w:rsidRPr="00CE70CB">
        <w:rPr>
          <w:lang w:val="fr-FR"/>
        </w:rPr>
        <w:t>« 6.7.2.19.6</w:t>
      </w:r>
      <w:r w:rsidRPr="00CE70CB">
        <w:rPr>
          <w:lang w:val="fr-FR"/>
        </w:rPr>
        <w:tab/>
      </w:r>
      <w:r w:rsidRPr="00CE70CB">
        <w:rPr>
          <w:i/>
          <w:iCs/>
          <w:lang w:val="fr-FR"/>
        </w:rPr>
        <w:t>Contrôles et épreuves des citernes mobiles et remplissage après la date d’expiration des derniers contrôle et épreuve périodiques</w:t>
      </w:r>
      <w:bookmarkEnd w:id="165"/>
      <w:r w:rsidRPr="00CE70CB">
        <w:rPr>
          <w:lang w:val="fr-FR"/>
        </w:rPr>
        <w:t> ». Renuméroter le 6.7.2.19.6 actuel en tant que 6.7.2.19.6.1.</w:t>
      </w:r>
    </w:p>
    <w:p w:rsidR="00267DA7" w:rsidRPr="00CE70CB" w:rsidRDefault="00267DA7" w:rsidP="00267DA7">
      <w:pPr>
        <w:pStyle w:val="SingleTxtG"/>
        <w:tabs>
          <w:tab w:val="left" w:pos="2268"/>
        </w:tabs>
        <w:ind w:left="2259" w:hanging="1125"/>
        <w:rPr>
          <w:lang w:val="fr-FR"/>
        </w:rPr>
      </w:pPr>
      <w:r w:rsidRPr="00CE70CB">
        <w:rPr>
          <w:lang w:val="fr-FR"/>
        </w:rPr>
        <w:t>6.7.2.19.6</w:t>
      </w:r>
      <w:r w:rsidRPr="00CE70CB">
        <w:rPr>
          <w:lang w:val="fr-FR"/>
        </w:rPr>
        <w:tab/>
        <w:t>Ajouter un nouveau paragraphe 6.7.2.19.6.2 pour lire comme suit :</w:t>
      </w:r>
    </w:p>
    <w:p w:rsidR="00267DA7" w:rsidRPr="00CE70CB" w:rsidRDefault="00197101" w:rsidP="00267DA7">
      <w:pPr>
        <w:pStyle w:val="SingleTxtG"/>
        <w:tabs>
          <w:tab w:val="left" w:pos="2268"/>
        </w:tabs>
        <w:ind w:left="2259" w:hanging="1125"/>
        <w:rPr>
          <w:lang w:val="fr-FR"/>
        </w:rPr>
      </w:pPr>
      <w:r w:rsidRPr="00CE70CB">
        <w:rPr>
          <w:lang w:val="fr-FR"/>
        </w:rPr>
        <w:tab/>
      </w:r>
      <w:r w:rsidR="00267DA7" w:rsidRPr="00CE70CB">
        <w:rPr>
          <w:lang w:val="fr-FR"/>
        </w:rPr>
        <w:t>« </w:t>
      </w:r>
      <w:bookmarkStart w:id="166" w:name="_Hlk31708307"/>
      <w:r w:rsidR="00267DA7" w:rsidRPr="00CE70CB">
        <w:rPr>
          <w:lang w:val="fr-FR"/>
        </w:rPr>
        <w:t xml:space="preserve">6.7.2.19.6.2 </w:t>
      </w:r>
      <w:r w:rsidRPr="00CE70CB">
        <w:rPr>
          <w:lang w:val="fr-FR"/>
        </w:rPr>
        <w:tab/>
      </w:r>
      <w:r w:rsidR="00267DA7" w:rsidRPr="00CE70CB">
        <w:rPr>
          <w:lang w:val="fr-FR"/>
        </w:rPr>
        <w:t>À l’exception des cas prévus au 6.7.2.19.6.1, les citernes mobiles qui n'ont pas respecté le délai prévu pour leur contrôle et épreuve périodique de cinq ans ou de deux ans et demi ne peuvent être remplies et présentées au transport que si un nouveau contrôle et épreuve périodique de cinq ans est effectué conformément au 6.7.2.19.4.</w:t>
      </w:r>
      <w:bookmarkEnd w:id="166"/>
      <w:r w:rsidR="00267DA7"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6.7.3.2.12 b)</w:t>
      </w:r>
      <w:r w:rsidRPr="00CE70CB">
        <w:rPr>
          <w:lang w:val="fr-FR"/>
        </w:rPr>
        <w:tab/>
        <w:t>Remplacer « une conductivité thermique maximale » par « un coefficient de transfert thermique maximal ».</w:t>
      </w:r>
    </w:p>
    <w:p w:rsidR="00267DA7" w:rsidRPr="00CE70CB" w:rsidRDefault="00267DA7" w:rsidP="00267DA7">
      <w:pPr>
        <w:pStyle w:val="SingleTxtG"/>
        <w:tabs>
          <w:tab w:val="left" w:pos="2268"/>
        </w:tabs>
        <w:ind w:left="2259" w:hanging="1125"/>
        <w:rPr>
          <w:lang w:val="fr-FR"/>
        </w:rPr>
      </w:pPr>
      <w:r w:rsidRPr="00CE70CB">
        <w:rPr>
          <w:lang w:val="fr-FR"/>
        </w:rPr>
        <w:t>6.7.3.4.1</w:t>
      </w:r>
      <w:r w:rsidRPr="00CE70CB">
        <w:rPr>
          <w:lang w:val="fr-FR"/>
        </w:rPr>
        <w:tab/>
        <w:t>Après b), ajouter le nouveau paragraphe suivant :</w:t>
      </w:r>
    </w:p>
    <w:p w:rsidR="00267DA7" w:rsidRPr="00CE70CB" w:rsidRDefault="00267DA7" w:rsidP="00267DA7">
      <w:pPr>
        <w:pStyle w:val="SingleTxtG"/>
        <w:tabs>
          <w:tab w:val="left" w:pos="2268"/>
        </w:tabs>
        <w:ind w:left="2259" w:hanging="1125"/>
        <w:rPr>
          <w:lang w:val="fr-FR"/>
        </w:rPr>
      </w:pPr>
      <w:r w:rsidRPr="00CE70CB">
        <w:rPr>
          <w:lang w:val="fr-FR"/>
        </w:rPr>
        <w:tab/>
        <w:t>« Outre ces dispositions, il est tenu compte de toute disposition spéciale applicable aux transports en citernes mobiles indiquée dans la colonne (11) du tableau A du chapitre 3.2 et décrite au 4.2.5.3. »</w:t>
      </w:r>
    </w:p>
    <w:p w:rsidR="00267DA7" w:rsidRPr="00CE70CB" w:rsidRDefault="00267DA7" w:rsidP="00267DA7">
      <w:pPr>
        <w:pStyle w:val="SingleTxtG"/>
        <w:tabs>
          <w:tab w:val="left" w:pos="2268"/>
        </w:tabs>
        <w:ind w:left="2259" w:hanging="1125"/>
        <w:rPr>
          <w:lang w:val="fr-FR"/>
        </w:rPr>
      </w:pPr>
      <w:r w:rsidRPr="00CE70CB">
        <w:rPr>
          <w:lang w:val="fr-FR"/>
        </w:rPr>
        <w:t>6.7.3.4.5</w:t>
      </w:r>
      <w:r w:rsidRPr="00CE70CB">
        <w:rPr>
          <w:lang w:val="fr-FR"/>
        </w:rPr>
        <w:tab/>
        <w:t>Remplacer « tolérance pour la corrosion » par « surépaisseur de corrosion ».</w:t>
      </w:r>
    </w:p>
    <w:p w:rsidR="00267DA7" w:rsidRPr="00CE70CB" w:rsidRDefault="00267DA7" w:rsidP="00267DA7">
      <w:pPr>
        <w:pStyle w:val="SingleTxtG"/>
        <w:tabs>
          <w:tab w:val="left" w:pos="2268"/>
        </w:tabs>
        <w:ind w:left="2259" w:hanging="1125"/>
        <w:rPr>
          <w:lang w:val="fr-FR"/>
        </w:rPr>
      </w:pPr>
      <w:r w:rsidRPr="00CE70CB">
        <w:rPr>
          <w:lang w:val="fr-FR"/>
        </w:rPr>
        <w:t>6.7.3.5.5</w:t>
      </w:r>
      <w:r w:rsidRPr="00CE70CB">
        <w:rPr>
          <w:lang w:val="fr-FR"/>
        </w:rPr>
        <w:tab/>
        <w:t>Remplacer « doivent être pourvus » par « peuvent être pourvus ».</w:t>
      </w:r>
    </w:p>
    <w:p w:rsidR="00A71AC8" w:rsidRPr="00CE70CB" w:rsidRDefault="00A71AC8" w:rsidP="00A71AC8">
      <w:pPr>
        <w:pStyle w:val="SingleTxtG"/>
        <w:tabs>
          <w:tab w:val="left" w:pos="2268"/>
        </w:tabs>
        <w:ind w:left="2259" w:hanging="1125"/>
        <w:rPr>
          <w:lang w:val="fr-FR"/>
        </w:rPr>
      </w:pPr>
      <w:r w:rsidRPr="00CE70CB">
        <w:rPr>
          <w:lang w:val="fr-FR"/>
        </w:rPr>
        <w:lastRenderedPageBreak/>
        <w:t>6.7.3.14.1</w:t>
      </w:r>
      <w:r w:rsidRPr="00CE70CB">
        <w:rPr>
          <w:lang w:val="fr-FR"/>
        </w:rPr>
        <w:tab/>
        <w:t>Dans la deuxième phrase, supprimer « générales ».</w:t>
      </w:r>
    </w:p>
    <w:p w:rsidR="00267DA7" w:rsidRPr="00CE70CB" w:rsidRDefault="00267DA7" w:rsidP="00267DA7">
      <w:pPr>
        <w:pStyle w:val="SingleTxtG"/>
        <w:tabs>
          <w:tab w:val="left" w:pos="2268"/>
        </w:tabs>
        <w:ind w:left="2259" w:hanging="1125"/>
        <w:rPr>
          <w:lang w:val="fr-FR"/>
        </w:rPr>
      </w:pPr>
      <w:r w:rsidRPr="00CE70CB">
        <w:rPr>
          <w:lang w:val="fr-FR"/>
        </w:rPr>
        <w:t>6.7.3.15.6</w:t>
      </w:r>
      <w:r w:rsidRPr="00CE70CB">
        <w:rPr>
          <w:lang w:val="fr-FR"/>
        </w:rPr>
        <w:tab/>
        <w:t>Ajouter un nouveau titre pour lire « 6.7.3.15.6</w:t>
      </w:r>
      <w:r w:rsidRPr="00CE70CB">
        <w:rPr>
          <w:i/>
          <w:iCs/>
          <w:lang w:val="fr-FR"/>
        </w:rPr>
        <w:tab/>
        <w:t>Contrôles et épreuves des citernes mobiles et remplissage après la date d’expiration des derniers contrôle et épreuve périodiques</w:t>
      </w:r>
      <w:r w:rsidRPr="00CE70CB">
        <w:rPr>
          <w:lang w:val="fr-FR"/>
        </w:rPr>
        <w:t xml:space="preserve"> ». </w:t>
      </w:r>
    </w:p>
    <w:p w:rsidR="00267DA7" w:rsidRPr="00CE70CB" w:rsidRDefault="00267DA7" w:rsidP="00267DA7">
      <w:pPr>
        <w:pStyle w:val="SingleTxtG"/>
        <w:tabs>
          <w:tab w:val="left" w:pos="2268"/>
        </w:tabs>
        <w:ind w:left="2259" w:hanging="1125"/>
        <w:rPr>
          <w:lang w:val="fr-FR"/>
        </w:rPr>
      </w:pPr>
      <w:r w:rsidRPr="00CE70CB">
        <w:rPr>
          <w:lang w:val="fr-FR"/>
        </w:rPr>
        <w:tab/>
        <w:t>Renuméroter le 6.7.3.15.6 actuel en tant que 6.7.3.15.6.1.</w:t>
      </w:r>
    </w:p>
    <w:p w:rsidR="00267DA7" w:rsidRPr="00CE70CB" w:rsidRDefault="00267DA7" w:rsidP="00267DA7">
      <w:pPr>
        <w:pStyle w:val="SingleTxtG"/>
        <w:tabs>
          <w:tab w:val="left" w:pos="2268"/>
        </w:tabs>
        <w:ind w:left="2259" w:hanging="1125"/>
        <w:rPr>
          <w:lang w:val="fr-FR"/>
        </w:rPr>
      </w:pPr>
      <w:r w:rsidRPr="00CE70CB">
        <w:rPr>
          <w:lang w:val="fr-FR"/>
        </w:rPr>
        <w:t>6.7.3.15.6</w:t>
      </w:r>
      <w:r w:rsidRPr="00CE70CB">
        <w:rPr>
          <w:lang w:val="fr-FR"/>
        </w:rPr>
        <w:tab/>
        <w:t>Ajouter le nouveau paragraphe 6.7.3.15.6.2 suivant :</w:t>
      </w:r>
    </w:p>
    <w:p w:rsidR="00267DA7" w:rsidRPr="00CE70CB" w:rsidRDefault="00197101" w:rsidP="00267DA7">
      <w:pPr>
        <w:pStyle w:val="SingleTxtG"/>
        <w:tabs>
          <w:tab w:val="left" w:pos="2268"/>
        </w:tabs>
        <w:ind w:left="2259" w:hanging="1125"/>
        <w:rPr>
          <w:lang w:val="fr-FR"/>
        </w:rPr>
      </w:pPr>
      <w:r w:rsidRPr="00CE70CB">
        <w:rPr>
          <w:lang w:val="fr-FR"/>
        </w:rPr>
        <w:tab/>
      </w:r>
      <w:r w:rsidR="00267DA7" w:rsidRPr="00CE70CB">
        <w:rPr>
          <w:lang w:val="fr-FR"/>
        </w:rPr>
        <w:t>« 6.7.3.15.6.2</w:t>
      </w:r>
      <w:r w:rsidR="00267DA7" w:rsidRPr="00CE70CB">
        <w:rPr>
          <w:lang w:val="fr-FR"/>
        </w:rPr>
        <w:tab/>
        <w:t xml:space="preserve"> À l’exception des cas prévus au 6.7.3.15.6.1, les citernes mobiles qui n'ont pas respecté le délai prévu pour leur contrôle et épreuve périodique de cinq ans ou de deux ans et demi ne peuvent être remplies et présentées au transport que si un nouveau contrôle et épreuve périodique de cinq ans est effectué conformément au 6.7.3.15.4. »</w:t>
      </w:r>
    </w:p>
    <w:p w:rsidR="00267DA7" w:rsidRPr="00CE70CB" w:rsidRDefault="00267DA7" w:rsidP="00267DA7">
      <w:pPr>
        <w:pStyle w:val="SingleTxtG"/>
        <w:tabs>
          <w:tab w:val="left" w:pos="2268"/>
        </w:tabs>
        <w:ind w:left="2259" w:hanging="1125"/>
        <w:rPr>
          <w:lang w:val="fr-FR"/>
        </w:rPr>
      </w:pPr>
      <w:r w:rsidRPr="00CE70CB">
        <w:rPr>
          <w:lang w:val="fr-FR"/>
        </w:rPr>
        <w:t>6.7.4.4.7</w:t>
      </w:r>
      <w:r w:rsidRPr="00CE70CB">
        <w:rPr>
          <w:lang w:val="fr-FR"/>
        </w:rPr>
        <w:tab/>
        <w:t>Remplacer « tolérance pour la corrosion » par « surépaisseur de corrosion ».</w:t>
      </w:r>
    </w:p>
    <w:p w:rsidR="00A71AC8" w:rsidRPr="00CE70CB" w:rsidRDefault="00A71AC8" w:rsidP="00A71AC8">
      <w:pPr>
        <w:pStyle w:val="SingleTxtG"/>
        <w:tabs>
          <w:tab w:val="left" w:pos="2268"/>
        </w:tabs>
        <w:ind w:left="2259" w:hanging="1125"/>
        <w:rPr>
          <w:lang w:val="fr-FR"/>
        </w:rPr>
      </w:pPr>
      <w:r w:rsidRPr="00CE70CB">
        <w:rPr>
          <w:lang w:val="fr-FR"/>
        </w:rPr>
        <w:t>6.7.4.13.1</w:t>
      </w:r>
      <w:r w:rsidRPr="00CE70CB">
        <w:rPr>
          <w:lang w:val="fr-FR"/>
        </w:rPr>
        <w:tab/>
        <w:t>Dans la deuxième phrase, supprimer « générales ».</w:t>
      </w:r>
    </w:p>
    <w:p w:rsidR="00267DA7" w:rsidRPr="00CE70CB" w:rsidRDefault="00267DA7" w:rsidP="00267DA7">
      <w:pPr>
        <w:pStyle w:val="SingleTxtG"/>
        <w:tabs>
          <w:tab w:val="left" w:pos="2268"/>
        </w:tabs>
        <w:ind w:left="2259" w:hanging="1125"/>
        <w:rPr>
          <w:lang w:val="fr-FR"/>
        </w:rPr>
      </w:pPr>
      <w:r w:rsidRPr="00CE70CB">
        <w:rPr>
          <w:lang w:val="fr-FR"/>
        </w:rPr>
        <w:t>6.7.4.14.6</w:t>
      </w:r>
      <w:r w:rsidRPr="00CE70CB">
        <w:rPr>
          <w:lang w:val="fr-FR"/>
        </w:rPr>
        <w:tab/>
        <w:t>Ajouter un nouveau titre pour lire « 6.7.4.14.6</w:t>
      </w:r>
      <w:r w:rsidRPr="00CE70CB">
        <w:rPr>
          <w:lang w:val="fr-FR"/>
        </w:rPr>
        <w:tab/>
      </w:r>
      <w:r w:rsidRPr="00CE70CB">
        <w:rPr>
          <w:i/>
          <w:iCs/>
          <w:lang w:val="fr-FR"/>
        </w:rPr>
        <w:t>Contrôles et épreuves des citernes mobiles et remplissage après la date d’expiration des derniers contrôle et épreuve périodiques</w:t>
      </w:r>
      <w:r w:rsidRPr="00CE70CB">
        <w:rPr>
          <w:lang w:val="fr-FR"/>
        </w:rPr>
        <w:t xml:space="preserve"> ». </w:t>
      </w:r>
    </w:p>
    <w:p w:rsidR="00267DA7" w:rsidRPr="00CE70CB" w:rsidRDefault="00267DA7" w:rsidP="00267DA7">
      <w:pPr>
        <w:pStyle w:val="SingleTxtG"/>
        <w:tabs>
          <w:tab w:val="left" w:pos="2268"/>
        </w:tabs>
        <w:ind w:left="2259" w:hanging="1125"/>
        <w:rPr>
          <w:lang w:val="fr-FR"/>
        </w:rPr>
      </w:pPr>
      <w:r w:rsidRPr="00CE70CB">
        <w:rPr>
          <w:lang w:val="fr-FR"/>
        </w:rPr>
        <w:tab/>
        <w:t>Renuméroter le 6.7.4.14.6 actuel en tant que 6.7.4.14.6.1.</w:t>
      </w:r>
    </w:p>
    <w:p w:rsidR="00267DA7" w:rsidRPr="00CE70CB" w:rsidRDefault="00267DA7" w:rsidP="00267DA7">
      <w:pPr>
        <w:pStyle w:val="SingleTxtG"/>
        <w:tabs>
          <w:tab w:val="left" w:pos="2268"/>
        </w:tabs>
        <w:ind w:left="2259" w:hanging="1125"/>
        <w:rPr>
          <w:lang w:val="fr-FR"/>
        </w:rPr>
      </w:pPr>
      <w:r w:rsidRPr="00CE70CB">
        <w:rPr>
          <w:lang w:val="fr-FR"/>
        </w:rPr>
        <w:tab/>
        <w:t>Ajouter le nouveau paragraphe 6.7.4.14.6.2 suivant :</w:t>
      </w:r>
    </w:p>
    <w:p w:rsidR="00267DA7" w:rsidRPr="00CE70CB" w:rsidRDefault="00197101" w:rsidP="00267DA7">
      <w:pPr>
        <w:pStyle w:val="SingleTxtG"/>
        <w:tabs>
          <w:tab w:val="left" w:pos="2268"/>
        </w:tabs>
        <w:ind w:left="2259" w:hanging="1125"/>
        <w:rPr>
          <w:lang w:val="fr-FR"/>
        </w:rPr>
      </w:pPr>
      <w:r w:rsidRPr="00CE70CB">
        <w:rPr>
          <w:lang w:val="fr-FR"/>
        </w:rPr>
        <w:tab/>
      </w:r>
      <w:r w:rsidR="00267DA7" w:rsidRPr="00CE70CB">
        <w:rPr>
          <w:lang w:val="fr-FR"/>
        </w:rPr>
        <w:t>« 6.7.4.14.6.2</w:t>
      </w:r>
      <w:r w:rsidR="00267DA7" w:rsidRPr="00CE70CB">
        <w:rPr>
          <w:lang w:val="fr-FR"/>
        </w:rPr>
        <w:tab/>
      </w:r>
      <w:r w:rsidRPr="00CE70CB">
        <w:rPr>
          <w:lang w:val="fr-FR"/>
        </w:rPr>
        <w:tab/>
      </w:r>
      <w:r w:rsidR="00267DA7" w:rsidRPr="00CE70CB">
        <w:rPr>
          <w:lang w:val="fr-FR"/>
        </w:rPr>
        <w:t>À l’exception des cas prévus au 6.7.3.14.6.1, les citernes mobiles qui n'ont pas respecté le délai prévu pour leur contrôle et épreuve périodique de cinq ans ou de deux ans et demi ne peuvent être remplies et présentées au transport que si un nouveau contrôle et épreuve périodique de cinq ans est effectué conformément au 6.7.4.14.4. »</w:t>
      </w:r>
    </w:p>
    <w:p w:rsidR="00267DA7" w:rsidRPr="00CE70CB" w:rsidRDefault="00267DA7" w:rsidP="00267DA7">
      <w:pPr>
        <w:pStyle w:val="SingleTxtG"/>
        <w:tabs>
          <w:tab w:val="left" w:pos="2268"/>
        </w:tabs>
        <w:ind w:left="2259" w:hanging="1125"/>
        <w:rPr>
          <w:lang w:val="fr-FR"/>
        </w:rPr>
      </w:pPr>
      <w:r w:rsidRPr="00CE70CB">
        <w:rPr>
          <w:lang w:val="fr-FR"/>
        </w:rPr>
        <w:t>6.7.5.2.3</w:t>
      </w:r>
      <w:r w:rsidRPr="00CE70CB">
        <w:rPr>
          <w:lang w:val="fr-FR"/>
        </w:rPr>
        <w:tab/>
        <w:t>Dans la première phrase, après « en acier sans soudure » ajouter « ou être de construction composite ».</w:t>
      </w:r>
    </w:p>
    <w:p w:rsidR="00267DA7" w:rsidRPr="00CE70CB" w:rsidRDefault="00267DA7" w:rsidP="00267DA7">
      <w:pPr>
        <w:pStyle w:val="SingleTxtG"/>
        <w:tabs>
          <w:tab w:val="left" w:pos="2268"/>
        </w:tabs>
        <w:ind w:left="2259" w:hanging="1125"/>
        <w:rPr>
          <w:lang w:val="fr-FR"/>
        </w:rPr>
      </w:pPr>
      <w:r w:rsidRPr="00CE70CB">
        <w:rPr>
          <w:lang w:val="fr-FR"/>
        </w:rPr>
        <w:t>6.7.5.2.4 a)</w:t>
      </w:r>
      <w:r w:rsidRPr="00CE70CB">
        <w:rPr>
          <w:lang w:val="fr-FR"/>
        </w:rPr>
        <w:tab/>
        <w:t>Remplacer « ISO 11114-1:2012 » par « ISO 11114-1:2012 + A1:2017 ».</w:t>
      </w:r>
    </w:p>
    <w:p w:rsidR="00A71AC8" w:rsidRPr="00CE70CB" w:rsidRDefault="00A71AC8" w:rsidP="00A71AC8">
      <w:pPr>
        <w:pStyle w:val="SingleTxtG"/>
        <w:tabs>
          <w:tab w:val="left" w:pos="2268"/>
        </w:tabs>
        <w:ind w:left="2259" w:hanging="1125"/>
        <w:rPr>
          <w:lang w:val="fr-FR"/>
        </w:rPr>
      </w:pPr>
      <w:r w:rsidRPr="00CE70CB">
        <w:rPr>
          <w:lang w:val="fr-FR"/>
        </w:rPr>
        <w:t>6.7.5.11.1</w:t>
      </w:r>
      <w:r w:rsidRPr="00CE70CB">
        <w:rPr>
          <w:lang w:val="fr-FR"/>
        </w:rPr>
        <w:tab/>
        <w:t>Dans la deuxième phrase, supprimer « générales ».</w:t>
      </w:r>
    </w:p>
    <w:p w:rsidR="00267DA7" w:rsidRPr="00CE70CB" w:rsidRDefault="00267DA7" w:rsidP="00267DA7">
      <w:pPr>
        <w:pStyle w:val="H1G"/>
        <w:rPr>
          <w:lang w:val="fr-FR"/>
        </w:rPr>
      </w:pPr>
      <w:r w:rsidRPr="00CE70CB">
        <w:rPr>
          <w:lang w:val="fr-FR"/>
        </w:rPr>
        <w:tab/>
      </w:r>
      <w:r w:rsidRPr="00CE70CB">
        <w:rPr>
          <w:lang w:val="fr-FR"/>
        </w:rPr>
        <w:tab/>
        <w:t>Chapitre 6.8</w:t>
      </w:r>
    </w:p>
    <w:p w:rsidR="00267DA7" w:rsidRPr="00CE70CB" w:rsidRDefault="00267DA7" w:rsidP="00267DA7">
      <w:pPr>
        <w:pStyle w:val="SingleTxtG"/>
        <w:rPr>
          <w:lang w:val="fr-FR"/>
        </w:rPr>
      </w:pPr>
      <w:r w:rsidRPr="00CE70CB">
        <w:rPr>
          <w:lang w:val="fr-FR"/>
        </w:rPr>
        <w:t xml:space="preserve">6.8.2.1.11 </w:t>
      </w:r>
      <w:r w:rsidRPr="00CE70CB">
        <w:rPr>
          <w:lang w:val="fr-FR"/>
        </w:rPr>
        <w:tab/>
        <w:t>La modification ne s’applique pas au texte Français.</w:t>
      </w:r>
    </w:p>
    <w:p w:rsidR="00267DA7" w:rsidRPr="00CE70CB" w:rsidRDefault="00267DA7" w:rsidP="00267DA7">
      <w:pPr>
        <w:pStyle w:val="SingleTxtG"/>
        <w:keepNext/>
        <w:ind w:left="2268" w:hanging="1134"/>
        <w:rPr>
          <w:lang w:val="fr-FR"/>
        </w:rPr>
      </w:pPr>
      <w:r w:rsidRPr="00CE70CB">
        <w:rPr>
          <w:lang w:val="fr-FR"/>
        </w:rPr>
        <w:t>6.8.2.1.18</w:t>
      </w:r>
      <w:r w:rsidRPr="00CE70CB">
        <w:rPr>
          <w:lang w:val="fr-FR"/>
        </w:rPr>
        <w:tab/>
        <w:t>Ajouter les phrases suivantes à la fin de la note de bas de page 3 :</w:t>
      </w:r>
    </w:p>
    <w:p w:rsidR="00267DA7" w:rsidRPr="00CE70CB" w:rsidRDefault="00267DA7" w:rsidP="00267DA7">
      <w:pPr>
        <w:pStyle w:val="SingleTxtG"/>
        <w:keepNext/>
        <w:ind w:left="2268"/>
        <w:rPr>
          <w:lang w:val="fr-FR"/>
        </w:rPr>
      </w:pPr>
      <w:r w:rsidRPr="00CE70CB">
        <w:rPr>
          <w:lang w:val="fr-FR"/>
        </w:rPr>
        <w:t>« Cependant, la section transversale des réservoirs selon le 6.8.2.1.14 a) peut présenter des renfoncements ou des saillies, comme des puisards, des évidements ou des trous d’homme encastrés, qui peuvent être en tôle plate ou façonnée (concave ou convexe). Les bosses et autres déformations involontaires ne doivent pas être considérées comme des renfoncements ou des saillies. Voir les « Lignes directrices pour l’application de la note de bas de page 3 du 6.8.2.1.18 de l’ADR » sur le site internet du secrétariat de la CEE (http://www.unece.org/trans/danger/danger.html). »</w:t>
      </w:r>
    </w:p>
    <w:p w:rsidR="00267DA7" w:rsidRPr="00CE70CB" w:rsidRDefault="00267DA7" w:rsidP="00267DA7">
      <w:pPr>
        <w:pStyle w:val="SingleTxtG"/>
        <w:rPr>
          <w:lang w:val="fr-FR"/>
        </w:rPr>
      </w:pPr>
      <w:r w:rsidRPr="00CE70CB">
        <w:rPr>
          <w:lang w:val="fr-FR"/>
        </w:rPr>
        <w:t>6.8.2.1.20 b) 1.</w:t>
      </w:r>
    </w:p>
    <w:p w:rsidR="00267DA7" w:rsidRPr="00CE70CB" w:rsidRDefault="00267DA7" w:rsidP="00267DA7">
      <w:pPr>
        <w:pStyle w:val="SingleTxtG"/>
        <w:rPr>
          <w:lang w:val="fr-FR"/>
        </w:rPr>
      </w:pPr>
      <w:r w:rsidRPr="00CE70CB">
        <w:rPr>
          <w:lang w:val="fr-FR"/>
        </w:rPr>
        <w:tab/>
      </w:r>
      <w:r w:rsidRPr="00CE70CB">
        <w:rPr>
          <w:lang w:val="fr-FR"/>
        </w:rPr>
        <w:tab/>
      </w:r>
      <w:r w:rsidRPr="00CE70CB">
        <w:rPr>
          <w:lang w:val="fr-FR"/>
        </w:rPr>
        <w:tab/>
        <w:t>Au deuxième tiret, remplacer « volume compris » par « capacité ».</w:t>
      </w:r>
    </w:p>
    <w:p w:rsidR="00267DA7" w:rsidRPr="00CE70CB" w:rsidRDefault="00267DA7" w:rsidP="00267DA7">
      <w:pPr>
        <w:pStyle w:val="SingleTxtG"/>
        <w:spacing w:before="120" w:line="240" w:lineRule="auto"/>
        <w:ind w:left="2259" w:hanging="1125"/>
        <w:jc w:val="left"/>
        <w:rPr>
          <w:lang w:val="fr-FR"/>
        </w:rPr>
      </w:pPr>
      <w:r w:rsidRPr="00CE70CB">
        <w:rPr>
          <w:bCs/>
          <w:lang w:val="fr-FR"/>
        </w:rPr>
        <w:t>6.8.2.5.1</w:t>
      </w:r>
      <w:r w:rsidRPr="00CE70CB">
        <w:rPr>
          <w:b/>
          <w:lang w:val="fr-FR"/>
        </w:rPr>
        <w:tab/>
      </w:r>
      <w:r w:rsidRPr="00CE70CB">
        <w:rPr>
          <w:lang w:val="fr-FR"/>
        </w:rPr>
        <w:t>Modifier le neuvième alinéa pour lire comme suit :</w:t>
      </w:r>
    </w:p>
    <w:p w:rsidR="00267DA7" w:rsidRPr="00CE70CB" w:rsidRDefault="00267DA7" w:rsidP="00267DA7">
      <w:pPr>
        <w:pStyle w:val="SingleTxtG"/>
        <w:ind w:left="2259"/>
        <w:rPr>
          <w:lang w:val="fr-FR"/>
        </w:rPr>
      </w:pPr>
      <w:r w:rsidRPr="00CE70CB">
        <w:rPr>
          <w:lang w:val="fr-FR"/>
        </w:rPr>
        <w:t>« -</w:t>
      </w:r>
      <w:r w:rsidRPr="00CE70CB">
        <w:rPr>
          <w:lang w:val="fr-FR"/>
        </w:rPr>
        <w:tab/>
        <w:t>date et type du dernier contrôle subi : « mois, année » suivis par un « P » lorsque ce contrôle est le contrôle initial ou un contrôle périodique selon les 6.8.2.4.1 et 6.8.2.4.2, ou « mois, année » suivis par un « L » lorsque ce contrôle est un contrôle d’étanchéité intermédiaire selon le 6.8.2.4.3 ; »</w:t>
      </w:r>
    </w:p>
    <w:p w:rsidR="00267DA7" w:rsidRPr="00CE70CB" w:rsidRDefault="00267DA7" w:rsidP="00267DA7">
      <w:pPr>
        <w:pStyle w:val="SingleTxtG"/>
        <w:tabs>
          <w:tab w:val="left" w:pos="2268"/>
        </w:tabs>
        <w:ind w:left="2268" w:hanging="1134"/>
        <w:rPr>
          <w:lang w:val="fr-FR"/>
        </w:rPr>
      </w:pPr>
      <w:r w:rsidRPr="00CE70CB">
        <w:rPr>
          <w:lang w:val="fr-FR"/>
        </w:rPr>
        <w:tab/>
        <w:t>Au dixième alinéa, remplacer « aux épreuves » par « au contrôle ».</w:t>
      </w:r>
    </w:p>
    <w:p w:rsidR="00267DA7" w:rsidRPr="00CE70CB" w:rsidRDefault="00267DA7" w:rsidP="00267DA7">
      <w:pPr>
        <w:pStyle w:val="SingleTxtG"/>
        <w:ind w:left="2268" w:hanging="1134"/>
        <w:rPr>
          <w:lang w:val="fr-FR"/>
        </w:rPr>
      </w:pPr>
      <w:r w:rsidRPr="00CE70CB">
        <w:rPr>
          <w:lang w:val="fr-FR"/>
        </w:rPr>
        <w:lastRenderedPageBreak/>
        <w:t>6.8.2.6.1</w:t>
      </w:r>
      <w:r w:rsidRPr="00CE70CB">
        <w:rPr>
          <w:lang w:val="fr-FR"/>
        </w:rPr>
        <w:tab/>
        <w:t>Modifier le tableau comme suit :</w:t>
      </w:r>
    </w:p>
    <w:p w:rsidR="00267DA7" w:rsidRPr="00CE70CB" w:rsidRDefault="00267DA7" w:rsidP="00267DA7">
      <w:pPr>
        <w:pStyle w:val="SingleTxtG"/>
        <w:keepNext/>
        <w:spacing w:before="240"/>
        <w:ind w:left="2835" w:hanging="567"/>
        <w:rPr>
          <w:lang w:val="fr-FR"/>
        </w:rPr>
      </w:pPr>
      <w:r w:rsidRPr="00CE70CB">
        <w:rPr>
          <w:lang w:val="fr-FR"/>
        </w:rPr>
        <w:t>Sous « </w:t>
      </w:r>
      <w:r w:rsidRPr="00CE70CB">
        <w:rPr>
          <w:b/>
          <w:lang w:val="fr-FR"/>
        </w:rPr>
        <w:t>Pour la conception et la construction des citernes </w:t>
      </w:r>
      <w:r w:rsidRPr="00CE70CB">
        <w:rPr>
          <w:lang w:val="fr-FR"/>
        </w:rPr>
        <w:t>» :</w:t>
      </w:r>
    </w:p>
    <w:p w:rsidR="00267DA7" w:rsidRPr="00CE70CB" w:rsidRDefault="00267DA7" w:rsidP="00267DA7">
      <w:pPr>
        <w:pStyle w:val="Bullet2G"/>
        <w:rPr>
          <w:lang w:val="fr-FR"/>
        </w:rPr>
      </w:pPr>
      <w:r w:rsidRPr="00CE70CB">
        <w:rPr>
          <w:lang w:val="fr-FR"/>
        </w:rPr>
        <w:t>Pour « EN 14025:2013+A1:2016 (sauf annexe B) », dans la colonne (4), remplacer le texte existant par « Entre le 1</w:t>
      </w:r>
      <w:r w:rsidRPr="00CE70CB">
        <w:rPr>
          <w:vertAlign w:val="superscript"/>
          <w:lang w:val="fr-FR"/>
        </w:rPr>
        <w:t>er</w:t>
      </w:r>
      <w:r w:rsidRPr="00CE70CB">
        <w:rPr>
          <w:lang w:val="fr-FR"/>
        </w:rPr>
        <w:t xml:space="preserve"> janvier 2017 et le 31 décembre 2021 ». </w:t>
      </w:r>
    </w:p>
    <w:p w:rsidR="00267DA7" w:rsidRPr="00CE70CB" w:rsidRDefault="00267DA7" w:rsidP="00267DA7">
      <w:pPr>
        <w:pStyle w:val="Bullet2G"/>
        <w:rPr>
          <w:lang w:val="fr-FR"/>
        </w:rPr>
      </w:pPr>
      <w:r w:rsidRPr="00CE70CB">
        <w:rPr>
          <w:lang w:val="fr-FR"/>
        </w:rPr>
        <w:t>Après la rubrique existante pour la norme « EN 14025:2013+A1:2016 (sauf annexe B) », insérer les nouvelles rubriques suivantes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11"/>
        <w:gridCol w:w="4347"/>
        <w:gridCol w:w="756"/>
        <w:gridCol w:w="1607"/>
        <w:gridCol w:w="284"/>
      </w:tblGrid>
      <w:tr w:rsidR="00267DA7" w:rsidRPr="00CE70CB" w:rsidTr="00267DA7">
        <w:tc>
          <w:tcPr>
            <w:tcW w:w="1440" w:type="dxa"/>
          </w:tcPr>
          <w:p w:rsidR="00267DA7" w:rsidRPr="00CE70CB" w:rsidRDefault="00267DA7" w:rsidP="00267DA7">
            <w:pPr>
              <w:widowControl w:val="0"/>
              <w:spacing w:before="40" w:after="40"/>
              <w:ind w:left="57" w:right="57"/>
              <w:rPr>
                <w:rFonts w:cs="Arial"/>
                <w:sz w:val="18"/>
                <w:szCs w:val="18"/>
                <w:lang w:val="fr-FR"/>
              </w:rPr>
            </w:pPr>
            <w:r w:rsidRPr="00CE70CB">
              <w:rPr>
                <w:lang w:val="fr-FR"/>
              </w:rPr>
              <w:t>EN 14025:2018</w:t>
            </w:r>
          </w:p>
        </w:tc>
        <w:tc>
          <w:tcPr>
            <w:tcW w:w="4140" w:type="dxa"/>
          </w:tcPr>
          <w:p w:rsidR="00267DA7" w:rsidRPr="00CE70CB" w:rsidRDefault="00267DA7" w:rsidP="00267DA7">
            <w:pPr>
              <w:widowControl w:val="0"/>
              <w:spacing w:before="40" w:after="40"/>
              <w:ind w:left="57" w:right="57"/>
              <w:rPr>
                <w:rFonts w:cs="Arial"/>
                <w:sz w:val="18"/>
                <w:szCs w:val="18"/>
                <w:lang w:val="fr-FR"/>
              </w:rPr>
            </w:pPr>
            <w:r w:rsidRPr="00CE70CB">
              <w:rPr>
                <w:lang w:val="fr-FR"/>
              </w:rPr>
              <w:t>Citernes pour le transport de matières dangereuses − Citernes métalliques sous pression − Conception et fabrication</w:t>
            </w:r>
          </w:p>
          <w:p w:rsidR="00267DA7" w:rsidRPr="00CE70CB" w:rsidRDefault="00267DA7" w:rsidP="00267DA7">
            <w:pPr>
              <w:widowControl w:val="0"/>
              <w:spacing w:before="40" w:after="40"/>
              <w:ind w:left="57" w:right="57"/>
              <w:rPr>
                <w:rFonts w:cs="Arial"/>
                <w:i/>
                <w:sz w:val="18"/>
                <w:szCs w:val="18"/>
                <w:lang w:val="fr-FR"/>
              </w:rPr>
            </w:pPr>
            <w:r w:rsidRPr="00CE70CB">
              <w:rPr>
                <w:b/>
                <w:i/>
                <w:lang w:val="fr-FR"/>
              </w:rPr>
              <w:t>NOTA :</w:t>
            </w:r>
            <w:r w:rsidRPr="00CE70CB">
              <w:rPr>
                <w:i/>
                <w:lang w:val="fr-FR"/>
              </w:rPr>
              <w:t xml:space="preserve"> Les matériaux des réservoirs doivent au moins être attestés par un certificat de type 3.1 délivré conformément à la norme EN 10204.</w:t>
            </w:r>
          </w:p>
        </w:tc>
        <w:tc>
          <w:tcPr>
            <w:tcW w:w="720" w:type="dxa"/>
          </w:tcPr>
          <w:p w:rsidR="00267DA7" w:rsidRPr="00CE70CB" w:rsidRDefault="00267DA7" w:rsidP="00267DA7">
            <w:pPr>
              <w:widowControl w:val="0"/>
              <w:spacing w:before="40" w:after="40"/>
              <w:ind w:left="57" w:right="57"/>
              <w:rPr>
                <w:rFonts w:cs="Arial"/>
                <w:sz w:val="18"/>
                <w:szCs w:val="18"/>
                <w:lang w:val="fr-FR"/>
              </w:rPr>
            </w:pPr>
            <w:r w:rsidRPr="00CE70CB">
              <w:rPr>
                <w:lang w:val="fr-FR"/>
              </w:rPr>
              <w:t>6.8.2.1 et 6.8.3.1</w:t>
            </w:r>
          </w:p>
        </w:tc>
        <w:tc>
          <w:tcPr>
            <w:tcW w:w="1530" w:type="dxa"/>
          </w:tcPr>
          <w:p w:rsidR="00267DA7" w:rsidRPr="00CE70CB" w:rsidRDefault="00267DA7" w:rsidP="00267DA7">
            <w:pPr>
              <w:widowControl w:val="0"/>
              <w:spacing w:before="40" w:after="40"/>
              <w:ind w:left="57" w:right="57"/>
              <w:rPr>
                <w:rFonts w:cs="Arial"/>
                <w:sz w:val="18"/>
                <w:szCs w:val="18"/>
                <w:lang w:val="fr-FR"/>
              </w:rPr>
            </w:pPr>
            <w:r w:rsidRPr="00CE70CB">
              <w:rPr>
                <w:lang w:val="fr-FR"/>
              </w:rPr>
              <w:t>Jusqu’à nouvel ordre</w:t>
            </w:r>
          </w:p>
        </w:tc>
        <w:tc>
          <w:tcPr>
            <w:tcW w:w="270" w:type="dxa"/>
            <w:vAlign w:val="center"/>
          </w:tcPr>
          <w:p w:rsidR="00267DA7" w:rsidRPr="00CE70CB" w:rsidRDefault="00267DA7" w:rsidP="00267DA7">
            <w:pPr>
              <w:widowControl w:val="0"/>
              <w:spacing w:before="40" w:after="40"/>
              <w:ind w:left="57" w:right="57"/>
              <w:rPr>
                <w:rFonts w:cs="Arial"/>
                <w:sz w:val="18"/>
                <w:szCs w:val="18"/>
                <w:lang w:val="fr-FR"/>
              </w:rPr>
            </w:pPr>
          </w:p>
        </w:tc>
      </w:tr>
      <w:tr w:rsidR="00267DA7" w:rsidRPr="00CE70CB" w:rsidTr="00267DA7">
        <w:tc>
          <w:tcPr>
            <w:tcW w:w="1440" w:type="dxa"/>
          </w:tcPr>
          <w:p w:rsidR="00267DA7" w:rsidRPr="00CE70CB" w:rsidRDefault="00267DA7" w:rsidP="00267DA7">
            <w:pPr>
              <w:widowControl w:val="0"/>
              <w:spacing w:before="40" w:after="40"/>
              <w:ind w:left="57" w:right="57"/>
              <w:rPr>
                <w:rFonts w:cs="Arial"/>
                <w:sz w:val="18"/>
                <w:szCs w:val="18"/>
                <w:lang w:val="fr-FR"/>
              </w:rPr>
            </w:pPr>
            <w:r w:rsidRPr="00CE70CB">
              <w:rPr>
                <w:lang w:val="fr-FR"/>
              </w:rPr>
              <w:t>EN 12972:2018</w:t>
            </w:r>
          </w:p>
        </w:tc>
        <w:tc>
          <w:tcPr>
            <w:tcW w:w="4140" w:type="dxa"/>
          </w:tcPr>
          <w:p w:rsidR="00267DA7" w:rsidRPr="00CE70CB" w:rsidRDefault="00267DA7" w:rsidP="00267DA7">
            <w:pPr>
              <w:widowControl w:val="0"/>
              <w:spacing w:before="40" w:after="40"/>
              <w:ind w:left="57" w:right="57"/>
              <w:rPr>
                <w:rFonts w:cs="Arial"/>
                <w:sz w:val="18"/>
                <w:szCs w:val="18"/>
                <w:lang w:val="fr-FR"/>
              </w:rPr>
            </w:pPr>
            <w:r w:rsidRPr="00CE70CB">
              <w:rPr>
                <w:lang w:val="fr-FR"/>
              </w:rPr>
              <w:t>Citernes destinées au transport de matières dangereuses − Épreuve, contrôle et marquage des citernes métalliques</w:t>
            </w:r>
          </w:p>
        </w:tc>
        <w:tc>
          <w:tcPr>
            <w:tcW w:w="720" w:type="dxa"/>
          </w:tcPr>
          <w:p w:rsidR="00267DA7" w:rsidRPr="00CE70CB" w:rsidRDefault="00267DA7" w:rsidP="00267DA7">
            <w:pPr>
              <w:widowControl w:val="0"/>
              <w:spacing w:before="40" w:after="40"/>
              <w:ind w:left="57" w:right="57"/>
              <w:rPr>
                <w:rFonts w:cs="Arial"/>
                <w:sz w:val="18"/>
                <w:szCs w:val="18"/>
                <w:lang w:val="fr-FR"/>
              </w:rPr>
            </w:pPr>
            <w:r w:rsidRPr="00CE70CB">
              <w:rPr>
                <w:lang w:val="fr-FR"/>
              </w:rPr>
              <w:t>6.8.2.3</w:t>
            </w:r>
          </w:p>
        </w:tc>
        <w:tc>
          <w:tcPr>
            <w:tcW w:w="1530" w:type="dxa"/>
          </w:tcPr>
          <w:p w:rsidR="00267DA7" w:rsidRPr="00CE70CB" w:rsidRDefault="00267DA7" w:rsidP="00267DA7">
            <w:pPr>
              <w:widowControl w:val="0"/>
              <w:spacing w:before="40" w:after="40"/>
              <w:ind w:left="57" w:right="57"/>
              <w:rPr>
                <w:rFonts w:cs="Arial"/>
                <w:spacing w:val="-4"/>
                <w:sz w:val="18"/>
                <w:szCs w:val="18"/>
                <w:lang w:val="fr-FR"/>
              </w:rPr>
            </w:pPr>
            <w:r w:rsidRPr="00CE70CB">
              <w:rPr>
                <w:spacing w:val="-4"/>
                <w:lang w:val="fr-FR"/>
              </w:rPr>
              <w:t>Obligatoirement à partir du 1</w:t>
            </w:r>
            <w:r w:rsidRPr="00CE70CB">
              <w:rPr>
                <w:spacing w:val="-4"/>
                <w:vertAlign w:val="superscript"/>
                <w:lang w:val="fr-FR"/>
              </w:rPr>
              <w:t>er</w:t>
            </w:r>
            <w:r w:rsidRPr="00CE70CB">
              <w:rPr>
                <w:spacing w:val="-4"/>
                <w:lang w:val="fr-FR"/>
              </w:rPr>
              <w:t xml:space="preserve"> janvier 2022</w:t>
            </w:r>
          </w:p>
        </w:tc>
        <w:tc>
          <w:tcPr>
            <w:tcW w:w="270" w:type="dxa"/>
            <w:vAlign w:val="center"/>
          </w:tcPr>
          <w:p w:rsidR="00267DA7" w:rsidRPr="00CE70CB" w:rsidRDefault="00267DA7" w:rsidP="00267DA7">
            <w:pPr>
              <w:widowControl w:val="0"/>
              <w:spacing w:before="40" w:after="40"/>
              <w:ind w:left="57" w:right="57"/>
              <w:rPr>
                <w:rFonts w:cs="Arial"/>
                <w:sz w:val="18"/>
                <w:szCs w:val="18"/>
                <w:lang w:val="fr-FR"/>
              </w:rPr>
            </w:pPr>
          </w:p>
        </w:tc>
      </w:tr>
    </w:tbl>
    <w:p w:rsidR="00267DA7" w:rsidRPr="00CE70CB" w:rsidRDefault="00267DA7" w:rsidP="00197101">
      <w:pPr>
        <w:pStyle w:val="Bullet2G"/>
        <w:spacing w:before="120"/>
        <w:rPr>
          <w:lang w:val="fr-FR"/>
        </w:rPr>
      </w:pPr>
      <w:r w:rsidRPr="00CE70CB">
        <w:rPr>
          <w:lang w:val="fr-FR"/>
        </w:rPr>
        <w:t>Pour « EN 12493:2013+A1:2014+AC:2015 (sauf annexe C) », dans la colonne (4), remplacer le texte existant par « Entre le 1</w:t>
      </w:r>
      <w:r w:rsidRPr="00CE70CB">
        <w:rPr>
          <w:vertAlign w:val="superscript"/>
          <w:lang w:val="fr-FR"/>
        </w:rPr>
        <w:t>er</w:t>
      </w:r>
      <w:r w:rsidRPr="00CE70CB">
        <w:rPr>
          <w:lang w:val="fr-FR"/>
        </w:rPr>
        <w:t xml:space="preserve"> janvier 2017 et le 31 décembre 2022 ». </w:t>
      </w:r>
    </w:p>
    <w:p w:rsidR="00267DA7" w:rsidRPr="00CE70CB" w:rsidRDefault="00267DA7" w:rsidP="00197101">
      <w:pPr>
        <w:pStyle w:val="Bullet2G"/>
        <w:rPr>
          <w:lang w:val="fr-FR"/>
        </w:rPr>
      </w:pPr>
      <w:r w:rsidRPr="00CE70CB">
        <w:rPr>
          <w:lang w:val="fr-FR"/>
        </w:rPr>
        <w:t>Après la rubrique existante pour la norme « EN 12493:2013</w:t>
      </w:r>
      <w:r w:rsidRPr="00CE70CB">
        <w:rPr>
          <w:lang w:val="fr-FR"/>
        </w:rPr>
        <w:br/>
        <w:t>+A1:2014+AC:2015 (sauf annexe C) », insérer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3"/>
        <w:gridCol w:w="4003"/>
        <w:gridCol w:w="1600"/>
        <w:gridCol w:w="1145"/>
        <w:gridCol w:w="254"/>
      </w:tblGrid>
      <w:tr w:rsidR="00267DA7" w:rsidRPr="00CE70CB" w:rsidTr="00267DA7">
        <w:tc>
          <w:tcPr>
            <w:tcW w:w="1503" w:type="dxa"/>
          </w:tcPr>
          <w:p w:rsidR="00267DA7" w:rsidRPr="00CE70CB" w:rsidRDefault="00267DA7" w:rsidP="00267DA7">
            <w:pPr>
              <w:keepNext/>
              <w:widowControl w:val="0"/>
              <w:spacing w:before="40" w:after="40"/>
              <w:ind w:left="57" w:right="57"/>
              <w:rPr>
                <w:bCs/>
                <w:iCs/>
                <w:sz w:val="18"/>
                <w:szCs w:val="18"/>
                <w:lang w:val="fr-FR"/>
              </w:rPr>
            </w:pPr>
            <w:r w:rsidRPr="00CE70CB">
              <w:rPr>
                <w:spacing w:val="-4"/>
                <w:lang w:val="fr-FR"/>
              </w:rPr>
              <w:t>EN 12493:2013+</w:t>
            </w:r>
            <w:r w:rsidRPr="00CE70CB">
              <w:rPr>
                <w:lang w:val="fr-FR"/>
              </w:rPr>
              <w:br/>
              <w:t>A2:2018 (sauf annexe C)</w:t>
            </w:r>
          </w:p>
        </w:tc>
        <w:tc>
          <w:tcPr>
            <w:tcW w:w="4003" w:type="dxa"/>
          </w:tcPr>
          <w:p w:rsidR="00267DA7" w:rsidRPr="00CE70CB" w:rsidRDefault="00267DA7" w:rsidP="00267DA7">
            <w:pPr>
              <w:keepNext/>
              <w:widowControl w:val="0"/>
              <w:spacing w:before="40" w:after="40"/>
              <w:ind w:left="57" w:right="57"/>
              <w:rPr>
                <w:lang w:val="fr-FR"/>
              </w:rPr>
            </w:pPr>
            <w:r w:rsidRPr="00CE70CB">
              <w:rPr>
                <w:lang w:val="fr-FR"/>
              </w:rPr>
              <w:t>Équipements pour GPL et leurs accessoires − Réservoirs sous pression en acier soudé des camions-citernes pour GPL − Conception et construction</w:t>
            </w:r>
          </w:p>
          <w:p w:rsidR="00267DA7" w:rsidRPr="00CE70CB" w:rsidRDefault="00267DA7" w:rsidP="00267DA7">
            <w:pPr>
              <w:keepNext/>
              <w:widowControl w:val="0"/>
              <w:spacing w:before="40" w:after="40"/>
              <w:ind w:left="57" w:right="57"/>
              <w:rPr>
                <w:bCs/>
                <w:i/>
                <w:iCs/>
                <w:sz w:val="18"/>
                <w:szCs w:val="18"/>
                <w:lang w:val="fr-FR"/>
              </w:rPr>
            </w:pPr>
            <w:r w:rsidRPr="00CE70CB">
              <w:rPr>
                <w:rFonts w:eastAsia="TimesNewRomanPSMT"/>
                <w:b/>
                <w:i/>
                <w:iCs/>
                <w:sz w:val="18"/>
                <w:szCs w:val="18"/>
                <w:lang w:val="fr-FR" w:eastAsia="en-GB"/>
              </w:rPr>
              <w:t>NOTA :</w:t>
            </w:r>
            <w:r w:rsidRPr="00CE70CB">
              <w:rPr>
                <w:rFonts w:eastAsia="TimesNewRomanPSMT"/>
                <w:bCs/>
                <w:i/>
                <w:iCs/>
                <w:sz w:val="18"/>
                <w:szCs w:val="18"/>
                <w:lang w:val="fr-FR" w:eastAsia="en-GB"/>
              </w:rPr>
              <w:t xml:space="preserve"> On entend par « véhicule citerne routier » les « citernes fixes » et les « citernes démontables » au sens de l’ADR.</w:t>
            </w:r>
          </w:p>
        </w:tc>
        <w:tc>
          <w:tcPr>
            <w:tcW w:w="1600" w:type="dxa"/>
          </w:tcPr>
          <w:p w:rsidR="00267DA7" w:rsidRPr="00CE70CB" w:rsidRDefault="00267DA7" w:rsidP="00CB638E">
            <w:pPr>
              <w:widowControl w:val="0"/>
              <w:spacing w:before="40" w:after="40"/>
              <w:ind w:left="57" w:right="57"/>
              <w:rPr>
                <w:bCs/>
                <w:sz w:val="18"/>
                <w:szCs w:val="18"/>
                <w:lang w:val="fr-FR"/>
              </w:rPr>
            </w:pPr>
            <w:r w:rsidRPr="00CE70CB">
              <w:rPr>
                <w:lang w:val="fr-FR"/>
              </w:rPr>
              <w:t>6.8.2.1, 6.8.2.5</w:t>
            </w:r>
            <w:r w:rsidR="00CB638E" w:rsidRPr="00CE70CB">
              <w:rPr>
                <w:lang w:val="fr-FR"/>
              </w:rPr>
              <w:t xml:space="preserve">, </w:t>
            </w:r>
            <w:r w:rsidRPr="00CE70CB">
              <w:rPr>
                <w:lang w:val="fr-FR"/>
              </w:rPr>
              <w:t>6.8.3.1, 6.8.3.5</w:t>
            </w:r>
            <w:r w:rsidR="00CB638E" w:rsidRPr="00CE70CB">
              <w:rPr>
                <w:lang w:val="fr-FR"/>
              </w:rPr>
              <w:t xml:space="preserve">, </w:t>
            </w:r>
            <w:r w:rsidRPr="00CE70CB">
              <w:rPr>
                <w:lang w:val="fr-FR"/>
              </w:rPr>
              <w:t>6.8.5.1 à 6.8.5.3</w:t>
            </w:r>
          </w:p>
        </w:tc>
        <w:tc>
          <w:tcPr>
            <w:tcW w:w="1145" w:type="dxa"/>
          </w:tcPr>
          <w:p w:rsidR="00267DA7" w:rsidRPr="00CE70CB" w:rsidRDefault="00267DA7" w:rsidP="00267DA7">
            <w:pPr>
              <w:widowControl w:val="0"/>
              <w:spacing w:before="40" w:after="40"/>
              <w:ind w:left="57" w:right="57"/>
              <w:rPr>
                <w:bCs/>
                <w:sz w:val="18"/>
                <w:szCs w:val="18"/>
                <w:lang w:val="fr-FR"/>
              </w:rPr>
            </w:pPr>
            <w:r w:rsidRPr="00CE70CB">
              <w:rPr>
                <w:lang w:val="fr-FR"/>
              </w:rPr>
              <w:t>Jusqu’à nouvel ordre</w:t>
            </w:r>
          </w:p>
        </w:tc>
        <w:tc>
          <w:tcPr>
            <w:tcW w:w="254" w:type="dxa"/>
          </w:tcPr>
          <w:p w:rsidR="00267DA7" w:rsidRPr="00CE70CB" w:rsidRDefault="00267DA7" w:rsidP="00267DA7">
            <w:pPr>
              <w:widowControl w:val="0"/>
              <w:spacing w:before="40" w:after="40"/>
              <w:ind w:left="57" w:right="57"/>
              <w:rPr>
                <w:bCs/>
                <w:sz w:val="18"/>
                <w:szCs w:val="18"/>
                <w:lang w:val="fr-FR"/>
              </w:rPr>
            </w:pPr>
          </w:p>
        </w:tc>
      </w:tr>
    </w:tbl>
    <w:p w:rsidR="00267DA7" w:rsidRPr="00CE70CB" w:rsidRDefault="00267DA7" w:rsidP="00267DA7">
      <w:pPr>
        <w:pStyle w:val="SingleTxtG"/>
        <w:keepNext/>
        <w:spacing w:before="240"/>
        <w:ind w:left="2835" w:hanging="567"/>
        <w:rPr>
          <w:lang w:val="fr-FR"/>
        </w:rPr>
      </w:pPr>
      <w:r w:rsidRPr="00CE70CB">
        <w:rPr>
          <w:lang w:val="fr-FR"/>
        </w:rPr>
        <w:t>Sous « </w:t>
      </w:r>
      <w:r w:rsidRPr="00CE70CB">
        <w:rPr>
          <w:b/>
          <w:lang w:val="fr-FR"/>
        </w:rPr>
        <w:t>Pour les équipements </w:t>
      </w:r>
      <w:r w:rsidRPr="00CE70CB">
        <w:rPr>
          <w:lang w:val="fr-FR"/>
        </w:rPr>
        <w:t>» :</w:t>
      </w:r>
    </w:p>
    <w:p w:rsidR="00267DA7" w:rsidRPr="00CE70CB" w:rsidRDefault="00267DA7" w:rsidP="00197101">
      <w:pPr>
        <w:pStyle w:val="Bullet2G"/>
        <w:rPr>
          <w:lang w:val="fr-FR"/>
        </w:rPr>
      </w:pPr>
      <w:r w:rsidRPr="00CE70CB">
        <w:rPr>
          <w:lang w:val="fr-FR"/>
        </w:rPr>
        <w:t>Pour la norme « EN 13317:2002+A1:2006 », dans la colonne (4), remplacer le texte existant par « </w:t>
      </w:r>
      <w:r w:rsidR="00733E0D" w:rsidRPr="00CE70CB">
        <w:rPr>
          <w:lang w:val="fr-FR"/>
        </w:rPr>
        <w:t>E</w:t>
      </w:r>
      <w:r w:rsidRPr="00CE70CB">
        <w:rPr>
          <w:lang w:val="fr-FR"/>
        </w:rPr>
        <w:t>ntre le 1</w:t>
      </w:r>
      <w:r w:rsidRPr="00CE70CB">
        <w:rPr>
          <w:vertAlign w:val="superscript"/>
          <w:lang w:val="fr-FR"/>
        </w:rPr>
        <w:t>er</w:t>
      </w:r>
      <w:r w:rsidRPr="00CE70CB">
        <w:rPr>
          <w:lang w:val="fr-FR"/>
        </w:rPr>
        <w:t xml:space="preserve"> janvier 2009 et le 31 décembre 2021 ». </w:t>
      </w:r>
    </w:p>
    <w:p w:rsidR="00267DA7" w:rsidRPr="00CE70CB" w:rsidRDefault="00267DA7" w:rsidP="00197101">
      <w:pPr>
        <w:pStyle w:val="Bullet2G"/>
        <w:rPr>
          <w:lang w:val="fr-FR"/>
        </w:rPr>
      </w:pPr>
      <w:r w:rsidRPr="00CE70CB">
        <w:rPr>
          <w:lang w:val="fr-FR"/>
        </w:rPr>
        <w:t>Après la rubrique existante pour la norme « EN 13317:2002+A1:2006 », insérer la nouvelle rubrique suivante :</w:t>
      </w:r>
    </w:p>
    <w:tbl>
      <w:tblPr>
        <w:tblW w:w="8506"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501"/>
        <w:gridCol w:w="4003"/>
        <w:gridCol w:w="1596"/>
        <w:gridCol w:w="1148"/>
        <w:gridCol w:w="258"/>
      </w:tblGrid>
      <w:tr w:rsidR="00267DA7" w:rsidRPr="00CE70CB" w:rsidTr="00267DA7">
        <w:trPr>
          <w:trHeight w:val="517"/>
        </w:trPr>
        <w:tc>
          <w:tcPr>
            <w:tcW w:w="1501" w:type="dxa"/>
            <w:tcBorders>
              <w:top w:val="single" w:sz="4" w:space="0" w:color="auto"/>
            </w:tcBorders>
          </w:tcPr>
          <w:p w:rsidR="00267DA7" w:rsidRPr="00CE70CB" w:rsidRDefault="00267DA7" w:rsidP="00267DA7">
            <w:pPr>
              <w:widowControl w:val="0"/>
              <w:spacing w:before="40" w:after="40"/>
              <w:ind w:left="57" w:right="57"/>
              <w:rPr>
                <w:rFonts w:cs="Arial"/>
                <w:sz w:val="18"/>
                <w:szCs w:val="18"/>
                <w:lang w:val="fr-FR"/>
              </w:rPr>
            </w:pPr>
            <w:r w:rsidRPr="00CE70CB">
              <w:rPr>
                <w:lang w:val="fr-FR"/>
              </w:rPr>
              <w:t>EN 13317:2018</w:t>
            </w:r>
          </w:p>
        </w:tc>
        <w:tc>
          <w:tcPr>
            <w:tcW w:w="4003" w:type="dxa"/>
            <w:tcBorders>
              <w:top w:val="single" w:sz="4" w:space="0" w:color="auto"/>
            </w:tcBorders>
          </w:tcPr>
          <w:p w:rsidR="00267DA7" w:rsidRPr="00CE70CB" w:rsidRDefault="00267DA7" w:rsidP="00267DA7">
            <w:pPr>
              <w:widowControl w:val="0"/>
              <w:spacing w:before="40" w:after="40"/>
              <w:ind w:left="57" w:right="57"/>
              <w:rPr>
                <w:rFonts w:cs="Arial"/>
                <w:sz w:val="18"/>
                <w:szCs w:val="18"/>
                <w:lang w:val="fr-FR"/>
              </w:rPr>
            </w:pPr>
            <w:r w:rsidRPr="00CE70CB">
              <w:rPr>
                <w:lang w:val="fr-FR"/>
              </w:rPr>
              <w:t>Citernes pour le transport de matières dangereuses − Équipements de service pour citernes − Couvercle de trou d’homme</w:t>
            </w:r>
          </w:p>
        </w:tc>
        <w:tc>
          <w:tcPr>
            <w:tcW w:w="1596" w:type="dxa"/>
            <w:tcBorders>
              <w:top w:val="single" w:sz="4" w:space="0" w:color="auto"/>
            </w:tcBorders>
          </w:tcPr>
          <w:p w:rsidR="00267DA7" w:rsidRPr="00CE70CB" w:rsidRDefault="00267DA7" w:rsidP="00267DA7">
            <w:pPr>
              <w:widowControl w:val="0"/>
              <w:spacing w:before="40" w:after="40"/>
              <w:ind w:left="57" w:right="57"/>
              <w:rPr>
                <w:rFonts w:cs="Arial"/>
                <w:sz w:val="18"/>
                <w:szCs w:val="18"/>
                <w:lang w:val="fr-FR"/>
              </w:rPr>
            </w:pPr>
            <w:r w:rsidRPr="00CE70CB">
              <w:rPr>
                <w:lang w:val="fr-FR"/>
              </w:rPr>
              <w:t>6.8.2.2 et 6.8.2.4.1</w:t>
            </w:r>
          </w:p>
        </w:tc>
        <w:tc>
          <w:tcPr>
            <w:tcW w:w="1148" w:type="dxa"/>
            <w:tcBorders>
              <w:top w:val="single" w:sz="6" w:space="0" w:color="auto"/>
              <w:left w:val="single" w:sz="6" w:space="0" w:color="auto"/>
              <w:bottom w:val="single" w:sz="6" w:space="0" w:color="auto"/>
              <w:right w:val="single" w:sz="6" w:space="0" w:color="auto"/>
            </w:tcBorders>
          </w:tcPr>
          <w:p w:rsidR="00267DA7" w:rsidRPr="00CE70CB" w:rsidRDefault="00267DA7" w:rsidP="00267DA7">
            <w:pPr>
              <w:widowControl w:val="0"/>
              <w:spacing w:before="40" w:after="40"/>
              <w:ind w:left="57" w:right="57"/>
              <w:rPr>
                <w:rFonts w:cs="Arial"/>
                <w:sz w:val="18"/>
                <w:szCs w:val="18"/>
                <w:lang w:val="fr-FR"/>
              </w:rPr>
            </w:pPr>
            <w:r w:rsidRPr="00CE70CB">
              <w:rPr>
                <w:lang w:val="fr-FR"/>
              </w:rPr>
              <w:t>Jusqu’à nouvel ordre</w:t>
            </w:r>
          </w:p>
        </w:tc>
        <w:tc>
          <w:tcPr>
            <w:tcW w:w="258" w:type="dxa"/>
            <w:tcBorders>
              <w:top w:val="single" w:sz="4" w:space="0" w:color="auto"/>
            </w:tcBorders>
            <w:vAlign w:val="center"/>
          </w:tcPr>
          <w:p w:rsidR="00267DA7" w:rsidRPr="00CE70CB" w:rsidRDefault="00267DA7" w:rsidP="00267DA7">
            <w:pPr>
              <w:widowControl w:val="0"/>
              <w:spacing w:before="40" w:after="40"/>
              <w:ind w:left="57" w:right="57"/>
              <w:rPr>
                <w:rFonts w:cs="Arial"/>
                <w:sz w:val="18"/>
                <w:szCs w:val="18"/>
                <w:lang w:val="fr-FR"/>
              </w:rPr>
            </w:pPr>
          </w:p>
        </w:tc>
      </w:tr>
    </w:tbl>
    <w:p w:rsidR="00267DA7" w:rsidRPr="00CE70CB" w:rsidRDefault="00267DA7" w:rsidP="00197101">
      <w:pPr>
        <w:pStyle w:val="SingleTxtG"/>
        <w:spacing w:before="120"/>
        <w:ind w:left="2268" w:hanging="1134"/>
        <w:rPr>
          <w:lang w:val="fr-FR"/>
        </w:rPr>
      </w:pPr>
      <w:r w:rsidRPr="00CE70CB">
        <w:rPr>
          <w:lang w:val="fr-FR"/>
        </w:rPr>
        <w:t>6.8.2.6.2</w:t>
      </w:r>
      <w:r w:rsidRPr="00CE70CB">
        <w:rPr>
          <w:lang w:val="fr-FR"/>
        </w:rPr>
        <w:tab/>
        <w:t>Pour « EN 12972:2007 », dans la colonne (4), remplacer le texte existant par « Jusqu’au 30 juin 2021 ».</w:t>
      </w:r>
      <w:r w:rsidR="00197101" w:rsidRPr="00CE70CB">
        <w:rPr>
          <w:lang w:val="fr-FR"/>
        </w:rPr>
        <w:t xml:space="preserve"> </w:t>
      </w:r>
      <w:r w:rsidRPr="00CE70CB">
        <w:rPr>
          <w:lang w:val="fr-FR"/>
        </w:rPr>
        <w:t>Ajouter la nouvelle rubrique suivante après celle applicable à la norme « EN 12972:2007 »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12"/>
        <w:gridCol w:w="3993"/>
        <w:gridCol w:w="1331"/>
        <w:gridCol w:w="1445"/>
        <w:gridCol w:w="224"/>
      </w:tblGrid>
      <w:tr w:rsidR="00267DA7" w:rsidRPr="00CE70CB" w:rsidTr="00267DA7">
        <w:tc>
          <w:tcPr>
            <w:tcW w:w="1512" w:type="dxa"/>
          </w:tcPr>
          <w:p w:rsidR="00267DA7" w:rsidRPr="00CE70CB" w:rsidRDefault="00267DA7" w:rsidP="00267DA7">
            <w:pPr>
              <w:widowControl w:val="0"/>
              <w:spacing w:before="40" w:after="40"/>
              <w:ind w:left="57" w:right="57"/>
              <w:rPr>
                <w:rFonts w:cs="Arial"/>
                <w:sz w:val="18"/>
                <w:szCs w:val="18"/>
                <w:lang w:val="fr-FR"/>
              </w:rPr>
            </w:pPr>
            <w:r w:rsidRPr="00CE70CB">
              <w:rPr>
                <w:lang w:val="fr-FR"/>
              </w:rPr>
              <w:t>EN 12972:2018</w:t>
            </w:r>
          </w:p>
        </w:tc>
        <w:tc>
          <w:tcPr>
            <w:tcW w:w="3993" w:type="dxa"/>
          </w:tcPr>
          <w:p w:rsidR="00267DA7" w:rsidRPr="00CE70CB" w:rsidRDefault="00267DA7" w:rsidP="00267DA7">
            <w:pPr>
              <w:widowControl w:val="0"/>
              <w:spacing w:before="40" w:after="40"/>
              <w:ind w:left="57" w:right="57"/>
              <w:rPr>
                <w:rFonts w:cs="Arial"/>
                <w:sz w:val="18"/>
                <w:szCs w:val="18"/>
                <w:lang w:val="fr-FR"/>
              </w:rPr>
            </w:pPr>
            <w:r w:rsidRPr="00CE70CB">
              <w:rPr>
                <w:lang w:val="fr-FR"/>
              </w:rPr>
              <w:t>Citernes destinées au transport de matières dangereuses − Épreuve, contrôle et marquage des citernes métalliques</w:t>
            </w:r>
          </w:p>
        </w:tc>
        <w:tc>
          <w:tcPr>
            <w:tcW w:w="1331" w:type="dxa"/>
          </w:tcPr>
          <w:p w:rsidR="00267DA7" w:rsidRPr="00CE70CB" w:rsidRDefault="00267DA7" w:rsidP="00267DA7">
            <w:pPr>
              <w:widowControl w:val="0"/>
              <w:spacing w:before="40" w:after="40"/>
              <w:ind w:left="57" w:right="57"/>
              <w:rPr>
                <w:rFonts w:cs="Arial"/>
                <w:sz w:val="18"/>
                <w:szCs w:val="18"/>
                <w:lang w:val="fr-FR"/>
              </w:rPr>
            </w:pPr>
            <w:r w:rsidRPr="00CE70CB">
              <w:rPr>
                <w:lang w:val="fr-FR"/>
              </w:rPr>
              <w:t>6.8.2.4</w:t>
            </w:r>
          </w:p>
          <w:p w:rsidR="00267DA7" w:rsidRPr="00CE70CB" w:rsidRDefault="00267DA7" w:rsidP="00267DA7">
            <w:pPr>
              <w:widowControl w:val="0"/>
              <w:spacing w:before="40" w:after="40"/>
              <w:ind w:left="57" w:right="57"/>
              <w:rPr>
                <w:rFonts w:cs="Arial"/>
                <w:sz w:val="18"/>
                <w:szCs w:val="18"/>
                <w:lang w:val="fr-FR"/>
              </w:rPr>
            </w:pPr>
            <w:r w:rsidRPr="00CE70CB">
              <w:rPr>
                <w:lang w:val="fr-FR"/>
              </w:rPr>
              <w:t>6.8.3.4</w:t>
            </w:r>
          </w:p>
        </w:tc>
        <w:tc>
          <w:tcPr>
            <w:tcW w:w="1445" w:type="dxa"/>
          </w:tcPr>
          <w:p w:rsidR="00267DA7" w:rsidRPr="00CE70CB" w:rsidRDefault="00267DA7" w:rsidP="00267DA7">
            <w:pPr>
              <w:widowControl w:val="0"/>
              <w:spacing w:before="40" w:after="40"/>
              <w:ind w:left="57" w:right="57"/>
              <w:rPr>
                <w:rFonts w:cs="Arial"/>
                <w:sz w:val="18"/>
                <w:szCs w:val="18"/>
                <w:lang w:val="fr-FR"/>
              </w:rPr>
            </w:pPr>
            <w:r w:rsidRPr="00CE70CB">
              <w:rPr>
                <w:lang w:val="fr-FR"/>
              </w:rPr>
              <w:t xml:space="preserve">Obligatoirement à partir du </w:t>
            </w:r>
            <w:r w:rsidRPr="00CE70CB">
              <w:rPr>
                <w:lang w:val="fr-FR"/>
              </w:rPr>
              <w:br/>
              <w:t>1</w:t>
            </w:r>
            <w:r w:rsidRPr="00CE70CB">
              <w:rPr>
                <w:vertAlign w:val="superscript"/>
                <w:lang w:val="fr-FR"/>
              </w:rPr>
              <w:t>er</w:t>
            </w:r>
            <w:r w:rsidRPr="00CE70CB">
              <w:rPr>
                <w:lang w:val="fr-FR"/>
              </w:rPr>
              <w:t xml:space="preserve"> juillet 2021</w:t>
            </w:r>
          </w:p>
        </w:tc>
        <w:tc>
          <w:tcPr>
            <w:tcW w:w="224" w:type="dxa"/>
            <w:vAlign w:val="center"/>
          </w:tcPr>
          <w:p w:rsidR="00267DA7" w:rsidRPr="00CE70CB" w:rsidRDefault="00267DA7" w:rsidP="00267DA7">
            <w:pPr>
              <w:widowControl w:val="0"/>
              <w:spacing w:before="40" w:after="40"/>
              <w:ind w:left="57" w:right="57"/>
              <w:rPr>
                <w:rFonts w:cs="Arial"/>
                <w:sz w:val="18"/>
                <w:szCs w:val="18"/>
                <w:lang w:val="fr-FR"/>
              </w:rPr>
            </w:pPr>
          </w:p>
        </w:tc>
      </w:tr>
    </w:tbl>
    <w:p w:rsidR="00267DA7" w:rsidRPr="00CE70CB" w:rsidRDefault="00267DA7" w:rsidP="00197101">
      <w:pPr>
        <w:pStyle w:val="SingleTxtG"/>
        <w:tabs>
          <w:tab w:val="left" w:pos="2268"/>
        </w:tabs>
        <w:spacing w:before="120"/>
        <w:ind w:left="2268" w:hanging="1134"/>
        <w:rPr>
          <w:lang w:val="fr-FR"/>
        </w:rPr>
      </w:pPr>
      <w:r w:rsidRPr="00CE70CB">
        <w:rPr>
          <w:bCs/>
          <w:lang w:val="fr-FR"/>
        </w:rPr>
        <w:t>6.8.2.7</w:t>
      </w:r>
      <w:r w:rsidRPr="00CE70CB">
        <w:rPr>
          <w:b/>
          <w:lang w:val="fr-FR"/>
        </w:rPr>
        <w:tab/>
      </w:r>
      <w:r w:rsidRPr="00CE70CB">
        <w:rPr>
          <w:lang w:val="fr-FR"/>
        </w:rPr>
        <w:t>Insérer le nouveau paragraphe suivant après le premier paragraphe :</w:t>
      </w:r>
    </w:p>
    <w:p w:rsidR="00267DA7" w:rsidRPr="00CE70CB" w:rsidRDefault="00267DA7" w:rsidP="00267DA7">
      <w:pPr>
        <w:pStyle w:val="SingleTxtG"/>
        <w:ind w:left="2268"/>
        <w:rPr>
          <w:lang w:val="fr-FR"/>
        </w:rPr>
      </w:pPr>
      <w:r w:rsidRPr="00CE70CB">
        <w:rPr>
          <w:lang w:val="fr-FR"/>
        </w:rPr>
        <w:tab/>
        <w:t>« </w:t>
      </w:r>
      <w:bookmarkStart w:id="167" w:name="_Hlk31789896"/>
      <w:r w:rsidRPr="00CE70CB">
        <w:rPr>
          <w:lang w:val="fr-FR"/>
        </w:rPr>
        <w:t>Dès qu’une norme nouvellement référencée au 6.8.2.6 peut être appliquée, l’autorité compétente doit retirer sa reconnaissance du code technique correspondant. Une période transitoire s’achevant au plus tard à la date d’entrée en vigueur de l’édition suivante de l’ADR peut s’appliquer.</w:t>
      </w:r>
      <w:bookmarkEnd w:id="167"/>
      <w:r w:rsidRPr="00CE70CB">
        <w:rPr>
          <w:lang w:val="fr-FR"/>
        </w:rPr>
        <w:t> »</w:t>
      </w:r>
    </w:p>
    <w:p w:rsidR="00267DA7" w:rsidRPr="00CE70CB" w:rsidRDefault="00267DA7" w:rsidP="00267DA7">
      <w:pPr>
        <w:pStyle w:val="SingleTxtG"/>
        <w:tabs>
          <w:tab w:val="left" w:pos="2268"/>
        </w:tabs>
        <w:ind w:left="2268" w:hanging="1134"/>
        <w:rPr>
          <w:lang w:val="fr-FR"/>
        </w:rPr>
      </w:pPr>
      <w:r w:rsidRPr="00CE70CB">
        <w:rPr>
          <w:lang w:val="fr-FR"/>
        </w:rPr>
        <w:lastRenderedPageBreak/>
        <w:tab/>
      </w:r>
      <w:r w:rsidR="00B61577" w:rsidRPr="00CE70CB">
        <w:rPr>
          <w:lang w:val="fr-FR"/>
        </w:rPr>
        <w:t>À la fin de la première phrase du désormais troisième paragraphe (auparavant deuxième paragraphe), ajouter « </w:t>
      </w:r>
      <w:bookmarkStart w:id="168" w:name="_Hlk31789916"/>
      <w:r w:rsidR="00B61577" w:rsidRPr="00CE70CB">
        <w:rPr>
          <w:lang w:val="fr-FR"/>
        </w:rPr>
        <w:t>et elle doit la mettre à jour en cas de modification</w:t>
      </w:r>
      <w:bookmarkEnd w:id="168"/>
      <w:r w:rsidR="00B61577" w:rsidRPr="00CE70CB">
        <w:rPr>
          <w:lang w:val="fr-FR"/>
        </w:rPr>
        <w:t> ».</w:t>
      </w:r>
    </w:p>
    <w:p w:rsidR="00267DA7" w:rsidRPr="00CE70CB" w:rsidRDefault="00267DA7" w:rsidP="00267DA7">
      <w:pPr>
        <w:pStyle w:val="SingleTxtG"/>
        <w:ind w:left="2268" w:hanging="1134"/>
        <w:rPr>
          <w:lang w:val="fr-FR"/>
        </w:rPr>
      </w:pPr>
      <w:r w:rsidRPr="00CE70CB">
        <w:rPr>
          <w:lang w:val="fr-FR"/>
        </w:rPr>
        <w:t>6.8.3.4.12</w:t>
      </w:r>
      <w:r w:rsidRPr="00CE70CB">
        <w:rPr>
          <w:lang w:val="fr-FR"/>
        </w:rPr>
        <w:tab/>
        <w:t>Remplacer « </w:t>
      </w:r>
      <w:r w:rsidR="00733E0D" w:rsidRPr="00CE70CB">
        <w:rPr>
          <w:lang w:val="fr-FR"/>
        </w:rPr>
        <w:t xml:space="preserve">au </w:t>
      </w:r>
      <w:r w:rsidRPr="00CE70CB">
        <w:rPr>
          <w:lang w:val="fr-FR"/>
        </w:rPr>
        <w:t>6.8.3.4.6 » par « </w:t>
      </w:r>
      <w:r w:rsidR="00733E0D" w:rsidRPr="00CE70CB">
        <w:rPr>
          <w:lang w:val="fr-FR"/>
        </w:rPr>
        <w:t xml:space="preserve">aux </w:t>
      </w:r>
      <w:r w:rsidRPr="00CE70CB">
        <w:rPr>
          <w:lang w:val="fr-FR"/>
        </w:rPr>
        <w:t>6.8.2.4.2 et 6.8.2.4.3 ».</w:t>
      </w:r>
    </w:p>
    <w:p w:rsidR="00267DA7" w:rsidRPr="00CE70CB" w:rsidRDefault="00267DA7" w:rsidP="00197101">
      <w:pPr>
        <w:pStyle w:val="SingleTxtG"/>
        <w:tabs>
          <w:tab w:val="left" w:pos="2268"/>
        </w:tabs>
        <w:ind w:left="2268" w:hanging="1134"/>
        <w:rPr>
          <w:lang w:val="fr-FR"/>
        </w:rPr>
      </w:pPr>
      <w:r w:rsidRPr="00CE70CB">
        <w:rPr>
          <w:bCs/>
          <w:lang w:val="fr-FR"/>
        </w:rPr>
        <w:t>6.8.3.5.10</w:t>
      </w:r>
      <w:r w:rsidRPr="00CE70CB">
        <w:rPr>
          <w:b/>
          <w:lang w:val="fr-FR"/>
        </w:rPr>
        <w:tab/>
      </w:r>
      <w:bookmarkStart w:id="169" w:name="_Hlk31790305"/>
      <w:r w:rsidRPr="00CE70CB">
        <w:rPr>
          <w:lang w:val="fr-FR"/>
        </w:rPr>
        <w:t xml:space="preserve">Au septième </w:t>
      </w:r>
      <w:r w:rsidR="00733E0D" w:rsidRPr="00CE70CB">
        <w:rPr>
          <w:lang w:val="fr-FR"/>
        </w:rPr>
        <w:t>tiret</w:t>
      </w:r>
      <w:r w:rsidRPr="00CE70CB">
        <w:rPr>
          <w:lang w:val="fr-FR"/>
        </w:rPr>
        <w:t>, remplacer « </w:t>
      </w:r>
      <w:bookmarkStart w:id="170" w:name="_Hlk31790248"/>
      <w:r w:rsidRPr="00CE70CB">
        <w:rPr>
          <w:lang w:val="fr-FR"/>
        </w:rPr>
        <w:t>de l'épreuve initiale</w:t>
      </w:r>
      <w:bookmarkEnd w:id="170"/>
      <w:r w:rsidR="00E265D9" w:rsidRPr="00CE70CB">
        <w:rPr>
          <w:lang w:val="fr-FR"/>
        </w:rPr>
        <w:t xml:space="preserve"> et de la dernière épreuve périodique subie</w:t>
      </w:r>
      <w:r w:rsidRPr="00CE70CB">
        <w:rPr>
          <w:lang w:val="fr-FR"/>
        </w:rPr>
        <w:t> » par « </w:t>
      </w:r>
      <w:bookmarkStart w:id="171" w:name="_Hlk31790325"/>
      <w:r w:rsidRPr="00CE70CB">
        <w:rPr>
          <w:lang w:val="fr-FR"/>
        </w:rPr>
        <w:t>du contrôle initial</w:t>
      </w:r>
      <w:r w:rsidR="00E265D9" w:rsidRPr="00CE70CB">
        <w:rPr>
          <w:lang w:val="fr-FR"/>
        </w:rPr>
        <w:t xml:space="preserve"> et du dernier contrôle périodique</w:t>
      </w:r>
      <w:bookmarkEnd w:id="171"/>
      <w:r w:rsidR="00E265D9" w:rsidRPr="00CE70CB">
        <w:rPr>
          <w:lang w:val="fr-FR"/>
        </w:rPr>
        <w:t xml:space="preserve"> subis</w:t>
      </w:r>
      <w:r w:rsidRPr="00CE70CB">
        <w:rPr>
          <w:lang w:val="fr-FR"/>
        </w:rPr>
        <w:t> »</w:t>
      </w:r>
      <w:r w:rsidR="00E265D9" w:rsidRPr="00CE70CB">
        <w:rPr>
          <w:lang w:val="fr-FR"/>
        </w:rPr>
        <w:t>.</w:t>
      </w:r>
      <w:bookmarkEnd w:id="169"/>
    </w:p>
    <w:p w:rsidR="00267DA7" w:rsidRPr="00CE70CB" w:rsidRDefault="00267DA7" w:rsidP="00267DA7">
      <w:pPr>
        <w:pStyle w:val="SingleTxtG"/>
        <w:tabs>
          <w:tab w:val="left" w:pos="2268"/>
        </w:tabs>
        <w:ind w:left="2268" w:hanging="1134"/>
        <w:rPr>
          <w:lang w:val="fr-FR"/>
        </w:rPr>
      </w:pPr>
      <w:r w:rsidRPr="00CE70CB">
        <w:rPr>
          <w:lang w:val="fr-FR"/>
        </w:rPr>
        <w:tab/>
        <w:t xml:space="preserve">Au huitième </w:t>
      </w:r>
      <w:r w:rsidR="00733E0D" w:rsidRPr="00CE70CB">
        <w:rPr>
          <w:lang w:val="fr-FR"/>
        </w:rPr>
        <w:t>tiret</w:t>
      </w:r>
      <w:r w:rsidRPr="00CE70CB">
        <w:rPr>
          <w:lang w:val="fr-FR"/>
        </w:rPr>
        <w:t>, remplacer « aux épreuves » par « au contrôle ».</w:t>
      </w:r>
    </w:p>
    <w:p w:rsidR="00267DA7" w:rsidRPr="00CE70CB" w:rsidRDefault="00267DA7" w:rsidP="00267DA7">
      <w:pPr>
        <w:pStyle w:val="SingleTxtG"/>
        <w:tabs>
          <w:tab w:val="left" w:pos="2268"/>
        </w:tabs>
        <w:ind w:left="2268" w:hanging="1134"/>
        <w:rPr>
          <w:lang w:val="fr-FR"/>
        </w:rPr>
      </w:pPr>
      <w:r w:rsidRPr="00CE70CB">
        <w:rPr>
          <w:lang w:val="fr-FR"/>
        </w:rPr>
        <w:t>6.8.3.7</w:t>
      </w:r>
      <w:r w:rsidRPr="00CE70CB">
        <w:rPr>
          <w:lang w:val="fr-FR"/>
        </w:rPr>
        <w:tab/>
        <w:t>Insérer le nouveau paragraphe suivant après le premier paragraphe :</w:t>
      </w:r>
    </w:p>
    <w:p w:rsidR="00267DA7" w:rsidRPr="00CE70CB" w:rsidRDefault="00267DA7" w:rsidP="00267DA7">
      <w:pPr>
        <w:pStyle w:val="SingleTxtG"/>
        <w:ind w:left="2268"/>
        <w:rPr>
          <w:lang w:val="fr-FR"/>
        </w:rPr>
      </w:pPr>
      <w:r w:rsidRPr="00CE70CB">
        <w:rPr>
          <w:lang w:val="fr-FR"/>
        </w:rPr>
        <w:tab/>
        <w:t>« </w:t>
      </w:r>
      <w:bookmarkStart w:id="172" w:name="_Hlk31790491"/>
      <w:r w:rsidRPr="00CE70CB">
        <w:rPr>
          <w:lang w:val="fr-FR"/>
        </w:rPr>
        <w:t>Dès qu’une norme nouvellement référencée au 6.8.3.6 peut être appliquée, l’autorité compétente doit retirer sa reconnaissance du code technique correspondant. Une période transitoire s’achevant au plus tard à la date d’entrée en vigueur de l’édition suivante de l’ADR peut s’appliquer.</w:t>
      </w:r>
      <w:bookmarkEnd w:id="172"/>
      <w:r w:rsidRPr="00CE70CB">
        <w:rPr>
          <w:lang w:val="fr-FR"/>
        </w:rPr>
        <w:t> »</w:t>
      </w:r>
    </w:p>
    <w:p w:rsidR="00267DA7" w:rsidRPr="00CE70CB" w:rsidRDefault="00267DA7" w:rsidP="00267DA7">
      <w:pPr>
        <w:pStyle w:val="SingleTxtG"/>
        <w:tabs>
          <w:tab w:val="left" w:pos="2268"/>
        </w:tabs>
        <w:ind w:left="2268" w:hanging="1134"/>
        <w:rPr>
          <w:lang w:val="fr-FR"/>
        </w:rPr>
      </w:pPr>
      <w:r w:rsidRPr="00CE70CB">
        <w:rPr>
          <w:lang w:val="fr-FR"/>
        </w:rPr>
        <w:tab/>
        <w:t xml:space="preserve">À la fin de la première phrase du </w:t>
      </w:r>
      <w:r w:rsidR="00B61577" w:rsidRPr="00CE70CB">
        <w:rPr>
          <w:lang w:val="fr-FR"/>
        </w:rPr>
        <w:t>désormais</w:t>
      </w:r>
      <w:r w:rsidRPr="00CE70CB">
        <w:rPr>
          <w:lang w:val="fr-FR"/>
        </w:rPr>
        <w:t xml:space="preserve"> quatrième paragraphe</w:t>
      </w:r>
      <w:r w:rsidR="00B61577" w:rsidRPr="00CE70CB">
        <w:rPr>
          <w:lang w:val="fr-FR"/>
        </w:rPr>
        <w:t xml:space="preserve"> (auparavant troisième paragraphe)</w:t>
      </w:r>
      <w:r w:rsidRPr="00CE70CB">
        <w:rPr>
          <w:lang w:val="fr-FR"/>
        </w:rPr>
        <w:t>, ajouter « </w:t>
      </w:r>
      <w:bookmarkStart w:id="173" w:name="_Hlk31790531"/>
      <w:r w:rsidRPr="00CE70CB">
        <w:rPr>
          <w:lang w:val="fr-FR"/>
        </w:rPr>
        <w:t>et elle doit la mettre à jour en cas de modification</w:t>
      </w:r>
      <w:bookmarkEnd w:id="173"/>
      <w:r w:rsidRPr="00CE70CB">
        <w:rPr>
          <w:lang w:val="fr-FR"/>
        </w:rPr>
        <w:t> ».</w:t>
      </w:r>
    </w:p>
    <w:p w:rsidR="00267DA7" w:rsidRPr="00CE70CB" w:rsidRDefault="00267DA7" w:rsidP="00267DA7">
      <w:pPr>
        <w:pStyle w:val="SingleTxtG"/>
        <w:tabs>
          <w:tab w:val="left" w:pos="2268"/>
        </w:tabs>
        <w:ind w:left="2268" w:hanging="1134"/>
        <w:rPr>
          <w:lang w:val="fr-FR"/>
        </w:rPr>
      </w:pPr>
      <w:r w:rsidRPr="00CE70CB">
        <w:rPr>
          <w:bCs/>
          <w:iCs/>
          <w:lang w:val="fr-FR"/>
        </w:rPr>
        <w:t>6.8.4</w:t>
      </w:r>
      <w:r w:rsidRPr="00CE70CB">
        <w:rPr>
          <w:lang w:val="fr-FR"/>
        </w:rPr>
        <w:t xml:space="preserve"> d)</w:t>
      </w:r>
      <w:r w:rsidRPr="00CE70CB">
        <w:rPr>
          <w:bCs/>
          <w:iCs/>
          <w:lang w:val="fr-FR"/>
        </w:rPr>
        <w:t>, TT6</w:t>
      </w:r>
      <w:r w:rsidRPr="00CE70CB">
        <w:rPr>
          <w:bCs/>
          <w:iCs/>
          <w:lang w:val="fr-FR"/>
        </w:rPr>
        <w:tab/>
      </w:r>
      <w:r w:rsidRPr="00CE70CB">
        <w:rPr>
          <w:iCs/>
          <w:lang w:val="fr-FR"/>
        </w:rPr>
        <w:t xml:space="preserve">Dans la colonne de gauche, modifier le texte pour lire comme suit : </w:t>
      </w:r>
      <w:r w:rsidRPr="00CE70CB">
        <w:rPr>
          <w:lang w:val="fr-FR"/>
        </w:rPr>
        <w:t>« Le contrôle périodique doit avoir lieu au plus tard tous les trois ans. ».</w:t>
      </w:r>
    </w:p>
    <w:p w:rsidR="00267DA7" w:rsidRPr="00CE70CB" w:rsidRDefault="00267DA7" w:rsidP="00267DA7">
      <w:pPr>
        <w:pStyle w:val="SingleTxtG"/>
        <w:tabs>
          <w:tab w:val="left" w:pos="2268"/>
        </w:tabs>
        <w:ind w:left="2268" w:hanging="1134"/>
        <w:rPr>
          <w:lang w:val="fr-FR"/>
        </w:rPr>
      </w:pPr>
      <w:r w:rsidRPr="00CE70CB">
        <w:rPr>
          <w:bCs/>
          <w:lang w:val="fr-FR"/>
        </w:rPr>
        <w:t>6.8.4</w:t>
      </w:r>
      <w:r w:rsidRPr="00CE70CB">
        <w:rPr>
          <w:lang w:val="fr-FR"/>
        </w:rPr>
        <w:t xml:space="preserve"> d)</w:t>
      </w:r>
      <w:r w:rsidRPr="00CE70CB">
        <w:rPr>
          <w:bCs/>
          <w:lang w:val="fr-FR"/>
        </w:rPr>
        <w:t>, TT8</w:t>
      </w:r>
      <w:r w:rsidRPr="00CE70CB">
        <w:rPr>
          <w:bCs/>
          <w:lang w:val="fr-FR"/>
        </w:rPr>
        <w:tab/>
      </w:r>
      <w:r w:rsidRPr="00CE70CB">
        <w:rPr>
          <w:lang w:val="fr-FR"/>
        </w:rPr>
        <w:t>Au premier paragraphe, remplacer « épreuve » par « contrôle ».</w:t>
      </w:r>
    </w:p>
    <w:p w:rsidR="00197101" w:rsidRPr="00CE70CB" w:rsidRDefault="00267DA7" w:rsidP="00267DA7">
      <w:pPr>
        <w:pStyle w:val="SingleTxtG"/>
        <w:tabs>
          <w:tab w:val="left" w:pos="2268"/>
        </w:tabs>
        <w:ind w:left="2268" w:hanging="1134"/>
        <w:rPr>
          <w:lang w:val="fr-FR"/>
        </w:rPr>
      </w:pPr>
      <w:r w:rsidRPr="00CE70CB">
        <w:rPr>
          <w:lang w:val="fr-FR"/>
        </w:rPr>
        <w:t>6.8.4 d), TT11</w:t>
      </w:r>
    </w:p>
    <w:p w:rsidR="00267DA7" w:rsidRPr="00CE70CB" w:rsidRDefault="00267DA7" w:rsidP="00267DA7">
      <w:pPr>
        <w:pStyle w:val="SingleTxtG"/>
        <w:tabs>
          <w:tab w:val="left" w:pos="2268"/>
        </w:tabs>
        <w:ind w:left="2268" w:hanging="1134"/>
        <w:rPr>
          <w:iCs/>
          <w:lang w:val="fr-FR"/>
        </w:rPr>
      </w:pPr>
      <w:r w:rsidRPr="00CE70CB">
        <w:rPr>
          <w:lang w:val="fr-FR"/>
        </w:rPr>
        <w:tab/>
      </w:r>
      <w:bookmarkStart w:id="174" w:name="_Hlk31790898"/>
      <w:r w:rsidRPr="00CE70CB">
        <w:rPr>
          <w:lang w:val="fr-FR"/>
        </w:rPr>
        <w:t>Dans le paragraphe après le tableau, remplacer « </w:t>
      </w:r>
      <w:r w:rsidR="00EC1927" w:rsidRPr="00CE70CB">
        <w:rPr>
          <w:lang w:val="fr-FR"/>
        </w:rPr>
        <w:t>EN 14025:2013+A1:2016 (Citernes destinées au transport de matières dangereuses – citernes métalliques sous pression – conception et fabrication), EN 12493:2013 + A1:2014 + AC:2015 (Équipements pour GPL et leurs accessoires − citernes en acier soudé pour gaz de pétrole liquéfiés (GPL) − véhicules-citernes routiers − conception et construction)</w:t>
      </w:r>
      <w:r w:rsidRPr="00CE70CB">
        <w:rPr>
          <w:lang w:val="fr-FR"/>
        </w:rPr>
        <w:t> » par « EN 14025:2018</w:t>
      </w:r>
      <w:r w:rsidR="00E265D9" w:rsidRPr="00CE70CB">
        <w:rPr>
          <w:lang w:val="fr-FR"/>
        </w:rPr>
        <w:t xml:space="preserve"> (</w:t>
      </w:r>
      <w:bookmarkStart w:id="175" w:name="_Hlk31790779"/>
      <w:r w:rsidR="00E265D9" w:rsidRPr="00CE70CB">
        <w:t>Citernes pour le transport de matières dangereuses – citernes métalliques sous pression – conception et fabrication</w:t>
      </w:r>
      <w:bookmarkEnd w:id="175"/>
      <w:r w:rsidR="00E265D9" w:rsidRPr="00CE70CB">
        <w:rPr>
          <w:lang w:val="fr-FR"/>
        </w:rPr>
        <w:t xml:space="preserve">), </w:t>
      </w:r>
      <w:r w:rsidR="00EC1927" w:rsidRPr="00CE70CB">
        <w:rPr>
          <w:lang w:val="fr-FR"/>
        </w:rPr>
        <w:t>EN 12493:2013+A2:2018 (Équipements pour GPL et leurs accessoires − réservoirs sous pression en acier soudé des camions-citernes pour GPL − conception et construction)</w:t>
      </w:r>
      <w:r w:rsidRPr="00CE70CB">
        <w:rPr>
          <w:lang w:val="fr-FR"/>
        </w:rPr>
        <w:t> »</w:t>
      </w:r>
      <w:r w:rsidR="00EC1927" w:rsidRPr="00CE70CB">
        <w:rPr>
          <w:lang w:val="fr-FR"/>
        </w:rPr>
        <w:t>.</w:t>
      </w:r>
      <w:bookmarkEnd w:id="174"/>
    </w:p>
    <w:p w:rsidR="00267DA7" w:rsidRPr="00CE70CB" w:rsidRDefault="00267DA7" w:rsidP="00267DA7">
      <w:pPr>
        <w:pStyle w:val="H1G"/>
        <w:rPr>
          <w:lang w:val="fr-FR"/>
        </w:rPr>
      </w:pPr>
      <w:r w:rsidRPr="00CE70CB">
        <w:rPr>
          <w:lang w:val="fr-FR"/>
        </w:rPr>
        <w:tab/>
      </w:r>
      <w:r w:rsidRPr="00CE70CB">
        <w:rPr>
          <w:lang w:val="fr-FR"/>
        </w:rPr>
        <w:tab/>
        <w:t>Chapitre 6.9</w:t>
      </w:r>
    </w:p>
    <w:p w:rsidR="00267DA7" w:rsidRPr="00CE70CB" w:rsidRDefault="00267DA7" w:rsidP="00267DA7">
      <w:pPr>
        <w:pStyle w:val="SingleTxtG"/>
        <w:ind w:left="2268" w:hanging="1134"/>
        <w:rPr>
          <w:lang w:val="fr-FR"/>
        </w:rPr>
      </w:pPr>
      <w:r w:rsidRPr="00CE70CB">
        <w:rPr>
          <w:lang w:val="fr-FR"/>
        </w:rPr>
        <w:t>6.9.6.1</w:t>
      </w:r>
      <w:r w:rsidRPr="00CE70CB">
        <w:rPr>
          <w:lang w:val="fr-FR"/>
        </w:rPr>
        <w:tab/>
      </w:r>
      <w:r w:rsidRPr="00CE70CB">
        <w:rPr>
          <w:lang w:val="fr-FR"/>
        </w:rPr>
        <w:tab/>
        <w:t>À la fin du deuxième tiret, remplacer « . » par « ; » et ajouter un troisième tiret, comme suit :</w:t>
      </w:r>
    </w:p>
    <w:p w:rsidR="00267DA7" w:rsidRPr="00CE70CB" w:rsidRDefault="00267DA7" w:rsidP="00267DA7">
      <w:pPr>
        <w:pStyle w:val="SingleTxtG"/>
        <w:ind w:left="2268"/>
        <w:rPr>
          <w:lang w:val="fr-FR"/>
        </w:rPr>
      </w:pPr>
      <w:r w:rsidRPr="00CE70CB">
        <w:rPr>
          <w:lang w:val="fr-FR"/>
        </w:rPr>
        <w:t>« - lorsqu’un code-citerne est requis conformément au 6.8.2.5.2, la deuxième partie du code-citerne doit indiquer la valeur la plus élevée de la pression de calcul pour la ou les matières dont le transport est autorisé conformément au certificat d’agrément de type. »</w:t>
      </w:r>
    </w:p>
    <w:p w:rsidR="00267DA7" w:rsidRPr="00CE70CB" w:rsidRDefault="00267DA7" w:rsidP="00267DA7">
      <w:pPr>
        <w:pStyle w:val="H1G"/>
        <w:rPr>
          <w:lang w:val="fr-FR"/>
        </w:rPr>
      </w:pPr>
      <w:r w:rsidRPr="00CE70CB">
        <w:rPr>
          <w:lang w:val="fr-FR"/>
        </w:rPr>
        <w:tab/>
      </w:r>
      <w:r w:rsidRPr="00CE70CB">
        <w:rPr>
          <w:lang w:val="fr-FR"/>
        </w:rPr>
        <w:tab/>
        <w:t>Chapitre 6.10</w:t>
      </w:r>
    </w:p>
    <w:p w:rsidR="00267DA7" w:rsidRPr="00CE70CB" w:rsidRDefault="00267DA7" w:rsidP="00267DA7">
      <w:pPr>
        <w:pStyle w:val="SingleTxtG"/>
        <w:rPr>
          <w:lang w:val="fr-FR"/>
        </w:rPr>
      </w:pPr>
      <w:r w:rsidRPr="00CE70CB">
        <w:rPr>
          <w:lang w:val="fr-FR"/>
        </w:rPr>
        <w:t>6.10.3.8 a)</w:t>
      </w:r>
      <w:r w:rsidRPr="00CE70CB">
        <w:rPr>
          <w:lang w:val="fr-FR"/>
        </w:rPr>
        <w:tab/>
        <w:t>Ajouter le nouveau Nota suivant sous cet alinéa :</w:t>
      </w:r>
    </w:p>
    <w:p w:rsidR="00267DA7" w:rsidRPr="00CE70CB" w:rsidRDefault="00267DA7" w:rsidP="00267DA7">
      <w:pPr>
        <w:pStyle w:val="SingleTxtG"/>
        <w:ind w:left="2259"/>
        <w:rPr>
          <w:lang w:val="fr-FR"/>
        </w:rPr>
      </w:pPr>
      <w:r w:rsidRPr="00CE70CB">
        <w:rPr>
          <w:lang w:val="fr-FR"/>
        </w:rPr>
        <w:t>« </w:t>
      </w:r>
      <w:r w:rsidRPr="00CE70CB">
        <w:rPr>
          <w:b/>
          <w:bCs/>
          <w:i/>
          <w:iCs/>
          <w:lang w:val="fr-FR"/>
        </w:rPr>
        <w:t>NOTA :</w:t>
      </w:r>
      <w:r w:rsidRPr="00CE70CB">
        <w:rPr>
          <w:i/>
          <w:iCs/>
          <w:lang w:val="fr-FR"/>
        </w:rPr>
        <w:t xml:space="preserve"> </w:t>
      </w:r>
      <w:r w:rsidRPr="00CE70CB">
        <w:rPr>
          <w:i/>
          <w:iCs/>
          <w:lang w:val="fr-FR"/>
        </w:rPr>
        <w:tab/>
        <w:t>Cette prescription peut, par exemple, être satisfaite en utilisant une tubulure verticale ou une sortie en partie basse, munie d'un raccord permettant, le cas échéant, la fixation d'un flexible.</w:t>
      </w:r>
      <w:r w:rsidRPr="00CE70CB">
        <w:rPr>
          <w:lang w:val="fr-FR"/>
        </w:rPr>
        <w:t> »</w:t>
      </w:r>
    </w:p>
    <w:p w:rsidR="00267DA7" w:rsidRPr="00CE70CB" w:rsidRDefault="00267DA7" w:rsidP="00267DA7">
      <w:pPr>
        <w:pStyle w:val="SingleTxtG"/>
        <w:spacing w:before="120" w:line="240" w:lineRule="auto"/>
        <w:ind w:left="2259" w:hanging="1125"/>
        <w:jc w:val="left"/>
        <w:rPr>
          <w:lang w:val="fr-FR"/>
        </w:rPr>
      </w:pPr>
      <w:r w:rsidRPr="00CE70CB">
        <w:rPr>
          <w:bCs/>
          <w:lang w:val="fr-FR"/>
        </w:rPr>
        <w:t>6.10.4</w:t>
      </w:r>
      <w:r w:rsidRPr="00CE70CB">
        <w:rPr>
          <w:b/>
          <w:lang w:val="fr-FR"/>
        </w:rPr>
        <w:tab/>
      </w:r>
      <w:r w:rsidRPr="00CE70CB">
        <w:rPr>
          <w:lang w:val="fr-FR"/>
        </w:rPr>
        <w:t>R</w:t>
      </w:r>
      <w:r w:rsidRPr="00CE70CB">
        <w:rPr>
          <w:iCs/>
          <w:lang w:val="fr-FR"/>
        </w:rPr>
        <w:t>emplacer « </w:t>
      </w:r>
      <w:r w:rsidRPr="00CE70CB">
        <w:rPr>
          <w:lang w:val="fr-FR"/>
        </w:rPr>
        <w:t>des épreuves</w:t>
      </w:r>
      <w:r w:rsidRPr="00CE70CB">
        <w:rPr>
          <w:iCs/>
          <w:lang w:val="fr-FR"/>
        </w:rPr>
        <w:t> » par </w:t>
      </w:r>
      <w:r w:rsidRPr="00CE70CB">
        <w:rPr>
          <w:lang w:val="fr-FR"/>
        </w:rPr>
        <w:t>« du contrôle ».</w:t>
      </w:r>
    </w:p>
    <w:p w:rsidR="00267DA7" w:rsidRPr="00CE70CB" w:rsidRDefault="00267DA7" w:rsidP="00267DA7">
      <w:pPr>
        <w:pStyle w:val="H1G"/>
        <w:rPr>
          <w:lang w:val="fr-FR"/>
        </w:rPr>
      </w:pPr>
      <w:r w:rsidRPr="00CE70CB">
        <w:rPr>
          <w:lang w:val="fr-FR"/>
        </w:rPr>
        <w:lastRenderedPageBreak/>
        <w:tab/>
      </w:r>
      <w:r w:rsidRPr="00CE70CB">
        <w:rPr>
          <w:lang w:val="fr-FR"/>
        </w:rPr>
        <w:tab/>
        <w:t>Chapitre 6.11</w:t>
      </w:r>
    </w:p>
    <w:p w:rsidR="00267DA7" w:rsidRPr="00CE70CB" w:rsidRDefault="00267DA7" w:rsidP="00267DA7">
      <w:pPr>
        <w:pStyle w:val="SingleTxtG"/>
        <w:tabs>
          <w:tab w:val="left" w:pos="2268"/>
        </w:tabs>
        <w:ind w:left="2259" w:hanging="1125"/>
        <w:rPr>
          <w:lang w:val="fr-FR"/>
        </w:rPr>
      </w:pPr>
      <w:r w:rsidRPr="00CE70CB">
        <w:rPr>
          <w:lang w:val="fr-FR"/>
        </w:rPr>
        <w:t>6.11.4.1</w:t>
      </w:r>
      <w:r w:rsidRPr="00CE70CB">
        <w:rPr>
          <w:lang w:val="fr-FR"/>
        </w:rPr>
        <w:tab/>
        <w:t>Dans le Nota, remplacer « des Fiches UIC 591, 592 et 592-2 à 592-4 » par « des IRS 50591 (Caisses amovibles pour transbordement horizontal – Conditions techniques à remplir pour l’utilisation en trafic international)</w:t>
      </w:r>
      <w:r w:rsidRPr="00CE70CB">
        <w:rPr>
          <w:b/>
          <w:bCs/>
          <w:vertAlign w:val="superscript"/>
          <w:lang w:val="fr-FR"/>
        </w:rPr>
        <w:t>1</w:t>
      </w:r>
      <w:r w:rsidRPr="00CE70CB">
        <w:rPr>
          <w:lang w:val="fr-FR"/>
        </w:rPr>
        <w:t xml:space="preserve"> et 50592 (Unités de Transport Intermodal à transbordement vertical, autres que semi-remorques, aptes au transport sur wagons – Exigences minimales)</w:t>
      </w:r>
      <w:r w:rsidRPr="00CE70CB">
        <w:rPr>
          <w:b/>
          <w:bCs/>
          <w:vertAlign w:val="superscript"/>
          <w:lang w:val="fr-FR"/>
        </w:rPr>
        <w:t>2</w:t>
      </w:r>
      <w:r w:rsidRPr="00CE70CB">
        <w:rPr>
          <w:lang w:val="fr-FR"/>
        </w:rPr>
        <w:t xml:space="preserve"> publiés par l'UIC ».</w:t>
      </w:r>
    </w:p>
    <w:p w:rsidR="00267DA7" w:rsidRPr="00CE70CB" w:rsidRDefault="00267DA7" w:rsidP="00267DA7">
      <w:pPr>
        <w:pStyle w:val="SingleTxtG"/>
        <w:tabs>
          <w:tab w:val="left" w:pos="2268"/>
        </w:tabs>
        <w:ind w:left="2259" w:hanging="1125"/>
        <w:rPr>
          <w:lang w:val="fr-FR"/>
        </w:rPr>
      </w:pPr>
      <w:r w:rsidRPr="00CE70CB">
        <w:rPr>
          <w:lang w:val="fr-FR"/>
        </w:rPr>
        <w:tab/>
        <w:t>Les notes de bas de page 1 et 2 se lisent comme suit :</w:t>
      </w:r>
    </w:p>
    <w:p w:rsidR="00267DA7" w:rsidRPr="00CE70CB" w:rsidRDefault="00267DA7" w:rsidP="00267DA7">
      <w:pPr>
        <w:pStyle w:val="SingleTxtG"/>
        <w:tabs>
          <w:tab w:val="left" w:pos="2268"/>
        </w:tabs>
        <w:ind w:left="2259" w:hanging="1125"/>
        <w:rPr>
          <w:lang w:val="fr-FR"/>
        </w:rPr>
      </w:pPr>
      <w:r w:rsidRPr="00CE70CB">
        <w:rPr>
          <w:lang w:val="fr-FR"/>
        </w:rPr>
        <w:tab/>
        <w:t>« </w:t>
      </w:r>
      <w:r w:rsidRPr="00CE70CB">
        <w:rPr>
          <w:b/>
          <w:bCs/>
          <w:vertAlign w:val="superscript"/>
          <w:lang w:val="fr-FR"/>
        </w:rPr>
        <w:t>1</w:t>
      </w:r>
      <w:r w:rsidRPr="00CE70CB">
        <w:rPr>
          <w:lang w:val="fr-FR"/>
        </w:rPr>
        <w:tab/>
        <w:t>Première édition de l’IRS (International Railway Solution) applicable à partir du 1er janvier 2020.</w:t>
      </w:r>
    </w:p>
    <w:p w:rsidR="00267DA7" w:rsidRPr="00CE70CB" w:rsidRDefault="00267DA7" w:rsidP="00267DA7">
      <w:pPr>
        <w:pStyle w:val="SingleTxtG"/>
        <w:tabs>
          <w:tab w:val="left" w:pos="2268"/>
        </w:tabs>
        <w:ind w:left="2259" w:hanging="1125"/>
        <w:rPr>
          <w:lang w:val="fr-FR"/>
        </w:rPr>
      </w:pPr>
      <w:r w:rsidRPr="00CE70CB">
        <w:rPr>
          <w:lang w:val="fr-FR"/>
        </w:rPr>
        <w:tab/>
      </w:r>
      <w:r w:rsidRPr="00CE70CB">
        <w:rPr>
          <w:b/>
          <w:bCs/>
          <w:vertAlign w:val="superscript"/>
          <w:lang w:val="fr-FR"/>
        </w:rPr>
        <w:t>2</w:t>
      </w:r>
      <w:r w:rsidRPr="00CE70CB">
        <w:rPr>
          <w:lang w:val="fr-FR"/>
        </w:rPr>
        <w:tab/>
        <w:t>Première édition de l’IRS (International Railway Solution) applicable à partir du 1er janvier 2019. »</w:t>
      </w:r>
    </w:p>
    <w:p w:rsidR="00267DA7" w:rsidRPr="00CE70CB" w:rsidRDefault="00267DA7" w:rsidP="00267DA7">
      <w:pPr>
        <w:pStyle w:val="SingleTxtG"/>
        <w:rPr>
          <w:lang w:val="fr-FR"/>
        </w:rPr>
      </w:pPr>
      <w:r w:rsidRPr="00CE70CB">
        <w:rPr>
          <w:lang w:val="fr-FR"/>
        </w:rPr>
        <w:t>6.11.5.5.1 e)</w:t>
      </w:r>
      <w:r w:rsidRPr="00CE70CB">
        <w:rPr>
          <w:lang w:val="fr-FR"/>
        </w:rPr>
        <w:tab/>
        <w:t>Renuméroter la note de bas de page 1 en tant que note de bas de page 3.</w:t>
      </w:r>
    </w:p>
    <w:p w:rsidR="00267DA7" w:rsidRPr="00CE70CB" w:rsidRDefault="00267DA7" w:rsidP="00267DA7">
      <w:pPr>
        <w:pStyle w:val="H1G"/>
        <w:rPr>
          <w:lang w:val="fr-FR"/>
        </w:rPr>
      </w:pPr>
      <w:r w:rsidRPr="00CE70CB">
        <w:rPr>
          <w:lang w:val="fr-FR"/>
        </w:rPr>
        <w:tab/>
      </w:r>
      <w:r w:rsidRPr="00CE70CB">
        <w:rPr>
          <w:lang w:val="fr-FR"/>
        </w:rPr>
        <w:tab/>
        <w:t>Chapitre 7.1</w:t>
      </w:r>
    </w:p>
    <w:p w:rsidR="00267DA7" w:rsidRPr="00CE70CB" w:rsidRDefault="00267DA7" w:rsidP="00267DA7">
      <w:pPr>
        <w:pStyle w:val="SingleTxtG"/>
        <w:tabs>
          <w:tab w:val="left" w:pos="2268"/>
        </w:tabs>
        <w:ind w:left="2259" w:hanging="1125"/>
        <w:rPr>
          <w:lang w:val="fr-FR"/>
        </w:rPr>
      </w:pPr>
      <w:r w:rsidRPr="00CE70CB">
        <w:rPr>
          <w:lang w:val="fr-FR"/>
        </w:rPr>
        <w:t>7.1.3</w:t>
      </w:r>
      <w:r w:rsidRPr="00CE70CB">
        <w:rPr>
          <w:lang w:val="fr-FR"/>
        </w:rPr>
        <w:tab/>
        <w:t>Remplacer « les Fiches UIC 591 (état au 01.10.2007, 3ème édition), 592 (état au 01.10.2013, 2ème édition), 592-2 (état au 01.10.2004, 6ème édition), 592-3 (état au 01.01.1998, 2ème édition) et 592-4 (état au 01.05.2007, 3ème édition) » par « les IRS 50591 (Caisses amovibles pour transbordement horizontal – Conditions techniques à remplir pour l’utilisation en trafic international)</w:t>
      </w:r>
      <w:r w:rsidR="008567B0" w:rsidRPr="00CE70CB">
        <w:rPr>
          <w:b/>
          <w:bCs/>
          <w:vertAlign w:val="superscript"/>
          <w:lang w:val="fr-FR"/>
        </w:rPr>
        <w:t>1</w:t>
      </w:r>
      <w:r w:rsidRPr="00CE70CB">
        <w:rPr>
          <w:lang w:val="fr-FR"/>
        </w:rPr>
        <w:t xml:space="preserve"> et 50592 (Unités de Transport Intermodal à transbordement vertical, autres que semi-remorques, aptes au transport sur wagons – Exigences minimales)</w:t>
      </w:r>
      <w:r w:rsidR="008567B0" w:rsidRPr="00CE70CB">
        <w:rPr>
          <w:b/>
          <w:bCs/>
          <w:vertAlign w:val="superscript"/>
          <w:lang w:val="fr-FR"/>
        </w:rPr>
        <w:t>2</w:t>
      </w:r>
      <w:r w:rsidRPr="00CE70CB">
        <w:rPr>
          <w:lang w:val="fr-FR"/>
        </w:rPr>
        <w:t xml:space="preserve"> publiés par l'UIC ». À la fin, remplacer « des Fiches UIC 591, 592 et 592-2 à 592-4 » par « des IRS 50591 et 50592 de l’UIC ».</w:t>
      </w:r>
    </w:p>
    <w:p w:rsidR="00267DA7" w:rsidRPr="00CE70CB" w:rsidRDefault="00267DA7" w:rsidP="00267DA7">
      <w:pPr>
        <w:pStyle w:val="SingleTxtG"/>
        <w:tabs>
          <w:tab w:val="left" w:pos="2268"/>
        </w:tabs>
        <w:ind w:left="2259" w:hanging="1125"/>
        <w:rPr>
          <w:lang w:val="fr-FR"/>
        </w:rPr>
      </w:pPr>
      <w:r w:rsidRPr="00CE70CB">
        <w:rPr>
          <w:lang w:val="fr-FR"/>
        </w:rPr>
        <w:tab/>
        <w:t xml:space="preserve">Les notes de bas de page </w:t>
      </w:r>
      <w:r w:rsidR="008567B0" w:rsidRPr="00CE70CB">
        <w:rPr>
          <w:lang w:val="fr-FR"/>
        </w:rPr>
        <w:t>1</w:t>
      </w:r>
      <w:r w:rsidRPr="00CE70CB">
        <w:rPr>
          <w:lang w:val="fr-FR"/>
        </w:rPr>
        <w:t xml:space="preserve"> et </w:t>
      </w:r>
      <w:r w:rsidR="008567B0" w:rsidRPr="00CE70CB">
        <w:rPr>
          <w:lang w:val="fr-FR"/>
        </w:rPr>
        <w:t>2</w:t>
      </w:r>
      <w:r w:rsidRPr="00CE70CB">
        <w:rPr>
          <w:lang w:val="fr-FR"/>
        </w:rPr>
        <w:t xml:space="preserve"> se lisent comme suit :</w:t>
      </w:r>
    </w:p>
    <w:p w:rsidR="00267DA7" w:rsidRPr="00CE70CB" w:rsidRDefault="00267DA7" w:rsidP="00267DA7">
      <w:pPr>
        <w:pStyle w:val="SingleTxtG"/>
        <w:tabs>
          <w:tab w:val="left" w:pos="2268"/>
        </w:tabs>
        <w:ind w:left="2259" w:hanging="1125"/>
        <w:rPr>
          <w:lang w:val="fr-FR"/>
        </w:rPr>
      </w:pPr>
      <w:r w:rsidRPr="00CE70CB">
        <w:rPr>
          <w:lang w:val="fr-FR"/>
        </w:rPr>
        <w:tab/>
        <w:t>« </w:t>
      </w:r>
      <w:r w:rsidR="008567B0" w:rsidRPr="00CE70CB">
        <w:rPr>
          <w:b/>
          <w:bCs/>
          <w:vertAlign w:val="superscript"/>
          <w:lang w:val="fr-FR"/>
        </w:rPr>
        <w:t>1</w:t>
      </w:r>
      <w:r w:rsidRPr="00CE70CB">
        <w:rPr>
          <w:lang w:val="fr-FR"/>
        </w:rPr>
        <w:tab/>
        <w:t>Première édition de l’IRS (International Railway Solution) applicable à partir du 1er janvier 2020.</w:t>
      </w:r>
    </w:p>
    <w:p w:rsidR="00267DA7" w:rsidRPr="00CE70CB" w:rsidRDefault="00267DA7" w:rsidP="00267DA7">
      <w:pPr>
        <w:pStyle w:val="SingleTxtG"/>
        <w:tabs>
          <w:tab w:val="left" w:pos="2268"/>
        </w:tabs>
        <w:ind w:left="2259" w:hanging="1125"/>
        <w:rPr>
          <w:lang w:val="fr-FR"/>
        </w:rPr>
      </w:pPr>
      <w:r w:rsidRPr="00CE70CB">
        <w:rPr>
          <w:lang w:val="fr-FR"/>
        </w:rPr>
        <w:tab/>
      </w:r>
      <w:r w:rsidR="008567B0" w:rsidRPr="00CE70CB">
        <w:rPr>
          <w:b/>
          <w:bCs/>
          <w:vertAlign w:val="superscript"/>
          <w:lang w:val="fr-FR"/>
        </w:rPr>
        <w:t>2</w:t>
      </w:r>
      <w:r w:rsidRPr="00CE70CB">
        <w:rPr>
          <w:lang w:val="fr-FR"/>
        </w:rPr>
        <w:tab/>
        <w:t>Première édition de l’IRS (International Railway Solution) applicable à partir du 1er janvier 2019. »</w:t>
      </w:r>
    </w:p>
    <w:p w:rsidR="00267DA7" w:rsidRPr="00CE70CB" w:rsidRDefault="00267DA7" w:rsidP="00267DA7">
      <w:pPr>
        <w:pStyle w:val="SingleTxtG"/>
        <w:rPr>
          <w:lang w:val="fr-FR"/>
        </w:rPr>
      </w:pPr>
      <w:r w:rsidRPr="00CE70CB">
        <w:rPr>
          <w:lang w:val="fr-FR"/>
        </w:rPr>
        <w:t xml:space="preserve">7.1.7.3.6 </w:t>
      </w:r>
      <w:r w:rsidRPr="00CE70CB">
        <w:rPr>
          <w:lang w:val="fr-FR"/>
        </w:rPr>
        <w:tab/>
        <w:t>Remplacer « sous 7.1.5.3.5 » par « sous 7.1.7.3.5 ».</w:t>
      </w:r>
    </w:p>
    <w:p w:rsidR="00267DA7" w:rsidRPr="00CE70CB" w:rsidRDefault="00267DA7" w:rsidP="00267DA7">
      <w:pPr>
        <w:pStyle w:val="H1G"/>
        <w:rPr>
          <w:lang w:val="fr-FR"/>
        </w:rPr>
      </w:pPr>
      <w:r w:rsidRPr="00CE70CB">
        <w:rPr>
          <w:lang w:val="fr-FR"/>
        </w:rPr>
        <w:tab/>
      </w:r>
      <w:r w:rsidRPr="00CE70CB">
        <w:rPr>
          <w:lang w:val="fr-FR"/>
        </w:rPr>
        <w:tab/>
        <w:t>Chapitre 7.5</w:t>
      </w:r>
    </w:p>
    <w:p w:rsidR="00267DA7" w:rsidRPr="00CE70CB" w:rsidRDefault="00267DA7" w:rsidP="00267DA7">
      <w:pPr>
        <w:pStyle w:val="SingleTxtG"/>
        <w:ind w:left="2268" w:hanging="1134"/>
        <w:rPr>
          <w:lang w:val="fr-FR"/>
        </w:rPr>
      </w:pPr>
      <w:r w:rsidRPr="00CE70CB">
        <w:rPr>
          <w:lang w:val="fr-FR"/>
        </w:rPr>
        <w:t>7.5.11, CV4</w:t>
      </w:r>
      <w:r w:rsidRPr="00CE70CB">
        <w:rPr>
          <w:lang w:val="fr-FR"/>
        </w:rPr>
        <w:tab/>
        <w:t xml:space="preserve">Remplacer « ne peuvent pas être transportées » par « ne peuvent être </w:t>
      </w:r>
      <w:r w:rsidRPr="00CE70CB">
        <w:rPr>
          <w:lang w:val="fr-FR"/>
        </w:rPr>
        <w:tab/>
        <w:t>transportées ».</w:t>
      </w:r>
    </w:p>
    <w:p w:rsidR="00267DA7" w:rsidRPr="00CE70CB" w:rsidRDefault="00267DA7" w:rsidP="00267DA7">
      <w:pPr>
        <w:pStyle w:val="SingleTxtG"/>
        <w:tabs>
          <w:tab w:val="left" w:pos="2268"/>
        </w:tabs>
        <w:ind w:left="2259" w:hanging="1125"/>
        <w:rPr>
          <w:lang w:val="fr-FR"/>
        </w:rPr>
      </w:pPr>
      <w:r w:rsidRPr="00CE70CB">
        <w:rPr>
          <w:lang w:val="fr-FR"/>
        </w:rPr>
        <w:t>7.5.11, CV33 (2)</w:t>
      </w:r>
    </w:p>
    <w:p w:rsidR="00267DA7" w:rsidRPr="00CE70CB" w:rsidRDefault="00267DA7" w:rsidP="008567B0">
      <w:pPr>
        <w:pStyle w:val="SingleTxtG"/>
        <w:tabs>
          <w:tab w:val="left" w:pos="2268"/>
        </w:tabs>
        <w:ind w:left="2259" w:hanging="1125"/>
        <w:rPr>
          <w:szCs w:val="24"/>
          <w:lang w:val="fr-FR"/>
        </w:rPr>
      </w:pPr>
      <w:r w:rsidRPr="00CE70CB">
        <w:rPr>
          <w:szCs w:val="24"/>
          <w:lang w:val="fr-FR"/>
        </w:rPr>
        <w:tab/>
        <w:t>Ajouter la nouvelle phrase suivante après la première phrase :</w:t>
      </w:r>
      <w:r w:rsidR="008567B0" w:rsidRPr="00CE70CB">
        <w:rPr>
          <w:szCs w:val="24"/>
          <w:lang w:val="fr-FR"/>
        </w:rPr>
        <w:t xml:space="preserve"> </w:t>
      </w:r>
      <w:r w:rsidRPr="00CE70CB">
        <w:rPr>
          <w:szCs w:val="24"/>
          <w:lang w:val="fr-FR"/>
        </w:rPr>
        <w:t>« </w:t>
      </w:r>
      <w:bookmarkStart w:id="176" w:name="_Hlk31794542"/>
      <w:r w:rsidRPr="00CE70CB">
        <w:rPr>
          <w:szCs w:val="24"/>
          <w:lang w:val="fr-FR"/>
        </w:rPr>
        <w:t>Pour les SCO-III, les limites du tableau C ci-dessous peuvent être dépassées à condition que le plan de transport contienne les précautions à prendre en cours de transport afin d’obtenir un niveau de sûreté générale au moins équivalent à celui qui aurait été atteint si les limites avaient été respectées.</w:t>
      </w:r>
      <w:bookmarkEnd w:id="176"/>
      <w:r w:rsidRPr="00CE70CB">
        <w:rPr>
          <w:szCs w:val="24"/>
          <w:lang w:val="fr-FR"/>
        </w:rPr>
        <w:t> ».</w:t>
      </w:r>
    </w:p>
    <w:p w:rsidR="00267DA7" w:rsidRPr="00CE70CB" w:rsidRDefault="00267DA7" w:rsidP="00267DA7">
      <w:pPr>
        <w:pStyle w:val="SingleTxtG"/>
        <w:tabs>
          <w:tab w:val="left" w:pos="2268"/>
        </w:tabs>
        <w:ind w:left="2259" w:hanging="1125"/>
        <w:rPr>
          <w:lang w:val="fr-FR"/>
        </w:rPr>
      </w:pPr>
      <w:r w:rsidRPr="00CE70CB">
        <w:rPr>
          <w:lang w:val="fr-FR"/>
        </w:rPr>
        <w:t>7.5.11, CV33 (3) (3.3)</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Modifier l’alinéa b) pour lire comme suit :</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 xml:space="preserve">« b) </w:t>
      </w:r>
      <w:r w:rsidRPr="00CE70CB">
        <w:rPr>
          <w:szCs w:val="24"/>
          <w:lang w:val="fr-FR"/>
        </w:rPr>
        <w:tab/>
      </w:r>
      <w:bookmarkStart w:id="177" w:name="_Hlk31794585"/>
      <w:r w:rsidRPr="00CE70CB">
        <w:rPr>
          <w:szCs w:val="24"/>
          <w:lang w:val="fr-FR"/>
        </w:rPr>
        <w:t xml:space="preserve">Le débit de dose dans les conditions de transport de routine ne doit pas dépasser 2 mSv/h en tout point de la surface externe du véhicule ou du conteneur et 0,1 mSv/h à 2 m de la surface externe du véhicule ou du conteneur, sauf dans le cas des envois transportés </w:t>
      </w:r>
      <w:proofErr w:type="spellStart"/>
      <w:r w:rsidRPr="00CE70CB">
        <w:rPr>
          <w:szCs w:val="24"/>
          <w:lang w:val="fr-FR"/>
        </w:rPr>
        <w:t>sous utilisation</w:t>
      </w:r>
      <w:proofErr w:type="spellEnd"/>
      <w:r w:rsidRPr="00CE70CB">
        <w:rPr>
          <w:szCs w:val="24"/>
          <w:lang w:val="fr-FR"/>
        </w:rPr>
        <w:t xml:space="preserve"> exclusive par route ou par voie ferrée, pour lesquels les limites de débit de dose autour du véhicule sont énoncées au (3.5) b) et c)</w:t>
      </w:r>
      <w:bookmarkEnd w:id="177"/>
      <w:r w:rsidR="00346CC4" w:rsidRPr="00CE70CB">
        <w:rPr>
          <w:szCs w:val="24"/>
          <w:lang w:val="fr-FR"/>
        </w:rPr>
        <w:t> ;</w:t>
      </w:r>
      <w:r w:rsidRPr="00CE70CB">
        <w:rPr>
          <w:szCs w:val="24"/>
          <w:lang w:val="fr-FR"/>
        </w:rPr>
        <w:t> »</w:t>
      </w:r>
    </w:p>
    <w:p w:rsidR="00267DA7" w:rsidRPr="00CE70CB" w:rsidRDefault="00267DA7" w:rsidP="00267DA7">
      <w:pPr>
        <w:pStyle w:val="SingleTxtG"/>
        <w:tabs>
          <w:tab w:val="left" w:pos="2268"/>
        </w:tabs>
        <w:ind w:left="2259" w:hanging="1125"/>
        <w:rPr>
          <w:lang w:val="fr-FR"/>
        </w:rPr>
      </w:pPr>
      <w:r w:rsidRPr="00CE70CB">
        <w:rPr>
          <w:lang w:val="fr-FR"/>
        </w:rPr>
        <w:lastRenderedPageBreak/>
        <w:t>7.5.11, CV33 (3.5), (5.1) et (5.4) (deux fois)</w:t>
      </w:r>
    </w:p>
    <w:p w:rsidR="00267DA7" w:rsidRPr="00CE70CB" w:rsidRDefault="00267DA7" w:rsidP="00267DA7">
      <w:pPr>
        <w:pStyle w:val="SingleTxtG"/>
        <w:tabs>
          <w:tab w:val="left" w:pos="2268"/>
        </w:tabs>
        <w:ind w:left="2259" w:hanging="1125"/>
        <w:rPr>
          <w:lang w:val="fr-FR"/>
        </w:rPr>
      </w:pPr>
      <w:r w:rsidRPr="00CE70CB">
        <w:rPr>
          <w:lang w:val="fr-FR"/>
        </w:rPr>
        <w:tab/>
        <w:t>Remplacer « l’intensité de rayonnement » par « </w:t>
      </w:r>
      <w:bookmarkStart w:id="178" w:name="_Hlk31794643"/>
      <w:r w:rsidRPr="00CE70CB">
        <w:rPr>
          <w:lang w:val="fr-FR"/>
        </w:rPr>
        <w:t>le débit de dose</w:t>
      </w:r>
      <w:bookmarkEnd w:id="178"/>
      <w:r w:rsidRPr="00CE70CB">
        <w:rPr>
          <w:lang w:val="fr-FR"/>
        </w:rPr>
        <w:t> ».</w:t>
      </w:r>
    </w:p>
    <w:p w:rsidR="00267DA7" w:rsidRPr="00CE70CB" w:rsidRDefault="00267DA7" w:rsidP="00267DA7">
      <w:pPr>
        <w:pStyle w:val="SingleTxtG"/>
        <w:tabs>
          <w:tab w:val="left" w:pos="2268"/>
        </w:tabs>
        <w:ind w:left="2259" w:hanging="1125"/>
        <w:rPr>
          <w:lang w:val="fr-FR"/>
        </w:rPr>
      </w:pPr>
      <w:r w:rsidRPr="00CE70CB">
        <w:rPr>
          <w:lang w:val="fr-FR"/>
        </w:rPr>
        <w:t>7.5.11, CV33 (5.1)</w:t>
      </w:r>
    </w:p>
    <w:p w:rsidR="00267DA7" w:rsidRPr="00CE70CB" w:rsidRDefault="00267DA7" w:rsidP="00267DA7">
      <w:pPr>
        <w:pStyle w:val="SingleTxtG"/>
        <w:tabs>
          <w:tab w:val="left" w:pos="2268"/>
        </w:tabs>
        <w:ind w:left="2259" w:hanging="1125"/>
        <w:rPr>
          <w:lang w:val="fr-FR"/>
        </w:rPr>
      </w:pPr>
      <w:r w:rsidRPr="00CE70CB">
        <w:rPr>
          <w:lang w:val="fr-FR"/>
        </w:rPr>
        <w:t xml:space="preserve"> </w:t>
      </w:r>
      <w:r w:rsidRPr="00CE70CB">
        <w:rPr>
          <w:lang w:val="fr-FR"/>
        </w:rPr>
        <w:tab/>
      </w:r>
      <w:r w:rsidRPr="00CE70CB">
        <w:rPr>
          <w:szCs w:val="24"/>
          <w:lang w:val="fr-FR"/>
        </w:rPr>
        <w:t>L’amendement à la dernière phrase est sans objet en français.</w:t>
      </w:r>
    </w:p>
    <w:p w:rsidR="00267DA7" w:rsidRPr="00CE70CB" w:rsidRDefault="00267DA7" w:rsidP="00267DA7">
      <w:pPr>
        <w:pStyle w:val="SingleTxtG"/>
        <w:tabs>
          <w:tab w:val="left" w:pos="2268"/>
        </w:tabs>
        <w:ind w:left="2259" w:hanging="1125"/>
        <w:rPr>
          <w:lang w:val="fr-FR"/>
        </w:rPr>
      </w:pPr>
      <w:r w:rsidRPr="00CE70CB">
        <w:rPr>
          <w:lang w:val="fr-FR"/>
        </w:rPr>
        <w:t>7.5.11, CV33 (5.5)</w:t>
      </w:r>
    </w:p>
    <w:p w:rsidR="00267DA7" w:rsidRPr="00CE70CB" w:rsidRDefault="00267DA7" w:rsidP="00267DA7">
      <w:pPr>
        <w:pStyle w:val="SingleTxtG"/>
        <w:tabs>
          <w:tab w:val="left" w:pos="2268"/>
        </w:tabs>
        <w:ind w:left="2259" w:hanging="1125"/>
        <w:rPr>
          <w:szCs w:val="24"/>
          <w:lang w:val="fr-FR"/>
        </w:rPr>
      </w:pPr>
      <w:r w:rsidRPr="00CE70CB">
        <w:rPr>
          <w:szCs w:val="24"/>
          <w:lang w:val="fr-FR"/>
        </w:rPr>
        <w:tab/>
        <w:t>Au début du paragraphe, supprimer « , citernes, grands récipients pour vrac ».</w:t>
      </w:r>
    </w:p>
    <w:p w:rsidR="00267DA7" w:rsidRPr="00CE70CB" w:rsidRDefault="00267DA7" w:rsidP="00267DA7">
      <w:pPr>
        <w:pStyle w:val="SingleTxtG"/>
        <w:spacing w:before="120" w:line="240" w:lineRule="auto"/>
        <w:jc w:val="left"/>
        <w:rPr>
          <w:lang w:val="fr-FR"/>
        </w:rPr>
      </w:pPr>
      <w:r w:rsidRPr="00CE70CB">
        <w:rPr>
          <w:bCs/>
          <w:lang w:val="fr-FR"/>
        </w:rPr>
        <w:t>7.5.11, CV36</w:t>
      </w:r>
      <w:r w:rsidRPr="00CE70CB">
        <w:rPr>
          <w:bCs/>
          <w:lang w:val="fr-FR"/>
        </w:rPr>
        <w:tab/>
      </w:r>
      <w:r w:rsidRPr="00CE70CB">
        <w:rPr>
          <w:lang w:val="fr-FR"/>
        </w:rPr>
        <w:t>Modifier la deuxième phrase pour lire comme suit :</w:t>
      </w:r>
    </w:p>
    <w:p w:rsidR="00267DA7" w:rsidRPr="00CE70CB" w:rsidRDefault="00267DA7" w:rsidP="00267DA7">
      <w:pPr>
        <w:pStyle w:val="SingleTxtG"/>
        <w:ind w:left="2268"/>
        <w:rPr>
          <w:lang w:val="fr-FR"/>
        </w:rPr>
      </w:pPr>
      <w:r w:rsidRPr="00CE70CB">
        <w:rPr>
          <w:lang w:val="fr-FR"/>
        </w:rPr>
        <w:t>« </w:t>
      </w:r>
      <w:bookmarkStart w:id="179" w:name="_Hlk31794742"/>
      <w:r w:rsidRPr="00CE70CB">
        <w:rPr>
          <w:lang w:val="fr-FR"/>
        </w:rPr>
        <w:t>Si cela n’est pas possible et que les colis sont chargés dans d’autres véhicules couverts ou conteneurs fermés, aucun échange de gaz ne doit être possible entre le compartiment de chargement et la cabine du conducteur et les portes de chargement de ces véhicules ou conteneurs doivent être marquées comme suit, en lettre d’au moins 25 mm de hauteur :</w:t>
      </w:r>
      <w:bookmarkEnd w:id="179"/>
    </w:p>
    <w:p w:rsidR="00267DA7" w:rsidRPr="00CE70CB" w:rsidRDefault="008567B0" w:rsidP="00267DA7">
      <w:pPr>
        <w:pStyle w:val="SingleTxtG"/>
        <w:ind w:left="2268"/>
        <w:jc w:val="center"/>
        <w:rPr>
          <w:lang w:val="fr-FR"/>
        </w:rPr>
      </w:pPr>
      <w:r w:rsidRPr="00CE70CB">
        <w:rPr>
          <w:lang w:val="fr-FR"/>
        </w:rPr>
        <w:t>"</w:t>
      </w:r>
      <w:r w:rsidR="00267DA7" w:rsidRPr="00CE70CB">
        <w:rPr>
          <w:lang w:val="fr-FR"/>
        </w:rPr>
        <w:t>ATTENTION</w:t>
      </w:r>
    </w:p>
    <w:p w:rsidR="00267DA7" w:rsidRPr="00CE70CB" w:rsidRDefault="00267DA7" w:rsidP="00267DA7">
      <w:pPr>
        <w:pStyle w:val="SingleTxtG"/>
        <w:ind w:left="2268"/>
        <w:jc w:val="center"/>
        <w:rPr>
          <w:lang w:val="fr-FR"/>
        </w:rPr>
      </w:pPr>
      <w:r w:rsidRPr="00CE70CB">
        <w:rPr>
          <w:lang w:val="fr-FR"/>
        </w:rPr>
        <w:t>ESPACE CONFINÉ</w:t>
      </w:r>
    </w:p>
    <w:p w:rsidR="00267DA7" w:rsidRPr="00CE70CB" w:rsidRDefault="00267DA7" w:rsidP="00267DA7">
      <w:pPr>
        <w:pStyle w:val="SingleTxtG"/>
        <w:ind w:left="2268"/>
        <w:jc w:val="center"/>
        <w:rPr>
          <w:lang w:val="fr-FR"/>
        </w:rPr>
      </w:pPr>
      <w:r w:rsidRPr="00CE70CB">
        <w:rPr>
          <w:lang w:val="fr-FR"/>
        </w:rPr>
        <w:t>OUVRIR AVEC PRÉCAUTION</w:t>
      </w:r>
      <w:r w:rsidR="008567B0" w:rsidRPr="00CE70CB">
        <w:rPr>
          <w:lang w:val="fr-FR"/>
        </w:rPr>
        <w:t>"</w:t>
      </w:r>
      <w:r w:rsidRPr="00CE70CB">
        <w:rPr>
          <w:lang w:val="fr-FR"/>
        </w:rPr>
        <w:t> »</w:t>
      </w:r>
    </w:p>
    <w:p w:rsidR="00267DA7" w:rsidRPr="00CE70CB" w:rsidRDefault="00267DA7" w:rsidP="00267DA7">
      <w:pPr>
        <w:pStyle w:val="H1G"/>
        <w:rPr>
          <w:lang w:val="fr-FR"/>
        </w:rPr>
      </w:pPr>
      <w:r w:rsidRPr="00CE70CB">
        <w:rPr>
          <w:lang w:val="fr-FR"/>
        </w:rPr>
        <w:tab/>
      </w:r>
      <w:r w:rsidRPr="00CE70CB">
        <w:rPr>
          <w:lang w:val="fr-FR"/>
        </w:rPr>
        <w:tab/>
        <w:t>Chapitre 8.2</w:t>
      </w:r>
    </w:p>
    <w:p w:rsidR="00267DA7" w:rsidRPr="00CE70CB" w:rsidRDefault="00267DA7" w:rsidP="00267DA7">
      <w:pPr>
        <w:pStyle w:val="SingleTxtG"/>
        <w:rPr>
          <w:lang w:val="fr-FR"/>
        </w:rPr>
      </w:pPr>
      <w:r w:rsidRPr="00CE70CB">
        <w:rPr>
          <w:lang w:val="fr-FR"/>
        </w:rPr>
        <w:t>8.2.2.8.6</w:t>
      </w:r>
      <w:r w:rsidRPr="00CE70CB">
        <w:rPr>
          <w:lang w:val="fr-FR"/>
        </w:rPr>
        <w:tab/>
        <w:t>Modifier pour lire comme suit :</w:t>
      </w:r>
    </w:p>
    <w:p w:rsidR="00267DA7" w:rsidRPr="00CE70CB" w:rsidRDefault="00267DA7" w:rsidP="00267DA7">
      <w:pPr>
        <w:pStyle w:val="SingleTxtG"/>
        <w:ind w:left="2268"/>
        <w:rPr>
          <w:lang w:val="fr-FR"/>
        </w:rPr>
      </w:pPr>
      <w:r w:rsidRPr="00CE70CB">
        <w:rPr>
          <w:lang w:val="fr-FR"/>
        </w:rPr>
        <w:t>«8.2.2.8.6</w:t>
      </w:r>
      <w:r w:rsidRPr="00CE70CB">
        <w:rPr>
          <w:lang w:val="fr-FR"/>
        </w:rPr>
        <w:tab/>
        <w:t xml:space="preserve"> </w:t>
      </w:r>
      <w:bookmarkStart w:id="180" w:name="_Hlk31794779"/>
      <w:r w:rsidRPr="00CE70CB">
        <w:rPr>
          <w:lang w:val="fr-FR"/>
        </w:rPr>
        <w:t>Les Parties contractantes doivent fournir au secrétariat de la CEE un exemple type de chaque certificat qu’elles entendent délivrer au niveau national, en application de la présente section. Les Parties contractantes doivent en outre fournir des notes explicatives pour permettre de vérifier la conformité des certificats aux exemples types fournis. Le secrétariat rendra ces informations accessibles sur son site internet.</w:t>
      </w:r>
      <w:bookmarkEnd w:id="180"/>
      <w:r w:rsidRPr="00CE70CB">
        <w:rPr>
          <w:lang w:val="fr-FR"/>
        </w:rPr>
        <w:t xml:space="preserve"> »</w:t>
      </w:r>
    </w:p>
    <w:p w:rsidR="00267DA7" w:rsidRPr="00CE70CB" w:rsidRDefault="00267DA7" w:rsidP="00267DA7">
      <w:pPr>
        <w:pStyle w:val="H1G"/>
        <w:rPr>
          <w:lang w:val="fr-FR"/>
        </w:rPr>
      </w:pPr>
      <w:r w:rsidRPr="00CE70CB">
        <w:rPr>
          <w:lang w:val="fr-FR"/>
        </w:rPr>
        <w:tab/>
      </w:r>
      <w:r w:rsidRPr="00CE70CB">
        <w:rPr>
          <w:lang w:val="fr-FR"/>
        </w:rPr>
        <w:tab/>
        <w:t>Chapitre 8.5</w:t>
      </w:r>
    </w:p>
    <w:p w:rsidR="00267DA7" w:rsidRPr="00CE70CB" w:rsidRDefault="00267DA7" w:rsidP="00267DA7">
      <w:pPr>
        <w:pStyle w:val="SingleTxtG"/>
        <w:ind w:left="2268" w:hanging="1134"/>
        <w:rPr>
          <w:lang w:val="fr-FR"/>
        </w:rPr>
      </w:pPr>
      <w:r w:rsidRPr="00CE70CB">
        <w:rPr>
          <w:lang w:val="fr-FR"/>
        </w:rPr>
        <w:t>8.5, S1 (6)</w:t>
      </w:r>
      <w:r w:rsidRPr="00CE70CB">
        <w:rPr>
          <w:lang w:val="fr-FR"/>
        </w:rPr>
        <w:tab/>
      </w:r>
      <w:bookmarkStart w:id="181" w:name="_Hlk24441003"/>
      <w:r w:rsidRPr="00CE70CB">
        <w:rPr>
          <w:lang w:val="fr-FR"/>
        </w:rPr>
        <w:t xml:space="preserve">Dans le deuxième paragraphe après la liste, </w:t>
      </w:r>
      <w:bookmarkEnd w:id="181"/>
      <w:r w:rsidRPr="00CE70CB">
        <w:rPr>
          <w:lang w:val="fr-FR"/>
        </w:rPr>
        <w:t>remplacer « ces matières et objets, doivent faire 1’objet d’une surveillance constante, » par « ces matières et objets, lorsqu’ils sont soumis aux dispositions du 1.10.3, doivent faire 1’objet d’une surveillance constante, conformément au plan de sûreté visé au 1.10.3.2, ».</w:t>
      </w:r>
    </w:p>
    <w:p w:rsidR="00267DA7" w:rsidRPr="00CE70CB" w:rsidRDefault="00267DA7" w:rsidP="00267DA7">
      <w:pPr>
        <w:pStyle w:val="SingleTxtG"/>
        <w:ind w:left="2268" w:hanging="1134"/>
        <w:rPr>
          <w:lang w:val="fr-FR"/>
        </w:rPr>
      </w:pPr>
      <w:r w:rsidRPr="00CE70CB">
        <w:rPr>
          <w:lang w:val="fr-FR"/>
        </w:rPr>
        <w:t>8.5, S16</w:t>
      </w:r>
      <w:r w:rsidRPr="00CE70CB">
        <w:rPr>
          <w:lang w:val="fr-FR"/>
        </w:rPr>
        <w:tab/>
        <w:t>Remplacer le deuxième paragraphe par « En outre, les véhicules transportant plus de 500 kg de cette marchandise, lorsqu’ils sont soumis aux dispositions du 1.10.3, doivent faire 1’objet d’une surveillance constante, conformément au plan de sûreté visé au 1.10.3.2, propre à empêcher toute action de malveillance et à alerter le conducteur et les autorités compétentes en cas de perte ou d’incendie. ».</w:t>
      </w:r>
    </w:p>
    <w:p w:rsidR="00267DA7" w:rsidRPr="00CE70CB" w:rsidRDefault="00267DA7" w:rsidP="00267DA7">
      <w:pPr>
        <w:pStyle w:val="SingleTxtG"/>
        <w:ind w:left="2268" w:hanging="1134"/>
        <w:rPr>
          <w:lang w:val="fr-FR"/>
        </w:rPr>
      </w:pPr>
      <w:r w:rsidRPr="00CE70CB">
        <w:rPr>
          <w:lang w:val="fr-FR"/>
        </w:rPr>
        <w:t>8.5, S21</w:t>
      </w:r>
      <w:r w:rsidRPr="00CE70CB">
        <w:rPr>
          <w:lang w:val="fr-FR"/>
        </w:rPr>
        <w:tab/>
        <w:t>Supprimer la deuxième phrase. Après les alinéas, ajouter un nouveau paragraphe pour lire : « En outre, ces marchandises, lorsqu’elles sont soumises aux dispositions du 1.10.3, doivent faire 1’objet d’une surveillance constante, conformément au plan de sûreté visé au 1.10.3.2, propre à empêcher toute action de malveillance et à alerter le conducteur et les autorités compétentes en cas de perte ou d’incendie. »</w:t>
      </w:r>
      <w:r w:rsidR="00983F52" w:rsidRPr="00CE70CB">
        <w:rPr>
          <w:lang w:val="fr-FR"/>
        </w:rPr>
        <w:t>.</w:t>
      </w:r>
    </w:p>
    <w:p w:rsidR="00267DA7" w:rsidRPr="00CE70CB" w:rsidRDefault="00267DA7" w:rsidP="00267DA7">
      <w:pPr>
        <w:pStyle w:val="H1G"/>
        <w:rPr>
          <w:lang w:val="fr-FR"/>
        </w:rPr>
      </w:pPr>
      <w:r w:rsidRPr="00CE70CB">
        <w:rPr>
          <w:lang w:val="fr-FR"/>
        </w:rPr>
        <w:tab/>
      </w:r>
      <w:r w:rsidRPr="00CE70CB">
        <w:rPr>
          <w:lang w:val="fr-FR"/>
        </w:rPr>
        <w:tab/>
        <w:t>Chapitre 9.1</w:t>
      </w:r>
    </w:p>
    <w:p w:rsidR="00267DA7" w:rsidRPr="00CE70CB" w:rsidRDefault="00267DA7" w:rsidP="00267DA7">
      <w:pPr>
        <w:pStyle w:val="SingleTxtG"/>
        <w:ind w:left="2268" w:hanging="1134"/>
        <w:rPr>
          <w:lang w:val="fr-FR"/>
        </w:rPr>
      </w:pPr>
      <w:r w:rsidRPr="00CE70CB">
        <w:rPr>
          <w:lang w:val="fr-FR"/>
        </w:rPr>
        <w:t>9.1.3.4</w:t>
      </w:r>
      <w:r w:rsidRPr="00CE70CB">
        <w:rPr>
          <w:lang w:val="fr-FR"/>
        </w:rPr>
        <w:tab/>
      </w:r>
      <w:r w:rsidRPr="00CE70CB">
        <w:rPr>
          <w:lang w:val="fr-FR"/>
        </w:rPr>
        <w:tab/>
        <w:t>Ajouter un nouveau paragraphe après le premier paragraphe pour lire comme suit :</w:t>
      </w:r>
    </w:p>
    <w:p w:rsidR="00267DA7" w:rsidRPr="00497C47" w:rsidRDefault="00267DA7" w:rsidP="00267DA7">
      <w:pPr>
        <w:pStyle w:val="SingleTxtG"/>
        <w:ind w:left="2268"/>
        <w:rPr>
          <w:lang w:val="fr-FR"/>
        </w:rPr>
      </w:pPr>
      <w:r w:rsidRPr="00CE70CB">
        <w:rPr>
          <w:lang w:val="fr-FR"/>
        </w:rPr>
        <w:lastRenderedPageBreak/>
        <w:t>« Le véhicule ne doit pas être utilisé pour le transport de marchandises dangereuses après la date d’expiration nominale jusqu'à ce qu'il ait un certificat d’agrément valide. »</w:t>
      </w:r>
    </w:p>
    <w:p w:rsidR="00267DA7" w:rsidRPr="00267DA7" w:rsidRDefault="00267DA7" w:rsidP="00267DA7">
      <w:pPr>
        <w:spacing w:before="240"/>
        <w:jc w:val="center"/>
        <w:rPr>
          <w:u w:val="single"/>
          <w:lang w:val="fr-FR"/>
        </w:rPr>
      </w:pPr>
      <w:r>
        <w:rPr>
          <w:u w:val="single"/>
          <w:lang w:val="fr-FR"/>
        </w:rPr>
        <w:tab/>
      </w:r>
      <w:r>
        <w:rPr>
          <w:u w:val="single"/>
          <w:lang w:val="fr-FR"/>
        </w:rPr>
        <w:tab/>
      </w:r>
      <w:r>
        <w:rPr>
          <w:u w:val="single"/>
          <w:lang w:val="fr-FR"/>
        </w:rPr>
        <w:tab/>
      </w:r>
    </w:p>
    <w:p w:rsidR="00C1626B" w:rsidRPr="00FF3C2F" w:rsidRDefault="00C1626B" w:rsidP="00F06ED4"/>
    <w:sectPr w:rsidR="00C1626B" w:rsidRPr="00FF3C2F" w:rsidSect="007F2CE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8AB" w:rsidRDefault="007A78AB" w:rsidP="00F95C08">
      <w:pPr>
        <w:spacing w:line="240" w:lineRule="auto"/>
      </w:pPr>
    </w:p>
  </w:endnote>
  <w:endnote w:type="continuationSeparator" w:id="0">
    <w:p w:rsidR="007A78AB" w:rsidRPr="00AC3823" w:rsidRDefault="007A78AB" w:rsidP="00AC3823">
      <w:pPr>
        <w:pStyle w:val="Footer"/>
      </w:pPr>
    </w:p>
  </w:endnote>
  <w:endnote w:type="continuationNotice" w:id="1">
    <w:p w:rsidR="007A78AB" w:rsidRDefault="007A78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TimesNewRomanPSMT">
    <w:altName w:val="MS Gothic"/>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AB" w:rsidRPr="00FF3C2F" w:rsidRDefault="007A78AB" w:rsidP="00FF3C2F">
    <w:pPr>
      <w:pStyle w:val="Footer"/>
      <w:tabs>
        <w:tab w:val="right" w:pos="9638"/>
      </w:tabs>
      <w:rPr>
        <w:sz w:val="18"/>
      </w:rPr>
    </w:pPr>
    <w:r w:rsidRPr="00FF3C2F">
      <w:rPr>
        <w:b/>
        <w:sz w:val="18"/>
      </w:rPr>
      <w:fldChar w:fldCharType="begin"/>
    </w:r>
    <w:r w:rsidRPr="00FF3C2F">
      <w:rPr>
        <w:b/>
        <w:sz w:val="18"/>
      </w:rPr>
      <w:instrText xml:space="preserve"> PAGE  \* MERGEFORMAT </w:instrText>
    </w:r>
    <w:r w:rsidRPr="00FF3C2F">
      <w:rPr>
        <w:b/>
        <w:sz w:val="18"/>
      </w:rPr>
      <w:fldChar w:fldCharType="separate"/>
    </w:r>
    <w:r w:rsidRPr="00FF3C2F">
      <w:rPr>
        <w:b/>
        <w:noProof/>
        <w:sz w:val="18"/>
      </w:rPr>
      <w:t>2</w:t>
    </w:r>
    <w:r w:rsidRPr="00FF3C2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AB" w:rsidRPr="00FF3C2F" w:rsidRDefault="007A78AB" w:rsidP="00FF3C2F">
    <w:pPr>
      <w:pStyle w:val="Footer"/>
      <w:tabs>
        <w:tab w:val="right" w:pos="9638"/>
      </w:tabs>
      <w:rPr>
        <w:b/>
        <w:sz w:val="18"/>
      </w:rPr>
    </w:pPr>
    <w:r>
      <w:tab/>
    </w:r>
    <w:r w:rsidRPr="00FF3C2F">
      <w:rPr>
        <w:b/>
        <w:sz w:val="18"/>
      </w:rPr>
      <w:fldChar w:fldCharType="begin"/>
    </w:r>
    <w:r w:rsidRPr="00FF3C2F">
      <w:rPr>
        <w:b/>
        <w:sz w:val="18"/>
      </w:rPr>
      <w:instrText xml:space="preserve"> PAGE  \* MERGEFORMAT </w:instrText>
    </w:r>
    <w:r w:rsidRPr="00FF3C2F">
      <w:rPr>
        <w:b/>
        <w:sz w:val="18"/>
      </w:rPr>
      <w:fldChar w:fldCharType="separate"/>
    </w:r>
    <w:r w:rsidRPr="00FF3C2F">
      <w:rPr>
        <w:b/>
        <w:noProof/>
        <w:sz w:val="18"/>
      </w:rPr>
      <w:t>3</w:t>
    </w:r>
    <w:r w:rsidRPr="00FF3C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AB" w:rsidRPr="00FF3C2F" w:rsidRDefault="007A78AB"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8AB" w:rsidRPr="00AC3823" w:rsidRDefault="007A78AB" w:rsidP="00AC3823">
      <w:pPr>
        <w:pStyle w:val="Footer"/>
        <w:tabs>
          <w:tab w:val="right" w:pos="2155"/>
        </w:tabs>
        <w:spacing w:after="80" w:line="240" w:lineRule="atLeast"/>
        <w:ind w:left="680"/>
        <w:rPr>
          <w:u w:val="single"/>
        </w:rPr>
      </w:pPr>
      <w:r>
        <w:rPr>
          <w:u w:val="single"/>
        </w:rPr>
        <w:tab/>
      </w:r>
    </w:p>
  </w:footnote>
  <w:footnote w:type="continuationSeparator" w:id="0">
    <w:p w:rsidR="007A78AB" w:rsidRPr="00AC3823" w:rsidRDefault="007A78AB" w:rsidP="00AC3823">
      <w:pPr>
        <w:pStyle w:val="Footer"/>
        <w:tabs>
          <w:tab w:val="right" w:pos="2155"/>
        </w:tabs>
        <w:spacing w:after="80" w:line="240" w:lineRule="atLeast"/>
        <w:ind w:left="680"/>
        <w:rPr>
          <w:u w:val="single"/>
        </w:rPr>
      </w:pPr>
      <w:r>
        <w:rPr>
          <w:u w:val="single"/>
        </w:rPr>
        <w:tab/>
      </w:r>
    </w:p>
  </w:footnote>
  <w:footnote w:type="continuationNotice" w:id="1">
    <w:p w:rsidR="007A78AB" w:rsidRPr="00AC3823" w:rsidRDefault="007A78AB">
      <w:pPr>
        <w:spacing w:line="240" w:lineRule="auto"/>
        <w:rPr>
          <w:sz w:val="2"/>
          <w:szCs w:val="2"/>
        </w:rPr>
      </w:pPr>
    </w:p>
  </w:footnote>
  <w:footnote w:id="2">
    <w:p w:rsidR="007A78AB" w:rsidRPr="00497C47" w:rsidRDefault="007A78AB" w:rsidP="00267DA7">
      <w:pPr>
        <w:pStyle w:val="FootnoteText"/>
        <w:rPr>
          <w:i/>
          <w:iCs/>
        </w:rPr>
      </w:pPr>
      <w:r>
        <w:rPr>
          <w:rStyle w:val="FootnoteReference"/>
        </w:rPr>
        <w:tab/>
      </w:r>
      <w:r w:rsidRPr="00497C47">
        <w:rPr>
          <w:rStyle w:val="FootnoteReference"/>
          <w:sz w:val="20"/>
        </w:rPr>
        <w:t>*</w:t>
      </w:r>
      <w:r>
        <w:rPr>
          <w:rStyle w:val="FootnoteReference"/>
          <w:sz w:val="20"/>
        </w:rPr>
        <w:tab/>
      </w:r>
      <w:r w:rsidRPr="00497C47">
        <w:rPr>
          <w:i/>
          <w:iCs/>
          <w:sz w:val="20"/>
        </w:rPr>
        <w:t xml:space="preserve">Note du </w:t>
      </w:r>
      <w:r>
        <w:rPr>
          <w:i/>
          <w:iCs/>
          <w:sz w:val="20"/>
        </w:rPr>
        <w:t>secrétariat </w:t>
      </w:r>
      <w:r w:rsidRPr="00497C47">
        <w:rPr>
          <w:i/>
          <w:iCs/>
          <w:sz w:val="20"/>
        </w:rPr>
        <w:t>: Le 1er janvier 2021, l '«</w:t>
      </w:r>
      <w:r>
        <w:rPr>
          <w:i/>
          <w:iCs/>
          <w:sz w:val="20"/>
        </w:rPr>
        <w:t> </w:t>
      </w:r>
      <w:r w:rsidRPr="00497C47">
        <w:rPr>
          <w:i/>
          <w:iCs/>
          <w:sz w:val="20"/>
        </w:rPr>
        <w:t>Accord européen relatif au transport international des marchandises dangereuses par route (ADR)</w:t>
      </w:r>
      <w:r>
        <w:rPr>
          <w:i/>
          <w:iCs/>
          <w:sz w:val="20"/>
        </w:rPr>
        <w:t> </w:t>
      </w:r>
      <w:r w:rsidRPr="00497C47">
        <w:rPr>
          <w:i/>
          <w:iCs/>
          <w:sz w:val="20"/>
        </w:rPr>
        <w:t>» deviendra l' «</w:t>
      </w:r>
      <w:r>
        <w:rPr>
          <w:i/>
          <w:iCs/>
          <w:sz w:val="20"/>
        </w:rPr>
        <w:t> </w:t>
      </w:r>
      <w:r w:rsidRPr="00497C47">
        <w:rPr>
          <w:i/>
          <w:iCs/>
          <w:sz w:val="20"/>
        </w:rPr>
        <w:t>Accord relatif au transport international des marchandises dangereuses par route (ADR)</w:t>
      </w:r>
      <w:r>
        <w:rPr>
          <w:i/>
          <w:iCs/>
          <w:sz w:val="20"/>
        </w:rPr>
        <w:t> </w:t>
      </w:r>
      <w:r w:rsidRPr="00497C47">
        <w:rPr>
          <w:i/>
          <w:iCs/>
          <w:sz w:val="20"/>
        </w:rPr>
        <w:t>».</w:t>
      </w:r>
    </w:p>
  </w:footnote>
  <w:footnote w:id="3">
    <w:p w:rsidR="007A78AB" w:rsidRPr="003F5188" w:rsidRDefault="007A78AB" w:rsidP="005B1FBF">
      <w:pPr>
        <w:tabs>
          <w:tab w:val="left" w:pos="567"/>
        </w:tabs>
        <w:spacing w:after="120"/>
        <w:rPr>
          <w:i/>
          <w:iCs/>
          <w:lang w:val="fr-FR"/>
        </w:rPr>
      </w:pPr>
      <w:r w:rsidRPr="003F5188">
        <w:rPr>
          <w:b/>
          <w:vertAlign w:val="superscript"/>
          <w:lang w:val="fr-FR"/>
        </w:rPr>
        <w:t>**</w:t>
      </w:r>
      <w:r w:rsidRPr="003F5188">
        <w:rPr>
          <w:vertAlign w:val="superscript"/>
          <w:lang w:val="fr-FR"/>
        </w:rPr>
        <w:t xml:space="preserve"> </w:t>
      </w:r>
      <w:r w:rsidRPr="003F5188">
        <w:rPr>
          <w:lang w:val="fr-FR"/>
        </w:rPr>
        <w:tab/>
      </w:r>
      <w:r w:rsidRPr="003F5188">
        <w:rPr>
          <w:i/>
          <w:iCs/>
          <w:lang w:val="fr-FR"/>
        </w:rPr>
        <w:t>L'acronyme "TI" correspond au terme anglais "Transport 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AB" w:rsidRPr="00FF3C2F" w:rsidRDefault="006455B6">
    <w:pPr>
      <w:pStyle w:val="Header"/>
    </w:pPr>
    <w:r>
      <w:fldChar w:fldCharType="begin"/>
    </w:r>
    <w:r>
      <w:instrText xml:space="preserve"> TITLE  \* MERGEFORMAT </w:instrText>
    </w:r>
    <w:r>
      <w:fldChar w:fldCharType="separate"/>
    </w:r>
    <w:r w:rsidR="007A78AB">
      <w:t>ECE/TRANS/WP.15/249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AB" w:rsidRPr="00FF3C2F" w:rsidRDefault="006455B6" w:rsidP="00FF3C2F">
    <w:pPr>
      <w:pStyle w:val="Header"/>
      <w:jc w:val="right"/>
    </w:pPr>
    <w:r>
      <w:fldChar w:fldCharType="begin"/>
    </w:r>
    <w:r>
      <w:instrText xml:space="preserve"> TITLE  \* MERGEFORMAT </w:instrText>
    </w:r>
    <w:r>
      <w:fldChar w:fldCharType="separate"/>
    </w:r>
    <w:r w:rsidR="007A78AB">
      <w:t>ECE/TRANS/WP.15/249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B6" w:rsidRDefault="006455B6" w:rsidP="006455B6">
    <w:pPr>
      <w:pStyle w:val="Header"/>
      <w:pBdr>
        <w:bottom w:val="none" w:sz="0" w:space="0" w:color="auto"/>
      </w:pBdr>
    </w:pPr>
    <w:bookmarkStart w:id="182" w:name="_GoBack"/>
    <w:bookmarkEnd w:id="18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71DD6"/>
    <w:multiLevelType w:val="hybridMultilevel"/>
    <w:tmpl w:val="9286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5" w15:restartNumberingAfterBreak="0">
    <w:nsid w:val="245A496F"/>
    <w:multiLevelType w:val="hybridMultilevel"/>
    <w:tmpl w:val="BA9EBF44"/>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16"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18"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15:restartNumberingAfterBreak="0">
    <w:nsid w:val="4B88657C"/>
    <w:multiLevelType w:val="hybridMultilevel"/>
    <w:tmpl w:val="4002E35A"/>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74F3581C"/>
    <w:multiLevelType w:val="multilevel"/>
    <w:tmpl w:val="D062F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17"/>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20"/>
  </w:num>
  <w:num w:numId="16">
    <w:abstractNumId w:val="14"/>
  </w:num>
  <w:num w:numId="17">
    <w:abstractNumId w:val="12"/>
  </w:num>
  <w:num w:numId="18">
    <w:abstractNumId w:val="22"/>
  </w:num>
  <w:num w:numId="19">
    <w:abstractNumId w:val="18"/>
  </w:num>
  <w:num w:numId="20">
    <w:abstractNumId w:val="15"/>
  </w:num>
  <w:num w:numId="21">
    <w:abstractNumId w:val="19"/>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17"/>
  </w:num>
  <w:num w:numId="42">
    <w:abstractNumId w:val="17"/>
  </w:num>
  <w:num w:numId="43">
    <w:abstractNumId w:val="17"/>
  </w:num>
  <w:num w:numId="44">
    <w:abstractNumId w:val="1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798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FF3C2F"/>
    <w:rsid w:val="00010C88"/>
    <w:rsid w:val="0001207F"/>
    <w:rsid w:val="00017F94"/>
    <w:rsid w:val="00023842"/>
    <w:rsid w:val="00032D96"/>
    <w:rsid w:val="000334F9"/>
    <w:rsid w:val="000342CF"/>
    <w:rsid w:val="00037ED4"/>
    <w:rsid w:val="0004639C"/>
    <w:rsid w:val="0004696D"/>
    <w:rsid w:val="0004733B"/>
    <w:rsid w:val="0006283C"/>
    <w:rsid w:val="0007796D"/>
    <w:rsid w:val="00077E85"/>
    <w:rsid w:val="00085C46"/>
    <w:rsid w:val="000942EE"/>
    <w:rsid w:val="000A52BF"/>
    <w:rsid w:val="000B7790"/>
    <w:rsid w:val="000D3EE9"/>
    <w:rsid w:val="000D62F3"/>
    <w:rsid w:val="000F358E"/>
    <w:rsid w:val="000F79E2"/>
    <w:rsid w:val="00106DB3"/>
    <w:rsid w:val="00111F2F"/>
    <w:rsid w:val="00125E74"/>
    <w:rsid w:val="00132675"/>
    <w:rsid w:val="001433FD"/>
    <w:rsid w:val="0014365E"/>
    <w:rsid w:val="001541D3"/>
    <w:rsid w:val="00156B77"/>
    <w:rsid w:val="00163009"/>
    <w:rsid w:val="00176178"/>
    <w:rsid w:val="00177140"/>
    <w:rsid w:val="001951BD"/>
    <w:rsid w:val="00197101"/>
    <w:rsid w:val="001B30C3"/>
    <w:rsid w:val="001B70A5"/>
    <w:rsid w:val="001C116B"/>
    <w:rsid w:val="001C2558"/>
    <w:rsid w:val="001D400F"/>
    <w:rsid w:val="001D7662"/>
    <w:rsid w:val="001E13D6"/>
    <w:rsid w:val="001E4CC5"/>
    <w:rsid w:val="001F525A"/>
    <w:rsid w:val="00211EC4"/>
    <w:rsid w:val="00223272"/>
    <w:rsid w:val="00240333"/>
    <w:rsid w:val="0024779E"/>
    <w:rsid w:val="00267DA7"/>
    <w:rsid w:val="002832AC"/>
    <w:rsid w:val="00283CA5"/>
    <w:rsid w:val="00287B8E"/>
    <w:rsid w:val="002A548D"/>
    <w:rsid w:val="002B0E81"/>
    <w:rsid w:val="002C7D59"/>
    <w:rsid w:val="002D4449"/>
    <w:rsid w:val="002D7586"/>
    <w:rsid w:val="002D7C93"/>
    <w:rsid w:val="002E6C3E"/>
    <w:rsid w:val="002F4CB4"/>
    <w:rsid w:val="002F5BC9"/>
    <w:rsid w:val="00311CF3"/>
    <w:rsid w:val="00323839"/>
    <w:rsid w:val="00326E0F"/>
    <w:rsid w:val="003338A0"/>
    <w:rsid w:val="0033590B"/>
    <w:rsid w:val="00346CC4"/>
    <w:rsid w:val="00363C65"/>
    <w:rsid w:val="00370AD7"/>
    <w:rsid w:val="0037119E"/>
    <w:rsid w:val="00371B9F"/>
    <w:rsid w:val="0037241C"/>
    <w:rsid w:val="00380DDC"/>
    <w:rsid w:val="003819FF"/>
    <w:rsid w:val="003A1E21"/>
    <w:rsid w:val="003A4115"/>
    <w:rsid w:val="003B01D7"/>
    <w:rsid w:val="003E6618"/>
    <w:rsid w:val="00440AE1"/>
    <w:rsid w:val="00441540"/>
    <w:rsid w:val="00441C3B"/>
    <w:rsid w:val="00446B0A"/>
    <w:rsid w:val="00446FE5"/>
    <w:rsid w:val="00452396"/>
    <w:rsid w:val="004555DE"/>
    <w:rsid w:val="00471288"/>
    <w:rsid w:val="00481649"/>
    <w:rsid w:val="0048644E"/>
    <w:rsid w:val="0049023D"/>
    <w:rsid w:val="004923EB"/>
    <w:rsid w:val="0049687C"/>
    <w:rsid w:val="004E468C"/>
    <w:rsid w:val="004F5482"/>
    <w:rsid w:val="005316B0"/>
    <w:rsid w:val="005505B7"/>
    <w:rsid w:val="0056345E"/>
    <w:rsid w:val="00573BE5"/>
    <w:rsid w:val="005814AC"/>
    <w:rsid w:val="00586ED3"/>
    <w:rsid w:val="00596AA9"/>
    <w:rsid w:val="0059730B"/>
    <w:rsid w:val="005B1FBF"/>
    <w:rsid w:val="005B4D0F"/>
    <w:rsid w:val="005D7992"/>
    <w:rsid w:val="005F75C4"/>
    <w:rsid w:val="00626D4E"/>
    <w:rsid w:val="006455B6"/>
    <w:rsid w:val="00680C13"/>
    <w:rsid w:val="00694E76"/>
    <w:rsid w:val="006A564D"/>
    <w:rsid w:val="006E0538"/>
    <w:rsid w:val="006E2750"/>
    <w:rsid w:val="00703D0F"/>
    <w:rsid w:val="00706363"/>
    <w:rsid w:val="007158BB"/>
    <w:rsid w:val="0071601D"/>
    <w:rsid w:val="0073296F"/>
    <w:rsid w:val="00733E0D"/>
    <w:rsid w:val="00746650"/>
    <w:rsid w:val="00746D63"/>
    <w:rsid w:val="0075410D"/>
    <w:rsid w:val="0075570F"/>
    <w:rsid w:val="007650EB"/>
    <w:rsid w:val="00793299"/>
    <w:rsid w:val="007A0DF1"/>
    <w:rsid w:val="007A62E6"/>
    <w:rsid w:val="007A78AB"/>
    <w:rsid w:val="007B2F5C"/>
    <w:rsid w:val="007B7BD6"/>
    <w:rsid w:val="007F2CE9"/>
    <w:rsid w:val="007F53E6"/>
    <w:rsid w:val="007F5C03"/>
    <w:rsid w:val="0080684C"/>
    <w:rsid w:val="008068F7"/>
    <w:rsid w:val="008204DA"/>
    <w:rsid w:val="0085101C"/>
    <w:rsid w:val="008535AD"/>
    <w:rsid w:val="008567B0"/>
    <w:rsid w:val="00871C75"/>
    <w:rsid w:val="008767E8"/>
    <w:rsid w:val="00876CFA"/>
    <w:rsid w:val="008775B8"/>
    <w:rsid w:val="008776DC"/>
    <w:rsid w:val="00883605"/>
    <w:rsid w:val="00885950"/>
    <w:rsid w:val="008A3A9C"/>
    <w:rsid w:val="008B4388"/>
    <w:rsid w:val="008C774D"/>
    <w:rsid w:val="008D5D65"/>
    <w:rsid w:val="008E6043"/>
    <w:rsid w:val="008E671D"/>
    <w:rsid w:val="008F5920"/>
    <w:rsid w:val="00961E7B"/>
    <w:rsid w:val="00967144"/>
    <w:rsid w:val="009705C8"/>
    <w:rsid w:val="00983F52"/>
    <w:rsid w:val="009A7960"/>
    <w:rsid w:val="009B0044"/>
    <w:rsid w:val="009B088C"/>
    <w:rsid w:val="009C1CF4"/>
    <w:rsid w:val="009D743D"/>
    <w:rsid w:val="009F02C9"/>
    <w:rsid w:val="009F0AC9"/>
    <w:rsid w:val="00A015C0"/>
    <w:rsid w:val="00A12316"/>
    <w:rsid w:val="00A128BE"/>
    <w:rsid w:val="00A30353"/>
    <w:rsid w:val="00A526E1"/>
    <w:rsid w:val="00A62D91"/>
    <w:rsid w:val="00A71AC8"/>
    <w:rsid w:val="00A77674"/>
    <w:rsid w:val="00A83F34"/>
    <w:rsid w:val="00A90D54"/>
    <w:rsid w:val="00A95ADD"/>
    <w:rsid w:val="00AA113A"/>
    <w:rsid w:val="00AA21FC"/>
    <w:rsid w:val="00AC3823"/>
    <w:rsid w:val="00AE098D"/>
    <w:rsid w:val="00AE323C"/>
    <w:rsid w:val="00AE5923"/>
    <w:rsid w:val="00AF1EC7"/>
    <w:rsid w:val="00AF774C"/>
    <w:rsid w:val="00B00181"/>
    <w:rsid w:val="00B00B0D"/>
    <w:rsid w:val="00B40927"/>
    <w:rsid w:val="00B42CD7"/>
    <w:rsid w:val="00B50E25"/>
    <w:rsid w:val="00B61577"/>
    <w:rsid w:val="00B64918"/>
    <w:rsid w:val="00B765F7"/>
    <w:rsid w:val="00B76EBE"/>
    <w:rsid w:val="00B77344"/>
    <w:rsid w:val="00B82D22"/>
    <w:rsid w:val="00B87B55"/>
    <w:rsid w:val="00B91C07"/>
    <w:rsid w:val="00B94C59"/>
    <w:rsid w:val="00BA0CA9"/>
    <w:rsid w:val="00C02897"/>
    <w:rsid w:val="00C1626B"/>
    <w:rsid w:val="00C203A8"/>
    <w:rsid w:val="00C65FAA"/>
    <w:rsid w:val="00C6609C"/>
    <w:rsid w:val="00C66A47"/>
    <w:rsid w:val="00C7616F"/>
    <w:rsid w:val="00C85455"/>
    <w:rsid w:val="00CB16B5"/>
    <w:rsid w:val="00CB638E"/>
    <w:rsid w:val="00CB6B70"/>
    <w:rsid w:val="00CE0608"/>
    <w:rsid w:val="00CE70CB"/>
    <w:rsid w:val="00CF237A"/>
    <w:rsid w:val="00D23963"/>
    <w:rsid w:val="00D3439C"/>
    <w:rsid w:val="00D35960"/>
    <w:rsid w:val="00D40718"/>
    <w:rsid w:val="00D44CF3"/>
    <w:rsid w:val="00D44FF2"/>
    <w:rsid w:val="00D46C8C"/>
    <w:rsid w:val="00D47677"/>
    <w:rsid w:val="00D559D1"/>
    <w:rsid w:val="00D85BD3"/>
    <w:rsid w:val="00DB1831"/>
    <w:rsid w:val="00DD11D6"/>
    <w:rsid w:val="00DD3BFD"/>
    <w:rsid w:val="00DE239D"/>
    <w:rsid w:val="00DF431C"/>
    <w:rsid w:val="00DF6678"/>
    <w:rsid w:val="00E064A4"/>
    <w:rsid w:val="00E265D9"/>
    <w:rsid w:val="00E30B71"/>
    <w:rsid w:val="00E428C8"/>
    <w:rsid w:val="00E444D5"/>
    <w:rsid w:val="00E814AC"/>
    <w:rsid w:val="00EB01A7"/>
    <w:rsid w:val="00EC1927"/>
    <w:rsid w:val="00ED73D9"/>
    <w:rsid w:val="00EE54B0"/>
    <w:rsid w:val="00EE5CD5"/>
    <w:rsid w:val="00EF1E99"/>
    <w:rsid w:val="00EF2E22"/>
    <w:rsid w:val="00EF6462"/>
    <w:rsid w:val="00F0592C"/>
    <w:rsid w:val="00F06ED4"/>
    <w:rsid w:val="00F43289"/>
    <w:rsid w:val="00F44808"/>
    <w:rsid w:val="00F660DF"/>
    <w:rsid w:val="00F70D6D"/>
    <w:rsid w:val="00F7283F"/>
    <w:rsid w:val="00F72E6E"/>
    <w:rsid w:val="00F82662"/>
    <w:rsid w:val="00F95C08"/>
    <w:rsid w:val="00FD1581"/>
    <w:rsid w:val="00FD4762"/>
    <w:rsid w:val="00FD7243"/>
    <w:rsid w:val="00FE145E"/>
    <w:rsid w:val="00FF3C2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FAD83413-731A-48BE-970E-CEDEE4E9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numPr>
        <w:numId w:val="16"/>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6"/>
      </w:numPr>
      <w:outlineLvl w:val="1"/>
    </w:pPr>
  </w:style>
  <w:style w:type="paragraph" w:styleId="Heading3">
    <w:name w:val="heading 3"/>
    <w:basedOn w:val="Normal"/>
    <w:next w:val="Normal"/>
    <w:link w:val="Heading3Char"/>
    <w:qFormat/>
    <w:rsid w:val="00023842"/>
    <w:pPr>
      <w:numPr>
        <w:ilvl w:val="2"/>
        <w:numId w:val="16"/>
      </w:numPr>
      <w:outlineLvl w:val="2"/>
    </w:pPr>
  </w:style>
  <w:style w:type="paragraph" w:styleId="Heading4">
    <w:name w:val="heading 4"/>
    <w:basedOn w:val="Normal"/>
    <w:next w:val="Normal"/>
    <w:link w:val="Heading4Char"/>
    <w:qFormat/>
    <w:rsid w:val="00023842"/>
    <w:pPr>
      <w:numPr>
        <w:ilvl w:val="3"/>
        <w:numId w:val="16"/>
      </w:numPr>
      <w:outlineLvl w:val="3"/>
    </w:pPr>
  </w:style>
  <w:style w:type="paragraph" w:styleId="Heading5">
    <w:name w:val="heading 5"/>
    <w:basedOn w:val="Normal"/>
    <w:next w:val="Normal"/>
    <w:link w:val="Heading5Char"/>
    <w:qFormat/>
    <w:rsid w:val="00023842"/>
    <w:pPr>
      <w:numPr>
        <w:ilvl w:val="4"/>
        <w:numId w:val="16"/>
      </w:numPr>
      <w:outlineLvl w:val="4"/>
    </w:pPr>
  </w:style>
  <w:style w:type="paragraph" w:styleId="Heading6">
    <w:name w:val="heading 6"/>
    <w:basedOn w:val="Normal"/>
    <w:next w:val="Normal"/>
    <w:link w:val="Heading6Char"/>
    <w:qFormat/>
    <w:rsid w:val="00023842"/>
    <w:pPr>
      <w:numPr>
        <w:ilvl w:val="5"/>
        <w:numId w:val="16"/>
      </w:numPr>
      <w:outlineLvl w:val="5"/>
    </w:pPr>
  </w:style>
  <w:style w:type="paragraph" w:styleId="Heading7">
    <w:name w:val="heading 7"/>
    <w:basedOn w:val="Normal"/>
    <w:next w:val="Normal"/>
    <w:link w:val="Heading7Char"/>
    <w:qFormat/>
    <w:rsid w:val="00023842"/>
    <w:pPr>
      <w:numPr>
        <w:ilvl w:val="6"/>
        <w:numId w:val="16"/>
      </w:numPr>
      <w:outlineLvl w:val="6"/>
    </w:pPr>
  </w:style>
  <w:style w:type="paragraph" w:styleId="Heading8">
    <w:name w:val="heading 8"/>
    <w:basedOn w:val="Normal"/>
    <w:next w:val="Normal"/>
    <w:link w:val="Heading8Char"/>
    <w:qFormat/>
    <w:rsid w:val="00023842"/>
    <w:pPr>
      <w:numPr>
        <w:ilvl w:val="7"/>
        <w:numId w:val="16"/>
      </w:numPr>
      <w:outlineLvl w:val="7"/>
    </w:pPr>
  </w:style>
  <w:style w:type="paragraph" w:styleId="Heading9">
    <w:name w:val="heading 9"/>
    <w:basedOn w:val="Normal"/>
    <w:next w:val="Normal"/>
    <w:link w:val="Heading9Char"/>
    <w:qFormat/>
    <w:rsid w:val="00023842"/>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character" w:customStyle="1" w:styleId="H1GChar">
    <w:name w:val="_ H_1_G Char"/>
    <w:link w:val="H1G"/>
    <w:locked/>
    <w:rsid w:val="00267DA7"/>
    <w:rPr>
      <w:b/>
      <w:sz w:val="24"/>
    </w:rPr>
  </w:style>
  <w:style w:type="character" w:customStyle="1" w:styleId="H23GChar">
    <w:name w:val="_ H_2/3_G Char"/>
    <w:link w:val="H23G"/>
    <w:rsid w:val="00267DA7"/>
    <w:rPr>
      <w:b/>
    </w:rPr>
  </w:style>
  <w:style w:type="paragraph" w:styleId="PlainText">
    <w:name w:val="Plain Text"/>
    <w:basedOn w:val="Normal"/>
    <w:link w:val="PlainTextChar"/>
    <w:rsid w:val="00267DA7"/>
    <w:pPr>
      <w:kinsoku/>
      <w:overflowPunct/>
      <w:autoSpaceDE/>
      <w:autoSpaceDN/>
      <w:adjustRightInd/>
      <w:snapToGrid/>
    </w:pPr>
    <w:rPr>
      <w:rFonts w:cs="Courier New"/>
      <w:lang w:val="en-GB" w:eastAsia="en-US"/>
    </w:rPr>
  </w:style>
  <w:style w:type="character" w:customStyle="1" w:styleId="PlainTextChar">
    <w:name w:val="Plain Text Char"/>
    <w:basedOn w:val="DefaultParagraphFont"/>
    <w:link w:val="PlainText"/>
    <w:rsid w:val="00267DA7"/>
    <w:rPr>
      <w:rFonts w:cs="Courier New"/>
      <w:lang w:val="en-GB" w:eastAsia="en-US"/>
    </w:rPr>
  </w:style>
  <w:style w:type="paragraph" w:styleId="BodyText">
    <w:name w:val="Body Text"/>
    <w:basedOn w:val="Normal"/>
    <w:next w:val="Normal"/>
    <w:link w:val="BodyTextChar"/>
    <w:rsid w:val="00267DA7"/>
    <w:pPr>
      <w:kinsoku/>
      <w:overflowPunct/>
      <w:autoSpaceDE/>
      <w:autoSpaceDN/>
      <w:adjustRightInd/>
      <w:snapToGrid/>
    </w:pPr>
    <w:rPr>
      <w:lang w:val="en-GB" w:eastAsia="en-US"/>
    </w:rPr>
  </w:style>
  <w:style w:type="character" w:customStyle="1" w:styleId="BodyTextChar">
    <w:name w:val="Body Text Char"/>
    <w:basedOn w:val="DefaultParagraphFont"/>
    <w:link w:val="BodyText"/>
    <w:rsid w:val="00267DA7"/>
    <w:rPr>
      <w:lang w:val="en-GB" w:eastAsia="en-US"/>
    </w:rPr>
  </w:style>
  <w:style w:type="paragraph" w:styleId="BodyTextIndent">
    <w:name w:val="Body Text Indent"/>
    <w:basedOn w:val="Normal"/>
    <w:link w:val="BodyTextIndentChar"/>
    <w:rsid w:val="00267DA7"/>
    <w:pPr>
      <w:kinsoku/>
      <w:overflowPunct/>
      <w:autoSpaceDE/>
      <w:autoSpaceDN/>
      <w:adjustRightInd/>
      <w:snapToGrid/>
      <w:spacing w:after="120"/>
      <w:ind w:left="283"/>
    </w:pPr>
    <w:rPr>
      <w:lang w:val="en-GB" w:eastAsia="en-US"/>
    </w:rPr>
  </w:style>
  <w:style w:type="character" w:customStyle="1" w:styleId="BodyTextIndentChar">
    <w:name w:val="Body Text Indent Char"/>
    <w:basedOn w:val="DefaultParagraphFont"/>
    <w:link w:val="BodyTextIndent"/>
    <w:rsid w:val="00267DA7"/>
    <w:rPr>
      <w:lang w:val="en-GB" w:eastAsia="en-US"/>
    </w:rPr>
  </w:style>
  <w:style w:type="paragraph" w:styleId="BlockText">
    <w:name w:val="Block Text"/>
    <w:basedOn w:val="Normal"/>
    <w:rsid w:val="00267DA7"/>
    <w:pPr>
      <w:kinsoku/>
      <w:overflowPunct/>
      <w:autoSpaceDE/>
      <w:autoSpaceDN/>
      <w:adjustRightInd/>
      <w:snapToGrid/>
      <w:ind w:left="1440" w:right="1440"/>
    </w:pPr>
    <w:rPr>
      <w:lang w:val="en-GB" w:eastAsia="en-US"/>
    </w:rPr>
  </w:style>
  <w:style w:type="character" w:styleId="CommentReference">
    <w:name w:val="annotation reference"/>
    <w:basedOn w:val="DefaultParagraphFont"/>
    <w:semiHidden/>
    <w:rsid w:val="00267DA7"/>
    <w:rPr>
      <w:sz w:val="6"/>
    </w:rPr>
  </w:style>
  <w:style w:type="paragraph" w:styleId="CommentText">
    <w:name w:val="annotation text"/>
    <w:basedOn w:val="Normal"/>
    <w:link w:val="CommentTextChar"/>
    <w:uiPriority w:val="99"/>
    <w:semiHidden/>
    <w:rsid w:val="00267DA7"/>
    <w:pPr>
      <w:kinsoku/>
      <w:overflowPunct/>
      <w:autoSpaceDE/>
      <w:autoSpaceDN/>
      <w:adjustRightInd/>
      <w:snapToGrid/>
    </w:pPr>
    <w:rPr>
      <w:lang w:val="en-GB" w:eastAsia="en-US"/>
    </w:rPr>
  </w:style>
  <w:style w:type="character" w:customStyle="1" w:styleId="CommentTextChar">
    <w:name w:val="Comment Text Char"/>
    <w:basedOn w:val="DefaultParagraphFont"/>
    <w:link w:val="CommentText"/>
    <w:uiPriority w:val="99"/>
    <w:semiHidden/>
    <w:rsid w:val="00267DA7"/>
    <w:rPr>
      <w:lang w:val="en-GB" w:eastAsia="en-US"/>
    </w:rPr>
  </w:style>
  <w:style w:type="character" w:styleId="LineNumber">
    <w:name w:val="line number"/>
    <w:basedOn w:val="DefaultParagraphFont"/>
    <w:rsid w:val="00267DA7"/>
    <w:rPr>
      <w:sz w:val="14"/>
    </w:rPr>
  </w:style>
  <w:style w:type="numbering" w:styleId="111111">
    <w:name w:val="Outline List 2"/>
    <w:basedOn w:val="NoList"/>
    <w:semiHidden/>
    <w:rsid w:val="00267DA7"/>
    <w:pPr>
      <w:numPr>
        <w:numId w:val="15"/>
      </w:numPr>
    </w:pPr>
  </w:style>
  <w:style w:type="numbering" w:styleId="1ai">
    <w:name w:val="Outline List 1"/>
    <w:basedOn w:val="NoList"/>
    <w:semiHidden/>
    <w:rsid w:val="00267DA7"/>
    <w:pPr>
      <w:numPr>
        <w:numId w:val="16"/>
      </w:numPr>
    </w:pPr>
  </w:style>
  <w:style w:type="numbering" w:styleId="ArticleSection">
    <w:name w:val="Outline List 3"/>
    <w:basedOn w:val="NoList"/>
    <w:semiHidden/>
    <w:rsid w:val="00267DA7"/>
    <w:pPr>
      <w:numPr>
        <w:numId w:val="17"/>
      </w:numPr>
    </w:pPr>
  </w:style>
  <w:style w:type="paragraph" w:styleId="BodyText2">
    <w:name w:val="Body Text 2"/>
    <w:basedOn w:val="Normal"/>
    <w:link w:val="BodyText2Char"/>
    <w:rsid w:val="00267DA7"/>
    <w:pPr>
      <w:kinsoku/>
      <w:overflowPunct/>
      <w:autoSpaceDE/>
      <w:autoSpaceDN/>
      <w:adjustRightInd/>
      <w:snapToGrid/>
      <w:spacing w:after="120" w:line="480" w:lineRule="auto"/>
    </w:pPr>
    <w:rPr>
      <w:lang w:val="en-GB" w:eastAsia="en-US"/>
    </w:rPr>
  </w:style>
  <w:style w:type="character" w:customStyle="1" w:styleId="BodyText2Char">
    <w:name w:val="Body Text 2 Char"/>
    <w:basedOn w:val="DefaultParagraphFont"/>
    <w:link w:val="BodyText2"/>
    <w:rsid w:val="00267DA7"/>
    <w:rPr>
      <w:lang w:val="en-GB" w:eastAsia="en-US"/>
    </w:rPr>
  </w:style>
  <w:style w:type="paragraph" w:styleId="BodyText3">
    <w:name w:val="Body Text 3"/>
    <w:basedOn w:val="Normal"/>
    <w:link w:val="BodyText3Char"/>
    <w:rsid w:val="00267DA7"/>
    <w:pPr>
      <w:kinsoku/>
      <w:overflowPunct/>
      <w:autoSpaceDE/>
      <w:autoSpaceDN/>
      <w:adjustRightInd/>
      <w:snapToGrid/>
      <w:spacing w:after="120"/>
    </w:pPr>
    <w:rPr>
      <w:sz w:val="16"/>
      <w:szCs w:val="16"/>
      <w:lang w:val="en-GB" w:eastAsia="en-US"/>
    </w:rPr>
  </w:style>
  <w:style w:type="character" w:customStyle="1" w:styleId="BodyText3Char">
    <w:name w:val="Body Text 3 Char"/>
    <w:basedOn w:val="DefaultParagraphFont"/>
    <w:link w:val="BodyText3"/>
    <w:rsid w:val="00267DA7"/>
    <w:rPr>
      <w:sz w:val="16"/>
      <w:szCs w:val="16"/>
      <w:lang w:val="en-GB" w:eastAsia="en-US"/>
    </w:rPr>
  </w:style>
  <w:style w:type="paragraph" w:styleId="BodyTextFirstIndent">
    <w:name w:val="Body Text First Indent"/>
    <w:basedOn w:val="BodyText"/>
    <w:link w:val="BodyTextFirstIndentChar"/>
    <w:rsid w:val="00267DA7"/>
    <w:pPr>
      <w:spacing w:after="120"/>
      <w:ind w:firstLine="210"/>
    </w:pPr>
  </w:style>
  <w:style w:type="character" w:customStyle="1" w:styleId="BodyTextFirstIndentChar">
    <w:name w:val="Body Text First Indent Char"/>
    <w:basedOn w:val="BodyTextChar"/>
    <w:link w:val="BodyTextFirstIndent"/>
    <w:rsid w:val="00267DA7"/>
    <w:rPr>
      <w:lang w:val="en-GB" w:eastAsia="en-US"/>
    </w:rPr>
  </w:style>
  <w:style w:type="paragraph" w:styleId="BodyTextFirstIndent2">
    <w:name w:val="Body Text First Indent 2"/>
    <w:basedOn w:val="BodyTextIndent"/>
    <w:link w:val="BodyTextFirstIndent2Char"/>
    <w:rsid w:val="00267DA7"/>
    <w:pPr>
      <w:ind w:firstLine="210"/>
    </w:pPr>
  </w:style>
  <w:style w:type="character" w:customStyle="1" w:styleId="BodyTextFirstIndent2Char">
    <w:name w:val="Body Text First Indent 2 Char"/>
    <w:basedOn w:val="BodyTextIndentChar"/>
    <w:link w:val="BodyTextFirstIndent2"/>
    <w:rsid w:val="00267DA7"/>
    <w:rPr>
      <w:lang w:val="en-GB" w:eastAsia="en-US"/>
    </w:rPr>
  </w:style>
  <w:style w:type="paragraph" w:styleId="BodyTextIndent2">
    <w:name w:val="Body Text Indent 2"/>
    <w:basedOn w:val="Normal"/>
    <w:link w:val="BodyTextIndent2Char"/>
    <w:rsid w:val="00267DA7"/>
    <w:pPr>
      <w:kinsoku/>
      <w:overflowPunct/>
      <w:autoSpaceDE/>
      <w:autoSpaceDN/>
      <w:adjustRightInd/>
      <w:snapToGrid/>
      <w:spacing w:after="120" w:line="480" w:lineRule="auto"/>
      <w:ind w:left="283"/>
    </w:pPr>
    <w:rPr>
      <w:lang w:val="en-GB" w:eastAsia="en-US"/>
    </w:rPr>
  </w:style>
  <w:style w:type="character" w:customStyle="1" w:styleId="BodyTextIndent2Char">
    <w:name w:val="Body Text Indent 2 Char"/>
    <w:basedOn w:val="DefaultParagraphFont"/>
    <w:link w:val="BodyTextIndent2"/>
    <w:rsid w:val="00267DA7"/>
    <w:rPr>
      <w:lang w:val="en-GB" w:eastAsia="en-US"/>
    </w:rPr>
  </w:style>
  <w:style w:type="paragraph" w:styleId="BodyTextIndent3">
    <w:name w:val="Body Text Indent 3"/>
    <w:basedOn w:val="Normal"/>
    <w:link w:val="BodyTextIndent3Char"/>
    <w:rsid w:val="00267DA7"/>
    <w:pPr>
      <w:kinsoku/>
      <w:overflowPunct/>
      <w:autoSpaceDE/>
      <w:autoSpaceDN/>
      <w:adjustRightInd/>
      <w:snapToGrid/>
      <w:spacing w:after="120"/>
      <w:ind w:left="283"/>
    </w:pPr>
    <w:rPr>
      <w:sz w:val="16"/>
      <w:szCs w:val="16"/>
      <w:lang w:val="en-GB" w:eastAsia="en-US"/>
    </w:rPr>
  </w:style>
  <w:style w:type="character" w:customStyle="1" w:styleId="BodyTextIndent3Char">
    <w:name w:val="Body Text Indent 3 Char"/>
    <w:basedOn w:val="DefaultParagraphFont"/>
    <w:link w:val="BodyTextIndent3"/>
    <w:rsid w:val="00267DA7"/>
    <w:rPr>
      <w:sz w:val="16"/>
      <w:szCs w:val="16"/>
      <w:lang w:val="en-GB" w:eastAsia="en-US"/>
    </w:rPr>
  </w:style>
  <w:style w:type="paragraph" w:styleId="Closing">
    <w:name w:val="Closing"/>
    <w:basedOn w:val="Normal"/>
    <w:link w:val="ClosingChar"/>
    <w:rsid w:val="00267DA7"/>
    <w:pPr>
      <w:kinsoku/>
      <w:overflowPunct/>
      <w:autoSpaceDE/>
      <w:autoSpaceDN/>
      <w:adjustRightInd/>
      <w:snapToGrid/>
      <w:ind w:left="4252"/>
    </w:pPr>
    <w:rPr>
      <w:lang w:val="en-GB" w:eastAsia="en-US"/>
    </w:rPr>
  </w:style>
  <w:style w:type="character" w:customStyle="1" w:styleId="ClosingChar">
    <w:name w:val="Closing Char"/>
    <w:basedOn w:val="DefaultParagraphFont"/>
    <w:link w:val="Closing"/>
    <w:rsid w:val="00267DA7"/>
    <w:rPr>
      <w:lang w:val="en-GB" w:eastAsia="en-US"/>
    </w:rPr>
  </w:style>
  <w:style w:type="paragraph" w:styleId="Date">
    <w:name w:val="Date"/>
    <w:basedOn w:val="Normal"/>
    <w:next w:val="Normal"/>
    <w:link w:val="DateChar"/>
    <w:rsid w:val="00267DA7"/>
    <w:pPr>
      <w:kinsoku/>
      <w:overflowPunct/>
      <w:autoSpaceDE/>
      <w:autoSpaceDN/>
      <w:adjustRightInd/>
      <w:snapToGrid/>
    </w:pPr>
    <w:rPr>
      <w:lang w:val="en-GB" w:eastAsia="en-US"/>
    </w:rPr>
  </w:style>
  <w:style w:type="character" w:customStyle="1" w:styleId="DateChar">
    <w:name w:val="Date Char"/>
    <w:basedOn w:val="DefaultParagraphFont"/>
    <w:link w:val="Date"/>
    <w:rsid w:val="00267DA7"/>
    <w:rPr>
      <w:lang w:val="en-GB" w:eastAsia="en-US"/>
    </w:rPr>
  </w:style>
  <w:style w:type="paragraph" w:styleId="E-mailSignature">
    <w:name w:val="E-mail Signature"/>
    <w:basedOn w:val="Normal"/>
    <w:link w:val="E-mailSignatureChar"/>
    <w:rsid w:val="00267DA7"/>
    <w:pPr>
      <w:kinsoku/>
      <w:overflowPunct/>
      <w:autoSpaceDE/>
      <w:autoSpaceDN/>
      <w:adjustRightInd/>
      <w:snapToGrid/>
    </w:pPr>
    <w:rPr>
      <w:lang w:val="en-GB" w:eastAsia="en-US"/>
    </w:rPr>
  </w:style>
  <w:style w:type="character" w:customStyle="1" w:styleId="E-mailSignatureChar">
    <w:name w:val="E-mail Signature Char"/>
    <w:basedOn w:val="DefaultParagraphFont"/>
    <w:link w:val="E-mailSignature"/>
    <w:rsid w:val="00267DA7"/>
    <w:rPr>
      <w:lang w:val="en-GB" w:eastAsia="en-US"/>
    </w:rPr>
  </w:style>
  <w:style w:type="character" w:styleId="Emphasis">
    <w:name w:val="Emphasis"/>
    <w:basedOn w:val="DefaultParagraphFont"/>
    <w:qFormat/>
    <w:rsid w:val="00267DA7"/>
    <w:rPr>
      <w:i/>
      <w:iCs/>
    </w:rPr>
  </w:style>
  <w:style w:type="paragraph" w:styleId="EnvelopeReturn">
    <w:name w:val="envelope return"/>
    <w:basedOn w:val="Normal"/>
    <w:rsid w:val="00267DA7"/>
    <w:pPr>
      <w:kinsoku/>
      <w:overflowPunct/>
      <w:autoSpaceDE/>
      <w:autoSpaceDN/>
      <w:adjustRightInd/>
      <w:snapToGrid/>
    </w:pPr>
    <w:rPr>
      <w:rFonts w:ascii="Arial" w:hAnsi="Arial" w:cs="Arial"/>
      <w:lang w:val="en-GB" w:eastAsia="en-US"/>
    </w:rPr>
  </w:style>
  <w:style w:type="character" w:styleId="HTMLAcronym">
    <w:name w:val="HTML Acronym"/>
    <w:basedOn w:val="DefaultParagraphFont"/>
    <w:rsid w:val="00267DA7"/>
  </w:style>
  <w:style w:type="paragraph" w:styleId="HTMLAddress">
    <w:name w:val="HTML Address"/>
    <w:basedOn w:val="Normal"/>
    <w:link w:val="HTMLAddressChar"/>
    <w:rsid w:val="00267DA7"/>
    <w:pPr>
      <w:kinsoku/>
      <w:overflowPunct/>
      <w:autoSpaceDE/>
      <w:autoSpaceDN/>
      <w:adjustRightInd/>
      <w:snapToGrid/>
    </w:pPr>
    <w:rPr>
      <w:i/>
      <w:iCs/>
      <w:lang w:val="en-GB" w:eastAsia="en-US"/>
    </w:rPr>
  </w:style>
  <w:style w:type="character" w:customStyle="1" w:styleId="HTMLAddressChar">
    <w:name w:val="HTML Address Char"/>
    <w:basedOn w:val="DefaultParagraphFont"/>
    <w:link w:val="HTMLAddress"/>
    <w:rsid w:val="00267DA7"/>
    <w:rPr>
      <w:i/>
      <w:iCs/>
      <w:lang w:val="en-GB" w:eastAsia="en-US"/>
    </w:rPr>
  </w:style>
  <w:style w:type="character" w:styleId="HTMLCite">
    <w:name w:val="HTML Cite"/>
    <w:basedOn w:val="DefaultParagraphFont"/>
    <w:rsid w:val="00267DA7"/>
    <w:rPr>
      <w:i/>
      <w:iCs/>
    </w:rPr>
  </w:style>
  <w:style w:type="character" w:styleId="HTMLCode">
    <w:name w:val="HTML Code"/>
    <w:basedOn w:val="DefaultParagraphFont"/>
    <w:rsid w:val="00267DA7"/>
    <w:rPr>
      <w:rFonts w:ascii="Courier New" w:hAnsi="Courier New" w:cs="Courier New"/>
      <w:sz w:val="20"/>
      <w:szCs w:val="20"/>
    </w:rPr>
  </w:style>
  <w:style w:type="character" w:styleId="HTMLDefinition">
    <w:name w:val="HTML Definition"/>
    <w:basedOn w:val="DefaultParagraphFont"/>
    <w:rsid w:val="00267DA7"/>
    <w:rPr>
      <w:i/>
      <w:iCs/>
    </w:rPr>
  </w:style>
  <w:style w:type="character" w:styleId="HTMLKeyboard">
    <w:name w:val="HTML Keyboard"/>
    <w:basedOn w:val="DefaultParagraphFont"/>
    <w:rsid w:val="00267DA7"/>
    <w:rPr>
      <w:rFonts w:ascii="Courier New" w:hAnsi="Courier New" w:cs="Courier New"/>
      <w:sz w:val="20"/>
      <w:szCs w:val="20"/>
    </w:rPr>
  </w:style>
  <w:style w:type="paragraph" w:styleId="HTMLPreformatted">
    <w:name w:val="HTML Preformatted"/>
    <w:basedOn w:val="Normal"/>
    <w:link w:val="HTMLPreformattedChar"/>
    <w:semiHidden/>
    <w:rsid w:val="00267DA7"/>
    <w:pPr>
      <w:kinsoku/>
      <w:overflowPunct/>
      <w:autoSpaceDE/>
      <w:autoSpaceDN/>
      <w:adjustRightInd/>
      <w:snapToGrid/>
    </w:pPr>
    <w:rPr>
      <w:rFonts w:ascii="Courier New" w:hAnsi="Courier New" w:cs="Courier New"/>
      <w:lang w:val="en-GB" w:eastAsia="en-US"/>
    </w:rPr>
  </w:style>
  <w:style w:type="character" w:customStyle="1" w:styleId="HTMLPreformattedChar">
    <w:name w:val="HTML Preformatted Char"/>
    <w:basedOn w:val="DefaultParagraphFont"/>
    <w:link w:val="HTMLPreformatted"/>
    <w:semiHidden/>
    <w:rsid w:val="00267DA7"/>
    <w:rPr>
      <w:rFonts w:ascii="Courier New" w:hAnsi="Courier New" w:cs="Courier New"/>
      <w:lang w:val="en-GB" w:eastAsia="en-US"/>
    </w:rPr>
  </w:style>
  <w:style w:type="character" w:styleId="HTMLSample">
    <w:name w:val="HTML Sample"/>
    <w:basedOn w:val="DefaultParagraphFont"/>
    <w:rsid w:val="00267DA7"/>
    <w:rPr>
      <w:rFonts w:ascii="Courier New" w:hAnsi="Courier New" w:cs="Courier New"/>
    </w:rPr>
  </w:style>
  <w:style w:type="character" w:styleId="HTMLTypewriter">
    <w:name w:val="HTML Typewriter"/>
    <w:basedOn w:val="DefaultParagraphFont"/>
    <w:rsid w:val="00267DA7"/>
    <w:rPr>
      <w:rFonts w:ascii="Courier New" w:hAnsi="Courier New" w:cs="Courier New"/>
      <w:sz w:val="20"/>
      <w:szCs w:val="20"/>
    </w:rPr>
  </w:style>
  <w:style w:type="character" w:styleId="HTMLVariable">
    <w:name w:val="HTML Variable"/>
    <w:basedOn w:val="DefaultParagraphFont"/>
    <w:rsid w:val="00267DA7"/>
    <w:rPr>
      <w:i/>
      <w:iCs/>
    </w:rPr>
  </w:style>
  <w:style w:type="paragraph" w:styleId="List">
    <w:name w:val="List"/>
    <w:basedOn w:val="Normal"/>
    <w:rsid w:val="00267DA7"/>
    <w:pPr>
      <w:kinsoku/>
      <w:overflowPunct/>
      <w:autoSpaceDE/>
      <w:autoSpaceDN/>
      <w:adjustRightInd/>
      <w:snapToGrid/>
      <w:ind w:left="283" w:hanging="283"/>
    </w:pPr>
    <w:rPr>
      <w:lang w:val="en-GB" w:eastAsia="en-US"/>
    </w:rPr>
  </w:style>
  <w:style w:type="paragraph" w:styleId="List2">
    <w:name w:val="List 2"/>
    <w:basedOn w:val="Normal"/>
    <w:rsid w:val="00267DA7"/>
    <w:pPr>
      <w:kinsoku/>
      <w:overflowPunct/>
      <w:autoSpaceDE/>
      <w:autoSpaceDN/>
      <w:adjustRightInd/>
      <w:snapToGrid/>
      <w:ind w:left="566" w:hanging="283"/>
    </w:pPr>
    <w:rPr>
      <w:lang w:val="en-GB" w:eastAsia="en-US"/>
    </w:rPr>
  </w:style>
  <w:style w:type="paragraph" w:styleId="List3">
    <w:name w:val="List 3"/>
    <w:basedOn w:val="Normal"/>
    <w:rsid w:val="00267DA7"/>
    <w:pPr>
      <w:kinsoku/>
      <w:overflowPunct/>
      <w:autoSpaceDE/>
      <w:autoSpaceDN/>
      <w:adjustRightInd/>
      <w:snapToGrid/>
      <w:ind w:left="849" w:hanging="283"/>
    </w:pPr>
    <w:rPr>
      <w:lang w:val="en-GB" w:eastAsia="en-US"/>
    </w:rPr>
  </w:style>
  <w:style w:type="paragraph" w:styleId="List4">
    <w:name w:val="List 4"/>
    <w:basedOn w:val="Normal"/>
    <w:rsid w:val="00267DA7"/>
    <w:pPr>
      <w:kinsoku/>
      <w:overflowPunct/>
      <w:autoSpaceDE/>
      <w:autoSpaceDN/>
      <w:adjustRightInd/>
      <w:snapToGrid/>
      <w:ind w:left="1132" w:hanging="283"/>
    </w:pPr>
    <w:rPr>
      <w:lang w:val="en-GB" w:eastAsia="en-US"/>
    </w:rPr>
  </w:style>
  <w:style w:type="paragraph" w:styleId="List5">
    <w:name w:val="List 5"/>
    <w:basedOn w:val="Normal"/>
    <w:rsid w:val="00267DA7"/>
    <w:pPr>
      <w:kinsoku/>
      <w:overflowPunct/>
      <w:autoSpaceDE/>
      <w:autoSpaceDN/>
      <w:adjustRightInd/>
      <w:snapToGrid/>
      <w:ind w:left="1415" w:hanging="283"/>
    </w:pPr>
    <w:rPr>
      <w:lang w:val="en-GB" w:eastAsia="en-US"/>
    </w:rPr>
  </w:style>
  <w:style w:type="paragraph" w:styleId="ListBullet">
    <w:name w:val="List Bullet"/>
    <w:basedOn w:val="Normal"/>
    <w:rsid w:val="00267DA7"/>
    <w:pPr>
      <w:tabs>
        <w:tab w:val="num" w:pos="360"/>
      </w:tabs>
      <w:kinsoku/>
      <w:overflowPunct/>
      <w:autoSpaceDE/>
      <w:autoSpaceDN/>
      <w:adjustRightInd/>
      <w:snapToGrid/>
      <w:ind w:left="360" w:hanging="360"/>
    </w:pPr>
    <w:rPr>
      <w:lang w:val="en-GB" w:eastAsia="en-US"/>
    </w:rPr>
  </w:style>
  <w:style w:type="paragraph" w:styleId="ListBullet2">
    <w:name w:val="List Bullet 2"/>
    <w:basedOn w:val="Normal"/>
    <w:rsid w:val="00267DA7"/>
    <w:pPr>
      <w:tabs>
        <w:tab w:val="num" w:pos="643"/>
      </w:tabs>
      <w:kinsoku/>
      <w:overflowPunct/>
      <w:autoSpaceDE/>
      <w:autoSpaceDN/>
      <w:adjustRightInd/>
      <w:snapToGrid/>
      <w:ind w:left="643" w:hanging="360"/>
    </w:pPr>
    <w:rPr>
      <w:lang w:val="en-GB" w:eastAsia="en-US"/>
    </w:rPr>
  </w:style>
  <w:style w:type="paragraph" w:styleId="ListBullet3">
    <w:name w:val="List Bullet 3"/>
    <w:basedOn w:val="Normal"/>
    <w:rsid w:val="00267DA7"/>
    <w:pPr>
      <w:tabs>
        <w:tab w:val="num" w:pos="926"/>
      </w:tabs>
      <w:kinsoku/>
      <w:overflowPunct/>
      <w:autoSpaceDE/>
      <w:autoSpaceDN/>
      <w:adjustRightInd/>
      <w:snapToGrid/>
      <w:ind w:left="926" w:hanging="360"/>
    </w:pPr>
    <w:rPr>
      <w:lang w:val="en-GB" w:eastAsia="en-US"/>
    </w:rPr>
  </w:style>
  <w:style w:type="paragraph" w:styleId="ListBullet4">
    <w:name w:val="List Bullet 4"/>
    <w:basedOn w:val="Normal"/>
    <w:rsid w:val="00267DA7"/>
    <w:pPr>
      <w:tabs>
        <w:tab w:val="num" w:pos="1209"/>
      </w:tabs>
      <w:kinsoku/>
      <w:overflowPunct/>
      <w:autoSpaceDE/>
      <w:autoSpaceDN/>
      <w:adjustRightInd/>
      <w:snapToGrid/>
      <w:ind w:left="1209" w:hanging="360"/>
    </w:pPr>
    <w:rPr>
      <w:lang w:val="en-GB" w:eastAsia="en-US"/>
    </w:rPr>
  </w:style>
  <w:style w:type="paragraph" w:styleId="ListBullet5">
    <w:name w:val="List Bullet 5"/>
    <w:basedOn w:val="Normal"/>
    <w:rsid w:val="00267DA7"/>
    <w:pPr>
      <w:tabs>
        <w:tab w:val="num" w:pos="1492"/>
      </w:tabs>
      <w:kinsoku/>
      <w:overflowPunct/>
      <w:autoSpaceDE/>
      <w:autoSpaceDN/>
      <w:adjustRightInd/>
      <w:snapToGrid/>
      <w:ind w:left="1492" w:hanging="360"/>
    </w:pPr>
    <w:rPr>
      <w:lang w:val="en-GB" w:eastAsia="en-US"/>
    </w:rPr>
  </w:style>
  <w:style w:type="paragraph" w:styleId="ListContinue">
    <w:name w:val="List Continue"/>
    <w:basedOn w:val="Normal"/>
    <w:rsid w:val="00267DA7"/>
    <w:pPr>
      <w:kinsoku/>
      <w:overflowPunct/>
      <w:autoSpaceDE/>
      <w:autoSpaceDN/>
      <w:adjustRightInd/>
      <w:snapToGrid/>
      <w:spacing w:after="120"/>
      <w:ind w:left="283"/>
    </w:pPr>
    <w:rPr>
      <w:lang w:val="en-GB" w:eastAsia="en-US"/>
    </w:rPr>
  </w:style>
  <w:style w:type="paragraph" w:styleId="ListContinue2">
    <w:name w:val="List Continue 2"/>
    <w:basedOn w:val="Normal"/>
    <w:rsid w:val="00267DA7"/>
    <w:pPr>
      <w:kinsoku/>
      <w:overflowPunct/>
      <w:autoSpaceDE/>
      <w:autoSpaceDN/>
      <w:adjustRightInd/>
      <w:snapToGrid/>
      <w:spacing w:after="120"/>
      <w:ind w:left="566"/>
    </w:pPr>
    <w:rPr>
      <w:lang w:val="en-GB" w:eastAsia="en-US"/>
    </w:rPr>
  </w:style>
  <w:style w:type="paragraph" w:styleId="ListContinue3">
    <w:name w:val="List Continue 3"/>
    <w:basedOn w:val="Normal"/>
    <w:rsid w:val="00267DA7"/>
    <w:pPr>
      <w:kinsoku/>
      <w:overflowPunct/>
      <w:autoSpaceDE/>
      <w:autoSpaceDN/>
      <w:adjustRightInd/>
      <w:snapToGrid/>
      <w:spacing w:after="120"/>
      <w:ind w:left="849"/>
    </w:pPr>
    <w:rPr>
      <w:lang w:val="en-GB" w:eastAsia="en-US"/>
    </w:rPr>
  </w:style>
  <w:style w:type="paragraph" w:styleId="ListContinue4">
    <w:name w:val="List Continue 4"/>
    <w:basedOn w:val="Normal"/>
    <w:rsid w:val="00267DA7"/>
    <w:pPr>
      <w:kinsoku/>
      <w:overflowPunct/>
      <w:autoSpaceDE/>
      <w:autoSpaceDN/>
      <w:adjustRightInd/>
      <w:snapToGrid/>
      <w:spacing w:after="120"/>
      <w:ind w:left="1132"/>
    </w:pPr>
    <w:rPr>
      <w:lang w:val="en-GB" w:eastAsia="en-US"/>
    </w:rPr>
  </w:style>
  <w:style w:type="paragraph" w:styleId="ListContinue5">
    <w:name w:val="List Continue 5"/>
    <w:basedOn w:val="Normal"/>
    <w:rsid w:val="00267DA7"/>
    <w:pPr>
      <w:kinsoku/>
      <w:overflowPunct/>
      <w:autoSpaceDE/>
      <w:autoSpaceDN/>
      <w:adjustRightInd/>
      <w:snapToGrid/>
      <w:spacing w:after="120"/>
      <w:ind w:left="1415"/>
    </w:pPr>
    <w:rPr>
      <w:lang w:val="en-GB" w:eastAsia="en-US"/>
    </w:rPr>
  </w:style>
  <w:style w:type="paragraph" w:styleId="ListNumber">
    <w:name w:val="List Number"/>
    <w:basedOn w:val="Normal"/>
    <w:rsid w:val="00267DA7"/>
    <w:pPr>
      <w:tabs>
        <w:tab w:val="num" w:pos="360"/>
      </w:tabs>
      <w:kinsoku/>
      <w:overflowPunct/>
      <w:autoSpaceDE/>
      <w:autoSpaceDN/>
      <w:adjustRightInd/>
      <w:snapToGrid/>
      <w:ind w:left="360" w:hanging="360"/>
    </w:pPr>
    <w:rPr>
      <w:lang w:val="en-GB" w:eastAsia="en-US"/>
    </w:rPr>
  </w:style>
  <w:style w:type="paragraph" w:styleId="ListNumber2">
    <w:name w:val="List Number 2"/>
    <w:basedOn w:val="Normal"/>
    <w:rsid w:val="00267DA7"/>
    <w:pPr>
      <w:tabs>
        <w:tab w:val="num" w:pos="643"/>
      </w:tabs>
      <w:kinsoku/>
      <w:overflowPunct/>
      <w:autoSpaceDE/>
      <w:autoSpaceDN/>
      <w:adjustRightInd/>
      <w:snapToGrid/>
      <w:ind w:left="643" w:hanging="360"/>
    </w:pPr>
    <w:rPr>
      <w:lang w:val="en-GB" w:eastAsia="en-US"/>
    </w:rPr>
  </w:style>
  <w:style w:type="paragraph" w:styleId="ListNumber3">
    <w:name w:val="List Number 3"/>
    <w:basedOn w:val="Normal"/>
    <w:rsid w:val="00267DA7"/>
    <w:pPr>
      <w:tabs>
        <w:tab w:val="num" w:pos="926"/>
      </w:tabs>
      <w:kinsoku/>
      <w:overflowPunct/>
      <w:autoSpaceDE/>
      <w:autoSpaceDN/>
      <w:adjustRightInd/>
      <w:snapToGrid/>
      <w:ind w:left="926" w:hanging="360"/>
    </w:pPr>
    <w:rPr>
      <w:lang w:val="en-GB" w:eastAsia="en-US"/>
    </w:rPr>
  </w:style>
  <w:style w:type="paragraph" w:styleId="ListNumber4">
    <w:name w:val="List Number 4"/>
    <w:basedOn w:val="Normal"/>
    <w:rsid w:val="00267DA7"/>
    <w:pPr>
      <w:tabs>
        <w:tab w:val="num" w:pos="1209"/>
      </w:tabs>
      <w:kinsoku/>
      <w:overflowPunct/>
      <w:autoSpaceDE/>
      <w:autoSpaceDN/>
      <w:adjustRightInd/>
      <w:snapToGrid/>
      <w:ind w:left="1209" w:hanging="360"/>
    </w:pPr>
    <w:rPr>
      <w:lang w:val="en-GB" w:eastAsia="en-US"/>
    </w:rPr>
  </w:style>
  <w:style w:type="paragraph" w:styleId="ListNumber5">
    <w:name w:val="List Number 5"/>
    <w:basedOn w:val="Normal"/>
    <w:rsid w:val="00267DA7"/>
    <w:pPr>
      <w:tabs>
        <w:tab w:val="num" w:pos="1492"/>
      </w:tabs>
      <w:kinsoku/>
      <w:overflowPunct/>
      <w:autoSpaceDE/>
      <w:autoSpaceDN/>
      <w:adjustRightInd/>
      <w:snapToGrid/>
      <w:ind w:left="1492" w:hanging="360"/>
    </w:pPr>
    <w:rPr>
      <w:lang w:val="en-GB" w:eastAsia="en-US"/>
    </w:rPr>
  </w:style>
  <w:style w:type="paragraph" w:styleId="MessageHeader">
    <w:name w:val="Message Header"/>
    <w:basedOn w:val="Normal"/>
    <w:link w:val="MessageHeaderChar"/>
    <w:rsid w:val="00267DA7"/>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 w:val="24"/>
      <w:szCs w:val="24"/>
      <w:lang w:val="en-GB" w:eastAsia="en-US"/>
    </w:rPr>
  </w:style>
  <w:style w:type="character" w:customStyle="1" w:styleId="MessageHeaderChar">
    <w:name w:val="Message Header Char"/>
    <w:basedOn w:val="DefaultParagraphFont"/>
    <w:link w:val="MessageHeader"/>
    <w:rsid w:val="00267DA7"/>
    <w:rPr>
      <w:rFonts w:ascii="Arial" w:hAnsi="Arial" w:cs="Arial"/>
      <w:sz w:val="24"/>
      <w:szCs w:val="24"/>
      <w:shd w:val="pct20" w:color="auto" w:fill="auto"/>
      <w:lang w:val="en-GB" w:eastAsia="en-US"/>
    </w:rPr>
  </w:style>
  <w:style w:type="paragraph" w:styleId="NormalWeb">
    <w:name w:val="Normal (Web)"/>
    <w:basedOn w:val="Normal"/>
    <w:uiPriority w:val="99"/>
    <w:rsid w:val="00267DA7"/>
    <w:pPr>
      <w:kinsoku/>
      <w:overflowPunct/>
      <w:autoSpaceDE/>
      <w:autoSpaceDN/>
      <w:adjustRightInd/>
      <w:snapToGrid/>
    </w:pPr>
    <w:rPr>
      <w:sz w:val="24"/>
      <w:szCs w:val="24"/>
      <w:lang w:val="en-GB" w:eastAsia="en-US"/>
    </w:rPr>
  </w:style>
  <w:style w:type="paragraph" w:styleId="NormalIndent">
    <w:name w:val="Normal Indent"/>
    <w:basedOn w:val="Normal"/>
    <w:rsid w:val="00267DA7"/>
    <w:pPr>
      <w:kinsoku/>
      <w:overflowPunct/>
      <w:autoSpaceDE/>
      <w:autoSpaceDN/>
      <w:adjustRightInd/>
      <w:snapToGrid/>
      <w:ind w:left="567"/>
    </w:pPr>
    <w:rPr>
      <w:lang w:val="en-GB" w:eastAsia="en-US"/>
    </w:rPr>
  </w:style>
  <w:style w:type="paragraph" w:styleId="NoteHeading">
    <w:name w:val="Note Heading"/>
    <w:basedOn w:val="Normal"/>
    <w:next w:val="Normal"/>
    <w:link w:val="NoteHeadingChar"/>
    <w:rsid w:val="00267DA7"/>
    <w:pPr>
      <w:kinsoku/>
      <w:overflowPunct/>
      <w:autoSpaceDE/>
      <w:autoSpaceDN/>
      <w:adjustRightInd/>
      <w:snapToGrid/>
    </w:pPr>
    <w:rPr>
      <w:lang w:val="en-GB" w:eastAsia="en-US"/>
    </w:rPr>
  </w:style>
  <w:style w:type="character" w:customStyle="1" w:styleId="NoteHeadingChar">
    <w:name w:val="Note Heading Char"/>
    <w:basedOn w:val="DefaultParagraphFont"/>
    <w:link w:val="NoteHeading"/>
    <w:rsid w:val="00267DA7"/>
    <w:rPr>
      <w:lang w:val="en-GB" w:eastAsia="en-US"/>
    </w:rPr>
  </w:style>
  <w:style w:type="paragraph" w:styleId="Salutation">
    <w:name w:val="Salutation"/>
    <w:basedOn w:val="Normal"/>
    <w:next w:val="Normal"/>
    <w:link w:val="SalutationChar"/>
    <w:rsid w:val="00267DA7"/>
    <w:pPr>
      <w:kinsoku/>
      <w:overflowPunct/>
      <w:autoSpaceDE/>
      <w:autoSpaceDN/>
      <w:adjustRightInd/>
      <w:snapToGrid/>
    </w:pPr>
    <w:rPr>
      <w:lang w:val="en-GB" w:eastAsia="en-US"/>
    </w:rPr>
  </w:style>
  <w:style w:type="character" w:customStyle="1" w:styleId="SalutationChar">
    <w:name w:val="Salutation Char"/>
    <w:basedOn w:val="DefaultParagraphFont"/>
    <w:link w:val="Salutation"/>
    <w:rsid w:val="00267DA7"/>
    <w:rPr>
      <w:lang w:val="en-GB" w:eastAsia="en-US"/>
    </w:rPr>
  </w:style>
  <w:style w:type="paragraph" w:styleId="Signature">
    <w:name w:val="Signature"/>
    <w:basedOn w:val="Normal"/>
    <w:link w:val="SignatureChar"/>
    <w:rsid w:val="00267DA7"/>
    <w:pPr>
      <w:kinsoku/>
      <w:overflowPunct/>
      <w:autoSpaceDE/>
      <w:autoSpaceDN/>
      <w:adjustRightInd/>
      <w:snapToGrid/>
      <w:ind w:left="4252"/>
    </w:pPr>
    <w:rPr>
      <w:lang w:val="en-GB" w:eastAsia="en-US"/>
    </w:rPr>
  </w:style>
  <w:style w:type="character" w:customStyle="1" w:styleId="SignatureChar">
    <w:name w:val="Signature Char"/>
    <w:basedOn w:val="DefaultParagraphFont"/>
    <w:link w:val="Signature"/>
    <w:rsid w:val="00267DA7"/>
    <w:rPr>
      <w:lang w:val="en-GB" w:eastAsia="en-US"/>
    </w:rPr>
  </w:style>
  <w:style w:type="character" w:styleId="Strong">
    <w:name w:val="Strong"/>
    <w:basedOn w:val="DefaultParagraphFont"/>
    <w:qFormat/>
    <w:rsid w:val="00267DA7"/>
    <w:rPr>
      <w:b/>
      <w:bCs/>
    </w:rPr>
  </w:style>
  <w:style w:type="paragraph" w:styleId="Subtitle">
    <w:name w:val="Subtitle"/>
    <w:basedOn w:val="Normal"/>
    <w:link w:val="SubtitleChar"/>
    <w:qFormat/>
    <w:rsid w:val="00267DA7"/>
    <w:pPr>
      <w:kinsoku/>
      <w:overflowPunct/>
      <w:autoSpaceDE/>
      <w:autoSpaceDN/>
      <w:adjustRightInd/>
      <w:snapToGrid/>
      <w:spacing w:after="60"/>
      <w:jc w:val="center"/>
      <w:outlineLvl w:val="1"/>
    </w:pPr>
    <w:rPr>
      <w:rFonts w:ascii="Arial" w:hAnsi="Arial" w:cs="Arial"/>
      <w:sz w:val="24"/>
      <w:szCs w:val="24"/>
      <w:lang w:val="en-GB" w:eastAsia="en-US"/>
    </w:rPr>
  </w:style>
  <w:style w:type="character" w:customStyle="1" w:styleId="SubtitleChar">
    <w:name w:val="Subtitle Char"/>
    <w:basedOn w:val="DefaultParagraphFont"/>
    <w:link w:val="Subtitle"/>
    <w:rsid w:val="00267DA7"/>
    <w:rPr>
      <w:rFonts w:ascii="Arial" w:hAnsi="Arial" w:cs="Arial"/>
      <w:sz w:val="24"/>
      <w:szCs w:val="24"/>
      <w:lang w:val="en-GB" w:eastAsia="en-US"/>
    </w:rPr>
  </w:style>
  <w:style w:type="table" w:styleId="Table3Deffects1">
    <w:name w:val="Table 3D effects 1"/>
    <w:basedOn w:val="TableNormal"/>
    <w:semiHidden/>
    <w:rsid w:val="00267DA7"/>
    <w:pPr>
      <w:suppressAutoHyphens/>
      <w:spacing w:after="0"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7DA7"/>
    <w:pPr>
      <w:suppressAutoHyphens/>
      <w:spacing w:after="0"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7DA7"/>
    <w:pPr>
      <w:suppressAutoHyphens/>
      <w:spacing w:after="0"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67DA7"/>
    <w:pPr>
      <w:suppressAutoHyphens/>
      <w:spacing w:after="0"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7DA7"/>
    <w:pPr>
      <w:suppressAutoHyphens/>
      <w:spacing w:after="0"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7DA7"/>
    <w:pPr>
      <w:suppressAutoHyphens/>
      <w:spacing w:after="0"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7DA7"/>
    <w:pPr>
      <w:suppressAutoHyphens/>
      <w:spacing w:after="0"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67DA7"/>
    <w:pPr>
      <w:suppressAutoHyphens/>
      <w:spacing w:after="0"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67DA7"/>
    <w:pPr>
      <w:suppressAutoHyphens/>
      <w:spacing w:after="0"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7DA7"/>
    <w:pPr>
      <w:suppressAutoHyphens/>
      <w:spacing w:after="0"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67DA7"/>
    <w:pPr>
      <w:suppressAutoHyphens/>
      <w:spacing w:after="0"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7DA7"/>
    <w:pPr>
      <w:suppressAutoHyphens/>
      <w:spacing w:after="0"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7DA7"/>
    <w:pPr>
      <w:suppressAutoHyphens/>
      <w:spacing w:after="0"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7DA7"/>
    <w:pPr>
      <w:suppressAutoHyphens/>
      <w:spacing w:after="0"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7DA7"/>
    <w:pPr>
      <w:suppressAutoHyphens/>
      <w:spacing w:after="0"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67DA7"/>
    <w:pPr>
      <w:suppressAutoHyphens/>
      <w:spacing w:after="0"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67DA7"/>
    <w:pPr>
      <w:suppressAutoHyphens/>
      <w:spacing w:after="0"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67DA7"/>
    <w:pPr>
      <w:suppressAutoHyphens/>
      <w:spacing w:after="0"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7DA7"/>
    <w:pPr>
      <w:suppressAutoHyphens/>
      <w:spacing w:after="0"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7DA7"/>
    <w:pPr>
      <w:suppressAutoHyphens/>
      <w:spacing w:after="0"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7DA7"/>
    <w:pPr>
      <w:suppressAutoHyphens/>
      <w:spacing w:after="0"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7DA7"/>
    <w:pPr>
      <w:suppressAutoHyphens/>
      <w:spacing w:after="0"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7DA7"/>
    <w:pPr>
      <w:suppressAutoHyphens/>
      <w:spacing w:after="0"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7DA7"/>
    <w:pPr>
      <w:suppressAutoHyphens/>
      <w:spacing w:after="0"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7DA7"/>
    <w:pPr>
      <w:suppressAutoHyphens/>
      <w:spacing w:after="0"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67DA7"/>
    <w:pPr>
      <w:suppressAutoHyphens/>
      <w:spacing w:after="0"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7DA7"/>
    <w:pPr>
      <w:suppressAutoHyphens/>
      <w:spacing w:after="0"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7DA7"/>
    <w:pPr>
      <w:suppressAutoHyphens/>
      <w:spacing w:after="0"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7DA7"/>
    <w:pPr>
      <w:suppressAutoHyphens/>
      <w:spacing w:after="0"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7DA7"/>
    <w:pPr>
      <w:suppressAutoHyphens/>
      <w:spacing w:after="0"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7DA7"/>
    <w:pPr>
      <w:suppressAutoHyphens/>
      <w:spacing w:after="0"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7DA7"/>
    <w:pPr>
      <w:suppressAutoHyphens/>
      <w:spacing w:after="0"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7DA7"/>
    <w:pPr>
      <w:suppressAutoHyphens/>
      <w:spacing w:after="0"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67DA7"/>
    <w:pPr>
      <w:suppressAutoHyphens/>
      <w:spacing w:after="0"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7DA7"/>
    <w:pPr>
      <w:suppressAutoHyphens/>
      <w:spacing w:after="0"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7DA7"/>
    <w:pPr>
      <w:suppressAutoHyphens/>
      <w:spacing w:after="0"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7DA7"/>
    <w:pPr>
      <w:suppressAutoHyphens/>
      <w:spacing w:after="0"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67DA7"/>
    <w:pPr>
      <w:suppressAutoHyphens/>
      <w:spacing w:after="0"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7DA7"/>
    <w:pPr>
      <w:suppressAutoHyphens/>
      <w:spacing w:after="0"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67DA7"/>
    <w:pPr>
      <w:suppressAutoHyphens/>
      <w:spacing w:after="0"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67DA7"/>
    <w:pPr>
      <w:suppressAutoHyphens/>
      <w:spacing w:after="0"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7DA7"/>
    <w:pPr>
      <w:suppressAutoHyphens/>
      <w:spacing w:after="0"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7DA7"/>
    <w:pPr>
      <w:suppressAutoHyphens/>
      <w:spacing w:after="0"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7DA7"/>
    <w:pPr>
      <w:kinsoku/>
      <w:overflowPunct/>
      <w:autoSpaceDE/>
      <w:autoSpaceDN/>
      <w:adjustRightInd/>
      <w:snapToGrid/>
      <w:spacing w:before="240" w:after="60"/>
      <w:jc w:val="center"/>
      <w:outlineLvl w:val="0"/>
    </w:pPr>
    <w:rPr>
      <w:rFonts w:ascii="Arial" w:hAnsi="Arial" w:cs="Arial"/>
      <w:b/>
      <w:bCs/>
      <w:kern w:val="28"/>
      <w:sz w:val="32"/>
      <w:szCs w:val="32"/>
      <w:lang w:val="en-GB" w:eastAsia="en-US"/>
    </w:rPr>
  </w:style>
  <w:style w:type="character" w:customStyle="1" w:styleId="TitleChar">
    <w:name w:val="Title Char"/>
    <w:basedOn w:val="DefaultParagraphFont"/>
    <w:link w:val="Title"/>
    <w:rsid w:val="00267DA7"/>
    <w:rPr>
      <w:rFonts w:ascii="Arial" w:hAnsi="Arial" w:cs="Arial"/>
      <w:b/>
      <w:bCs/>
      <w:kern w:val="28"/>
      <w:sz w:val="32"/>
      <w:szCs w:val="32"/>
      <w:lang w:val="en-GB" w:eastAsia="en-US"/>
    </w:rPr>
  </w:style>
  <w:style w:type="paragraph" w:styleId="EnvelopeAddress">
    <w:name w:val="envelope address"/>
    <w:basedOn w:val="Normal"/>
    <w:rsid w:val="00267DA7"/>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en-GB" w:eastAsia="en-US"/>
    </w:rPr>
  </w:style>
  <w:style w:type="character" w:customStyle="1" w:styleId="SingleTxtGCar">
    <w:name w:val="_ Single Txt_G Car"/>
    <w:rsid w:val="00267DA7"/>
    <w:rPr>
      <w:lang w:eastAsia="en-US"/>
    </w:rPr>
  </w:style>
  <w:style w:type="character" w:customStyle="1" w:styleId="SingleTxtGZchnZchn">
    <w:name w:val="_ Single Txt_G Zchn Zchn"/>
    <w:rsid w:val="00267DA7"/>
    <w:rPr>
      <w:lang w:eastAsia="en-US"/>
    </w:rPr>
  </w:style>
  <w:style w:type="paragraph" w:customStyle="1" w:styleId="p1">
    <w:name w:val="p1"/>
    <w:basedOn w:val="Normal"/>
    <w:rsid w:val="00267DA7"/>
    <w:pPr>
      <w:suppressAutoHyphens w:val="0"/>
      <w:kinsoku/>
      <w:overflowPunct/>
      <w:autoSpaceDE/>
      <w:autoSpaceDN/>
      <w:adjustRightInd/>
      <w:snapToGrid/>
      <w:spacing w:line="240" w:lineRule="auto"/>
    </w:pPr>
    <w:rPr>
      <w:rFonts w:eastAsiaTheme="minorHAnsi"/>
      <w:sz w:val="17"/>
      <w:szCs w:val="17"/>
      <w:lang w:val="en-US" w:eastAsia="en-US"/>
    </w:rPr>
  </w:style>
  <w:style w:type="character" w:customStyle="1" w:styleId="apple-converted-space">
    <w:name w:val="apple-converted-space"/>
    <w:basedOn w:val="DefaultParagraphFont"/>
    <w:rsid w:val="00267DA7"/>
  </w:style>
  <w:style w:type="paragraph" w:styleId="CommentSubject">
    <w:name w:val="annotation subject"/>
    <w:basedOn w:val="CommentText"/>
    <w:next w:val="CommentText"/>
    <w:link w:val="CommentSubjectChar"/>
    <w:unhideWhenUsed/>
    <w:rsid w:val="00267DA7"/>
    <w:pPr>
      <w:spacing w:line="240" w:lineRule="auto"/>
    </w:pPr>
    <w:rPr>
      <w:b/>
      <w:bCs/>
    </w:rPr>
  </w:style>
  <w:style w:type="character" w:customStyle="1" w:styleId="CommentSubjectChar">
    <w:name w:val="Comment Subject Char"/>
    <w:basedOn w:val="CommentTextChar"/>
    <w:link w:val="CommentSubject"/>
    <w:rsid w:val="00267DA7"/>
    <w:rPr>
      <w:b/>
      <w:bCs/>
      <w:lang w:val="en-GB" w:eastAsia="en-US"/>
    </w:rPr>
  </w:style>
  <w:style w:type="paragraph" w:styleId="Revision">
    <w:name w:val="Revision"/>
    <w:hidden/>
    <w:uiPriority w:val="99"/>
    <w:semiHidden/>
    <w:rsid w:val="00267DA7"/>
    <w:pPr>
      <w:spacing w:after="0" w:line="240" w:lineRule="auto"/>
    </w:pPr>
    <w:rPr>
      <w:lang w:val="en-GB" w:eastAsia="en-US"/>
    </w:rPr>
  </w:style>
  <w:style w:type="paragraph" w:styleId="ListParagraph">
    <w:name w:val="List Paragraph"/>
    <w:basedOn w:val="Normal"/>
    <w:uiPriority w:val="34"/>
    <w:qFormat/>
    <w:rsid w:val="00267DA7"/>
    <w:pPr>
      <w:kinsoku/>
      <w:overflowPunct/>
      <w:autoSpaceDE/>
      <w:autoSpaceDN/>
      <w:adjustRightInd/>
      <w:snapToGrid/>
      <w:ind w:left="720"/>
      <w:contextualSpacing/>
    </w:pPr>
    <w:rPr>
      <w:lang w:val="en-GB" w:eastAsia="en-US"/>
    </w:rPr>
  </w:style>
  <w:style w:type="paragraph" w:styleId="NoSpacing">
    <w:name w:val="No Spacing"/>
    <w:uiPriority w:val="1"/>
    <w:qFormat/>
    <w:rsid w:val="00267DA7"/>
    <w:pPr>
      <w:spacing w:after="0" w:line="240" w:lineRule="auto"/>
    </w:pPr>
    <w:rPr>
      <w:rFonts w:eastAsia="Calibri"/>
      <w:color w:val="000000"/>
      <w:sz w:val="24"/>
      <w:szCs w:val="24"/>
      <w:lang w:val="en-US" w:eastAsia="en-US"/>
    </w:rPr>
  </w:style>
  <w:style w:type="paragraph" w:customStyle="1" w:styleId="TableParagraph">
    <w:name w:val="Table Paragraph"/>
    <w:basedOn w:val="Normal"/>
    <w:uiPriority w:val="1"/>
    <w:qFormat/>
    <w:rsid w:val="00267DA7"/>
    <w:pPr>
      <w:widowControl w:val="0"/>
      <w:suppressAutoHyphens w:val="0"/>
      <w:kinsoku/>
      <w:overflowPunct/>
      <w:adjustRightInd/>
      <w:snapToGrid/>
      <w:spacing w:line="240" w:lineRule="auto"/>
      <w:jc w:val="center"/>
    </w:pPr>
    <w:rPr>
      <w:sz w:val="22"/>
      <w:szCs w:val="22"/>
      <w:lang w:val="en-US" w:eastAsia="en-US"/>
    </w:rPr>
  </w:style>
  <w:style w:type="paragraph" w:customStyle="1" w:styleId="ParaNoG">
    <w:name w:val="_ParaNo._G"/>
    <w:basedOn w:val="SingleTxtG"/>
    <w:rsid w:val="00267DA7"/>
    <w:pPr>
      <w:kinsoku/>
      <w:overflowPunct/>
      <w:autoSpaceDE/>
      <w:autoSpaceDN/>
      <w:adjustRightInd/>
      <w:snapToGrid/>
    </w:pPr>
    <w:rPr>
      <w:lang w:val="en-GB" w:eastAsia="en-US"/>
    </w:rPr>
  </w:style>
  <w:style w:type="paragraph" w:customStyle="1" w:styleId="Default">
    <w:name w:val="Default"/>
    <w:rsid w:val="00267DA7"/>
    <w:pPr>
      <w:widowControl w:val="0"/>
      <w:autoSpaceDE w:val="0"/>
      <w:autoSpaceDN w:val="0"/>
      <w:adjustRightInd w:val="0"/>
      <w:spacing w:after="0" w:line="240" w:lineRule="auto"/>
    </w:pPr>
    <w:rPr>
      <w:color w:val="000000"/>
      <w:sz w:val="24"/>
      <w:szCs w:val="24"/>
      <w:lang w:val="en-US" w:eastAsia="en-US"/>
    </w:rPr>
  </w:style>
  <w:style w:type="paragraph" w:customStyle="1" w:styleId="Style1">
    <w:name w:val="Style1"/>
    <w:basedOn w:val="Normal"/>
    <w:rsid w:val="00267DA7"/>
    <w:pPr>
      <w:tabs>
        <w:tab w:val="left" w:pos="1418"/>
        <w:tab w:val="left" w:pos="1985"/>
        <w:tab w:val="left" w:pos="2552"/>
        <w:tab w:val="left" w:pos="3119"/>
        <w:tab w:val="left" w:pos="3686"/>
        <w:tab w:val="left" w:pos="4253"/>
        <w:tab w:val="left" w:pos="4820"/>
      </w:tabs>
      <w:suppressAutoHyphens w:val="0"/>
      <w:kinsoku/>
      <w:overflowPunct/>
      <w:autoSpaceDE/>
      <w:autoSpaceDN/>
      <w:adjustRightInd/>
      <w:snapToGrid/>
      <w:spacing w:line="240" w:lineRule="auto"/>
      <w:jc w:val="both"/>
    </w:pPr>
    <w:rPr>
      <w:sz w:val="22"/>
      <w:lang w:val="en-US" w:eastAsia="en-US"/>
    </w:rPr>
  </w:style>
  <w:style w:type="paragraph" w:customStyle="1" w:styleId="NumDocPara">
    <w:name w:val="Num©Doc Para"/>
    <w:basedOn w:val="Normal"/>
    <w:rsid w:val="00267DA7"/>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kinsoku/>
      <w:overflowPunct/>
      <w:autoSpaceDE/>
      <w:autoSpaceDN/>
      <w:adjustRightInd/>
      <w:snapToGrid/>
      <w:spacing w:line="240" w:lineRule="auto"/>
    </w:pPr>
    <w:rPr>
      <w:snapToGrid w:val="0"/>
      <w:sz w:val="22"/>
      <w:lang w:val="en-US" w:eastAsia="en-US"/>
    </w:rPr>
  </w:style>
  <w:style w:type="paragraph" w:customStyle="1" w:styleId="Num-DocParagraph">
    <w:name w:val="Num-Doc Paragraph"/>
    <w:basedOn w:val="BodyText"/>
    <w:rsid w:val="00267DA7"/>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267DA7"/>
    <w:pPr>
      <w:suppressAutoHyphens w:val="0"/>
      <w:kinsoku/>
      <w:overflowPunct/>
      <w:autoSpaceDE/>
      <w:autoSpaceDN/>
      <w:adjustRightInd/>
      <w:snapToGrid/>
      <w:spacing w:after="200" w:line="276" w:lineRule="auto"/>
      <w:ind w:left="720"/>
      <w:contextualSpacing/>
    </w:pPr>
    <w:rPr>
      <w:rFonts w:ascii="Calibri" w:eastAsia="Calibri" w:hAnsi="Calibri"/>
      <w:sz w:val="22"/>
      <w:szCs w:val="22"/>
      <w:lang w:val="ru-RU" w:eastAsia="en-US"/>
    </w:rPr>
  </w:style>
  <w:style w:type="character" w:customStyle="1" w:styleId="refresult">
    <w:name w:val="ref_result"/>
    <w:basedOn w:val="DefaultParagraphFont"/>
    <w:rsid w:val="00267DA7"/>
  </w:style>
  <w:style w:type="paragraph" w:customStyle="1" w:styleId="Points">
    <w:name w:val="Points"/>
    <w:basedOn w:val="BodyText"/>
    <w:rsid w:val="00267DA7"/>
    <w:pPr>
      <w:numPr>
        <w:numId w:val="18"/>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267DA7"/>
    <w:pPr>
      <w:tabs>
        <w:tab w:val="num" w:pos="570"/>
      </w:tabs>
      <w:spacing w:before="60" w:after="60" w:line="280" w:lineRule="exact"/>
      <w:ind w:left="570" w:hanging="570"/>
    </w:pPr>
  </w:style>
  <w:style w:type="paragraph" w:customStyle="1" w:styleId="Tablecaption">
    <w:name w:val="Table caption"/>
    <w:basedOn w:val="BodyText"/>
    <w:rsid w:val="00267DA7"/>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267DA7"/>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267DA7"/>
    <w:rPr>
      <w:rFonts w:ascii="Arial" w:eastAsia="Calibri" w:hAnsi="Arial" w:cs="Arial"/>
      <w:lang w:val="en-AU" w:eastAsia="en-AU"/>
    </w:rPr>
  </w:style>
  <w:style w:type="paragraph" w:customStyle="1" w:styleId="DocList">
    <w:name w:val="DocList"/>
    <w:basedOn w:val="SingleTxtG"/>
    <w:rsid w:val="00267DA7"/>
    <w:pPr>
      <w:kinsoku/>
      <w:overflowPunct/>
      <w:autoSpaceDE/>
      <w:autoSpaceDN/>
      <w:adjustRightInd/>
      <w:snapToGrid/>
      <w:spacing w:after="240"/>
      <w:ind w:left="3701" w:right="1138" w:hanging="2002"/>
      <w:jc w:val="left"/>
    </w:pPr>
    <w:rPr>
      <w:i/>
      <w:lang w:val="en-US" w:eastAsia="en-US"/>
    </w:rPr>
  </w:style>
  <w:style w:type="paragraph" w:customStyle="1" w:styleId="Body1">
    <w:name w:val="Body 1"/>
    <w:rsid w:val="00267DA7"/>
    <w:pPr>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267DA7"/>
    <w:pPr>
      <w:spacing w:after="0" w:line="240" w:lineRule="auto"/>
    </w:pPr>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267DA7"/>
    <w:rPr>
      <w:color w:val="605E5C"/>
      <w:shd w:val="clear" w:color="auto" w:fill="E1DFDD"/>
    </w:rPr>
  </w:style>
  <w:style w:type="table" w:customStyle="1" w:styleId="TableGrid10">
    <w:name w:val="Table Grid1"/>
    <w:basedOn w:val="TableNormal"/>
    <w:next w:val="TableGrid"/>
    <w:uiPriority w:val="39"/>
    <w:rsid w:val="00267DA7"/>
    <w:pPr>
      <w:spacing w:after="0" w:line="240" w:lineRule="auto"/>
    </w:pPr>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67DA7"/>
    <w:pPr>
      <w:kinsoku/>
      <w:overflowPunct/>
      <w:autoSpaceDE/>
      <w:autoSpaceDN/>
      <w:adjustRightInd/>
      <w:snapToGrid/>
      <w:spacing w:after="200" w:line="240" w:lineRule="auto"/>
    </w:pPr>
    <w:rPr>
      <w:i/>
      <w:iCs/>
      <w:color w:val="1F497D" w:themeColor="text2"/>
      <w:sz w:val="18"/>
      <w:szCs w:val="18"/>
      <w:lang w:val="en-US" w:eastAsia="en-US"/>
    </w:rPr>
  </w:style>
  <w:style w:type="character" w:customStyle="1" w:styleId="H1GCar">
    <w:name w:val="_ H_1_G Car"/>
    <w:rsid w:val="00267DA7"/>
    <w:rPr>
      <w:b/>
      <w:sz w:val="24"/>
    </w:rPr>
  </w:style>
  <w:style w:type="paragraph" w:customStyle="1" w:styleId="H1">
    <w:name w:val="_ H_1"/>
    <w:basedOn w:val="Normal"/>
    <w:next w:val="Normal"/>
    <w:qFormat/>
    <w:rsid w:val="00267DA7"/>
    <w:pPr>
      <w:keepNext/>
      <w:keepLines/>
      <w:kinsoku/>
      <w:overflowPunct/>
      <w:autoSpaceDE/>
      <w:autoSpaceDN/>
      <w:adjustRightInd/>
      <w:snapToGrid/>
      <w:spacing w:line="270" w:lineRule="exact"/>
      <w:outlineLvl w:val="0"/>
    </w:pPr>
    <w:rPr>
      <w:rFonts w:eastAsia="Calibri"/>
      <w:b/>
      <w:spacing w:val="4"/>
      <w:w w:val="103"/>
      <w:kern w:val="14"/>
      <w:sz w:val="24"/>
      <w:szCs w:val="22"/>
      <w:lang w:val="fr-CA" w:eastAsia="en-US"/>
    </w:rPr>
  </w:style>
  <w:style w:type="paragraph" w:customStyle="1" w:styleId="Rom2">
    <w:name w:val="Rom2"/>
    <w:basedOn w:val="SingleTxtG"/>
    <w:semiHidden/>
    <w:rsid w:val="00267DA7"/>
    <w:pPr>
      <w:numPr>
        <w:numId w:val="25"/>
      </w:numPr>
      <w:tabs>
        <w:tab w:val="clear" w:pos="2160"/>
      </w:tabs>
      <w:kinsoku/>
      <w:overflowPunct/>
      <w:autoSpaceDE/>
      <w:autoSpaceDN/>
      <w:adjustRightInd/>
      <w:snapToGrid/>
      <w:ind w:left="2835" w:hanging="397"/>
    </w:pPr>
    <w:rPr>
      <w:lang w:eastAsia="fr-FR"/>
    </w:rPr>
  </w:style>
  <w:style w:type="character" w:styleId="UnresolvedMention">
    <w:name w:val="Unresolved Mention"/>
    <w:basedOn w:val="DefaultParagraphFont"/>
    <w:uiPriority w:val="99"/>
    <w:semiHidden/>
    <w:unhideWhenUsed/>
    <w:rsid w:val="00267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6273">
      <w:bodyDiv w:val="1"/>
      <w:marLeft w:val="0"/>
      <w:marRight w:val="0"/>
      <w:marTop w:val="0"/>
      <w:marBottom w:val="0"/>
      <w:divBdr>
        <w:top w:val="none" w:sz="0" w:space="0" w:color="auto"/>
        <w:left w:val="none" w:sz="0" w:space="0" w:color="auto"/>
        <w:bottom w:val="none" w:sz="0" w:space="0" w:color="auto"/>
        <w:right w:val="none" w:sz="0" w:space="0" w:color="auto"/>
      </w:divBdr>
    </w:div>
    <w:div w:id="1621304531">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809083369">
      <w:bodyDiv w:val="1"/>
      <w:marLeft w:val="0"/>
      <w:marRight w:val="0"/>
      <w:marTop w:val="0"/>
      <w:marBottom w:val="0"/>
      <w:divBdr>
        <w:top w:val="none" w:sz="0" w:space="0" w:color="auto"/>
        <w:left w:val="none" w:sz="0" w:space="0" w:color="auto"/>
        <w:bottom w:val="none" w:sz="0" w:space="0" w:color="auto"/>
        <w:right w:val="none" w:sz="0" w:space="0" w:color="auto"/>
      </w:divBdr>
    </w:div>
    <w:div w:id="1992588364">
      <w:bodyDiv w:val="1"/>
      <w:marLeft w:val="0"/>
      <w:marRight w:val="0"/>
      <w:marTop w:val="0"/>
      <w:marBottom w:val="0"/>
      <w:divBdr>
        <w:top w:val="none" w:sz="0" w:space="0" w:color="auto"/>
        <w:left w:val="none" w:sz="0" w:space="0" w:color="auto"/>
        <w:bottom w:val="none" w:sz="0" w:space="0" w:color="auto"/>
        <w:right w:val="none" w:sz="0" w:space="0" w:color="auto"/>
      </w:divBdr>
    </w:div>
    <w:div w:id="21274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oj/direct-acces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1245</TotalTime>
  <Pages>44</Pages>
  <Words>17730</Words>
  <Characters>101064</Characters>
  <Application>Microsoft Office Word</Application>
  <DocSecurity>0</DocSecurity>
  <Lines>842</Lines>
  <Paragraphs>237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ECE/TRANS/WP.15/249</vt:lpstr>
      <vt:lpstr>ECE/TRANS/WP.15/249</vt:lpstr>
    </vt:vector>
  </TitlesOfParts>
  <Company>DCM</Company>
  <LinksUpToDate>false</LinksUpToDate>
  <CharactersWithSpaces>118557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ECE/TRANS/WP.15/249</dc:title>
  <dc:subject>FINAL</dc:subject>
  <dc:creator>Editorial</dc:creator>
  <cp:keywords/>
  <dc:description/>
  <cp:lastModifiedBy>Christine Barrio-Champeau</cp:lastModifiedBy>
  <cp:revision>116</cp:revision>
  <cp:lastPrinted>2020-01-28T13:06:00Z</cp:lastPrinted>
  <dcterms:created xsi:type="dcterms:W3CDTF">2020-01-14T14:42:00Z</dcterms:created>
  <dcterms:modified xsi:type="dcterms:W3CDTF">2020-02-18T12:57:00Z</dcterms:modified>
</cp:coreProperties>
</file>