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97BF" w14:textId="52B1D46E" w:rsidR="009D26E7" w:rsidRPr="00091151" w:rsidRDefault="009D26E7" w:rsidP="00D241C2">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bookmarkStart w:id="0" w:name="_GoBack"/>
      <w:bookmarkEnd w:id="0"/>
      <w:r w:rsidRPr="00091151">
        <w:rPr>
          <w:rFonts w:ascii="Arial" w:eastAsia="Arial" w:hAnsi="Arial" w:cs="Arial"/>
          <w:bCs/>
          <w:noProof/>
          <w:szCs w:val="24"/>
        </w:rPr>
        <w:drawing>
          <wp:anchor distT="0" distB="0" distL="114300" distR="114300" simplePos="0" relativeHeight="251659264" behindDoc="0" locked="0" layoutInCell="1" allowOverlap="1" wp14:anchorId="0325D567" wp14:editId="5D7875BB">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091151">
        <w:rPr>
          <w:rFonts w:ascii="Arial" w:eastAsia="Arial" w:hAnsi="Arial" w:cs="Arial"/>
          <w:bCs/>
          <w:szCs w:val="24"/>
          <w:lang w:eastAsia="de-DE"/>
        </w:rPr>
        <w:t>CCNR-ZKR/ADN/WP.15/AC.2/20</w:t>
      </w:r>
      <w:r w:rsidR="002D5664" w:rsidRPr="00091151">
        <w:rPr>
          <w:rFonts w:ascii="Arial" w:eastAsia="Arial" w:hAnsi="Arial" w:cs="Arial"/>
          <w:bCs/>
          <w:szCs w:val="24"/>
          <w:lang w:eastAsia="de-DE"/>
        </w:rPr>
        <w:t>20</w:t>
      </w:r>
      <w:r w:rsidRPr="00091151">
        <w:rPr>
          <w:rFonts w:ascii="Arial" w:eastAsia="Arial" w:hAnsi="Arial" w:cs="Arial"/>
          <w:bCs/>
          <w:szCs w:val="24"/>
          <w:lang w:eastAsia="de-DE"/>
        </w:rPr>
        <w:t>/</w:t>
      </w:r>
      <w:r w:rsidR="00B940A2" w:rsidRPr="00091151">
        <w:rPr>
          <w:rFonts w:ascii="Arial" w:eastAsia="Arial" w:hAnsi="Arial" w:cs="Arial"/>
          <w:bCs/>
          <w:szCs w:val="24"/>
          <w:lang w:eastAsia="de-DE"/>
        </w:rPr>
        <w:t>1</w:t>
      </w:r>
      <w:r w:rsidR="0022634C" w:rsidRPr="00091151">
        <w:rPr>
          <w:rFonts w:ascii="Arial" w:eastAsia="Arial" w:hAnsi="Arial" w:cs="Arial"/>
          <w:bCs/>
          <w:szCs w:val="24"/>
          <w:lang w:eastAsia="de-DE"/>
        </w:rPr>
        <w:t>6</w:t>
      </w:r>
    </w:p>
    <w:p w14:paraId="18F47C77" w14:textId="77777777" w:rsidR="009D26E7" w:rsidRPr="00091151" w:rsidRDefault="009D26E7" w:rsidP="009D26E7">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091151">
        <w:rPr>
          <w:rFonts w:ascii="Arial" w:hAnsi="Arial" w:cs="Arial"/>
          <w:sz w:val="16"/>
          <w:szCs w:val="24"/>
          <w:lang w:eastAsia="de-DE"/>
        </w:rPr>
        <w:t>Allgemeine Verteilung</w:t>
      </w:r>
    </w:p>
    <w:p w14:paraId="7657A14B" w14:textId="35C25A8C" w:rsidR="009D26E7" w:rsidRPr="00091151" w:rsidRDefault="00CD4189" w:rsidP="009D26E7">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091151">
        <w:rPr>
          <w:rFonts w:ascii="Arial" w:eastAsia="Arial" w:hAnsi="Arial" w:cs="Arial"/>
          <w:szCs w:val="24"/>
          <w:lang w:eastAsia="de-DE"/>
        </w:rPr>
        <w:t>1</w:t>
      </w:r>
      <w:r w:rsidR="0022634C" w:rsidRPr="00091151">
        <w:rPr>
          <w:rFonts w:ascii="Arial" w:eastAsia="Arial" w:hAnsi="Arial" w:cs="Arial"/>
          <w:szCs w:val="24"/>
          <w:lang w:eastAsia="de-DE"/>
        </w:rPr>
        <w:t>3</w:t>
      </w:r>
      <w:r w:rsidR="009D26E7" w:rsidRPr="00091151">
        <w:rPr>
          <w:rFonts w:ascii="Arial" w:eastAsia="Arial" w:hAnsi="Arial" w:cs="Arial"/>
          <w:szCs w:val="24"/>
          <w:lang w:eastAsia="de-DE"/>
        </w:rPr>
        <w:t xml:space="preserve">. </w:t>
      </w:r>
      <w:r w:rsidR="002D5664" w:rsidRPr="00091151">
        <w:rPr>
          <w:rFonts w:ascii="Arial" w:eastAsia="Arial" w:hAnsi="Arial" w:cs="Arial"/>
          <w:szCs w:val="24"/>
          <w:lang w:eastAsia="de-DE"/>
        </w:rPr>
        <w:t>November</w:t>
      </w:r>
      <w:r w:rsidR="009D26E7" w:rsidRPr="00091151">
        <w:rPr>
          <w:rFonts w:ascii="Arial" w:eastAsia="Arial" w:hAnsi="Arial" w:cs="Arial"/>
          <w:szCs w:val="24"/>
          <w:lang w:eastAsia="de-DE"/>
        </w:rPr>
        <w:t xml:space="preserve"> 201</w:t>
      </w:r>
      <w:r w:rsidR="00DD51EA" w:rsidRPr="00091151">
        <w:rPr>
          <w:rFonts w:ascii="Arial" w:eastAsia="Arial" w:hAnsi="Arial" w:cs="Arial"/>
          <w:szCs w:val="24"/>
          <w:lang w:eastAsia="de-DE"/>
        </w:rPr>
        <w:t>9</w:t>
      </w:r>
    </w:p>
    <w:p w14:paraId="1AD39FB4" w14:textId="731A3FDA" w:rsidR="009D26E7" w:rsidRPr="00091151" w:rsidRDefault="009D26E7" w:rsidP="009D26E7">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091151">
        <w:rPr>
          <w:rFonts w:ascii="Arial" w:eastAsia="Arial" w:hAnsi="Arial" w:cs="Arial"/>
          <w:sz w:val="16"/>
          <w:szCs w:val="24"/>
          <w:lang w:eastAsia="de-DE"/>
        </w:rPr>
        <w:t xml:space="preserve">Or. </w:t>
      </w:r>
      <w:r w:rsidR="002C0F3E" w:rsidRPr="00091151">
        <w:rPr>
          <w:rFonts w:ascii="Arial" w:eastAsia="Arial" w:hAnsi="Arial" w:cs="Arial"/>
          <w:sz w:val="16"/>
          <w:szCs w:val="24"/>
          <w:lang w:eastAsia="de-DE"/>
        </w:rPr>
        <w:t>ENGLISCH</w:t>
      </w:r>
    </w:p>
    <w:p w14:paraId="43A26DC5" w14:textId="77777777" w:rsidR="009D26E7" w:rsidRPr="00091151"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14:paraId="4959ECF1" w14:textId="77777777" w:rsidR="009D26E7" w:rsidRPr="00091151"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14:paraId="19E3B33E" w14:textId="77777777" w:rsidR="008C68B2" w:rsidRPr="00091151" w:rsidRDefault="008C68B2" w:rsidP="008C68B2">
      <w:pPr>
        <w:widowControl/>
        <w:tabs>
          <w:tab w:val="left" w:pos="2977"/>
        </w:tabs>
        <w:overflowPunct/>
        <w:autoSpaceDE/>
        <w:autoSpaceDN/>
        <w:adjustRightInd/>
        <w:ind w:left="3960" w:firstLine="0"/>
        <w:textAlignment w:val="auto"/>
        <w:rPr>
          <w:rFonts w:ascii="Arial" w:hAnsi="Arial"/>
          <w:noProof/>
          <w:snapToGrid w:val="0"/>
          <w:sz w:val="16"/>
          <w:szCs w:val="24"/>
        </w:rPr>
      </w:pPr>
      <w:r w:rsidRPr="00091151">
        <w:rPr>
          <w:rFonts w:ascii="Arial" w:hAnsi="Arial"/>
          <w:noProof/>
          <w:snapToGrid w:val="0"/>
          <w:sz w:val="16"/>
          <w:szCs w:val="24"/>
        </w:rPr>
        <w:t>GEMEINSAME EXPERTENTAGUNG FÜR DIE DEM ÜBEREINKOMMEN ÜBER DIE INTERNATIONALE BEFÖRDERUNG VON GEFÄHRLICHEN GÜTERN AUF BINNENWASSERSTRAẞEN (ADN) BEIGEFÜGTE VERORDNUNG (SICHERHEITSAUSSCHUSS)</w:t>
      </w:r>
    </w:p>
    <w:p w14:paraId="0B45FF67" w14:textId="77777777" w:rsidR="002D5664" w:rsidRPr="00091151" w:rsidRDefault="002D5664" w:rsidP="002D5664">
      <w:pPr>
        <w:widowControl/>
        <w:tabs>
          <w:tab w:val="left" w:pos="2977"/>
        </w:tabs>
        <w:overflowPunct/>
        <w:autoSpaceDE/>
        <w:adjustRightInd/>
        <w:snapToGrid w:val="0"/>
        <w:ind w:left="3960" w:firstLine="0"/>
        <w:jc w:val="left"/>
        <w:textAlignment w:val="auto"/>
        <w:rPr>
          <w:rFonts w:ascii="Arial" w:hAnsi="Arial"/>
          <w:sz w:val="16"/>
          <w:szCs w:val="24"/>
        </w:rPr>
      </w:pPr>
      <w:r w:rsidRPr="00091151">
        <w:rPr>
          <w:rFonts w:ascii="Arial" w:hAnsi="Arial"/>
          <w:sz w:val="16"/>
          <w:szCs w:val="24"/>
        </w:rPr>
        <w:t>(36. Tagung, Genf, 27. - 31. Januar 2020)</w:t>
      </w:r>
    </w:p>
    <w:p w14:paraId="780A9F04" w14:textId="1671E54F" w:rsidR="0022634C" w:rsidRPr="00091151" w:rsidRDefault="0022634C" w:rsidP="0022634C">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091151">
        <w:rPr>
          <w:rFonts w:ascii="Arial" w:hAnsi="Arial" w:cs="Arial"/>
          <w:sz w:val="16"/>
          <w:szCs w:val="16"/>
          <w:lang w:eastAsia="en-US"/>
        </w:rPr>
        <w:t xml:space="preserve">Punkt 5 b) </w:t>
      </w:r>
      <w:r w:rsidR="007E2413" w:rsidRPr="00091151">
        <w:rPr>
          <w:rFonts w:ascii="Arial" w:hAnsi="Arial" w:cs="Arial"/>
          <w:sz w:val="16"/>
          <w:szCs w:val="16"/>
          <w:lang w:eastAsia="en-US"/>
        </w:rPr>
        <w:t xml:space="preserve">der </w:t>
      </w:r>
      <w:r w:rsidRPr="00091151">
        <w:rPr>
          <w:rFonts w:ascii="Arial" w:hAnsi="Arial" w:cs="Arial"/>
          <w:sz w:val="16"/>
          <w:szCs w:val="16"/>
          <w:lang w:eastAsia="en-US"/>
        </w:rPr>
        <w:t>vorläufigen Tagesordnung</w:t>
      </w:r>
    </w:p>
    <w:p w14:paraId="4A8354CA" w14:textId="77777777" w:rsidR="0022634C" w:rsidRPr="00091151" w:rsidRDefault="0022634C" w:rsidP="0022634C">
      <w:pPr>
        <w:spacing w:after="120"/>
        <w:ind w:left="3958" w:firstLine="11"/>
        <w:rPr>
          <w:rFonts w:ascii="Arial" w:hAnsi="Arial" w:cs="Arial"/>
          <w:b/>
          <w:sz w:val="16"/>
          <w:szCs w:val="16"/>
          <w:lang w:eastAsia="en-US"/>
        </w:rPr>
      </w:pPr>
      <w:r w:rsidRPr="00091151">
        <w:rPr>
          <w:rFonts w:ascii="Arial" w:hAnsi="Arial" w:cs="Arial"/>
          <w:b/>
          <w:sz w:val="16"/>
          <w:szCs w:val="16"/>
          <w:lang w:eastAsia="en-US"/>
        </w:rPr>
        <w:t>Vorschläge für Änderungen der dem ADN beigefügten Verordnung: Weitere Änderungsvorschläge</w:t>
      </w:r>
    </w:p>
    <w:p w14:paraId="79D9BCF8" w14:textId="19178059" w:rsidR="0022634C" w:rsidRPr="00091151" w:rsidRDefault="002C0F3E" w:rsidP="0022634C">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rPr>
      </w:pPr>
      <w:r w:rsidRPr="00091151">
        <w:rPr>
          <w:b/>
          <w:sz w:val="28"/>
          <w:lang w:val="en-GB"/>
        </w:rPr>
        <w:tab/>
      </w:r>
      <w:r w:rsidRPr="00091151">
        <w:rPr>
          <w:b/>
          <w:sz w:val="28"/>
          <w:lang w:val="en-GB"/>
        </w:rPr>
        <w:tab/>
      </w:r>
      <w:r w:rsidR="0022634C" w:rsidRPr="00091151">
        <w:rPr>
          <w:b/>
          <w:sz w:val="28"/>
          <w:lang w:val="en-GB"/>
        </w:rPr>
        <w:t xml:space="preserve">9.3.3.13.4 </w:t>
      </w:r>
      <w:r w:rsidR="006B037F" w:rsidRPr="00091151">
        <w:rPr>
          <w:b/>
          <w:sz w:val="28"/>
          <w:lang w:val="en-GB"/>
        </w:rPr>
        <w:t xml:space="preserve">des </w:t>
      </w:r>
      <w:r w:rsidR="0022634C" w:rsidRPr="00091151">
        <w:rPr>
          <w:b/>
          <w:sz w:val="28"/>
          <w:lang w:val="en-GB"/>
        </w:rPr>
        <w:t>ADN</w:t>
      </w:r>
    </w:p>
    <w:p w14:paraId="52DAAEED" w14:textId="4151847D" w:rsidR="002D5664" w:rsidRPr="00091151" w:rsidRDefault="00EF41A3" w:rsidP="002C0F3E">
      <w:pPr>
        <w:keepNext/>
        <w:keepLines/>
        <w:widowControl/>
        <w:suppressAutoHyphens/>
        <w:overflowPunct/>
        <w:autoSpaceDE/>
        <w:autoSpaceDN/>
        <w:adjustRightInd/>
        <w:spacing w:before="360" w:after="240" w:line="270" w:lineRule="exact"/>
        <w:ind w:right="-2" w:firstLine="0"/>
        <w:jc w:val="left"/>
        <w:textAlignment w:val="auto"/>
        <w:rPr>
          <w:b/>
          <w:bCs/>
          <w:vertAlign w:val="superscript"/>
          <w:lang w:eastAsia="en-US"/>
        </w:rPr>
      </w:pPr>
      <w:r w:rsidRPr="00091151">
        <w:rPr>
          <w:b/>
          <w:sz w:val="24"/>
        </w:rPr>
        <w:t xml:space="preserve">Vorgelegt von </w:t>
      </w:r>
      <w:r w:rsidR="002C0F3E" w:rsidRPr="00091151">
        <w:rPr>
          <w:b/>
          <w:sz w:val="24"/>
        </w:rPr>
        <w:t>den empfohlenen ADN-Klassifikationsgesellschaften</w:t>
      </w:r>
      <w:r w:rsidRPr="00091151">
        <w:rPr>
          <w:b/>
          <w:sz w:val="24"/>
        </w:rPr>
        <w:t xml:space="preserve"> </w:t>
      </w:r>
      <w:r w:rsidR="002D5664" w:rsidRPr="00091151">
        <w:rPr>
          <w:bCs/>
          <w:vertAlign w:val="superscript"/>
          <w:lang w:eastAsia="en-US"/>
        </w:rPr>
        <w:footnoteReference w:customMarkFollows="1" w:id="1"/>
        <w:t>*,</w:t>
      </w:r>
      <w:r w:rsidR="002D5664" w:rsidRPr="00091151">
        <w:rPr>
          <w:bCs/>
          <w:vertAlign w:val="superscript"/>
          <w:lang w:eastAsia="en-US"/>
        </w:rPr>
        <w:footnoteReference w:customMarkFollows="1" w:id="2"/>
        <w:t>**</w:t>
      </w:r>
    </w:p>
    <w:p w14:paraId="4C480B47" w14:textId="08B3E43B" w:rsidR="0022634C" w:rsidRPr="00091151" w:rsidRDefault="0022634C" w:rsidP="0022634C">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US" w:eastAsia="en-US"/>
        </w:rPr>
      </w:pPr>
      <w:r w:rsidRPr="00091151">
        <w:rPr>
          <w:b/>
          <w:sz w:val="28"/>
          <w:lang w:val="en-US" w:eastAsia="en-US"/>
        </w:rPr>
        <w:tab/>
      </w:r>
      <w:r w:rsidRPr="00091151">
        <w:rPr>
          <w:b/>
          <w:sz w:val="28"/>
          <w:lang w:val="en-US" w:eastAsia="en-US"/>
        </w:rPr>
        <w:tab/>
        <w:t>Einleitung</w:t>
      </w:r>
    </w:p>
    <w:p w14:paraId="02E57272" w14:textId="2B2A852A" w:rsidR="0022634C" w:rsidRPr="00091151" w:rsidRDefault="0022634C" w:rsidP="00D241C2">
      <w:pPr>
        <w:widowControl/>
        <w:tabs>
          <w:tab w:val="left" w:pos="1701"/>
        </w:tabs>
        <w:suppressAutoHyphens/>
        <w:overflowPunct/>
        <w:autoSpaceDE/>
        <w:autoSpaceDN/>
        <w:adjustRightInd/>
        <w:spacing w:after="120" w:line="240" w:lineRule="atLeast"/>
        <w:ind w:right="1134" w:firstLine="0"/>
        <w:textAlignment w:val="auto"/>
        <w:rPr>
          <w:lang w:val="en-GB"/>
        </w:rPr>
      </w:pPr>
      <w:r w:rsidRPr="00091151">
        <w:rPr>
          <w:lang w:val="en-GB"/>
        </w:rPr>
        <w:t>1.</w:t>
      </w:r>
      <w:r w:rsidRPr="00091151">
        <w:rPr>
          <w:lang w:val="en-GB"/>
        </w:rPr>
        <w:tab/>
      </w:r>
      <w:r w:rsidR="007E4F29" w:rsidRPr="00091151">
        <w:t>Im Jahr 2007 wurde Absatz 9.3.3.13.3 der Verordnung über die Beförderung gefährlicher Güter auf dem Rhein (ADNR) grundlegend geändert, um neue Anforderungen an die Leckstabilität für Doppelhüllen-Tankschiffe des Typs N / mit unabhängigen Ladetanks einzuführen.</w:t>
      </w:r>
      <w:r w:rsidRPr="00091151">
        <w:rPr>
          <w:lang w:val="en-GB"/>
        </w:rPr>
        <w:t xml:space="preserve"> </w:t>
      </w:r>
      <w:r w:rsidR="007E4F29" w:rsidRPr="00091151">
        <w:t xml:space="preserve">Zu diesem Zweck wurde </w:t>
      </w:r>
      <w:r w:rsidR="002F1D38" w:rsidRPr="00091151">
        <w:t xml:space="preserve">diesem Absatz </w:t>
      </w:r>
      <w:r w:rsidR="007E4F29" w:rsidRPr="00091151">
        <w:t xml:space="preserve">ein zweiter </w:t>
      </w:r>
      <w:r w:rsidR="00997A97" w:rsidRPr="00091151">
        <w:t>Teil</w:t>
      </w:r>
      <w:r w:rsidR="007E4F29" w:rsidRPr="00091151">
        <w:t xml:space="preserve"> hinzugefügt.</w:t>
      </w:r>
    </w:p>
    <w:p w14:paraId="3764361D" w14:textId="1626311B" w:rsidR="0022634C" w:rsidRPr="00091151" w:rsidRDefault="0022634C" w:rsidP="00D241C2">
      <w:pPr>
        <w:widowControl/>
        <w:tabs>
          <w:tab w:val="left" w:pos="1701"/>
        </w:tabs>
        <w:suppressAutoHyphens/>
        <w:overflowPunct/>
        <w:autoSpaceDE/>
        <w:autoSpaceDN/>
        <w:adjustRightInd/>
        <w:spacing w:after="120" w:line="240" w:lineRule="atLeast"/>
        <w:ind w:right="1134" w:firstLine="0"/>
        <w:textAlignment w:val="auto"/>
        <w:rPr>
          <w:lang w:val="en-GB"/>
        </w:rPr>
      </w:pPr>
      <w:r w:rsidRPr="00091151">
        <w:rPr>
          <w:lang w:val="en-GB"/>
        </w:rPr>
        <w:t>2.</w:t>
      </w:r>
      <w:r w:rsidRPr="00091151">
        <w:rPr>
          <w:lang w:val="en-GB"/>
        </w:rPr>
        <w:tab/>
      </w:r>
      <w:r w:rsidR="007E4F29" w:rsidRPr="00091151">
        <w:t xml:space="preserve">Der zweite </w:t>
      </w:r>
      <w:r w:rsidR="00997A97" w:rsidRPr="00091151">
        <w:t>Teil</w:t>
      </w:r>
      <w:r w:rsidR="007E4F29" w:rsidRPr="00091151">
        <w:t xml:space="preserve"> von </w:t>
      </w:r>
      <w:r w:rsidR="00997A97" w:rsidRPr="00091151">
        <w:t>Absatz</w:t>
      </w:r>
      <w:r w:rsidR="007E4F29" w:rsidRPr="00091151">
        <w:t xml:space="preserve"> 9.3.3.13.3 besagt, dass eine Berechnung der Leckstabilität erforderlich ist.</w:t>
      </w:r>
    </w:p>
    <w:p w14:paraId="1A7CC0F2" w14:textId="2E171E30" w:rsidR="0022634C" w:rsidRPr="00091151" w:rsidRDefault="0022634C" w:rsidP="00D241C2">
      <w:pPr>
        <w:widowControl/>
        <w:tabs>
          <w:tab w:val="left" w:pos="1701"/>
        </w:tabs>
        <w:suppressAutoHyphens/>
        <w:overflowPunct/>
        <w:autoSpaceDE/>
        <w:autoSpaceDN/>
        <w:adjustRightInd/>
        <w:spacing w:after="120" w:line="240" w:lineRule="atLeast"/>
        <w:ind w:right="1134" w:firstLine="0"/>
        <w:textAlignment w:val="auto"/>
        <w:rPr>
          <w:lang w:val="en-GB"/>
        </w:rPr>
      </w:pPr>
      <w:r w:rsidRPr="00091151">
        <w:rPr>
          <w:lang w:val="en-GB"/>
        </w:rPr>
        <w:t>3.</w:t>
      </w:r>
      <w:r w:rsidRPr="00091151">
        <w:rPr>
          <w:lang w:val="en-GB"/>
        </w:rPr>
        <w:tab/>
      </w:r>
      <w:r w:rsidR="00EE1D96" w:rsidRPr="00091151">
        <w:t>Unterabschnitt</w:t>
      </w:r>
      <w:r w:rsidR="00997A97" w:rsidRPr="00091151">
        <w:t xml:space="preserve"> 9.3.3.15 enthält die zu berücksichtigenden Kriterien.</w:t>
      </w:r>
    </w:p>
    <w:p w14:paraId="3F02B631" w14:textId="51EEB693" w:rsidR="0022634C" w:rsidRPr="00091151" w:rsidRDefault="0022634C" w:rsidP="00D241C2">
      <w:pPr>
        <w:widowControl/>
        <w:tabs>
          <w:tab w:val="left" w:pos="1701"/>
        </w:tabs>
        <w:suppressAutoHyphens/>
        <w:overflowPunct/>
        <w:autoSpaceDE/>
        <w:autoSpaceDN/>
        <w:adjustRightInd/>
        <w:spacing w:after="120" w:line="240" w:lineRule="atLeast"/>
        <w:ind w:right="1134" w:firstLine="0"/>
        <w:textAlignment w:val="auto"/>
        <w:rPr>
          <w:lang w:val="en-GB"/>
        </w:rPr>
      </w:pPr>
      <w:r w:rsidRPr="00091151">
        <w:rPr>
          <w:lang w:val="en-GB"/>
        </w:rPr>
        <w:t>4.</w:t>
      </w:r>
      <w:r w:rsidRPr="00091151">
        <w:rPr>
          <w:lang w:val="en-GB"/>
        </w:rPr>
        <w:tab/>
      </w:r>
      <w:r w:rsidR="0099510A" w:rsidRPr="00091151">
        <w:t xml:space="preserve">Mit den </w:t>
      </w:r>
      <w:r w:rsidR="00D2585D" w:rsidRPr="00091151">
        <w:t>anschließenden</w:t>
      </w:r>
      <w:r w:rsidR="0099510A" w:rsidRPr="00091151">
        <w:t xml:space="preserve"> Überarbeitungen der ADNR und des ADN wurde der zweite </w:t>
      </w:r>
      <w:r w:rsidR="00D2585D" w:rsidRPr="00091151">
        <w:t>Teil</w:t>
      </w:r>
      <w:r w:rsidR="0099510A" w:rsidRPr="00091151">
        <w:t xml:space="preserve"> des A</w:t>
      </w:r>
      <w:r w:rsidR="00D2585D" w:rsidRPr="00091151">
        <w:t>bsatz</w:t>
      </w:r>
      <w:r w:rsidR="0099510A" w:rsidRPr="00091151">
        <w:t>es 9.3.3.13.3 mehrmals geändert, wobei d</w:t>
      </w:r>
      <w:r w:rsidR="00FB4193" w:rsidRPr="00091151">
        <w:t>er</w:t>
      </w:r>
      <w:r w:rsidR="0099510A" w:rsidRPr="00091151">
        <w:t xml:space="preserve"> Z</w:t>
      </w:r>
      <w:r w:rsidR="00FB4193" w:rsidRPr="00091151">
        <w:t>weck</w:t>
      </w:r>
      <w:r w:rsidR="0099510A" w:rsidRPr="00091151">
        <w:t xml:space="preserve"> jedoch unverändert </w:t>
      </w:r>
      <w:r w:rsidR="00D2585D" w:rsidRPr="00091151">
        <w:t>ge</w:t>
      </w:r>
      <w:r w:rsidR="0099510A" w:rsidRPr="00091151">
        <w:t>bli</w:t>
      </w:r>
      <w:r w:rsidR="00D2585D" w:rsidRPr="00091151">
        <w:t>e</w:t>
      </w:r>
      <w:r w:rsidR="0099510A" w:rsidRPr="00091151">
        <w:t>b</w:t>
      </w:r>
      <w:r w:rsidR="00D2585D" w:rsidRPr="00091151">
        <w:t>en is</w:t>
      </w:r>
      <w:r w:rsidR="0099510A" w:rsidRPr="00091151">
        <w:t>t</w:t>
      </w:r>
      <w:r w:rsidR="00E314EA" w:rsidRPr="00091151">
        <w:t>:</w:t>
      </w:r>
      <w:r w:rsidR="0099510A" w:rsidRPr="00091151">
        <w:t xml:space="preserve"> d</w:t>
      </w:r>
      <w:r w:rsidR="00EE1D96" w:rsidRPr="00091151">
        <w:t>as Vorschre</w:t>
      </w:r>
      <w:r w:rsidR="0099510A" w:rsidRPr="00091151">
        <w:t>i</w:t>
      </w:r>
      <w:r w:rsidR="00EE1D96" w:rsidRPr="00091151">
        <w:t>b</w:t>
      </w:r>
      <w:r w:rsidR="0099510A" w:rsidRPr="00091151">
        <w:t>e</w:t>
      </w:r>
      <w:r w:rsidR="00EE1D96" w:rsidRPr="00091151">
        <w:t>n</w:t>
      </w:r>
      <w:r w:rsidR="0099510A" w:rsidRPr="00091151">
        <w:t xml:space="preserve"> </w:t>
      </w:r>
      <w:r w:rsidR="00EE1D96" w:rsidRPr="00091151">
        <w:t xml:space="preserve">der </w:t>
      </w:r>
      <w:r w:rsidR="00E71FD1" w:rsidRPr="00091151">
        <w:t>Leckstabilität</w:t>
      </w:r>
      <w:r w:rsidR="0099510A" w:rsidRPr="00091151">
        <w:t xml:space="preserve"> </w:t>
      </w:r>
      <w:r w:rsidR="00D2585D" w:rsidRPr="00091151">
        <w:t>bei</w:t>
      </w:r>
      <w:r w:rsidR="0099510A" w:rsidRPr="00091151">
        <w:t xml:space="preserve"> Doppelhüllen</w:t>
      </w:r>
      <w:r w:rsidR="00D2585D" w:rsidRPr="00091151">
        <w:t>bauweise</w:t>
      </w:r>
      <w:r w:rsidR="0099510A" w:rsidRPr="00091151">
        <w:t xml:space="preserve"> / unabhängige</w:t>
      </w:r>
      <w:r w:rsidR="00D2585D" w:rsidRPr="00091151">
        <w:t>n</w:t>
      </w:r>
      <w:r w:rsidR="0099510A" w:rsidRPr="00091151">
        <w:t xml:space="preserve"> </w:t>
      </w:r>
      <w:r w:rsidR="00D2585D" w:rsidRPr="00091151">
        <w:t>Ladet</w:t>
      </w:r>
      <w:r w:rsidR="0099510A" w:rsidRPr="00091151">
        <w:t>anks</w:t>
      </w:r>
      <w:r w:rsidR="00D2585D" w:rsidRPr="00091151">
        <w:t>.</w:t>
      </w:r>
    </w:p>
    <w:p w14:paraId="66144B11" w14:textId="2DDE2346" w:rsidR="0022634C" w:rsidRPr="00091151" w:rsidRDefault="0022634C" w:rsidP="00D241C2">
      <w:pPr>
        <w:widowControl/>
        <w:tabs>
          <w:tab w:val="left" w:pos="1701"/>
        </w:tabs>
        <w:suppressAutoHyphens/>
        <w:overflowPunct/>
        <w:autoSpaceDE/>
        <w:autoSpaceDN/>
        <w:adjustRightInd/>
        <w:spacing w:after="120" w:line="240" w:lineRule="atLeast"/>
        <w:ind w:right="1134" w:firstLine="0"/>
        <w:textAlignment w:val="auto"/>
        <w:rPr>
          <w:lang w:val="en-GB"/>
        </w:rPr>
      </w:pPr>
      <w:r w:rsidRPr="00091151">
        <w:rPr>
          <w:lang w:val="en-GB"/>
        </w:rPr>
        <w:t>5.</w:t>
      </w:r>
      <w:r w:rsidRPr="00091151">
        <w:rPr>
          <w:lang w:val="en-GB"/>
        </w:rPr>
        <w:tab/>
      </w:r>
      <w:r w:rsidR="00EB24AF" w:rsidRPr="00091151">
        <w:t>Für bestehende Schiffe, die vor 2007 gebaut wurden, sollte die Übergangsvorschrift so bleiben, wie sie im ADN festgelegt ist, da diese Schiffe andernfalls den Anforderungen an die Leckstabilität genügen müssten und die meisten von ihnen nicht dafür ausgelegt sind.</w:t>
      </w:r>
    </w:p>
    <w:p w14:paraId="3390C024" w14:textId="5CA60A7C" w:rsidR="0022634C" w:rsidRPr="00091151" w:rsidRDefault="0022634C" w:rsidP="00D241C2">
      <w:pPr>
        <w:widowControl/>
        <w:tabs>
          <w:tab w:val="left" w:pos="1701"/>
        </w:tabs>
        <w:suppressAutoHyphens/>
        <w:overflowPunct/>
        <w:autoSpaceDE/>
        <w:autoSpaceDN/>
        <w:adjustRightInd/>
        <w:spacing w:after="120" w:line="240" w:lineRule="atLeast"/>
        <w:ind w:right="1134" w:firstLine="0"/>
        <w:textAlignment w:val="auto"/>
        <w:rPr>
          <w:b/>
          <w:color w:val="000000"/>
          <w:u w:val="single"/>
          <w:lang w:val="en-GB"/>
        </w:rPr>
      </w:pPr>
      <w:r w:rsidRPr="00091151">
        <w:rPr>
          <w:lang w:val="en-GB"/>
        </w:rPr>
        <w:t>6.</w:t>
      </w:r>
      <w:r w:rsidRPr="00091151">
        <w:rPr>
          <w:lang w:val="en-GB"/>
        </w:rPr>
        <w:tab/>
      </w:r>
      <w:r w:rsidR="00E314EA" w:rsidRPr="00091151">
        <w:t>Im Fo</w:t>
      </w:r>
      <w:r w:rsidR="00EB24AF" w:rsidRPr="00091151">
        <w:t>lgend</w:t>
      </w:r>
      <w:r w:rsidR="00E314EA" w:rsidRPr="00091151">
        <w:t>en sind</w:t>
      </w:r>
      <w:r w:rsidR="00EB24AF" w:rsidRPr="00091151">
        <w:t xml:space="preserve"> Auszüge aus dem ADN aufgeführt, </w:t>
      </w:r>
      <w:r w:rsidR="00E314EA" w:rsidRPr="00091151">
        <w:t>die</w:t>
      </w:r>
      <w:r w:rsidR="00EB24AF" w:rsidRPr="00091151">
        <w:t xml:space="preserve"> die Entwicklung der ADN-Verordnung zeigen.</w:t>
      </w:r>
      <w:r w:rsidRPr="00091151">
        <w:rPr>
          <w:lang w:val="en-GB"/>
        </w:rPr>
        <w:t xml:space="preserve"> </w:t>
      </w:r>
    </w:p>
    <w:p w14:paraId="405ECD37" w14:textId="77777777" w:rsidR="00091151" w:rsidRPr="00091151" w:rsidRDefault="00091151">
      <w:pPr>
        <w:widowControl/>
        <w:overflowPunct/>
        <w:autoSpaceDE/>
        <w:autoSpaceDN/>
        <w:adjustRightInd/>
        <w:ind w:left="0" w:firstLine="0"/>
        <w:jc w:val="left"/>
        <w:textAlignment w:val="auto"/>
        <w:rPr>
          <w:b/>
          <w:lang w:val="en-GB"/>
        </w:rPr>
      </w:pPr>
      <w:r w:rsidRPr="00091151">
        <w:rPr>
          <w:b/>
          <w:lang w:val="en-GB"/>
        </w:rPr>
        <w:br w:type="page"/>
      </w:r>
    </w:p>
    <w:p w14:paraId="5327ED4F" w14:textId="7539AAEA" w:rsidR="0022634C" w:rsidRPr="00091151" w:rsidRDefault="0022634C" w:rsidP="00E71FD1">
      <w:pPr>
        <w:keepNext/>
        <w:keepLines/>
        <w:widowControl/>
        <w:tabs>
          <w:tab w:val="right" w:pos="851"/>
          <w:tab w:val="left" w:pos="1701"/>
        </w:tabs>
        <w:suppressAutoHyphens/>
        <w:overflowPunct/>
        <w:autoSpaceDE/>
        <w:autoSpaceDN/>
        <w:adjustRightInd/>
        <w:spacing w:before="240" w:after="120" w:line="240" w:lineRule="exact"/>
        <w:ind w:right="1134"/>
        <w:textAlignment w:val="auto"/>
        <w:rPr>
          <w:b/>
          <w:lang w:val="en-GB"/>
        </w:rPr>
      </w:pPr>
      <w:r w:rsidRPr="00091151">
        <w:rPr>
          <w:b/>
          <w:lang w:val="en-GB"/>
        </w:rPr>
        <w:lastRenderedPageBreak/>
        <w:tab/>
        <w:t>1.</w:t>
      </w:r>
      <w:r w:rsidRPr="00091151">
        <w:rPr>
          <w:b/>
          <w:lang w:val="en-GB"/>
        </w:rPr>
        <w:tab/>
      </w:r>
      <w:r w:rsidR="00EB24AF" w:rsidRPr="00091151">
        <w:rPr>
          <w:b/>
        </w:rPr>
        <w:t>ADN 2011 (Leckstabilität</w:t>
      </w:r>
      <w:r w:rsidR="00E71FD1" w:rsidRPr="00091151">
        <w:rPr>
          <w:b/>
        </w:rPr>
        <w:t>sanforderung in Absatz</w:t>
      </w:r>
      <w:r w:rsidR="00EB24AF" w:rsidRPr="00091151">
        <w:rPr>
          <w:b/>
        </w:rPr>
        <w:t xml:space="preserve"> </w:t>
      </w:r>
      <w:r w:rsidR="00E71FD1" w:rsidRPr="00091151">
        <w:rPr>
          <w:b/>
        </w:rPr>
        <w:t>9.3.3.13.3 Absatz 2 mit Übergangsvorschriften</w:t>
      </w:r>
      <w:r w:rsidR="00EB24AF" w:rsidRPr="00091151">
        <w:rPr>
          <w:b/>
        </w:rPr>
        <w:t>)</w:t>
      </w:r>
    </w:p>
    <w:p w14:paraId="4080E5E1" w14:textId="2747FBEF" w:rsidR="0022634C" w:rsidRPr="00091151" w:rsidRDefault="0022634C" w:rsidP="0022634C">
      <w:pPr>
        <w:tabs>
          <w:tab w:val="left" w:pos="1701"/>
        </w:tabs>
        <w:spacing w:before="180" w:line="240" w:lineRule="atLeast"/>
        <w:ind w:right="1132" w:firstLine="0"/>
        <w:rPr>
          <w:b/>
        </w:rPr>
      </w:pPr>
      <w:r w:rsidRPr="00091151">
        <w:rPr>
          <w:b/>
        </w:rPr>
        <w:t>„9.3.3.13</w:t>
      </w:r>
      <w:r w:rsidRPr="00091151">
        <w:rPr>
          <w:b/>
        </w:rPr>
        <w:tab/>
        <w:t>Stabilität (allgemein)</w:t>
      </w:r>
    </w:p>
    <w:p w14:paraId="2BFFCCC5" w14:textId="0F8308E5" w:rsidR="0022634C" w:rsidRPr="00091151" w:rsidRDefault="0022634C" w:rsidP="0022634C">
      <w:pPr>
        <w:tabs>
          <w:tab w:val="left" w:pos="1701"/>
        </w:tabs>
        <w:spacing w:before="180" w:line="240" w:lineRule="atLeast"/>
        <w:ind w:right="1132" w:firstLine="0"/>
        <w:rPr>
          <w:bCs/>
        </w:rPr>
      </w:pPr>
      <w:r w:rsidRPr="00091151">
        <w:rPr>
          <w:bCs/>
        </w:rPr>
        <w:t>9.3.3.13.1</w:t>
      </w:r>
      <w:r w:rsidRPr="00091151">
        <w:rPr>
          <w:bCs/>
        </w:rPr>
        <w:tab/>
        <w:t>Eine ausreichende Stabilität muss nachgewiesen sein. Für Schiffe in Einhüllenbauweise mit Ladetankbreiten kleiner oder gleich 0,70 B ist dieser Nachweis nicht erforderlich.</w:t>
      </w:r>
    </w:p>
    <w:p w14:paraId="0F5F763D" w14:textId="77777777" w:rsidR="0022634C" w:rsidRPr="00091151" w:rsidRDefault="0022634C" w:rsidP="0022634C">
      <w:pPr>
        <w:tabs>
          <w:tab w:val="left" w:pos="1701"/>
        </w:tabs>
        <w:spacing w:before="180" w:line="240" w:lineRule="atLeast"/>
        <w:ind w:right="1132" w:firstLine="0"/>
      </w:pPr>
      <w:r w:rsidRPr="00091151">
        <w:rPr>
          <w:bCs/>
        </w:rPr>
        <w:t>9.3.3.13.2</w:t>
      </w:r>
      <w:r w:rsidRPr="00091151">
        <w:rPr>
          <w:bCs/>
        </w:rPr>
        <w:tab/>
        <w:t>Die Grundwerte für die Stabilitätsberechnung – Schiffsleergewicht und Lage des Gewichtsschwerpunktes – müssen entweder durch einen Krängungsversuch oder durch eine detaillierte Gewichtsberechnung</w:t>
      </w:r>
      <w:r w:rsidRPr="00091151">
        <w:t xml:space="preserve"> ermittelt werden. Hierbei muss das Schiffsleergewicht durch einen Tiefgangsnachweis am Schiff kontrolliert werden, wobei die durch Gewichtsberechnung ermittelten Massen nicht mehr als ± 5 % von dem durch Tiefgangsablesung ermittelten Deplacement abweichen dürfen.</w:t>
      </w:r>
    </w:p>
    <w:p w14:paraId="5C47BF60" w14:textId="77777777" w:rsidR="0022634C" w:rsidRPr="00091151" w:rsidRDefault="0022634C" w:rsidP="0022634C">
      <w:pPr>
        <w:tabs>
          <w:tab w:val="left" w:pos="1701"/>
        </w:tabs>
        <w:spacing w:before="180" w:line="240" w:lineRule="atLeast"/>
        <w:ind w:right="1132" w:firstLine="0"/>
      </w:pPr>
      <w:r w:rsidRPr="00091151">
        <w:rPr>
          <w:bCs/>
        </w:rPr>
        <w:t>9.3.3.13.3</w:t>
      </w:r>
      <w:r w:rsidRPr="00091151">
        <w:rPr>
          <w:bCs/>
        </w:rPr>
        <w:tab/>
        <w:t>Ausreichende</w:t>
      </w:r>
      <w:r w:rsidRPr="00091151">
        <w:t xml:space="preserve"> Intaktstabilität muss für alle Stadien des Be- und Entladens und für den Endbeladungszustand nachgewiesen werden.</w:t>
      </w:r>
    </w:p>
    <w:p w14:paraId="31D5F0DF" w14:textId="77777777" w:rsidR="0022634C" w:rsidRPr="00091151" w:rsidRDefault="0022634C" w:rsidP="0022634C">
      <w:pPr>
        <w:tabs>
          <w:tab w:val="left" w:pos="1701"/>
        </w:tabs>
        <w:spacing w:before="180" w:line="240" w:lineRule="atLeast"/>
        <w:ind w:right="1132" w:firstLine="0"/>
      </w:pPr>
      <w:r w:rsidRPr="00091151">
        <w:rPr>
          <w:b/>
          <w:bCs/>
        </w:rPr>
        <w:t>Bei Schiffen mit unabhängigen Ladetanks und bei Doppelhüllenbauweise mit in den Schiffsverbänden integrierten Ladetanks muss die Schwimmfähigkeit im Leckfall für den ungünstigsten Beladungszustand nachgewiesen werden.</w:t>
      </w:r>
      <w:r w:rsidRPr="00091151">
        <w:t xml:space="preserve"> </w:t>
      </w:r>
    </w:p>
    <w:p w14:paraId="4785AF13" w14:textId="25BF03C2" w:rsidR="0022634C" w:rsidRPr="00091151" w:rsidRDefault="0022634C" w:rsidP="0022634C">
      <w:pPr>
        <w:tabs>
          <w:tab w:val="left" w:pos="1701"/>
        </w:tabs>
        <w:spacing w:before="180" w:line="240" w:lineRule="atLeast"/>
        <w:ind w:right="1132" w:firstLine="0"/>
      </w:pPr>
      <w:r w:rsidRPr="00091151">
        <w:t>Hierbei muss für die kritischen Zwischenzustände und für den Endzustand der Flutung der rechnerische Nachweis der genügenden Stabilität erbracht werden. Treten in Zwischenzuständen negative Stabilitätswerte auf, können sie akzeptiert werden, wenn der weitere Verlauf der Leckhebelarmkurve ausreichende positive Stabilitätswerte aufweist.“.</w:t>
      </w:r>
    </w:p>
    <w:p w14:paraId="34FEDEC1" w14:textId="4DCD3658" w:rsidR="0022634C" w:rsidRPr="00091151" w:rsidRDefault="0022634C" w:rsidP="0022634C">
      <w:pPr>
        <w:widowControl/>
        <w:suppressAutoHyphens/>
        <w:overflowPunct/>
        <w:autoSpaceDE/>
        <w:autoSpaceDN/>
        <w:adjustRightInd/>
        <w:spacing w:before="120" w:after="240" w:line="240" w:lineRule="atLeast"/>
        <w:ind w:right="1134" w:firstLine="0"/>
        <w:textAlignment w:val="auto"/>
        <w:rPr>
          <w:lang w:val="en-US"/>
        </w:rPr>
      </w:pPr>
      <w:r w:rsidRPr="00091151">
        <w:rPr>
          <w:lang w:val="en-US"/>
        </w:rPr>
        <w:t xml:space="preserve">1.6.7.2.2.2 </w:t>
      </w:r>
      <w:bookmarkStart w:id="1" w:name="_Hlk24700173"/>
      <w:r w:rsidRPr="00091151">
        <w:rPr>
          <w:lang w:val="en-US"/>
        </w:rPr>
        <w:t xml:space="preserve">Tabelle der allgemeinen </w:t>
      </w:r>
      <w:r w:rsidRPr="00091151">
        <w:rPr>
          <w:b/>
          <w:bCs/>
          <w:u w:val="single"/>
          <w:lang w:val="en-US"/>
        </w:rPr>
        <w:t>Übergangsvorschriften</w:t>
      </w:r>
      <w:r w:rsidRPr="00091151">
        <w:rPr>
          <w:lang w:val="en-US"/>
        </w:rPr>
        <w:t>: Tankschiffe</w:t>
      </w:r>
      <w:bookmarkEnd w:id="1"/>
    </w:p>
    <w:tbl>
      <w:tblPr>
        <w:tblW w:w="7513" w:type="dxa"/>
        <w:tblInd w:w="843" w:type="dxa"/>
        <w:tblLayout w:type="fixed"/>
        <w:tblCellMar>
          <w:left w:w="70" w:type="dxa"/>
          <w:right w:w="70" w:type="dxa"/>
        </w:tblCellMar>
        <w:tblLook w:val="0000" w:firstRow="0" w:lastRow="0" w:firstColumn="0" w:lastColumn="0" w:noHBand="0" w:noVBand="0"/>
      </w:tblPr>
      <w:tblGrid>
        <w:gridCol w:w="1683"/>
        <w:gridCol w:w="2144"/>
        <w:gridCol w:w="3686"/>
      </w:tblGrid>
      <w:tr w:rsidR="0022634C" w:rsidRPr="00091151" w14:paraId="264F5483" w14:textId="77777777" w:rsidTr="0022634C">
        <w:trPr>
          <w:cantSplit/>
        </w:trPr>
        <w:tc>
          <w:tcPr>
            <w:tcW w:w="1683" w:type="dxa"/>
            <w:tcBorders>
              <w:top w:val="single" w:sz="6" w:space="0" w:color="auto"/>
              <w:left w:val="single" w:sz="6" w:space="0" w:color="auto"/>
              <w:bottom w:val="single" w:sz="6" w:space="0" w:color="auto"/>
              <w:right w:val="single" w:sz="6" w:space="0" w:color="auto"/>
            </w:tcBorders>
          </w:tcPr>
          <w:p w14:paraId="37EC4747" w14:textId="77777777" w:rsidR="0022634C" w:rsidRPr="00091151" w:rsidRDefault="0022634C" w:rsidP="006D24C5">
            <w:pPr>
              <w:pStyle w:val="N3"/>
              <w:tabs>
                <w:tab w:val="clear" w:pos="170"/>
              </w:tabs>
              <w:spacing w:before="60" w:after="60" w:line="240" w:lineRule="atLeast"/>
              <w:jc w:val="center"/>
              <w:rPr>
                <w:rFonts w:ascii="Times New Roman" w:hAnsi="Times New Roman"/>
                <w:sz w:val="20"/>
              </w:rPr>
            </w:pPr>
            <w:r w:rsidRPr="00091151">
              <w:rPr>
                <w:rFonts w:ascii="Times New Roman" w:hAnsi="Times New Roman"/>
                <w:sz w:val="20"/>
              </w:rPr>
              <w:t>9.3.1.13</w:t>
            </w:r>
            <w:r w:rsidRPr="00091151">
              <w:rPr>
                <w:rFonts w:ascii="Times New Roman" w:hAnsi="Times New Roman"/>
                <w:sz w:val="20"/>
              </w:rPr>
              <w:br/>
              <w:t>9.3.3.13</w:t>
            </w:r>
          </w:p>
        </w:tc>
        <w:tc>
          <w:tcPr>
            <w:tcW w:w="2144" w:type="dxa"/>
            <w:tcBorders>
              <w:top w:val="single" w:sz="6" w:space="0" w:color="auto"/>
              <w:left w:val="single" w:sz="6" w:space="0" w:color="auto"/>
              <w:bottom w:val="single" w:sz="6" w:space="0" w:color="auto"/>
              <w:right w:val="single" w:sz="6" w:space="0" w:color="auto"/>
            </w:tcBorders>
          </w:tcPr>
          <w:p w14:paraId="7E775358" w14:textId="77777777" w:rsidR="0022634C" w:rsidRPr="00091151" w:rsidRDefault="0022634C" w:rsidP="006D24C5">
            <w:pPr>
              <w:pStyle w:val="N3"/>
              <w:tabs>
                <w:tab w:val="clear" w:pos="170"/>
              </w:tabs>
              <w:spacing w:before="60" w:after="60" w:line="240" w:lineRule="atLeast"/>
              <w:rPr>
                <w:rFonts w:ascii="Times New Roman" w:hAnsi="Times New Roman"/>
                <w:sz w:val="20"/>
              </w:rPr>
            </w:pPr>
            <w:r w:rsidRPr="00091151">
              <w:rPr>
                <w:rFonts w:ascii="Times New Roman" w:hAnsi="Times New Roman"/>
                <w:sz w:val="20"/>
              </w:rPr>
              <w:t>Stabilität allgemein</w:t>
            </w:r>
          </w:p>
        </w:tc>
        <w:tc>
          <w:tcPr>
            <w:tcW w:w="3686" w:type="dxa"/>
            <w:tcBorders>
              <w:top w:val="single" w:sz="6" w:space="0" w:color="auto"/>
              <w:left w:val="single" w:sz="6" w:space="0" w:color="auto"/>
              <w:bottom w:val="single" w:sz="6" w:space="0" w:color="auto"/>
              <w:right w:val="single" w:sz="6" w:space="0" w:color="auto"/>
            </w:tcBorders>
          </w:tcPr>
          <w:p w14:paraId="42C54E08" w14:textId="7385A1E5" w:rsidR="0022634C" w:rsidRPr="00091151" w:rsidRDefault="0022634C" w:rsidP="006D24C5">
            <w:pPr>
              <w:pStyle w:val="N3"/>
              <w:tabs>
                <w:tab w:val="clear" w:pos="170"/>
              </w:tabs>
              <w:spacing w:before="60" w:after="60" w:line="240" w:lineRule="atLeast"/>
              <w:jc w:val="both"/>
              <w:rPr>
                <w:rFonts w:ascii="Times New Roman" w:hAnsi="Times New Roman"/>
                <w:sz w:val="20"/>
              </w:rPr>
            </w:pPr>
            <w:r w:rsidRPr="00091151">
              <w:rPr>
                <w:rFonts w:ascii="Times New Roman" w:hAnsi="Times New Roman"/>
                <w:sz w:val="20"/>
              </w:rPr>
              <w:t>N.E.U., Erneuerung des Zulassungszeugnisses nach dem 31. Dezember 2044</w:t>
            </w:r>
          </w:p>
        </w:tc>
      </w:tr>
      <w:tr w:rsidR="0022634C" w:rsidRPr="00091151" w14:paraId="0BDEED87" w14:textId="77777777" w:rsidTr="0022634C">
        <w:trPr>
          <w:cantSplit/>
        </w:trPr>
        <w:tc>
          <w:tcPr>
            <w:tcW w:w="1683" w:type="dxa"/>
            <w:tcBorders>
              <w:top w:val="single" w:sz="6" w:space="0" w:color="auto"/>
              <w:left w:val="single" w:sz="6" w:space="0" w:color="auto"/>
              <w:bottom w:val="single" w:sz="6" w:space="0" w:color="auto"/>
              <w:right w:val="single" w:sz="6" w:space="0" w:color="auto"/>
            </w:tcBorders>
          </w:tcPr>
          <w:p w14:paraId="4C69E3A1" w14:textId="77777777" w:rsidR="0022634C" w:rsidRPr="00091151" w:rsidRDefault="0022634C" w:rsidP="006D24C5">
            <w:pPr>
              <w:pStyle w:val="N3"/>
              <w:tabs>
                <w:tab w:val="clear" w:pos="170"/>
              </w:tabs>
              <w:spacing w:before="60" w:after="60" w:line="240" w:lineRule="atLeast"/>
              <w:jc w:val="center"/>
              <w:rPr>
                <w:rFonts w:ascii="Times New Roman" w:hAnsi="Times New Roman"/>
                <w:sz w:val="20"/>
              </w:rPr>
            </w:pPr>
            <w:r w:rsidRPr="00091151">
              <w:rPr>
                <w:rFonts w:ascii="Times New Roman" w:hAnsi="Times New Roman"/>
                <w:sz w:val="20"/>
              </w:rPr>
              <w:t>9.3.3.13.3</w:t>
            </w:r>
            <w:r w:rsidRPr="00091151">
              <w:rPr>
                <w:rFonts w:ascii="Times New Roman" w:hAnsi="Times New Roman"/>
                <w:sz w:val="20"/>
              </w:rPr>
              <w:br/>
              <w:t>Absatz 2</w:t>
            </w:r>
          </w:p>
        </w:tc>
        <w:tc>
          <w:tcPr>
            <w:tcW w:w="2144" w:type="dxa"/>
            <w:tcBorders>
              <w:top w:val="single" w:sz="6" w:space="0" w:color="auto"/>
              <w:left w:val="single" w:sz="6" w:space="0" w:color="auto"/>
              <w:bottom w:val="single" w:sz="6" w:space="0" w:color="auto"/>
              <w:right w:val="single" w:sz="6" w:space="0" w:color="auto"/>
            </w:tcBorders>
          </w:tcPr>
          <w:p w14:paraId="154E809E" w14:textId="77777777" w:rsidR="0022634C" w:rsidRPr="00091151" w:rsidRDefault="0022634C" w:rsidP="006D24C5">
            <w:pPr>
              <w:pStyle w:val="N3"/>
              <w:tabs>
                <w:tab w:val="clear" w:pos="170"/>
              </w:tabs>
              <w:spacing w:before="60" w:after="60" w:line="240" w:lineRule="atLeast"/>
              <w:rPr>
                <w:rFonts w:ascii="Times New Roman" w:hAnsi="Times New Roman"/>
                <w:sz w:val="20"/>
              </w:rPr>
            </w:pPr>
            <w:r w:rsidRPr="00091151">
              <w:rPr>
                <w:rFonts w:ascii="Times New Roman" w:hAnsi="Times New Roman"/>
                <w:sz w:val="20"/>
              </w:rPr>
              <w:t>Stabilität allgemein</w:t>
            </w:r>
          </w:p>
        </w:tc>
        <w:tc>
          <w:tcPr>
            <w:tcW w:w="3686" w:type="dxa"/>
            <w:tcBorders>
              <w:top w:val="single" w:sz="6" w:space="0" w:color="auto"/>
              <w:left w:val="single" w:sz="6" w:space="0" w:color="auto"/>
              <w:bottom w:val="single" w:sz="6" w:space="0" w:color="auto"/>
              <w:right w:val="single" w:sz="6" w:space="0" w:color="auto"/>
            </w:tcBorders>
          </w:tcPr>
          <w:p w14:paraId="7FA8DACD" w14:textId="77777777" w:rsidR="0022634C" w:rsidRPr="00091151" w:rsidRDefault="0022634C" w:rsidP="006D24C5">
            <w:pPr>
              <w:pStyle w:val="N3"/>
              <w:tabs>
                <w:tab w:val="clear" w:pos="170"/>
              </w:tabs>
              <w:spacing w:before="60" w:after="60" w:line="240" w:lineRule="atLeast"/>
              <w:jc w:val="both"/>
              <w:rPr>
                <w:rFonts w:ascii="Times New Roman" w:hAnsi="Times New Roman"/>
                <w:sz w:val="20"/>
              </w:rPr>
            </w:pPr>
            <w:r w:rsidRPr="00091151">
              <w:rPr>
                <w:rFonts w:ascii="Times New Roman" w:hAnsi="Times New Roman"/>
                <w:sz w:val="20"/>
              </w:rPr>
              <w:t>N.E.U. ab 1. Januar 2007, Erneuerung des Zulassungszeugnisses nach dem 31. Dezember 2044</w:t>
            </w:r>
          </w:p>
        </w:tc>
      </w:tr>
    </w:tbl>
    <w:p w14:paraId="5A75528C" w14:textId="30F8E553" w:rsidR="0022634C" w:rsidRPr="00091151" w:rsidRDefault="0022634C" w:rsidP="0022634C">
      <w:pPr>
        <w:keepNext/>
        <w:keepLines/>
        <w:widowControl/>
        <w:tabs>
          <w:tab w:val="right" w:pos="851"/>
        </w:tabs>
        <w:suppressAutoHyphens/>
        <w:overflowPunct/>
        <w:autoSpaceDE/>
        <w:autoSpaceDN/>
        <w:adjustRightInd/>
        <w:spacing w:before="240" w:after="120" w:line="240" w:lineRule="exact"/>
        <w:ind w:right="1134"/>
        <w:jc w:val="left"/>
        <w:textAlignment w:val="auto"/>
        <w:rPr>
          <w:b/>
          <w:lang w:val="en-GB"/>
        </w:rPr>
      </w:pPr>
      <w:r w:rsidRPr="00091151">
        <w:rPr>
          <w:b/>
          <w:lang w:val="en-GB"/>
        </w:rPr>
        <w:tab/>
        <w:t>2.</w:t>
      </w:r>
      <w:r w:rsidRPr="00091151">
        <w:rPr>
          <w:b/>
          <w:lang w:val="en-GB"/>
        </w:rPr>
        <w:tab/>
        <w:t>ADN 2013 (</w:t>
      </w:r>
      <w:bookmarkStart w:id="2" w:name="_Hlk24698895"/>
      <w:r w:rsidR="006B037F" w:rsidRPr="00091151">
        <w:rPr>
          <w:b/>
          <w:lang w:val="en-GB"/>
        </w:rPr>
        <w:t>Absatz 2 von 9.</w:t>
      </w:r>
      <w:r w:rsidR="00600DA9" w:rsidRPr="00091151">
        <w:rPr>
          <w:b/>
          <w:lang w:val="en-GB"/>
        </w:rPr>
        <w:t>3</w:t>
      </w:r>
      <w:r w:rsidR="006B037F" w:rsidRPr="00091151">
        <w:rPr>
          <w:b/>
          <w:lang w:val="en-GB"/>
        </w:rPr>
        <w:t>.</w:t>
      </w:r>
      <w:r w:rsidR="00600DA9" w:rsidRPr="00091151">
        <w:rPr>
          <w:b/>
          <w:lang w:val="en-GB"/>
        </w:rPr>
        <w:t>3</w:t>
      </w:r>
      <w:r w:rsidR="006B037F" w:rsidRPr="00091151">
        <w:rPr>
          <w:b/>
          <w:lang w:val="en-GB"/>
        </w:rPr>
        <w:t>.13.3 des ADN 2011 wurde gestrichen)</w:t>
      </w:r>
      <w:bookmarkEnd w:id="2"/>
    </w:p>
    <w:p w14:paraId="2368F3C1" w14:textId="77777777" w:rsidR="006B037F" w:rsidRPr="00091151" w:rsidRDefault="006B037F" w:rsidP="008C746C">
      <w:pPr>
        <w:spacing w:before="180" w:line="240" w:lineRule="atLeast"/>
        <w:ind w:firstLine="0"/>
        <w:rPr>
          <w:b/>
        </w:rPr>
      </w:pPr>
      <w:r w:rsidRPr="00091151">
        <w:rPr>
          <w:b/>
        </w:rPr>
        <w:t>9.3.3.13</w:t>
      </w:r>
      <w:r w:rsidRPr="00091151">
        <w:rPr>
          <w:b/>
        </w:rPr>
        <w:tab/>
        <w:t>Stabilität (allgemein)</w:t>
      </w:r>
    </w:p>
    <w:p w14:paraId="0C5C00F8" w14:textId="77777777" w:rsidR="006B037F" w:rsidRPr="00091151" w:rsidRDefault="006B037F" w:rsidP="00EB7BBF">
      <w:pPr>
        <w:spacing w:before="180" w:line="240" w:lineRule="atLeast"/>
        <w:ind w:right="1132" w:firstLine="0"/>
        <w:rPr>
          <w:bCs/>
        </w:rPr>
      </w:pPr>
      <w:r w:rsidRPr="00091151">
        <w:rPr>
          <w:bCs/>
        </w:rPr>
        <w:t>9.3.3.13.1</w:t>
      </w:r>
      <w:r w:rsidRPr="00091151">
        <w:rPr>
          <w:bCs/>
        </w:rPr>
        <w:tab/>
        <w:t>Eine ausreichende Stabilität muss nachgewiesen sein. Für Schiffe in Einhüllenbauweise mit Ladetankbreiten kleiner oder gleich 0,70 · B ist dieser Nachweis nicht erforderlich.</w:t>
      </w:r>
    </w:p>
    <w:p w14:paraId="409DD301" w14:textId="77777777" w:rsidR="006B037F" w:rsidRPr="00091151" w:rsidRDefault="006B037F" w:rsidP="00EB7BBF">
      <w:pPr>
        <w:spacing w:before="180" w:line="240" w:lineRule="atLeast"/>
        <w:ind w:right="1132" w:firstLine="0"/>
        <w:rPr>
          <w:bCs/>
        </w:rPr>
      </w:pPr>
      <w:r w:rsidRPr="00091151">
        <w:rPr>
          <w:bCs/>
        </w:rPr>
        <w:t>9.3.3.13.2</w:t>
      </w:r>
      <w:r w:rsidRPr="00091151">
        <w:rPr>
          <w:bCs/>
        </w:rPr>
        <w:tab/>
        <w:t>Die Grundwerte für die Stabilitätsberechnung – Schiffsleergewicht und Lage des Gewichtsschwerpunktes – müssen entweder durch einen Krängungsversuch oder durch eine detaillierte Gewichtsberechnung ermittelt werden. Hierbei muss das Schiffsleergewicht durch einen Tiefgangsnachweis am Schiff kontrolliert werden, wobei die durch Gewichtsberechnung ermittelten Massen nicht mehr als ± 5 % von dem durch Tiefgangsablesung ermittelten Deplacement abweichen dürfen.</w:t>
      </w:r>
    </w:p>
    <w:p w14:paraId="01B4ADF3" w14:textId="77777777" w:rsidR="006B037F" w:rsidRPr="00091151" w:rsidRDefault="006B037F" w:rsidP="00EB7BBF">
      <w:pPr>
        <w:spacing w:before="180" w:line="240" w:lineRule="atLeast"/>
        <w:ind w:right="1132" w:firstLine="0"/>
        <w:rPr>
          <w:bCs/>
        </w:rPr>
      </w:pPr>
      <w:r w:rsidRPr="00091151">
        <w:rPr>
          <w:bCs/>
        </w:rPr>
        <w:t>9.3.3.13.3</w:t>
      </w:r>
      <w:r w:rsidRPr="00091151">
        <w:rPr>
          <w:bCs/>
        </w:rPr>
        <w:tab/>
        <w:t>Ausreichende Intaktstabilität muss für alle Stadien des Be- und Entladens und für den Endbeladungszustand bei den relativen Dichten aller in der Schiffsstoffliste nach 1.16.1.2.5 enthaltenen Stoffe nachgewiesen werden.</w:t>
      </w:r>
    </w:p>
    <w:p w14:paraId="5BEAD14D" w14:textId="77777777" w:rsidR="00A4141C" w:rsidRDefault="00A4141C">
      <w:pPr>
        <w:widowControl/>
        <w:overflowPunct/>
        <w:autoSpaceDE/>
        <w:autoSpaceDN/>
        <w:adjustRightInd/>
        <w:ind w:left="0" w:firstLine="0"/>
        <w:jc w:val="left"/>
        <w:textAlignment w:val="auto"/>
        <w:rPr>
          <w:bCs/>
        </w:rPr>
      </w:pPr>
      <w:r>
        <w:rPr>
          <w:bCs/>
        </w:rPr>
        <w:br w:type="page"/>
      </w:r>
    </w:p>
    <w:p w14:paraId="0B81FBED" w14:textId="33F1BCF5" w:rsidR="006B037F" w:rsidRPr="00091151" w:rsidRDefault="006B037F" w:rsidP="00EB7BBF">
      <w:pPr>
        <w:spacing w:before="180" w:line="240" w:lineRule="atLeast"/>
        <w:ind w:right="1132" w:firstLine="0"/>
      </w:pPr>
      <w:r w:rsidRPr="00091151">
        <w:rPr>
          <w:bCs/>
        </w:rPr>
        <w:lastRenderedPageBreak/>
        <w:t>Das Schiff muss</w:t>
      </w:r>
      <w:r w:rsidRPr="00091151">
        <w:t xml:space="preserve"> für jeden Ladefall unter Berücksichtigung tatsächlicher Füllung der Ladetanks, Ballasttanks/-zellen und Berücksichtigung der Trinkwasser-/Abwassertanks und der Tanks für flüssige Schiffsbetriebsstoffe sowie Endschwimmlagen, die Intakt- und Leckstabilitätsanforderungen erfüllen. </w:t>
      </w:r>
    </w:p>
    <w:p w14:paraId="14AA72DE" w14:textId="77777777" w:rsidR="006B037F" w:rsidRPr="00091151" w:rsidRDefault="006B037F" w:rsidP="00EB7BBF">
      <w:pPr>
        <w:spacing w:before="180" w:line="240" w:lineRule="atLeast"/>
        <w:ind w:right="1132" w:firstLine="0"/>
      </w:pPr>
      <w:r w:rsidRPr="00091151">
        <w:t xml:space="preserve">Zwischenzustände der Reise müssen ebenfalls berücksichtigt werden. </w:t>
      </w:r>
    </w:p>
    <w:p w14:paraId="6A0568DB" w14:textId="77777777" w:rsidR="006B037F" w:rsidRPr="00091151" w:rsidRDefault="006B037F" w:rsidP="00EB7BBF">
      <w:pPr>
        <w:spacing w:before="180" w:line="240" w:lineRule="atLeast"/>
        <w:ind w:right="1132" w:firstLine="0"/>
      </w:pPr>
      <w:r w:rsidRPr="00091151">
        <w:t>Die Stabilitätsunterlagen mit diesem Nachweis und den durch die anerkannten Klassifikationsgesellschaft, die das Schiff klassifiziert hat, genehmigten Ladefällen sind in einem Stabilitätshandbuch zusammenzufassen. Wenn nicht alle Ladefälle und Ballastfälle konkret berücksichtigt wurden, muss zusätzlich ein von der anerkannten Klassifikationsgesellschaft, die das Schiff klassifiziert hat, genehmigter Ladungsrechner, der die Inhalte des Stabilitätshandbuches abbildet, installiert und genutzt werden.</w:t>
      </w:r>
    </w:p>
    <w:p w14:paraId="03FECA10" w14:textId="29C32CA4" w:rsidR="008C746C" w:rsidRPr="00091151" w:rsidRDefault="006B037F" w:rsidP="00EB7BBF">
      <w:pPr>
        <w:spacing w:before="180" w:line="240" w:lineRule="atLeast"/>
        <w:ind w:left="1701" w:right="1132" w:hanging="567"/>
        <w:rPr>
          <w:rFonts w:ascii="Arial" w:hAnsi="Arial"/>
          <w:b/>
          <w:sz w:val="18"/>
          <w:szCs w:val="18"/>
        </w:rPr>
      </w:pPr>
      <w:r w:rsidRPr="00091151">
        <w:rPr>
          <w:b/>
        </w:rPr>
        <w:t>Bem.</w:t>
      </w:r>
      <w:r w:rsidRPr="00091151">
        <w:rPr>
          <w:rFonts w:ascii="Arial" w:hAnsi="Arial"/>
          <w:b/>
          <w:sz w:val="18"/>
          <w:szCs w:val="18"/>
        </w:rPr>
        <w:t xml:space="preserve"> </w:t>
      </w:r>
      <w:r w:rsidRPr="00091151">
        <w:rPr>
          <w:rFonts w:ascii="Arial" w:hAnsi="Arial"/>
          <w:b/>
          <w:sz w:val="18"/>
          <w:szCs w:val="18"/>
        </w:rPr>
        <w:tab/>
      </w:r>
      <w:r w:rsidR="008C746C" w:rsidRPr="00091151">
        <w:rPr>
          <w:rFonts w:ascii="Arial" w:hAnsi="Arial"/>
          <w:b/>
          <w:sz w:val="18"/>
          <w:szCs w:val="18"/>
        </w:rPr>
        <w:t>…“.</w:t>
      </w:r>
    </w:p>
    <w:p w14:paraId="4FF807F5" w14:textId="77777777" w:rsidR="006B037F" w:rsidRPr="00091151" w:rsidRDefault="006B037F" w:rsidP="0022634C">
      <w:pPr>
        <w:widowControl/>
        <w:tabs>
          <w:tab w:val="left" w:pos="2127"/>
        </w:tabs>
        <w:suppressAutoHyphens/>
        <w:overflowPunct/>
        <w:autoSpaceDE/>
        <w:autoSpaceDN/>
        <w:adjustRightInd/>
        <w:spacing w:after="120" w:line="240" w:lineRule="atLeast"/>
        <w:ind w:right="1134" w:firstLine="0"/>
        <w:textAlignment w:val="auto"/>
        <w:rPr>
          <w:b/>
          <w:bCs/>
          <w:lang w:val="en-US"/>
        </w:rPr>
      </w:pPr>
    </w:p>
    <w:p w14:paraId="570DB862" w14:textId="41A05DEF" w:rsidR="0022634C" w:rsidRPr="00091151" w:rsidRDefault="0022634C" w:rsidP="0022634C">
      <w:pPr>
        <w:widowControl/>
        <w:suppressAutoHyphens/>
        <w:overflowPunct/>
        <w:autoSpaceDE/>
        <w:autoSpaceDN/>
        <w:adjustRightInd/>
        <w:spacing w:after="120" w:line="240" w:lineRule="atLeast"/>
        <w:ind w:right="1134" w:firstLine="0"/>
        <w:textAlignment w:val="auto"/>
        <w:rPr>
          <w:lang w:val="en-US"/>
        </w:rPr>
      </w:pPr>
      <w:r w:rsidRPr="00091151">
        <w:rPr>
          <w:lang w:val="en-US"/>
        </w:rPr>
        <w:t>1.6.7.2.2.2</w:t>
      </w:r>
      <w:r w:rsidRPr="00091151">
        <w:rPr>
          <w:lang w:val="en-US"/>
        </w:rPr>
        <w:tab/>
      </w:r>
      <w:r w:rsidR="00C54654" w:rsidRPr="00091151">
        <w:rPr>
          <w:lang w:val="en-US"/>
        </w:rPr>
        <w:t>Tabelle der allgemeinen Übergangsvorschriften: Tankschiffe</w:t>
      </w:r>
    </w:p>
    <w:tbl>
      <w:tblPr>
        <w:tblW w:w="7371" w:type="dxa"/>
        <w:tblInd w:w="843" w:type="dxa"/>
        <w:tblLayout w:type="fixed"/>
        <w:tblCellMar>
          <w:left w:w="70" w:type="dxa"/>
          <w:right w:w="70" w:type="dxa"/>
        </w:tblCellMar>
        <w:tblLook w:val="0000" w:firstRow="0" w:lastRow="0" w:firstColumn="0" w:lastColumn="0" w:noHBand="0" w:noVBand="0"/>
      </w:tblPr>
      <w:tblGrid>
        <w:gridCol w:w="1559"/>
        <w:gridCol w:w="1985"/>
        <w:gridCol w:w="3827"/>
      </w:tblGrid>
      <w:tr w:rsidR="00C54654" w:rsidRPr="00091151" w14:paraId="667309A4" w14:textId="77777777" w:rsidTr="00C54654">
        <w:trPr>
          <w:cantSplit/>
        </w:trPr>
        <w:tc>
          <w:tcPr>
            <w:tcW w:w="1559" w:type="dxa"/>
            <w:tcBorders>
              <w:top w:val="single" w:sz="6" w:space="0" w:color="auto"/>
              <w:left w:val="single" w:sz="6" w:space="0" w:color="auto"/>
              <w:bottom w:val="single" w:sz="6" w:space="0" w:color="auto"/>
              <w:right w:val="single" w:sz="6" w:space="0" w:color="auto"/>
            </w:tcBorders>
          </w:tcPr>
          <w:p w14:paraId="755DB774" w14:textId="77777777" w:rsidR="00C54654" w:rsidRPr="00091151" w:rsidRDefault="00C54654" w:rsidP="00A3618D">
            <w:pPr>
              <w:pStyle w:val="N3"/>
              <w:tabs>
                <w:tab w:val="clear" w:pos="170"/>
              </w:tabs>
              <w:spacing w:before="60" w:after="60" w:line="240" w:lineRule="atLeast"/>
              <w:jc w:val="center"/>
              <w:rPr>
                <w:rFonts w:ascii="Times New Roman" w:hAnsi="Times New Roman"/>
                <w:sz w:val="18"/>
                <w:szCs w:val="18"/>
              </w:rPr>
            </w:pPr>
            <w:r w:rsidRPr="00091151">
              <w:rPr>
                <w:rFonts w:ascii="Times New Roman" w:hAnsi="Times New Roman"/>
                <w:sz w:val="18"/>
                <w:szCs w:val="18"/>
              </w:rPr>
              <w:t>9.3.1.13</w:t>
            </w:r>
            <w:r w:rsidRPr="00091151">
              <w:rPr>
                <w:rFonts w:ascii="Times New Roman" w:hAnsi="Times New Roman"/>
                <w:sz w:val="18"/>
                <w:szCs w:val="18"/>
              </w:rPr>
              <w:br/>
              <w:t>9.3.3.13</w:t>
            </w:r>
          </w:p>
        </w:tc>
        <w:tc>
          <w:tcPr>
            <w:tcW w:w="1985" w:type="dxa"/>
            <w:tcBorders>
              <w:top w:val="single" w:sz="6" w:space="0" w:color="auto"/>
              <w:left w:val="single" w:sz="6" w:space="0" w:color="auto"/>
              <w:bottom w:val="single" w:sz="6" w:space="0" w:color="auto"/>
              <w:right w:val="single" w:sz="6" w:space="0" w:color="auto"/>
            </w:tcBorders>
          </w:tcPr>
          <w:p w14:paraId="2753D075" w14:textId="77777777" w:rsidR="00C54654" w:rsidRPr="00091151" w:rsidRDefault="00C54654" w:rsidP="00A3618D">
            <w:pPr>
              <w:pStyle w:val="N3"/>
              <w:tabs>
                <w:tab w:val="clear" w:pos="170"/>
              </w:tabs>
              <w:spacing w:before="60" w:after="60" w:line="240" w:lineRule="atLeast"/>
              <w:rPr>
                <w:rFonts w:ascii="Times New Roman" w:hAnsi="Times New Roman"/>
                <w:sz w:val="18"/>
                <w:szCs w:val="18"/>
              </w:rPr>
            </w:pPr>
            <w:r w:rsidRPr="00091151">
              <w:rPr>
                <w:rFonts w:ascii="Times New Roman" w:hAnsi="Times New Roman"/>
                <w:sz w:val="18"/>
                <w:szCs w:val="18"/>
              </w:rPr>
              <w:t>Stabilität allgemein</w:t>
            </w:r>
          </w:p>
        </w:tc>
        <w:tc>
          <w:tcPr>
            <w:tcW w:w="3827" w:type="dxa"/>
            <w:tcBorders>
              <w:top w:val="single" w:sz="6" w:space="0" w:color="auto"/>
              <w:left w:val="single" w:sz="6" w:space="0" w:color="auto"/>
              <w:bottom w:val="single" w:sz="6" w:space="0" w:color="auto"/>
              <w:right w:val="single" w:sz="6" w:space="0" w:color="auto"/>
            </w:tcBorders>
          </w:tcPr>
          <w:p w14:paraId="5570E0F5" w14:textId="77777777" w:rsidR="00C54654" w:rsidRPr="00091151" w:rsidRDefault="00C54654" w:rsidP="00A3618D">
            <w:pPr>
              <w:pStyle w:val="N3"/>
              <w:tabs>
                <w:tab w:val="clear" w:pos="170"/>
              </w:tabs>
              <w:spacing w:before="60" w:after="60" w:line="240" w:lineRule="atLeast"/>
              <w:jc w:val="both"/>
              <w:rPr>
                <w:rFonts w:ascii="Times New Roman" w:hAnsi="Times New Roman"/>
                <w:sz w:val="18"/>
                <w:szCs w:val="18"/>
              </w:rPr>
            </w:pPr>
            <w:r w:rsidRPr="00091151">
              <w:rPr>
                <w:rFonts w:ascii="Times New Roman" w:hAnsi="Times New Roman"/>
                <w:sz w:val="18"/>
                <w:szCs w:val="18"/>
              </w:rPr>
              <w:t>N.E.U., Erneuerung des Zulassungszeugnisses nach dem 31. Dezember 2044</w:t>
            </w:r>
          </w:p>
        </w:tc>
      </w:tr>
      <w:tr w:rsidR="00C54654" w:rsidRPr="00091151" w14:paraId="5C084E2E" w14:textId="77777777" w:rsidTr="00C54654">
        <w:trPr>
          <w:cantSplit/>
        </w:trPr>
        <w:tc>
          <w:tcPr>
            <w:tcW w:w="1559" w:type="dxa"/>
            <w:tcBorders>
              <w:top w:val="single" w:sz="6" w:space="0" w:color="auto"/>
              <w:left w:val="single" w:sz="6" w:space="0" w:color="auto"/>
              <w:bottom w:val="single" w:sz="6" w:space="0" w:color="auto"/>
              <w:right w:val="single" w:sz="6" w:space="0" w:color="auto"/>
            </w:tcBorders>
          </w:tcPr>
          <w:p w14:paraId="6645D555" w14:textId="77777777" w:rsidR="00C54654" w:rsidRPr="00091151" w:rsidRDefault="00C54654" w:rsidP="00A3618D">
            <w:pPr>
              <w:pStyle w:val="N3"/>
              <w:tabs>
                <w:tab w:val="clear" w:pos="170"/>
              </w:tabs>
              <w:spacing w:before="60" w:after="60" w:line="240" w:lineRule="atLeast"/>
              <w:jc w:val="center"/>
              <w:rPr>
                <w:rFonts w:ascii="Times New Roman" w:hAnsi="Times New Roman"/>
                <w:sz w:val="18"/>
                <w:szCs w:val="18"/>
              </w:rPr>
            </w:pPr>
            <w:r w:rsidRPr="00091151">
              <w:rPr>
                <w:rFonts w:ascii="Times New Roman" w:hAnsi="Times New Roman"/>
                <w:sz w:val="18"/>
                <w:szCs w:val="18"/>
              </w:rPr>
              <w:t>9.3.3.13.3</w:t>
            </w:r>
            <w:r w:rsidRPr="00091151">
              <w:rPr>
                <w:rFonts w:ascii="Times New Roman" w:hAnsi="Times New Roman"/>
                <w:sz w:val="18"/>
                <w:szCs w:val="18"/>
              </w:rPr>
              <w:br/>
              <w:t>Absatz 2</w:t>
            </w:r>
          </w:p>
        </w:tc>
        <w:tc>
          <w:tcPr>
            <w:tcW w:w="1985" w:type="dxa"/>
            <w:tcBorders>
              <w:top w:val="single" w:sz="6" w:space="0" w:color="auto"/>
              <w:left w:val="single" w:sz="6" w:space="0" w:color="auto"/>
              <w:bottom w:val="single" w:sz="6" w:space="0" w:color="auto"/>
              <w:right w:val="single" w:sz="6" w:space="0" w:color="auto"/>
            </w:tcBorders>
          </w:tcPr>
          <w:p w14:paraId="20160848" w14:textId="77777777" w:rsidR="00C54654" w:rsidRPr="00091151" w:rsidRDefault="00C54654" w:rsidP="00A3618D">
            <w:pPr>
              <w:pStyle w:val="N3"/>
              <w:tabs>
                <w:tab w:val="clear" w:pos="170"/>
              </w:tabs>
              <w:spacing w:before="60" w:after="60" w:line="240" w:lineRule="atLeast"/>
              <w:rPr>
                <w:rFonts w:ascii="Times New Roman" w:hAnsi="Times New Roman"/>
                <w:sz w:val="18"/>
                <w:szCs w:val="18"/>
              </w:rPr>
            </w:pPr>
            <w:r w:rsidRPr="00091151">
              <w:rPr>
                <w:rFonts w:ascii="Times New Roman" w:hAnsi="Times New Roman"/>
                <w:sz w:val="18"/>
                <w:szCs w:val="18"/>
              </w:rPr>
              <w:t>Stabilität allgemein</w:t>
            </w:r>
          </w:p>
        </w:tc>
        <w:tc>
          <w:tcPr>
            <w:tcW w:w="3827" w:type="dxa"/>
            <w:tcBorders>
              <w:top w:val="single" w:sz="6" w:space="0" w:color="auto"/>
              <w:left w:val="single" w:sz="6" w:space="0" w:color="auto"/>
              <w:bottom w:val="single" w:sz="6" w:space="0" w:color="auto"/>
              <w:right w:val="single" w:sz="6" w:space="0" w:color="auto"/>
            </w:tcBorders>
          </w:tcPr>
          <w:p w14:paraId="084862F0" w14:textId="2FDFBAE4" w:rsidR="00C54654" w:rsidRPr="00091151" w:rsidRDefault="00C54654" w:rsidP="00A3618D">
            <w:pPr>
              <w:pStyle w:val="N3"/>
              <w:tabs>
                <w:tab w:val="clear" w:pos="170"/>
              </w:tabs>
              <w:spacing w:before="60" w:after="60" w:line="240" w:lineRule="atLeast"/>
              <w:jc w:val="both"/>
              <w:rPr>
                <w:rFonts w:ascii="Times New Roman" w:hAnsi="Times New Roman"/>
                <w:sz w:val="18"/>
                <w:szCs w:val="18"/>
              </w:rPr>
            </w:pPr>
            <w:r w:rsidRPr="00091151">
              <w:rPr>
                <w:rFonts w:ascii="Times New Roman" w:hAnsi="Times New Roman"/>
                <w:sz w:val="18"/>
                <w:szCs w:val="18"/>
              </w:rPr>
              <w:t>N.E.U. ab 1. Januar 2007, Erneuerung des Zulassungszeugnisses nach dem 31. Dezember</w:t>
            </w:r>
            <w:r w:rsidR="00D5310E">
              <w:rPr>
                <w:rFonts w:ascii="Times New Roman" w:hAnsi="Times New Roman"/>
                <w:sz w:val="18"/>
                <w:szCs w:val="18"/>
              </w:rPr>
              <w:t> </w:t>
            </w:r>
            <w:r w:rsidRPr="00091151">
              <w:rPr>
                <w:rFonts w:ascii="Times New Roman" w:hAnsi="Times New Roman"/>
                <w:sz w:val="18"/>
                <w:szCs w:val="18"/>
              </w:rPr>
              <w:t>2044</w:t>
            </w:r>
          </w:p>
        </w:tc>
      </w:tr>
    </w:tbl>
    <w:p w14:paraId="030B1571" w14:textId="5B425369" w:rsidR="00C54654" w:rsidRPr="00091151" w:rsidRDefault="00C54654" w:rsidP="0022634C">
      <w:pPr>
        <w:widowControl/>
        <w:suppressAutoHyphens/>
        <w:overflowPunct/>
        <w:autoSpaceDE/>
        <w:autoSpaceDN/>
        <w:adjustRightInd/>
        <w:spacing w:after="120" w:line="240" w:lineRule="atLeast"/>
        <w:ind w:right="1134" w:firstLine="0"/>
        <w:textAlignment w:val="auto"/>
        <w:rPr>
          <w:lang w:val="en-GB"/>
        </w:rPr>
      </w:pPr>
    </w:p>
    <w:p w14:paraId="77647411" w14:textId="70551C52" w:rsidR="00DD5D38" w:rsidRPr="00091151" w:rsidRDefault="00E14DEB" w:rsidP="00EB7BBF">
      <w:pPr>
        <w:widowControl/>
        <w:tabs>
          <w:tab w:val="left" w:pos="2268"/>
        </w:tabs>
        <w:suppressAutoHyphens/>
        <w:overflowPunct/>
        <w:autoSpaceDE/>
        <w:autoSpaceDN/>
        <w:adjustRightInd/>
        <w:spacing w:before="120" w:after="120" w:line="240" w:lineRule="atLeast"/>
        <w:ind w:right="1134" w:firstLine="0"/>
        <w:textAlignment w:val="auto"/>
        <w:rPr>
          <w:bCs/>
        </w:rPr>
      </w:pPr>
      <w:r w:rsidRPr="00091151">
        <w:rPr>
          <w:iCs/>
        </w:rPr>
        <w:t>„</w:t>
      </w:r>
      <w:r w:rsidR="00DD5D38" w:rsidRPr="00091151">
        <w:rPr>
          <w:iCs/>
        </w:rPr>
        <w:t>1.6.7.2.2.4</w:t>
      </w:r>
      <w:r w:rsidR="00DD5D38" w:rsidRPr="00091151">
        <w:rPr>
          <w:bCs/>
          <w:iCs/>
        </w:rPr>
        <w:tab/>
        <w:t>Die Absätze 9.3.1.13.3, 9.3.2.13.3, 9.3.3.13.3 dürfen bis zum 31. Dezember 2014 in der am 31. Dezember 2012 geltenden Fassung angewandt werden.</w:t>
      </w:r>
      <w:r w:rsidRPr="00091151">
        <w:rPr>
          <w:bCs/>
          <w:iCs/>
        </w:rPr>
        <w:t>“.</w:t>
      </w:r>
    </w:p>
    <w:p w14:paraId="183DA9EA" w14:textId="44E1A627" w:rsidR="0022634C" w:rsidRPr="00091151" w:rsidRDefault="0022634C" w:rsidP="00EB7BBF">
      <w:pPr>
        <w:keepNext/>
        <w:keepLines/>
        <w:widowControl/>
        <w:tabs>
          <w:tab w:val="right" w:pos="851"/>
        </w:tabs>
        <w:suppressAutoHyphens/>
        <w:overflowPunct/>
        <w:autoSpaceDE/>
        <w:autoSpaceDN/>
        <w:adjustRightInd/>
        <w:spacing w:before="240" w:after="120" w:line="240" w:lineRule="exact"/>
        <w:ind w:right="1134"/>
        <w:jc w:val="left"/>
        <w:textAlignment w:val="auto"/>
        <w:rPr>
          <w:b/>
          <w:lang w:val="en-GB"/>
        </w:rPr>
      </w:pPr>
      <w:r w:rsidRPr="00091151">
        <w:rPr>
          <w:b/>
          <w:lang w:val="en-GB"/>
        </w:rPr>
        <w:tab/>
      </w:r>
      <w:r w:rsidRPr="00091151">
        <w:rPr>
          <w:b/>
          <w:lang w:val="en-GB"/>
        </w:rPr>
        <w:tab/>
        <w:t>3.</w:t>
      </w:r>
      <w:r w:rsidRPr="00091151">
        <w:rPr>
          <w:b/>
          <w:lang w:val="en-GB"/>
        </w:rPr>
        <w:tab/>
        <w:t xml:space="preserve">ADN 2015: </w:t>
      </w:r>
      <w:r w:rsidR="00E14DEB" w:rsidRPr="00091151">
        <w:rPr>
          <w:b/>
          <w:lang w:val="en-GB"/>
        </w:rPr>
        <w:t>wie</w:t>
      </w:r>
      <w:r w:rsidRPr="00091151">
        <w:rPr>
          <w:b/>
          <w:lang w:val="en-GB"/>
        </w:rPr>
        <w:t xml:space="preserve"> ADN 2013</w:t>
      </w:r>
    </w:p>
    <w:p w14:paraId="10AC2EA8" w14:textId="4921789A" w:rsidR="0022634C" w:rsidRPr="00091151" w:rsidRDefault="0022634C" w:rsidP="00EB7BBF">
      <w:pPr>
        <w:keepNext/>
        <w:keepLines/>
        <w:widowControl/>
        <w:tabs>
          <w:tab w:val="right" w:pos="851"/>
        </w:tabs>
        <w:suppressAutoHyphens/>
        <w:overflowPunct/>
        <w:autoSpaceDE/>
        <w:autoSpaceDN/>
        <w:adjustRightInd/>
        <w:spacing w:before="240" w:after="120" w:line="240" w:lineRule="exact"/>
        <w:ind w:right="1134"/>
        <w:jc w:val="left"/>
        <w:textAlignment w:val="auto"/>
        <w:rPr>
          <w:b/>
          <w:lang w:val="en-GB"/>
        </w:rPr>
      </w:pPr>
      <w:r w:rsidRPr="00091151">
        <w:rPr>
          <w:b/>
          <w:lang w:val="en-GB"/>
        </w:rPr>
        <w:tab/>
      </w:r>
      <w:r w:rsidRPr="00091151">
        <w:rPr>
          <w:b/>
          <w:lang w:val="en-GB"/>
        </w:rPr>
        <w:tab/>
        <w:t>4.</w:t>
      </w:r>
      <w:r w:rsidRPr="00091151">
        <w:rPr>
          <w:b/>
          <w:lang w:val="en-GB"/>
        </w:rPr>
        <w:tab/>
        <w:t xml:space="preserve">ADN 2017: </w:t>
      </w:r>
      <w:r w:rsidR="00953684" w:rsidRPr="00091151">
        <w:rPr>
          <w:b/>
          <w:lang w:val="en-GB"/>
        </w:rPr>
        <w:t xml:space="preserve">Hinzufügen von </w:t>
      </w:r>
      <w:r w:rsidRPr="00091151">
        <w:rPr>
          <w:b/>
          <w:lang w:val="en-GB"/>
        </w:rPr>
        <w:t>9.3.3.13.4</w:t>
      </w:r>
    </w:p>
    <w:p w14:paraId="44924303" w14:textId="28867B82" w:rsidR="00953684" w:rsidRPr="00091151" w:rsidRDefault="00953684" w:rsidP="00EB7BBF">
      <w:pPr>
        <w:spacing w:before="180" w:line="240" w:lineRule="atLeast"/>
        <w:ind w:right="1134" w:firstLine="0"/>
        <w:rPr>
          <w:b/>
        </w:rPr>
      </w:pPr>
      <w:r w:rsidRPr="00091151">
        <w:rPr>
          <w:b/>
        </w:rPr>
        <w:t>„9.3.3.13</w:t>
      </w:r>
      <w:r w:rsidRPr="00091151">
        <w:rPr>
          <w:b/>
        </w:rPr>
        <w:tab/>
        <w:t>Stabilität (allgemein)</w:t>
      </w:r>
    </w:p>
    <w:p w14:paraId="3A21B636" w14:textId="77777777" w:rsidR="00953684" w:rsidRPr="00091151" w:rsidRDefault="00953684" w:rsidP="00EB7BBF">
      <w:pPr>
        <w:spacing w:before="180" w:line="240" w:lineRule="atLeast"/>
        <w:ind w:right="1134" w:firstLine="0"/>
        <w:rPr>
          <w:bCs/>
        </w:rPr>
      </w:pPr>
      <w:r w:rsidRPr="00091151">
        <w:rPr>
          <w:bCs/>
        </w:rPr>
        <w:t>9.3.3.13.1</w:t>
      </w:r>
      <w:r w:rsidRPr="00091151">
        <w:rPr>
          <w:bCs/>
        </w:rPr>
        <w:tab/>
        <w:t>Eine ausreichende Stabilität muss nachgewiesen sein. Für Schiffe in Einhüllenbauweise mit Ladetankbreiten kleiner oder gleich 0,70 · B ist dieser Nachweis nicht erforderlich.</w:t>
      </w:r>
    </w:p>
    <w:p w14:paraId="3A581394" w14:textId="77777777" w:rsidR="00953684" w:rsidRPr="00091151" w:rsidRDefault="00953684" w:rsidP="00EB7BBF">
      <w:pPr>
        <w:spacing w:before="180" w:line="240" w:lineRule="atLeast"/>
        <w:ind w:right="1134" w:firstLine="0"/>
        <w:rPr>
          <w:bCs/>
        </w:rPr>
      </w:pPr>
      <w:r w:rsidRPr="00091151">
        <w:rPr>
          <w:bCs/>
        </w:rPr>
        <w:t>9.3.3.13.2</w:t>
      </w:r>
      <w:r w:rsidRPr="00091151">
        <w:rPr>
          <w:bCs/>
        </w:rPr>
        <w:tab/>
        <w:t>Die Grundwerte für die Stabilitätsberechnung – Schiffsleergewicht und Lage des Gewichtsschwerpunktes – müssen entweder durch einen Krängungsversuch oder durch eine detaillierte Gewichtsberechnung ermittelt werden. Hierbei muss das Schiffsleergewicht durch einen Tiefgangsnachweis am Schiff kontrolliert werden, wobei die durch Gewichtsberechnung ermittelten Massen nicht mehr als ± 5 % von dem durch Tiefgangsablesung ermittelten Deplacement abweichen dürfen.</w:t>
      </w:r>
    </w:p>
    <w:p w14:paraId="5FF3E610" w14:textId="77777777" w:rsidR="00953684" w:rsidRPr="00091151" w:rsidRDefault="00953684" w:rsidP="00EB7BBF">
      <w:pPr>
        <w:spacing w:before="180" w:line="240" w:lineRule="atLeast"/>
        <w:ind w:right="1134" w:firstLine="0"/>
        <w:rPr>
          <w:bCs/>
        </w:rPr>
      </w:pPr>
      <w:r w:rsidRPr="00091151">
        <w:rPr>
          <w:bCs/>
        </w:rPr>
        <w:t>9.3.3.13.3</w:t>
      </w:r>
      <w:r w:rsidRPr="00091151">
        <w:rPr>
          <w:bCs/>
        </w:rPr>
        <w:tab/>
        <w:t>Ausreichende Intaktstabilität muss für alle Stadien des Be- und Entladens und für den Endbeladungszustand bei den relativen Dichten aller in der Schiffsstoffliste nach 1.16.1.2.5 enthaltenen Stoffe nachgewiesen werden.</w:t>
      </w:r>
    </w:p>
    <w:p w14:paraId="2ACDD0BA" w14:textId="77777777" w:rsidR="00953684" w:rsidRPr="00091151" w:rsidRDefault="00953684" w:rsidP="00EB7BBF">
      <w:pPr>
        <w:spacing w:before="180" w:line="240" w:lineRule="atLeast"/>
        <w:ind w:right="1134" w:firstLine="0"/>
      </w:pPr>
      <w:r w:rsidRPr="00091151">
        <w:rPr>
          <w:bCs/>
        </w:rPr>
        <w:t>Das Schiff muss für jeden Ladefall unter Berücksichtigung tatsächlicher Füllung der Ladetanks, Ballasttanks/-zellen und Berücksichtigung der Trinkwasser-/Abwassertanks und der Tanks für flüssige Schiffsbetriebsstoffe sowie Endschwimmlagen, die Intakt- und Leckstabilitätsanforderungen</w:t>
      </w:r>
      <w:r w:rsidRPr="00091151">
        <w:t xml:space="preserve"> erfüllen. </w:t>
      </w:r>
    </w:p>
    <w:p w14:paraId="34CD2C0A" w14:textId="77777777" w:rsidR="00953684" w:rsidRPr="00091151" w:rsidRDefault="00953684" w:rsidP="00EB7BBF">
      <w:pPr>
        <w:spacing w:before="180" w:line="240" w:lineRule="atLeast"/>
        <w:ind w:right="1134" w:firstLine="0"/>
      </w:pPr>
      <w:r w:rsidRPr="00091151">
        <w:t xml:space="preserve">Zwischenzustände der Reise müssen ebenfalls berücksichtigt werden. </w:t>
      </w:r>
    </w:p>
    <w:p w14:paraId="0D13B74F" w14:textId="77777777" w:rsidR="00A4141C" w:rsidRDefault="00A4141C">
      <w:pPr>
        <w:widowControl/>
        <w:overflowPunct/>
        <w:autoSpaceDE/>
        <w:autoSpaceDN/>
        <w:adjustRightInd/>
        <w:ind w:left="0" w:firstLine="0"/>
        <w:jc w:val="left"/>
        <w:textAlignment w:val="auto"/>
      </w:pPr>
      <w:r>
        <w:br w:type="page"/>
      </w:r>
    </w:p>
    <w:p w14:paraId="3E1F4583" w14:textId="5A6C700E" w:rsidR="00953684" w:rsidRPr="00091151" w:rsidRDefault="00953684" w:rsidP="00EB7BBF">
      <w:pPr>
        <w:spacing w:before="180" w:line="240" w:lineRule="atLeast"/>
        <w:ind w:right="1134" w:firstLine="0"/>
      </w:pPr>
      <w:r w:rsidRPr="00091151">
        <w:lastRenderedPageBreak/>
        <w:t>Die Stabilitätsunterlagen mit diesem Nachweis und den durch die anerkannten Klassifikationsgesellschaft, die das Schiff klassifiziert hat, genehmigten Ladefällen sind in einem Stabilitätshandbuch zusammenzufassen. Wenn nicht alle Ladefälle und Ballastfälle konkret berücksichtigt wurden, muss zusätzlich ein von der anerkannten Klassifikationsgesellschaft, die das Schiff klassifiziert hat, genehmigter Ladungsrechner, der die Inhalte des Stabilitätshandbuches abbildet, installiert und genutzt werden.</w:t>
      </w:r>
    </w:p>
    <w:p w14:paraId="50BA902D" w14:textId="37CAB043" w:rsidR="00953684" w:rsidRPr="00091151" w:rsidRDefault="00953684" w:rsidP="00091151">
      <w:pPr>
        <w:spacing w:before="180" w:line="240" w:lineRule="atLeast"/>
        <w:ind w:firstLine="0"/>
      </w:pPr>
      <w:r w:rsidRPr="00091151">
        <w:rPr>
          <w:b/>
        </w:rPr>
        <w:t xml:space="preserve">Bem. </w:t>
      </w:r>
      <w:r w:rsidRPr="00091151">
        <w:rPr>
          <w:b/>
        </w:rPr>
        <w:tab/>
        <w:t xml:space="preserve">… </w:t>
      </w:r>
    </w:p>
    <w:p w14:paraId="3B7963B7" w14:textId="211901E6" w:rsidR="00953684" w:rsidRPr="00091151" w:rsidRDefault="00953684" w:rsidP="00EB7BBF">
      <w:pPr>
        <w:spacing w:before="180" w:line="240" w:lineRule="atLeast"/>
        <w:ind w:right="1132" w:firstLine="0"/>
        <w:rPr>
          <w:bCs/>
        </w:rPr>
      </w:pPr>
      <w:r w:rsidRPr="00091151">
        <w:rPr>
          <w:bCs/>
        </w:rPr>
        <w:t>9.3.3.13.4</w:t>
      </w:r>
      <w:r w:rsidRPr="00091151">
        <w:rPr>
          <w:b/>
        </w:rPr>
        <w:tab/>
      </w:r>
      <w:r w:rsidRPr="00091151">
        <w:rPr>
          <w:bCs/>
        </w:rPr>
        <w:t>Die Schwimmfähigkeit im Leckfall muss für den ungünstigsten Beladungszustand nachgewiesen werden. Hierbei muss für die kritischen Zwischenzustände und für den Endzustand der Flutung der rechnerische Nachweis der genügenden Stabilität erbracht werden.“.</w:t>
      </w:r>
    </w:p>
    <w:p w14:paraId="7BB0A086" w14:textId="55BB01F8" w:rsidR="0022634C" w:rsidRPr="00091151" w:rsidRDefault="0022634C" w:rsidP="00EB7BBF">
      <w:pPr>
        <w:keepNext/>
        <w:widowControl/>
        <w:suppressAutoHyphens/>
        <w:overflowPunct/>
        <w:autoSpaceDE/>
        <w:autoSpaceDN/>
        <w:adjustRightInd/>
        <w:spacing w:before="120" w:after="120" w:line="240" w:lineRule="atLeast"/>
        <w:ind w:right="1132" w:firstLine="0"/>
        <w:textAlignment w:val="auto"/>
        <w:rPr>
          <w:lang w:val="en-US"/>
        </w:rPr>
      </w:pPr>
      <w:r w:rsidRPr="00091151">
        <w:rPr>
          <w:lang w:val="en-US"/>
        </w:rPr>
        <w:t>1.6.7.2.2.2</w:t>
      </w:r>
      <w:r w:rsidRPr="00091151">
        <w:rPr>
          <w:lang w:val="en-US"/>
        </w:rPr>
        <w:tab/>
      </w:r>
      <w:r w:rsidR="00B72770" w:rsidRPr="00091151">
        <w:rPr>
          <w:lang w:val="en-US"/>
        </w:rPr>
        <w:t>Tabelle der allgemeinen Übergangsvorschriften: Tankschiffe</w:t>
      </w:r>
    </w:p>
    <w:tbl>
      <w:tblPr>
        <w:tblW w:w="7371" w:type="dxa"/>
        <w:tblInd w:w="843" w:type="dxa"/>
        <w:tblLayout w:type="fixed"/>
        <w:tblCellMar>
          <w:left w:w="70" w:type="dxa"/>
          <w:right w:w="70" w:type="dxa"/>
        </w:tblCellMar>
        <w:tblLook w:val="0000" w:firstRow="0" w:lastRow="0" w:firstColumn="0" w:lastColumn="0" w:noHBand="0" w:noVBand="0"/>
      </w:tblPr>
      <w:tblGrid>
        <w:gridCol w:w="1417"/>
        <w:gridCol w:w="2127"/>
        <w:gridCol w:w="3827"/>
      </w:tblGrid>
      <w:tr w:rsidR="00953684" w:rsidRPr="00091151" w14:paraId="1EAE48FE" w14:textId="77777777" w:rsidTr="00953684">
        <w:trPr>
          <w:cantSplit/>
        </w:trPr>
        <w:tc>
          <w:tcPr>
            <w:tcW w:w="1417" w:type="dxa"/>
            <w:tcBorders>
              <w:top w:val="single" w:sz="6" w:space="0" w:color="auto"/>
              <w:left w:val="single" w:sz="6" w:space="0" w:color="auto"/>
              <w:bottom w:val="single" w:sz="6" w:space="0" w:color="auto"/>
              <w:right w:val="single" w:sz="6" w:space="0" w:color="auto"/>
            </w:tcBorders>
          </w:tcPr>
          <w:p w14:paraId="74A4F5A6" w14:textId="77777777" w:rsidR="00953684" w:rsidRPr="00091151" w:rsidRDefault="00953684" w:rsidP="00953684">
            <w:pPr>
              <w:spacing w:before="60" w:after="60" w:line="240" w:lineRule="atLeast"/>
              <w:ind w:left="0" w:firstLine="0"/>
              <w:jc w:val="center"/>
            </w:pPr>
            <w:r w:rsidRPr="00091151">
              <w:t>9.3.1.13</w:t>
            </w:r>
            <w:r w:rsidRPr="00091151">
              <w:br/>
              <w:t>9.3.3.13</w:t>
            </w:r>
          </w:p>
        </w:tc>
        <w:tc>
          <w:tcPr>
            <w:tcW w:w="2127" w:type="dxa"/>
            <w:tcBorders>
              <w:top w:val="single" w:sz="6" w:space="0" w:color="auto"/>
              <w:left w:val="single" w:sz="6" w:space="0" w:color="auto"/>
              <w:bottom w:val="single" w:sz="6" w:space="0" w:color="auto"/>
              <w:right w:val="single" w:sz="6" w:space="0" w:color="auto"/>
            </w:tcBorders>
          </w:tcPr>
          <w:p w14:paraId="7770D870" w14:textId="77777777" w:rsidR="00953684" w:rsidRPr="00091151" w:rsidRDefault="00953684" w:rsidP="00953684">
            <w:pPr>
              <w:spacing w:before="60" w:after="60" w:line="240" w:lineRule="atLeast"/>
              <w:ind w:left="0" w:firstLine="0"/>
              <w:jc w:val="left"/>
            </w:pPr>
            <w:r w:rsidRPr="00091151">
              <w:t>Stabilität allgemein</w:t>
            </w:r>
          </w:p>
        </w:tc>
        <w:tc>
          <w:tcPr>
            <w:tcW w:w="3827" w:type="dxa"/>
            <w:tcBorders>
              <w:top w:val="single" w:sz="6" w:space="0" w:color="auto"/>
              <w:left w:val="single" w:sz="6" w:space="0" w:color="auto"/>
              <w:bottom w:val="single" w:sz="6" w:space="0" w:color="auto"/>
              <w:right w:val="single" w:sz="6" w:space="0" w:color="auto"/>
            </w:tcBorders>
          </w:tcPr>
          <w:p w14:paraId="3F2C39B2" w14:textId="77777777" w:rsidR="00953684" w:rsidRPr="00091151" w:rsidRDefault="00953684" w:rsidP="00953684">
            <w:pPr>
              <w:spacing w:before="60" w:after="60" w:line="240" w:lineRule="atLeast"/>
              <w:ind w:left="0" w:firstLine="0"/>
            </w:pPr>
            <w:r w:rsidRPr="00091151">
              <w:t>N.E.U., Erneuerung des Zulassungszeugnisses nach dem 31. Dezember 2044</w:t>
            </w:r>
          </w:p>
        </w:tc>
      </w:tr>
      <w:tr w:rsidR="00953684" w:rsidRPr="00091151" w14:paraId="383B3870" w14:textId="77777777" w:rsidTr="00953684">
        <w:trPr>
          <w:cantSplit/>
        </w:trPr>
        <w:tc>
          <w:tcPr>
            <w:tcW w:w="1417" w:type="dxa"/>
            <w:tcBorders>
              <w:top w:val="single" w:sz="6" w:space="0" w:color="auto"/>
              <w:left w:val="single" w:sz="6" w:space="0" w:color="auto"/>
              <w:bottom w:val="single" w:sz="6" w:space="0" w:color="auto"/>
              <w:right w:val="single" w:sz="6" w:space="0" w:color="auto"/>
            </w:tcBorders>
          </w:tcPr>
          <w:p w14:paraId="1F32FE42" w14:textId="77777777" w:rsidR="00953684" w:rsidRPr="00091151" w:rsidRDefault="00953684" w:rsidP="00953684">
            <w:pPr>
              <w:spacing w:before="60" w:after="60" w:line="240" w:lineRule="atLeast"/>
              <w:ind w:left="0" w:firstLine="0"/>
              <w:jc w:val="center"/>
            </w:pPr>
            <w:r w:rsidRPr="00091151">
              <w:t>9.3.3.13.3</w:t>
            </w:r>
            <w:r w:rsidRPr="00091151">
              <w:br/>
              <w:t>Absatz 2</w:t>
            </w:r>
          </w:p>
        </w:tc>
        <w:tc>
          <w:tcPr>
            <w:tcW w:w="2127" w:type="dxa"/>
            <w:tcBorders>
              <w:top w:val="single" w:sz="6" w:space="0" w:color="auto"/>
              <w:left w:val="single" w:sz="6" w:space="0" w:color="auto"/>
              <w:bottom w:val="single" w:sz="6" w:space="0" w:color="auto"/>
              <w:right w:val="single" w:sz="6" w:space="0" w:color="auto"/>
            </w:tcBorders>
          </w:tcPr>
          <w:p w14:paraId="0250F67C" w14:textId="77777777" w:rsidR="00953684" w:rsidRPr="00091151" w:rsidRDefault="00953684" w:rsidP="00953684">
            <w:pPr>
              <w:spacing w:before="60" w:after="60" w:line="240" w:lineRule="atLeast"/>
              <w:ind w:left="0" w:firstLine="0"/>
              <w:jc w:val="left"/>
            </w:pPr>
            <w:r w:rsidRPr="00091151">
              <w:t>Stabilität allgemein</w:t>
            </w:r>
          </w:p>
        </w:tc>
        <w:tc>
          <w:tcPr>
            <w:tcW w:w="3827" w:type="dxa"/>
            <w:tcBorders>
              <w:top w:val="single" w:sz="6" w:space="0" w:color="auto"/>
              <w:left w:val="single" w:sz="6" w:space="0" w:color="auto"/>
              <w:bottom w:val="single" w:sz="6" w:space="0" w:color="auto"/>
              <w:right w:val="single" w:sz="6" w:space="0" w:color="auto"/>
            </w:tcBorders>
          </w:tcPr>
          <w:p w14:paraId="770C919D" w14:textId="77777777" w:rsidR="00953684" w:rsidRPr="00091151" w:rsidRDefault="00953684" w:rsidP="00953684">
            <w:pPr>
              <w:spacing w:before="60" w:after="60" w:line="240" w:lineRule="atLeast"/>
              <w:ind w:left="0" w:firstLine="0"/>
            </w:pPr>
            <w:r w:rsidRPr="00091151">
              <w:t>N.E.U. ab 1. Januar 2007, Erneuerung des Zulassungszeugnisses nach dem 31. Dezember 2044</w:t>
            </w:r>
          </w:p>
        </w:tc>
      </w:tr>
    </w:tbl>
    <w:p w14:paraId="1604D664" w14:textId="2D86E81B" w:rsidR="0022634C" w:rsidRPr="00091151" w:rsidRDefault="0022634C" w:rsidP="0022634C">
      <w:pPr>
        <w:keepNext/>
        <w:keepLines/>
        <w:widowControl/>
        <w:tabs>
          <w:tab w:val="right" w:pos="851"/>
        </w:tabs>
        <w:suppressAutoHyphens/>
        <w:overflowPunct/>
        <w:autoSpaceDE/>
        <w:autoSpaceDN/>
        <w:adjustRightInd/>
        <w:spacing w:before="240" w:after="120" w:line="240" w:lineRule="exact"/>
        <w:ind w:right="1134"/>
        <w:jc w:val="left"/>
        <w:textAlignment w:val="auto"/>
        <w:rPr>
          <w:b/>
          <w:lang w:val="en-GB"/>
        </w:rPr>
      </w:pPr>
      <w:r w:rsidRPr="00091151">
        <w:rPr>
          <w:b/>
          <w:lang w:val="en-GB"/>
        </w:rPr>
        <w:tab/>
      </w:r>
      <w:r w:rsidRPr="00091151">
        <w:rPr>
          <w:b/>
          <w:lang w:val="en-GB"/>
        </w:rPr>
        <w:tab/>
        <w:t>5.</w:t>
      </w:r>
      <w:r w:rsidRPr="00091151">
        <w:rPr>
          <w:b/>
          <w:lang w:val="en-GB"/>
        </w:rPr>
        <w:tab/>
      </w:r>
      <w:r w:rsidR="00B72770" w:rsidRPr="00091151">
        <w:rPr>
          <w:b/>
          <w:lang w:val="en-GB"/>
        </w:rPr>
        <w:t>Vorschlag</w:t>
      </w:r>
    </w:p>
    <w:p w14:paraId="52A17F56" w14:textId="61B3125A" w:rsidR="0022634C" w:rsidRPr="00091151" w:rsidRDefault="00E71FD1" w:rsidP="00E71FD1">
      <w:pPr>
        <w:widowControl/>
        <w:suppressAutoHyphens/>
        <w:overflowPunct/>
        <w:autoSpaceDE/>
        <w:autoSpaceDN/>
        <w:adjustRightInd/>
        <w:spacing w:after="120" w:line="240" w:lineRule="atLeast"/>
        <w:ind w:right="1134" w:firstLine="0"/>
        <w:textAlignment w:val="auto"/>
        <w:rPr>
          <w:lang w:val="en-GB"/>
        </w:rPr>
      </w:pPr>
      <w:r w:rsidRPr="00091151">
        <w:t>Absatz 9.3.3.13.4 hätte zusammen mit einer Übergangsvorschrift wie im ADN 2011 wieder aufgenommen werden sollen.</w:t>
      </w:r>
    </w:p>
    <w:p w14:paraId="0D1CA44D" w14:textId="77777777" w:rsidR="00600DA9" w:rsidRPr="00091151" w:rsidRDefault="00600DA9" w:rsidP="00600DA9">
      <w:pPr>
        <w:widowControl/>
        <w:suppressAutoHyphens/>
        <w:overflowPunct/>
        <w:autoSpaceDE/>
        <w:autoSpaceDN/>
        <w:adjustRightInd/>
        <w:spacing w:after="120" w:line="240" w:lineRule="atLeast"/>
        <w:ind w:right="1134" w:firstLine="0"/>
        <w:textAlignment w:val="auto"/>
        <w:rPr>
          <w:lang w:val="en-GB"/>
        </w:rPr>
      </w:pPr>
      <w:r w:rsidRPr="00091151">
        <w:rPr>
          <w:lang w:val="en-GB"/>
        </w:rPr>
        <w:t xml:space="preserve">Der Vorschlag lautet: </w:t>
      </w:r>
    </w:p>
    <w:p w14:paraId="23B3A409" w14:textId="13A2CFCA" w:rsidR="0022634C" w:rsidRPr="00091151" w:rsidRDefault="00600DA9" w:rsidP="0022634C">
      <w:pPr>
        <w:widowControl/>
        <w:suppressAutoHyphens/>
        <w:overflowPunct/>
        <w:autoSpaceDE/>
        <w:autoSpaceDN/>
        <w:adjustRightInd/>
        <w:spacing w:after="120" w:line="240" w:lineRule="atLeast"/>
        <w:ind w:right="1134" w:firstLine="0"/>
        <w:textAlignment w:val="auto"/>
        <w:rPr>
          <w:lang w:val="en-GB"/>
        </w:rPr>
      </w:pPr>
      <w:r w:rsidRPr="00091151">
        <w:rPr>
          <w:lang w:val="en-GB"/>
        </w:rPr>
        <w:t>In der Tabelle 1.6.7.2.2.2 den folgenden Eintrag hinzufügen:</w:t>
      </w:r>
    </w:p>
    <w:tbl>
      <w:tblPr>
        <w:tblW w:w="7366" w:type="dxa"/>
        <w:tblInd w:w="1131" w:type="dxa"/>
        <w:tblLayout w:type="fixed"/>
        <w:tblCellMar>
          <w:left w:w="70" w:type="dxa"/>
          <w:right w:w="70" w:type="dxa"/>
        </w:tblCellMar>
        <w:tblLook w:val="0000" w:firstRow="0" w:lastRow="0" w:firstColumn="0" w:lastColumn="0" w:noHBand="0" w:noVBand="0"/>
      </w:tblPr>
      <w:tblGrid>
        <w:gridCol w:w="1980"/>
        <w:gridCol w:w="2107"/>
        <w:gridCol w:w="3279"/>
      </w:tblGrid>
      <w:tr w:rsidR="00B72770" w:rsidRPr="00091151" w14:paraId="0247897D" w14:textId="77777777" w:rsidTr="00600DA9">
        <w:trPr>
          <w:cantSplit/>
          <w:tblHeader/>
        </w:trPr>
        <w:tc>
          <w:tcPr>
            <w:tcW w:w="1980" w:type="dxa"/>
            <w:tcBorders>
              <w:top w:val="single" w:sz="4" w:space="0" w:color="auto"/>
              <w:left w:val="single" w:sz="6" w:space="0" w:color="auto"/>
              <w:bottom w:val="single" w:sz="6" w:space="0" w:color="auto"/>
              <w:right w:val="single" w:sz="6" w:space="0" w:color="auto"/>
            </w:tcBorders>
          </w:tcPr>
          <w:p w14:paraId="514D61CA" w14:textId="77777777" w:rsidR="00B72770" w:rsidRPr="00091151" w:rsidRDefault="00B72770" w:rsidP="00A3618D">
            <w:pPr>
              <w:pStyle w:val="N3"/>
              <w:tabs>
                <w:tab w:val="clear" w:pos="170"/>
              </w:tabs>
              <w:spacing w:before="60" w:after="60" w:line="240" w:lineRule="atLeast"/>
              <w:jc w:val="center"/>
              <w:rPr>
                <w:rFonts w:ascii="Times New Roman" w:hAnsi="Times New Roman"/>
                <w:sz w:val="20"/>
              </w:rPr>
            </w:pPr>
            <w:r w:rsidRPr="00091151">
              <w:rPr>
                <w:rFonts w:ascii="Times New Roman" w:hAnsi="Times New Roman"/>
                <w:sz w:val="20"/>
              </w:rPr>
              <w:t>Absatz</w:t>
            </w:r>
          </w:p>
        </w:tc>
        <w:tc>
          <w:tcPr>
            <w:tcW w:w="2107" w:type="dxa"/>
            <w:tcBorders>
              <w:top w:val="single" w:sz="4" w:space="0" w:color="auto"/>
              <w:left w:val="single" w:sz="6" w:space="0" w:color="auto"/>
              <w:bottom w:val="single" w:sz="6" w:space="0" w:color="auto"/>
              <w:right w:val="single" w:sz="6" w:space="0" w:color="auto"/>
            </w:tcBorders>
          </w:tcPr>
          <w:p w14:paraId="20AD5628" w14:textId="77777777" w:rsidR="00B72770" w:rsidRPr="00091151" w:rsidRDefault="00B72770" w:rsidP="00A3618D">
            <w:pPr>
              <w:pStyle w:val="N3"/>
              <w:tabs>
                <w:tab w:val="clear" w:pos="170"/>
              </w:tabs>
              <w:spacing w:before="60" w:after="60" w:line="240" w:lineRule="atLeast"/>
              <w:jc w:val="center"/>
              <w:rPr>
                <w:rFonts w:ascii="Times New Roman" w:hAnsi="Times New Roman"/>
                <w:sz w:val="20"/>
              </w:rPr>
            </w:pPr>
            <w:r w:rsidRPr="00091151">
              <w:rPr>
                <w:rFonts w:ascii="Times New Roman" w:hAnsi="Times New Roman"/>
                <w:sz w:val="20"/>
              </w:rPr>
              <w:t>Inhalt</w:t>
            </w:r>
          </w:p>
        </w:tc>
        <w:tc>
          <w:tcPr>
            <w:tcW w:w="3279" w:type="dxa"/>
            <w:tcBorders>
              <w:top w:val="single" w:sz="4" w:space="0" w:color="auto"/>
              <w:left w:val="single" w:sz="6" w:space="0" w:color="auto"/>
              <w:bottom w:val="single" w:sz="6" w:space="0" w:color="auto"/>
              <w:right w:val="single" w:sz="6" w:space="0" w:color="auto"/>
            </w:tcBorders>
          </w:tcPr>
          <w:p w14:paraId="34CEF2DB" w14:textId="77777777" w:rsidR="00B72770" w:rsidRPr="00091151" w:rsidRDefault="00B72770" w:rsidP="00A3618D">
            <w:pPr>
              <w:pStyle w:val="N3"/>
              <w:tabs>
                <w:tab w:val="clear" w:pos="170"/>
              </w:tabs>
              <w:spacing w:before="60" w:after="60" w:line="240" w:lineRule="atLeast"/>
              <w:jc w:val="center"/>
              <w:rPr>
                <w:rFonts w:ascii="Times New Roman" w:hAnsi="Times New Roman"/>
                <w:sz w:val="20"/>
              </w:rPr>
            </w:pPr>
            <w:r w:rsidRPr="00091151">
              <w:rPr>
                <w:rFonts w:ascii="Times New Roman" w:hAnsi="Times New Roman"/>
                <w:sz w:val="20"/>
              </w:rPr>
              <w:t>Frist und Nebenbestimmungen</w:t>
            </w:r>
          </w:p>
        </w:tc>
      </w:tr>
      <w:tr w:rsidR="00B72770" w:rsidRPr="00091151" w14:paraId="43999ABE" w14:textId="77777777" w:rsidTr="00600DA9">
        <w:trPr>
          <w:cantSplit/>
        </w:trPr>
        <w:tc>
          <w:tcPr>
            <w:tcW w:w="1980" w:type="dxa"/>
            <w:tcBorders>
              <w:top w:val="single" w:sz="6" w:space="0" w:color="auto"/>
              <w:left w:val="single" w:sz="6" w:space="0" w:color="auto"/>
              <w:bottom w:val="single" w:sz="6" w:space="0" w:color="auto"/>
              <w:right w:val="single" w:sz="6" w:space="0" w:color="auto"/>
            </w:tcBorders>
          </w:tcPr>
          <w:p w14:paraId="0D72304B" w14:textId="75F82F9E" w:rsidR="00B72770" w:rsidRPr="00091151" w:rsidRDefault="00600DA9" w:rsidP="00A3618D">
            <w:pPr>
              <w:pStyle w:val="N3"/>
              <w:tabs>
                <w:tab w:val="clear" w:pos="170"/>
              </w:tabs>
              <w:spacing w:before="60" w:after="60" w:line="240" w:lineRule="atLeast"/>
              <w:jc w:val="center"/>
              <w:rPr>
                <w:rFonts w:ascii="Times New Roman" w:hAnsi="Times New Roman"/>
                <w:sz w:val="20"/>
              </w:rPr>
            </w:pPr>
            <w:r w:rsidRPr="00091151">
              <w:rPr>
                <w:rFonts w:ascii="Times New Roman" w:eastAsia="SimSun" w:hAnsi="Times New Roman"/>
                <w:color w:val="000000"/>
                <w:sz w:val="20"/>
                <w:lang w:val="en-GB" w:eastAsia="en-GB"/>
              </w:rPr>
              <w:t>9.3.3.13.4</w:t>
            </w:r>
          </w:p>
        </w:tc>
        <w:tc>
          <w:tcPr>
            <w:tcW w:w="2107" w:type="dxa"/>
            <w:tcBorders>
              <w:top w:val="single" w:sz="6" w:space="0" w:color="auto"/>
              <w:left w:val="single" w:sz="6" w:space="0" w:color="auto"/>
              <w:bottom w:val="single" w:sz="6" w:space="0" w:color="auto"/>
              <w:right w:val="single" w:sz="6" w:space="0" w:color="auto"/>
            </w:tcBorders>
          </w:tcPr>
          <w:p w14:paraId="70B36358" w14:textId="7B975497" w:rsidR="00B72770" w:rsidRPr="00091151" w:rsidRDefault="00600DA9" w:rsidP="00A3618D">
            <w:pPr>
              <w:pStyle w:val="N3"/>
              <w:tabs>
                <w:tab w:val="clear" w:pos="170"/>
              </w:tabs>
              <w:spacing w:before="60" w:after="60" w:line="240" w:lineRule="atLeast"/>
              <w:rPr>
                <w:rFonts w:ascii="Times New Roman" w:hAnsi="Times New Roman"/>
                <w:sz w:val="20"/>
              </w:rPr>
            </w:pPr>
            <w:r w:rsidRPr="00091151">
              <w:rPr>
                <w:rFonts w:ascii="Times New Roman" w:hAnsi="Times New Roman"/>
                <w:sz w:val="20"/>
              </w:rPr>
              <w:t>Stabilität allgemein</w:t>
            </w:r>
          </w:p>
        </w:tc>
        <w:tc>
          <w:tcPr>
            <w:tcW w:w="3279" w:type="dxa"/>
            <w:tcBorders>
              <w:top w:val="single" w:sz="6" w:space="0" w:color="auto"/>
              <w:left w:val="single" w:sz="6" w:space="0" w:color="auto"/>
              <w:bottom w:val="single" w:sz="6" w:space="0" w:color="auto"/>
              <w:right w:val="single" w:sz="6" w:space="0" w:color="auto"/>
            </w:tcBorders>
          </w:tcPr>
          <w:p w14:paraId="1F2E059A" w14:textId="77952B20" w:rsidR="00B72770" w:rsidRPr="00091151" w:rsidRDefault="00600DA9" w:rsidP="00A3618D">
            <w:pPr>
              <w:pStyle w:val="N3"/>
              <w:tabs>
                <w:tab w:val="left" w:pos="454"/>
              </w:tabs>
              <w:spacing w:before="60" w:after="60" w:line="240" w:lineRule="atLeast"/>
              <w:jc w:val="both"/>
              <w:rPr>
                <w:rFonts w:ascii="Times New Roman" w:hAnsi="Times New Roman"/>
                <w:sz w:val="20"/>
              </w:rPr>
            </w:pPr>
            <w:r w:rsidRPr="00091151">
              <w:rPr>
                <w:rFonts w:ascii="Times New Roman" w:hAnsi="Times New Roman"/>
                <w:sz w:val="20"/>
              </w:rPr>
              <w:t>N.E.U. ab 1. Januar 2007, Erneuerung des Zulassungszeugnisses nach dem 31. Dezember 2044</w:t>
            </w:r>
          </w:p>
        </w:tc>
      </w:tr>
    </w:tbl>
    <w:p w14:paraId="7208682C" w14:textId="479143A4" w:rsidR="00B72770" w:rsidRPr="00091151" w:rsidRDefault="00B72770" w:rsidP="0022634C">
      <w:pPr>
        <w:widowControl/>
        <w:suppressAutoHyphens/>
        <w:overflowPunct/>
        <w:autoSpaceDE/>
        <w:autoSpaceDN/>
        <w:adjustRightInd/>
        <w:spacing w:after="120" w:line="240" w:lineRule="atLeast"/>
        <w:ind w:right="1134" w:firstLine="0"/>
        <w:textAlignment w:val="auto"/>
        <w:rPr>
          <w:lang w:val="en-GB"/>
        </w:rPr>
      </w:pPr>
    </w:p>
    <w:p w14:paraId="1965ED88" w14:textId="6BC8FA26" w:rsidR="002D5664" w:rsidRPr="00EF41A3" w:rsidRDefault="002D5664" w:rsidP="002D5664">
      <w:pPr>
        <w:widowControl/>
        <w:overflowPunct/>
        <w:spacing w:line="240" w:lineRule="atLeast"/>
        <w:ind w:right="567" w:firstLine="0"/>
        <w:jc w:val="center"/>
        <w:textAlignment w:val="auto"/>
        <w:rPr>
          <w:lang w:eastAsia="en-US"/>
        </w:rPr>
      </w:pPr>
      <w:r w:rsidRPr="00091151">
        <w:rPr>
          <w:lang w:eastAsia="en-US"/>
        </w:rPr>
        <w:t>***</w:t>
      </w:r>
    </w:p>
    <w:sectPr w:rsidR="002D5664" w:rsidRPr="00EF41A3" w:rsidSect="00DD51E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44CA6" w14:textId="77777777" w:rsidR="00EC2E4B" w:rsidRDefault="00EC2E4B" w:rsidP="006038DC">
      <w:r>
        <w:separator/>
      </w:r>
    </w:p>
  </w:endnote>
  <w:endnote w:type="continuationSeparator" w:id="0">
    <w:p w14:paraId="74B3387C" w14:textId="77777777" w:rsidR="00EC2E4B" w:rsidRDefault="00EC2E4B" w:rsidP="006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C9CF" w14:textId="0E9B2677" w:rsidR="00AE7E9F" w:rsidRDefault="00A93319" w:rsidP="00AE7E9F">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00AE7E9F" w:rsidRPr="004F60A5">
      <w:rPr>
        <w:rFonts w:ascii="Arial" w:hAnsi="Arial"/>
        <w:noProof/>
        <w:snapToGrid w:val="0"/>
        <w:sz w:val="12"/>
        <w:szCs w:val="24"/>
        <w:lang w:val="en-US"/>
      </w:rPr>
      <w:t>m</w:t>
    </w:r>
    <w:r>
      <w:rPr>
        <w:rFonts w:ascii="Arial" w:hAnsi="Arial"/>
        <w:noProof/>
        <w:snapToGrid w:val="0"/>
        <w:sz w:val="12"/>
        <w:szCs w:val="24"/>
        <w:lang w:val="en-US"/>
      </w:rPr>
      <w:t>_ba</w:t>
    </w:r>
    <w:r w:rsidR="00AE7E9F" w:rsidRPr="004F60A5">
      <w:rPr>
        <w:rFonts w:ascii="Arial" w:hAnsi="Arial"/>
        <w:noProof/>
        <w:snapToGrid w:val="0"/>
        <w:sz w:val="12"/>
        <w:szCs w:val="24"/>
        <w:lang w:val="en-US"/>
      </w:rPr>
      <w:t>/adn_wp15_ac2_20</w:t>
    </w:r>
    <w:r w:rsidR="00AE7E9F">
      <w:rPr>
        <w:rFonts w:ascii="Arial" w:hAnsi="Arial"/>
        <w:noProof/>
        <w:snapToGrid w:val="0"/>
        <w:sz w:val="12"/>
        <w:szCs w:val="24"/>
        <w:lang w:val="en-US"/>
      </w:rPr>
      <w:t>20</w:t>
    </w:r>
    <w:r w:rsidR="00AE7E9F" w:rsidRPr="004F60A5">
      <w:rPr>
        <w:rFonts w:ascii="Arial" w:hAnsi="Arial"/>
        <w:noProof/>
        <w:snapToGrid w:val="0"/>
        <w:sz w:val="12"/>
        <w:szCs w:val="24"/>
        <w:lang w:val="en-US"/>
      </w:rPr>
      <w:t>_</w:t>
    </w:r>
    <w:r w:rsidR="00AE7E9F">
      <w:rPr>
        <w:rFonts w:ascii="Arial" w:hAnsi="Arial"/>
        <w:noProof/>
        <w:snapToGrid w:val="0"/>
        <w:sz w:val="12"/>
        <w:szCs w:val="24"/>
        <w:lang w:val="en-US"/>
      </w:rPr>
      <w:t>1</w:t>
    </w:r>
    <w:r w:rsidR="0022634C">
      <w:rPr>
        <w:rFonts w:ascii="Arial" w:hAnsi="Arial"/>
        <w:noProof/>
        <w:snapToGrid w:val="0"/>
        <w:sz w:val="12"/>
        <w:szCs w:val="24"/>
        <w:lang w:val="en-US"/>
      </w:rPr>
      <w:t>6</w:t>
    </w:r>
    <w:r w:rsidR="00AE7E9F">
      <w:rPr>
        <w:rFonts w:ascii="Arial" w:hAnsi="Arial"/>
        <w:noProof/>
        <w:snapToGrid w:val="0"/>
        <w:sz w:val="12"/>
        <w:szCs w:val="24"/>
        <w:lang w:val="en-US"/>
      </w:rPr>
      <w:t>d</w:t>
    </w:r>
    <w:r w:rsidR="00AE7E9F" w:rsidRPr="004F60A5">
      <w:rPr>
        <w:rFonts w:ascii="Arial" w:hAnsi="Arial"/>
        <w:noProof/>
        <w:snapToGrid w:val="0"/>
        <w:sz w:val="12"/>
        <w:szCs w:val="24"/>
        <w:lang w:val="en-US"/>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3A31" w14:textId="6FB987E8" w:rsidR="0022634C" w:rsidRDefault="0022634C" w:rsidP="0022634C">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w:t>
    </w:r>
    <w:r>
      <w:rPr>
        <w:rFonts w:ascii="Arial" w:hAnsi="Arial"/>
        <w:noProof/>
        <w:snapToGrid w:val="0"/>
        <w:sz w:val="12"/>
        <w:szCs w:val="24"/>
        <w:lang w:val="en-US"/>
      </w:rPr>
      <w:t>_ba</w:t>
    </w:r>
    <w:r w:rsidRPr="004F60A5">
      <w:rPr>
        <w:rFonts w:ascii="Arial" w:hAnsi="Arial"/>
        <w:noProof/>
        <w:snapToGrid w:val="0"/>
        <w:sz w:val="12"/>
        <w:szCs w:val="24"/>
        <w:lang w:val="en-US"/>
      </w:rPr>
      <w:t>/adn_wp15_ac2_20</w:t>
    </w:r>
    <w:r>
      <w:rPr>
        <w:rFonts w:ascii="Arial" w:hAnsi="Arial"/>
        <w:noProof/>
        <w:snapToGrid w:val="0"/>
        <w:sz w:val="12"/>
        <w:szCs w:val="24"/>
        <w:lang w:val="en-US"/>
      </w:rPr>
      <w:t>20</w:t>
    </w:r>
    <w:r w:rsidRPr="004F60A5">
      <w:rPr>
        <w:rFonts w:ascii="Arial" w:hAnsi="Arial"/>
        <w:noProof/>
        <w:snapToGrid w:val="0"/>
        <w:sz w:val="12"/>
        <w:szCs w:val="24"/>
        <w:lang w:val="en-US"/>
      </w:rPr>
      <w:t>_</w:t>
    </w:r>
    <w:r>
      <w:rPr>
        <w:rFonts w:ascii="Arial" w:hAnsi="Arial"/>
        <w:noProof/>
        <w:snapToGrid w:val="0"/>
        <w:sz w:val="12"/>
        <w:szCs w:val="24"/>
        <w:lang w:val="en-US"/>
      </w:rPr>
      <w:t>16d</w:t>
    </w:r>
    <w:r w:rsidRPr="004F60A5">
      <w:rPr>
        <w:rFonts w:ascii="Arial" w:hAnsi="Arial"/>
        <w:noProof/>
        <w:snapToGrid w:val="0"/>
        <w:sz w:val="12"/>
        <w:szCs w:val="24"/>
        <w:lang w:val="en-US"/>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7FF4" w14:textId="77777777" w:rsidR="007E2413" w:rsidRDefault="007E2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B68EF" w14:textId="77777777" w:rsidR="00EC2E4B" w:rsidRDefault="00EC2E4B" w:rsidP="006038DC">
      <w:r>
        <w:separator/>
      </w:r>
    </w:p>
  </w:footnote>
  <w:footnote w:type="continuationSeparator" w:id="0">
    <w:p w14:paraId="49E9DBB6" w14:textId="77777777" w:rsidR="00EC2E4B" w:rsidRDefault="00EC2E4B" w:rsidP="006038DC">
      <w:r>
        <w:continuationSeparator/>
      </w:r>
    </w:p>
  </w:footnote>
  <w:footnote w:id="1">
    <w:p w14:paraId="2A759DD4" w14:textId="4E846599" w:rsidR="002D5664" w:rsidRPr="00962008" w:rsidRDefault="002D5664" w:rsidP="002D5664">
      <w:pPr>
        <w:pStyle w:val="FootnoteText"/>
        <w:rPr>
          <w:lang w:val="de-DE"/>
        </w:rPr>
      </w:pPr>
      <w:r w:rsidRPr="005F51C2">
        <w:rPr>
          <w:lang w:val="fr-FR"/>
        </w:rPr>
        <w:tab/>
      </w:r>
      <w:r w:rsidRPr="00962008">
        <w:rPr>
          <w:rStyle w:val="FootnoteReference"/>
          <w:sz w:val="20"/>
          <w:lang w:val="de-DE"/>
        </w:rPr>
        <w:t>*</w:t>
      </w:r>
      <w:r w:rsidRPr="00962008">
        <w:rPr>
          <w:sz w:val="16"/>
          <w:szCs w:val="16"/>
          <w:lang w:val="de-DE"/>
        </w:rPr>
        <w:tab/>
      </w:r>
      <w:r w:rsidRPr="00947F64">
        <w:rPr>
          <w:lang w:val="de-DE"/>
        </w:rPr>
        <w:t>Von der UN-ECE in Englisch, Französisch und Russisch unter dem Aktenzeichen CCNR-ZKR/ADN/WP.15/AC.2/20</w:t>
      </w:r>
      <w:r>
        <w:rPr>
          <w:lang w:val="de-DE"/>
        </w:rPr>
        <w:t>20</w:t>
      </w:r>
      <w:r w:rsidRPr="00947F64">
        <w:rPr>
          <w:lang w:val="de-DE"/>
        </w:rPr>
        <w:t>/</w:t>
      </w:r>
      <w:r w:rsidR="00CD4189">
        <w:rPr>
          <w:lang w:val="de-DE"/>
        </w:rPr>
        <w:t>1</w:t>
      </w:r>
      <w:r w:rsidR="0022634C">
        <w:rPr>
          <w:lang w:val="de-DE"/>
        </w:rPr>
        <w:t>6</w:t>
      </w:r>
      <w:r w:rsidRPr="00947F64">
        <w:rPr>
          <w:lang w:val="de-DE"/>
        </w:rPr>
        <w:t xml:space="preserve"> verteilt.</w:t>
      </w:r>
    </w:p>
  </w:footnote>
  <w:footnote w:id="2">
    <w:p w14:paraId="7D349EC9" w14:textId="77777777" w:rsidR="002D5664" w:rsidRPr="00962008" w:rsidRDefault="002D5664" w:rsidP="002D5664">
      <w:pPr>
        <w:pStyle w:val="FootnoteText"/>
        <w:rPr>
          <w:lang w:val="de-DE"/>
        </w:rPr>
      </w:pPr>
      <w:r w:rsidRPr="00962008">
        <w:rPr>
          <w:lang w:val="de-DE"/>
        </w:rPr>
        <w:tab/>
      </w:r>
      <w:r w:rsidRPr="00962008">
        <w:rPr>
          <w:rStyle w:val="FootnoteReference"/>
          <w:sz w:val="20"/>
          <w:lang w:val="de-DE"/>
        </w:rPr>
        <w:t>**</w:t>
      </w:r>
      <w:r w:rsidRPr="00962008">
        <w:rPr>
          <w:lang w:val="de-DE"/>
        </w:rPr>
        <w:tab/>
      </w:r>
      <w:r w:rsidRPr="00947F64">
        <w:rPr>
          <w:lang w:val="de-DE"/>
        </w:rPr>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5FC" w14:textId="0976CDB9" w:rsidR="00A93319" w:rsidRDefault="00A93319" w:rsidP="00A93319">
    <w:pPr>
      <w:widowControl/>
      <w:suppressAutoHyphens/>
      <w:overflowPunct/>
      <w:autoSpaceDE/>
      <w:autoSpaceDN/>
      <w:adjustRightInd/>
      <w:ind w:left="0" w:firstLine="0"/>
      <w:jc w:val="right"/>
      <w:textAlignment w:val="auto"/>
      <w:rPr>
        <w:rFonts w:ascii="Arial" w:hAnsi="Arial"/>
        <w:snapToGrid w:val="0"/>
        <w:sz w:val="16"/>
        <w:szCs w:val="16"/>
      </w:rPr>
    </w:pPr>
    <w:r w:rsidRPr="008B0EB0">
      <w:rPr>
        <w:rFonts w:ascii="Arial" w:hAnsi="Arial"/>
        <w:snapToGrid w:val="0"/>
        <w:sz w:val="16"/>
        <w:szCs w:val="16"/>
      </w:rPr>
      <w:t>CCNR-ZKR/ADN/WP.15/AC.2/20</w:t>
    </w:r>
    <w:r>
      <w:rPr>
        <w:rFonts w:ascii="Arial" w:hAnsi="Arial"/>
        <w:snapToGrid w:val="0"/>
        <w:sz w:val="16"/>
        <w:szCs w:val="16"/>
      </w:rPr>
      <w:t>20</w:t>
    </w:r>
    <w:r w:rsidRPr="008B0EB0">
      <w:rPr>
        <w:rFonts w:ascii="Arial" w:hAnsi="Arial"/>
        <w:snapToGrid w:val="0"/>
        <w:sz w:val="16"/>
        <w:szCs w:val="16"/>
      </w:rPr>
      <w:t>/</w:t>
    </w:r>
    <w:r>
      <w:rPr>
        <w:rFonts w:ascii="Arial" w:hAnsi="Arial"/>
        <w:snapToGrid w:val="0"/>
        <w:sz w:val="16"/>
        <w:szCs w:val="16"/>
      </w:rPr>
      <w:t>1</w:t>
    </w:r>
    <w:r w:rsidR="0022634C">
      <w:rPr>
        <w:rFonts w:ascii="Arial" w:hAnsi="Arial"/>
        <w:snapToGrid w:val="0"/>
        <w:sz w:val="16"/>
        <w:szCs w:val="16"/>
      </w:rPr>
      <w:t>6</w:t>
    </w:r>
  </w:p>
  <w:p w14:paraId="0BF2F378" w14:textId="45E45053" w:rsidR="00A93319" w:rsidRDefault="00A93319" w:rsidP="00A93319">
    <w:pPr>
      <w:widowControl/>
      <w:suppressAutoHyphens/>
      <w:overflowPunct/>
      <w:autoSpaceDE/>
      <w:autoSpaceDN/>
      <w:adjustRightInd/>
      <w:ind w:left="0" w:firstLine="0"/>
      <w:jc w:val="right"/>
      <w:textAlignment w:val="auto"/>
    </w:pPr>
    <w:r>
      <w:rPr>
        <w:rFonts w:ascii="Arial" w:hAnsi="Arial"/>
        <w:snapToGrid w:val="0"/>
        <w:sz w:val="16"/>
        <w:szCs w:val="16"/>
      </w:rPr>
      <w:t>Seite</w:t>
    </w:r>
    <w:r w:rsidRPr="008B0EB0">
      <w:rPr>
        <w:rFonts w:ascii="Arial" w:hAnsi="Arial"/>
        <w:snapToGrid w:val="0"/>
        <w:sz w:val="16"/>
        <w:szCs w:val="16"/>
      </w:rPr>
      <w:t xml:space="preserve"> </w:t>
    </w:r>
    <w:r w:rsidRPr="008B0EB0">
      <w:rPr>
        <w:rFonts w:ascii="Arial" w:hAnsi="Arial"/>
        <w:snapToGrid w:val="0"/>
        <w:sz w:val="16"/>
        <w:szCs w:val="16"/>
      </w:rPr>
      <w:fldChar w:fldCharType="begin"/>
    </w:r>
    <w:r w:rsidRPr="008B0EB0">
      <w:rPr>
        <w:rFonts w:ascii="Arial" w:hAnsi="Arial"/>
        <w:snapToGrid w:val="0"/>
        <w:sz w:val="16"/>
        <w:szCs w:val="16"/>
      </w:rPr>
      <w:instrText xml:space="preserve"> PAGE  \* MERGEFORMAT </w:instrText>
    </w:r>
    <w:r w:rsidRPr="008B0EB0">
      <w:rPr>
        <w:rFonts w:ascii="Arial" w:hAnsi="Arial"/>
        <w:snapToGrid w:val="0"/>
        <w:sz w:val="16"/>
        <w:szCs w:val="16"/>
      </w:rPr>
      <w:fldChar w:fldCharType="separate"/>
    </w:r>
    <w:r>
      <w:rPr>
        <w:rFonts w:ascii="Arial" w:hAnsi="Arial"/>
        <w:snapToGrid w:val="0"/>
        <w:sz w:val="16"/>
        <w:szCs w:val="16"/>
      </w:rPr>
      <w:t>1</w:t>
    </w:r>
    <w:r w:rsidRPr="008B0EB0">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C405" w14:textId="77777777" w:rsidR="0022634C" w:rsidRDefault="0022634C" w:rsidP="0022634C">
    <w:pPr>
      <w:widowControl/>
      <w:suppressAutoHyphens/>
      <w:overflowPunct/>
      <w:autoSpaceDE/>
      <w:autoSpaceDN/>
      <w:adjustRightInd/>
      <w:ind w:left="0" w:firstLine="0"/>
      <w:jc w:val="right"/>
      <w:textAlignment w:val="auto"/>
      <w:rPr>
        <w:rFonts w:ascii="Arial" w:hAnsi="Arial"/>
        <w:snapToGrid w:val="0"/>
        <w:sz w:val="16"/>
        <w:szCs w:val="16"/>
      </w:rPr>
    </w:pPr>
    <w:r w:rsidRPr="008B0EB0">
      <w:rPr>
        <w:rFonts w:ascii="Arial" w:hAnsi="Arial"/>
        <w:snapToGrid w:val="0"/>
        <w:sz w:val="16"/>
        <w:szCs w:val="16"/>
      </w:rPr>
      <w:t>CCNR-ZKR/ADN/WP.15/AC.2/20</w:t>
    </w:r>
    <w:r>
      <w:rPr>
        <w:rFonts w:ascii="Arial" w:hAnsi="Arial"/>
        <w:snapToGrid w:val="0"/>
        <w:sz w:val="16"/>
        <w:szCs w:val="16"/>
      </w:rPr>
      <w:t>20</w:t>
    </w:r>
    <w:r w:rsidRPr="008B0EB0">
      <w:rPr>
        <w:rFonts w:ascii="Arial" w:hAnsi="Arial"/>
        <w:snapToGrid w:val="0"/>
        <w:sz w:val="16"/>
        <w:szCs w:val="16"/>
      </w:rPr>
      <w:t>/</w:t>
    </w:r>
    <w:r>
      <w:rPr>
        <w:rFonts w:ascii="Arial" w:hAnsi="Arial"/>
        <w:snapToGrid w:val="0"/>
        <w:sz w:val="16"/>
        <w:szCs w:val="16"/>
      </w:rPr>
      <w:t>16</w:t>
    </w:r>
  </w:p>
  <w:p w14:paraId="3382C30A" w14:textId="51B1CCF9" w:rsidR="0022634C" w:rsidRDefault="0022634C" w:rsidP="0022634C">
    <w:pPr>
      <w:widowControl/>
      <w:suppressAutoHyphens/>
      <w:overflowPunct/>
      <w:autoSpaceDE/>
      <w:autoSpaceDN/>
      <w:adjustRightInd/>
      <w:ind w:left="0" w:firstLine="0"/>
      <w:jc w:val="right"/>
      <w:textAlignment w:val="auto"/>
    </w:pPr>
    <w:r>
      <w:rPr>
        <w:rFonts w:ascii="Arial" w:hAnsi="Arial"/>
        <w:snapToGrid w:val="0"/>
        <w:sz w:val="16"/>
        <w:szCs w:val="16"/>
      </w:rPr>
      <w:t>Seite</w:t>
    </w:r>
    <w:r w:rsidRPr="008B0EB0">
      <w:rPr>
        <w:rFonts w:ascii="Arial" w:hAnsi="Arial"/>
        <w:snapToGrid w:val="0"/>
        <w:sz w:val="16"/>
        <w:szCs w:val="16"/>
      </w:rPr>
      <w:t xml:space="preserve"> </w:t>
    </w:r>
    <w:r w:rsidRPr="008B0EB0">
      <w:rPr>
        <w:rFonts w:ascii="Arial" w:hAnsi="Arial"/>
        <w:snapToGrid w:val="0"/>
        <w:sz w:val="16"/>
        <w:szCs w:val="16"/>
      </w:rPr>
      <w:fldChar w:fldCharType="begin"/>
    </w:r>
    <w:r w:rsidRPr="008B0EB0">
      <w:rPr>
        <w:rFonts w:ascii="Arial" w:hAnsi="Arial"/>
        <w:snapToGrid w:val="0"/>
        <w:sz w:val="16"/>
        <w:szCs w:val="16"/>
      </w:rPr>
      <w:instrText xml:space="preserve"> PAGE  \* MERGEFORMAT </w:instrText>
    </w:r>
    <w:r w:rsidRPr="008B0EB0">
      <w:rPr>
        <w:rFonts w:ascii="Arial" w:hAnsi="Arial"/>
        <w:snapToGrid w:val="0"/>
        <w:sz w:val="16"/>
        <w:szCs w:val="16"/>
      </w:rPr>
      <w:fldChar w:fldCharType="separate"/>
    </w:r>
    <w:r>
      <w:rPr>
        <w:rFonts w:ascii="Arial" w:hAnsi="Arial"/>
        <w:snapToGrid w:val="0"/>
        <w:sz w:val="16"/>
        <w:szCs w:val="16"/>
      </w:rPr>
      <w:t>4</w:t>
    </w:r>
    <w:r w:rsidRPr="008B0EB0">
      <w:rPr>
        <w:rFonts w:ascii="Arial"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0F92" w14:textId="77777777" w:rsidR="007E2413" w:rsidRDefault="007E2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4C18"/>
    <w:multiLevelType w:val="hybridMultilevel"/>
    <w:tmpl w:val="902ED494"/>
    <w:lvl w:ilvl="0" w:tplc="A178EEB8">
      <w:start w:val="1"/>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1B864C5"/>
    <w:multiLevelType w:val="hybridMultilevel"/>
    <w:tmpl w:val="49E2D28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06736"/>
    <w:multiLevelType w:val="hybridMultilevel"/>
    <w:tmpl w:val="432A1982"/>
    <w:lvl w:ilvl="0" w:tplc="A010FE64">
      <w:start w:val="2"/>
      <w:numFmt w:val="bullet"/>
      <w:lvlText w:val="–"/>
      <w:lvlJc w:val="left"/>
      <w:pPr>
        <w:tabs>
          <w:tab w:val="num" w:pos="2086"/>
        </w:tabs>
        <w:ind w:left="2086" w:hanging="360"/>
      </w:pPr>
      <w:rPr>
        <w:rFonts w:ascii="Times New Roman" w:eastAsia="Times New Roman" w:hAnsi="Times New Roman" w:hint="default"/>
      </w:rPr>
    </w:lvl>
    <w:lvl w:ilvl="1" w:tplc="04070003" w:tentative="1">
      <w:start w:val="1"/>
      <w:numFmt w:val="bullet"/>
      <w:lvlText w:val="o"/>
      <w:lvlJc w:val="left"/>
      <w:pPr>
        <w:tabs>
          <w:tab w:val="num" w:pos="2806"/>
        </w:tabs>
        <w:ind w:left="2806" w:hanging="360"/>
      </w:pPr>
      <w:rPr>
        <w:rFonts w:ascii="Courier New" w:hAnsi="Courier New" w:cs="Courier New" w:hint="default"/>
      </w:rPr>
    </w:lvl>
    <w:lvl w:ilvl="2" w:tplc="04070005" w:tentative="1">
      <w:start w:val="1"/>
      <w:numFmt w:val="bullet"/>
      <w:lvlText w:val=""/>
      <w:lvlJc w:val="left"/>
      <w:pPr>
        <w:tabs>
          <w:tab w:val="num" w:pos="3526"/>
        </w:tabs>
        <w:ind w:left="3526" w:hanging="360"/>
      </w:pPr>
      <w:rPr>
        <w:rFonts w:ascii="Wingdings" w:hAnsi="Wingdings" w:hint="default"/>
      </w:rPr>
    </w:lvl>
    <w:lvl w:ilvl="3" w:tplc="04070001" w:tentative="1">
      <w:start w:val="1"/>
      <w:numFmt w:val="bullet"/>
      <w:lvlText w:val=""/>
      <w:lvlJc w:val="left"/>
      <w:pPr>
        <w:tabs>
          <w:tab w:val="num" w:pos="4246"/>
        </w:tabs>
        <w:ind w:left="4246" w:hanging="360"/>
      </w:pPr>
      <w:rPr>
        <w:rFonts w:ascii="Symbol" w:hAnsi="Symbol" w:hint="default"/>
      </w:rPr>
    </w:lvl>
    <w:lvl w:ilvl="4" w:tplc="04070003" w:tentative="1">
      <w:start w:val="1"/>
      <w:numFmt w:val="bullet"/>
      <w:lvlText w:val="o"/>
      <w:lvlJc w:val="left"/>
      <w:pPr>
        <w:tabs>
          <w:tab w:val="num" w:pos="4966"/>
        </w:tabs>
        <w:ind w:left="4966" w:hanging="360"/>
      </w:pPr>
      <w:rPr>
        <w:rFonts w:ascii="Courier New" w:hAnsi="Courier New" w:cs="Courier New" w:hint="default"/>
      </w:rPr>
    </w:lvl>
    <w:lvl w:ilvl="5" w:tplc="04070005" w:tentative="1">
      <w:start w:val="1"/>
      <w:numFmt w:val="bullet"/>
      <w:lvlText w:val=""/>
      <w:lvlJc w:val="left"/>
      <w:pPr>
        <w:tabs>
          <w:tab w:val="num" w:pos="5686"/>
        </w:tabs>
        <w:ind w:left="5686" w:hanging="360"/>
      </w:pPr>
      <w:rPr>
        <w:rFonts w:ascii="Wingdings" w:hAnsi="Wingdings" w:hint="default"/>
      </w:rPr>
    </w:lvl>
    <w:lvl w:ilvl="6" w:tplc="04070001" w:tentative="1">
      <w:start w:val="1"/>
      <w:numFmt w:val="bullet"/>
      <w:lvlText w:val=""/>
      <w:lvlJc w:val="left"/>
      <w:pPr>
        <w:tabs>
          <w:tab w:val="num" w:pos="6406"/>
        </w:tabs>
        <w:ind w:left="6406" w:hanging="360"/>
      </w:pPr>
      <w:rPr>
        <w:rFonts w:ascii="Symbol" w:hAnsi="Symbol" w:hint="default"/>
      </w:rPr>
    </w:lvl>
    <w:lvl w:ilvl="7" w:tplc="04070003" w:tentative="1">
      <w:start w:val="1"/>
      <w:numFmt w:val="bullet"/>
      <w:lvlText w:val="o"/>
      <w:lvlJc w:val="left"/>
      <w:pPr>
        <w:tabs>
          <w:tab w:val="num" w:pos="7126"/>
        </w:tabs>
        <w:ind w:left="7126" w:hanging="360"/>
      </w:pPr>
      <w:rPr>
        <w:rFonts w:ascii="Courier New" w:hAnsi="Courier New" w:cs="Courier New" w:hint="default"/>
      </w:rPr>
    </w:lvl>
    <w:lvl w:ilvl="8" w:tplc="04070005" w:tentative="1">
      <w:start w:val="1"/>
      <w:numFmt w:val="bullet"/>
      <w:lvlText w:val=""/>
      <w:lvlJc w:val="left"/>
      <w:pPr>
        <w:tabs>
          <w:tab w:val="num" w:pos="7846"/>
        </w:tabs>
        <w:ind w:left="7846" w:hanging="360"/>
      </w:pPr>
      <w:rPr>
        <w:rFonts w:ascii="Wingdings" w:hAnsi="Wingdings" w:hint="default"/>
      </w:rPr>
    </w:lvl>
  </w:abstractNum>
  <w:abstractNum w:abstractNumId="5" w15:restartNumberingAfterBreak="0">
    <w:nsid w:val="5DAE16CD"/>
    <w:multiLevelType w:val="hybridMultilevel"/>
    <w:tmpl w:val="43661D0E"/>
    <w:lvl w:ilvl="0" w:tplc="DC0A19EE">
      <w:start w:val="1"/>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6" w15:restartNumberingAfterBreak="0">
    <w:nsid w:val="607E1279"/>
    <w:multiLevelType w:val="hybridMultilevel"/>
    <w:tmpl w:val="CECE5166"/>
    <w:lvl w:ilvl="0" w:tplc="04070001">
      <w:start w:val="1"/>
      <w:numFmt w:val="bullet"/>
      <w:lvlText w:val=""/>
      <w:lvlJc w:val="left"/>
      <w:pPr>
        <w:tabs>
          <w:tab w:val="num" w:pos="2062"/>
        </w:tabs>
        <w:ind w:left="2062" w:hanging="360"/>
      </w:pPr>
      <w:rPr>
        <w:rFonts w:ascii="Symbol" w:hAnsi="Symbol" w:hint="default"/>
      </w:rPr>
    </w:lvl>
    <w:lvl w:ilvl="1" w:tplc="04070003" w:tentative="1">
      <w:start w:val="1"/>
      <w:numFmt w:val="bullet"/>
      <w:lvlText w:val="o"/>
      <w:lvlJc w:val="left"/>
      <w:pPr>
        <w:tabs>
          <w:tab w:val="num" w:pos="2782"/>
        </w:tabs>
        <w:ind w:left="2782" w:hanging="360"/>
      </w:pPr>
      <w:rPr>
        <w:rFonts w:ascii="Courier New" w:hAnsi="Courier New" w:cs="Courier New" w:hint="default"/>
      </w:rPr>
    </w:lvl>
    <w:lvl w:ilvl="2" w:tplc="04070005" w:tentative="1">
      <w:start w:val="1"/>
      <w:numFmt w:val="bullet"/>
      <w:lvlText w:val=""/>
      <w:lvlJc w:val="left"/>
      <w:pPr>
        <w:tabs>
          <w:tab w:val="num" w:pos="3502"/>
        </w:tabs>
        <w:ind w:left="3502" w:hanging="360"/>
      </w:pPr>
      <w:rPr>
        <w:rFonts w:ascii="Wingdings" w:hAnsi="Wingdings" w:hint="default"/>
      </w:rPr>
    </w:lvl>
    <w:lvl w:ilvl="3" w:tplc="04070001" w:tentative="1">
      <w:start w:val="1"/>
      <w:numFmt w:val="bullet"/>
      <w:lvlText w:val=""/>
      <w:lvlJc w:val="left"/>
      <w:pPr>
        <w:tabs>
          <w:tab w:val="num" w:pos="4222"/>
        </w:tabs>
        <w:ind w:left="4222" w:hanging="360"/>
      </w:pPr>
      <w:rPr>
        <w:rFonts w:ascii="Symbol" w:hAnsi="Symbol" w:hint="default"/>
      </w:rPr>
    </w:lvl>
    <w:lvl w:ilvl="4" w:tplc="04070003" w:tentative="1">
      <w:start w:val="1"/>
      <w:numFmt w:val="bullet"/>
      <w:lvlText w:val="o"/>
      <w:lvlJc w:val="left"/>
      <w:pPr>
        <w:tabs>
          <w:tab w:val="num" w:pos="4942"/>
        </w:tabs>
        <w:ind w:left="4942" w:hanging="360"/>
      </w:pPr>
      <w:rPr>
        <w:rFonts w:ascii="Courier New" w:hAnsi="Courier New" w:cs="Courier New" w:hint="default"/>
      </w:rPr>
    </w:lvl>
    <w:lvl w:ilvl="5" w:tplc="04070005" w:tentative="1">
      <w:start w:val="1"/>
      <w:numFmt w:val="bullet"/>
      <w:lvlText w:val=""/>
      <w:lvlJc w:val="left"/>
      <w:pPr>
        <w:tabs>
          <w:tab w:val="num" w:pos="5662"/>
        </w:tabs>
        <w:ind w:left="5662" w:hanging="360"/>
      </w:pPr>
      <w:rPr>
        <w:rFonts w:ascii="Wingdings" w:hAnsi="Wingdings" w:hint="default"/>
      </w:rPr>
    </w:lvl>
    <w:lvl w:ilvl="6" w:tplc="04070001" w:tentative="1">
      <w:start w:val="1"/>
      <w:numFmt w:val="bullet"/>
      <w:lvlText w:val=""/>
      <w:lvlJc w:val="left"/>
      <w:pPr>
        <w:tabs>
          <w:tab w:val="num" w:pos="6382"/>
        </w:tabs>
        <w:ind w:left="6382" w:hanging="360"/>
      </w:pPr>
      <w:rPr>
        <w:rFonts w:ascii="Symbol" w:hAnsi="Symbol" w:hint="default"/>
      </w:rPr>
    </w:lvl>
    <w:lvl w:ilvl="7" w:tplc="04070003" w:tentative="1">
      <w:start w:val="1"/>
      <w:numFmt w:val="bullet"/>
      <w:lvlText w:val="o"/>
      <w:lvlJc w:val="left"/>
      <w:pPr>
        <w:tabs>
          <w:tab w:val="num" w:pos="7102"/>
        </w:tabs>
        <w:ind w:left="7102" w:hanging="360"/>
      </w:pPr>
      <w:rPr>
        <w:rFonts w:ascii="Courier New" w:hAnsi="Courier New" w:cs="Courier New" w:hint="default"/>
      </w:rPr>
    </w:lvl>
    <w:lvl w:ilvl="8" w:tplc="04070005" w:tentative="1">
      <w:start w:val="1"/>
      <w:numFmt w:val="bullet"/>
      <w:lvlText w:val=""/>
      <w:lvlJc w:val="left"/>
      <w:pPr>
        <w:tabs>
          <w:tab w:val="num" w:pos="7822"/>
        </w:tabs>
        <w:ind w:left="7822"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2B"/>
    <w:rsid w:val="0000198A"/>
    <w:rsid w:val="0001208F"/>
    <w:rsid w:val="0001303F"/>
    <w:rsid w:val="00016A8D"/>
    <w:rsid w:val="00091151"/>
    <w:rsid w:val="0009215A"/>
    <w:rsid w:val="000A4916"/>
    <w:rsid w:val="000C6E63"/>
    <w:rsid w:val="000D4763"/>
    <w:rsid w:val="001114F6"/>
    <w:rsid w:val="00141B2B"/>
    <w:rsid w:val="001555B0"/>
    <w:rsid w:val="001A23DD"/>
    <w:rsid w:val="001C2E25"/>
    <w:rsid w:val="001D3451"/>
    <w:rsid w:val="001F2E91"/>
    <w:rsid w:val="001F48FB"/>
    <w:rsid w:val="002078D7"/>
    <w:rsid w:val="0022634C"/>
    <w:rsid w:val="00226734"/>
    <w:rsid w:val="00231A2D"/>
    <w:rsid w:val="00277B5F"/>
    <w:rsid w:val="002B6E28"/>
    <w:rsid w:val="002C0F3E"/>
    <w:rsid w:val="002C1A2D"/>
    <w:rsid w:val="002D5664"/>
    <w:rsid w:val="002F1D38"/>
    <w:rsid w:val="002F369B"/>
    <w:rsid w:val="0031574B"/>
    <w:rsid w:val="0036481D"/>
    <w:rsid w:val="00365EA4"/>
    <w:rsid w:val="00367CDF"/>
    <w:rsid w:val="00385FCD"/>
    <w:rsid w:val="00386F16"/>
    <w:rsid w:val="003A00B6"/>
    <w:rsid w:val="003B19D5"/>
    <w:rsid w:val="003B2631"/>
    <w:rsid w:val="003C0B9A"/>
    <w:rsid w:val="00432F4D"/>
    <w:rsid w:val="004336F6"/>
    <w:rsid w:val="00437C39"/>
    <w:rsid w:val="004412EC"/>
    <w:rsid w:val="00441383"/>
    <w:rsid w:val="0045374D"/>
    <w:rsid w:val="00460567"/>
    <w:rsid w:val="004855AB"/>
    <w:rsid w:val="004A6242"/>
    <w:rsid w:val="004E30A0"/>
    <w:rsid w:val="004E74C0"/>
    <w:rsid w:val="004F0992"/>
    <w:rsid w:val="00505C06"/>
    <w:rsid w:val="00507DF1"/>
    <w:rsid w:val="00527E86"/>
    <w:rsid w:val="005379D0"/>
    <w:rsid w:val="005455B7"/>
    <w:rsid w:val="00586BDD"/>
    <w:rsid w:val="00591A7D"/>
    <w:rsid w:val="005B1996"/>
    <w:rsid w:val="00600DA9"/>
    <w:rsid w:val="006038DC"/>
    <w:rsid w:val="00616CA8"/>
    <w:rsid w:val="006263D8"/>
    <w:rsid w:val="00633F2B"/>
    <w:rsid w:val="006350C8"/>
    <w:rsid w:val="00643AEA"/>
    <w:rsid w:val="00653254"/>
    <w:rsid w:val="00656BC5"/>
    <w:rsid w:val="006629B7"/>
    <w:rsid w:val="0068798B"/>
    <w:rsid w:val="00694147"/>
    <w:rsid w:val="006A4918"/>
    <w:rsid w:val="006B037F"/>
    <w:rsid w:val="006B6EB9"/>
    <w:rsid w:val="00751575"/>
    <w:rsid w:val="00771690"/>
    <w:rsid w:val="007B2275"/>
    <w:rsid w:val="007B712A"/>
    <w:rsid w:val="007E2413"/>
    <w:rsid w:val="007E310E"/>
    <w:rsid w:val="007E4F29"/>
    <w:rsid w:val="008301A0"/>
    <w:rsid w:val="00836269"/>
    <w:rsid w:val="008937CE"/>
    <w:rsid w:val="008975D9"/>
    <w:rsid w:val="008C0213"/>
    <w:rsid w:val="008C68B2"/>
    <w:rsid w:val="008C746C"/>
    <w:rsid w:val="008F17F6"/>
    <w:rsid w:val="008F4811"/>
    <w:rsid w:val="009050E0"/>
    <w:rsid w:val="0091229B"/>
    <w:rsid w:val="00953684"/>
    <w:rsid w:val="00962008"/>
    <w:rsid w:val="0099510A"/>
    <w:rsid w:val="00997A97"/>
    <w:rsid w:val="009A43AB"/>
    <w:rsid w:val="009C78DD"/>
    <w:rsid w:val="009D26E7"/>
    <w:rsid w:val="009F152D"/>
    <w:rsid w:val="009F3523"/>
    <w:rsid w:val="00A05BD9"/>
    <w:rsid w:val="00A11868"/>
    <w:rsid w:val="00A15119"/>
    <w:rsid w:val="00A2238A"/>
    <w:rsid w:val="00A34B29"/>
    <w:rsid w:val="00A4141C"/>
    <w:rsid w:val="00A73BF7"/>
    <w:rsid w:val="00A84F00"/>
    <w:rsid w:val="00A93319"/>
    <w:rsid w:val="00AC2BD5"/>
    <w:rsid w:val="00AC52D6"/>
    <w:rsid w:val="00AD7465"/>
    <w:rsid w:val="00AE7E9F"/>
    <w:rsid w:val="00AF7617"/>
    <w:rsid w:val="00B4533C"/>
    <w:rsid w:val="00B651E4"/>
    <w:rsid w:val="00B72770"/>
    <w:rsid w:val="00B940A2"/>
    <w:rsid w:val="00BA5717"/>
    <w:rsid w:val="00BC637B"/>
    <w:rsid w:val="00C12225"/>
    <w:rsid w:val="00C25D17"/>
    <w:rsid w:val="00C54654"/>
    <w:rsid w:val="00C86239"/>
    <w:rsid w:val="00CA7961"/>
    <w:rsid w:val="00CB5527"/>
    <w:rsid w:val="00CC0ED1"/>
    <w:rsid w:val="00CD4189"/>
    <w:rsid w:val="00CE73AD"/>
    <w:rsid w:val="00CF2E32"/>
    <w:rsid w:val="00D15368"/>
    <w:rsid w:val="00D203D4"/>
    <w:rsid w:val="00D241C2"/>
    <w:rsid w:val="00D2585D"/>
    <w:rsid w:val="00D464FB"/>
    <w:rsid w:val="00D5310E"/>
    <w:rsid w:val="00DB57E7"/>
    <w:rsid w:val="00DC7529"/>
    <w:rsid w:val="00DD187B"/>
    <w:rsid w:val="00DD51EA"/>
    <w:rsid w:val="00DD5D38"/>
    <w:rsid w:val="00DD7871"/>
    <w:rsid w:val="00DF190F"/>
    <w:rsid w:val="00E13983"/>
    <w:rsid w:val="00E14DEB"/>
    <w:rsid w:val="00E21F6D"/>
    <w:rsid w:val="00E257E5"/>
    <w:rsid w:val="00E302A2"/>
    <w:rsid w:val="00E314EA"/>
    <w:rsid w:val="00E71FD1"/>
    <w:rsid w:val="00EA330D"/>
    <w:rsid w:val="00EB24AF"/>
    <w:rsid w:val="00EB7BBF"/>
    <w:rsid w:val="00EC2E4B"/>
    <w:rsid w:val="00ED557F"/>
    <w:rsid w:val="00ED5817"/>
    <w:rsid w:val="00EE1D96"/>
    <w:rsid w:val="00EF41A3"/>
    <w:rsid w:val="00F0016D"/>
    <w:rsid w:val="00FB4193"/>
    <w:rsid w:val="00FD1EEA"/>
    <w:rsid w:val="00FF06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955FD19"/>
  <w15:docId w15:val="{1B1DC995-4EBD-4690-8EAA-2A8EB47B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F2B"/>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F4D"/>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432F4D"/>
    <w:rPr>
      <w:rFonts w:ascii="Calibri" w:eastAsia="Calibri" w:hAnsi="Calibri"/>
      <w:sz w:val="22"/>
      <w:szCs w:val="21"/>
      <w:lang w:val="fr-FR" w:eastAsia="en-US"/>
    </w:rPr>
  </w:style>
  <w:style w:type="paragraph" w:customStyle="1" w:styleId="HChG">
    <w:name w:val="_ H _Ch_G"/>
    <w:basedOn w:val="Normal"/>
    <w:next w:val="Normal"/>
    <w:rsid w:val="00432F4D"/>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CommentText">
    <w:name w:val="annotation text"/>
    <w:basedOn w:val="Normal"/>
    <w:link w:val="CommentTextChar"/>
    <w:rsid w:val="001114F6"/>
  </w:style>
  <w:style w:type="character" w:customStyle="1" w:styleId="CommentTextChar">
    <w:name w:val="Comment Text Char"/>
    <w:basedOn w:val="DefaultParagraphFont"/>
    <w:link w:val="CommentText"/>
    <w:rsid w:val="001114F6"/>
    <w:rPr>
      <w:lang w:eastAsia="fr-FR"/>
    </w:rPr>
  </w:style>
  <w:style w:type="table" w:customStyle="1" w:styleId="Grilledutableau6">
    <w:name w:val="Grille du tableau6"/>
    <w:basedOn w:val="TableNormal"/>
    <w:uiPriority w:val="59"/>
    <w:rsid w:val="00367CDF"/>
    <w:rPr>
      <w:rFonts w:ascii="Arial" w:eastAsia="Calibri" w:hAnsi="Arial"/>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CDF"/>
    <w:pPr>
      <w:widowControl/>
      <w:suppressAutoHyphens/>
      <w:overflowPunct/>
      <w:autoSpaceDE/>
      <w:autoSpaceDN/>
      <w:adjustRightInd/>
      <w:spacing w:line="240" w:lineRule="atLeast"/>
      <w:ind w:left="720" w:firstLine="0"/>
      <w:contextualSpacing/>
      <w:jc w:val="left"/>
      <w:textAlignment w:val="auto"/>
    </w:pPr>
    <w:rPr>
      <w:lang w:val="fr-CH"/>
    </w:rPr>
  </w:style>
  <w:style w:type="character" w:styleId="FootnoteReference">
    <w:name w:val="footnote reference"/>
    <w:aliases w:val="4_G,Footnote Reference/"/>
    <w:qFormat/>
    <w:rsid w:val="006038DC"/>
    <w:rPr>
      <w:rFonts w:ascii="Times New Roman" w:hAnsi="Times New Roman"/>
      <w:sz w:val="18"/>
      <w:vertAlign w:val="superscript"/>
    </w:rPr>
  </w:style>
  <w:style w:type="paragraph" w:styleId="FootnoteText">
    <w:name w:val="footnote text"/>
    <w:aliases w:val="5_G"/>
    <w:basedOn w:val="Normal"/>
    <w:link w:val="FootnoteTextChar"/>
    <w:qFormat/>
    <w:rsid w:val="006038DC"/>
    <w:pPr>
      <w:widowControl/>
      <w:tabs>
        <w:tab w:val="right" w:pos="1021"/>
      </w:tabs>
      <w:suppressAutoHyphens/>
      <w:overflowPunct/>
      <w:autoSpaceDE/>
      <w:autoSpaceDN/>
      <w:adjustRightInd/>
      <w:spacing w:line="220" w:lineRule="exact"/>
      <w:ind w:right="1134"/>
      <w:jc w:val="left"/>
      <w:textAlignment w:val="auto"/>
    </w:pPr>
    <w:rPr>
      <w:sz w:val="18"/>
      <w:lang w:val="en-GB" w:eastAsia="en-US"/>
    </w:rPr>
  </w:style>
  <w:style w:type="character" w:customStyle="1" w:styleId="FootnoteTextChar">
    <w:name w:val="Footnote Text Char"/>
    <w:aliases w:val="5_G Char"/>
    <w:basedOn w:val="DefaultParagraphFont"/>
    <w:link w:val="FootnoteText"/>
    <w:rsid w:val="006038DC"/>
    <w:rPr>
      <w:sz w:val="18"/>
      <w:lang w:val="en-GB" w:eastAsia="en-US"/>
    </w:rPr>
  </w:style>
  <w:style w:type="paragraph" w:styleId="Header">
    <w:name w:val="header"/>
    <w:basedOn w:val="Normal"/>
    <w:link w:val="HeaderChar"/>
    <w:rsid w:val="0045374D"/>
    <w:pPr>
      <w:tabs>
        <w:tab w:val="center" w:pos="4536"/>
        <w:tab w:val="right" w:pos="9072"/>
      </w:tabs>
    </w:pPr>
  </w:style>
  <w:style w:type="character" w:customStyle="1" w:styleId="HeaderChar">
    <w:name w:val="Header Char"/>
    <w:basedOn w:val="DefaultParagraphFont"/>
    <w:link w:val="Header"/>
    <w:rsid w:val="0045374D"/>
    <w:rPr>
      <w:lang w:eastAsia="fr-FR"/>
    </w:rPr>
  </w:style>
  <w:style w:type="paragraph" w:styleId="Footer">
    <w:name w:val="footer"/>
    <w:basedOn w:val="Normal"/>
    <w:link w:val="FooterChar"/>
    <w:rsid w:val="0045374D"/>
    <w:pPr>
      <w:tabs>
        <w:tab w:val="center" w:pos="4536"/>
        <w:tab w:val="right" w:pos="9072"/>
      </w:tabs>
    </w:pPr>
  </w:style>
  <w:style w:type="character" w:customStyle="1" w:styleId="FooterChar">
    <w:name w:val="Footer Char"/>
    <w:basedOn w:val="DefaultParagraphFont"/>
    <w:link w:val="Footer"/>
    <w:rsid w:val="0045374D"/>
    <w:rPr>
      <w:lang w:eastAsia="fr-FR"/>
    </w:rPr>
  </w:style>
  <w:style w:type="paragraph" w:styleId="BalloonText">
    <w:name w:val="Balloon Text"/>
    <w:basedOn w:val="Normal"/>
    <w:link w:val="BalloonTextChar"/>
    <w:rsid w:val="00D15368"/>
    <w:rPr>
      <w:rFonts w:ascii="Tahoma" w:hAnsi="Tahoma" w:cs="Tahoma"/>
      <w:sz w:val="16"/>
      <w:szCs w:val="16"/>
    </w:rPr>
  </w:style>
  <w:style w:type="character" w:customStyle="1" w:styleId="BalloonTextChar">
    <w:name w:val="Balloon Text Char"/>
    <w:basedOn w:val="DefaultParagraphFont"/>
    <w:link w:val="BalloonText"/>
    <w:rsid w:val="00D15368"/>
    <w:rPr>
      <w:rFonts w:ascii="Tahoma" w:hAnsi="Tahoma" w:cs="Tahoma"/>
      <w:sz w:val="16"/>
      <w:szCs w:val="16"/>
      <w:lang w:eastAsia="fr-FR"/>
    </w:rPr>
  </w:style>
  <w:style w:type="character" w:styleId="CommentReference">
    <w:name w:val="annotation reference"/>
    <w:rsid w:val="005455B7"/>
    <w:rPr>
      <w:sz w:val="6"/>
    </w:rPr>
  </w:style>
  <w:style w:type="table" w:styleId="TableGrid">
    <w:name w:val="Table Grid"/>
    <w:basedOn w:val="TableNormal"/>
    <w:uiPriority w:val="39"/>
    <w:rsid w:val="006B6E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rsid w:val="0022634C"/>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3">
    <w:name w:val="N3"/>
    <w:basedOn w:val="Normal"/>
    <w:rsid w:val="0022634C"/>
    <w:pPr>
      <w:tabs>
        <w:tab w:val="left" w:pos="170"/>
      </w:tabs>
      <w:spacing w:line="240" w:lineRule="exact"/>
      <w:ind w:left="0" w:firstLine="0"/>
      <w:jc w:val="left"/>
    </w:pPr>
    <w:rPr>
      <w:rFonts w:ascii="Tms Rmn" w:hAnsi="Tms Rm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1AE0-1D50-4FF1-98CF-EA02D533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7366</Characters>
  <Application>Microsoft Office Word</Application>
  <DocSecurity>4</DocSecurity>
  <Lines>61</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MyCompany</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Weiner, Manfred Leo</dc:creator>
  <cp:lastModifiedBy>Marie-Claude Collet</cp:lastModifiedBy>
  <cp:revision>2</cp:revision>
  <cp:lastPrinted>2019-11-14T10:05:00Z</cp:lastPrinted>
  <dcterms:created xsi:type="dcterms:W3CDTF">2019-11-27T11:51:00Z</dcterms:created>
  <dcterms:modified xsi:type="dcterms:W3CDTF">2019-11-27T11:51:00Z</dcterms:modified>
</cp:coreProperties>
</file>