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9F7ACD" w14:paraId="53FAFDD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6CF308D" w14:textId="77777777" w:rsidR="00F35BAF" w:rsidRPr="009F7ACD" w:rsidRDefault="00F35BAF" w:rsidP="00AD29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8673AE" w14:textId="77777777" w:rsidR="00F35BAF" w:rsidRPr="009F7ACD" w:rsidRDefault="00F35BAF" w:rsidP="00C97039">
            <w:pPr>
              <w:spacing w:after="80" w:line="300" w:lineRule="exact"/>
              <w:rPr>
                <w:sz w:val="28"/>
              </w:rPr>
            </w:pPr>
            <w:r w:rsidRPr="009F7ACD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10A79E" w14:textId="77777777" w:rsidR="00F35BAF" w:rsidRPr="009F7ACD" w:rsidRDefault="00AD2909" w:rsidP="00AD2909">
            <w:pPr>
              <w:jc w:val="right"/>
            </w:pPr>
            <w:r w:rsidRPr="009F7ACD">
              <w:rPr>
                <w:sz w:val="40"/>
              </w:rPr>
              <w:t>ECE</w:t>
            </w:r>
            <w:r w:rsidRPr="009F7ACD">
              <w:t>/TRANS/WP.15/AC.2/2020/17</w:t>
            </w:r>
          </w:p>
        </w:tc>
      </w:tr>
      <w:tr w:rsidR="00F35BAF" w:rsidRPr="009F7ACD" w14:paraId="72A79C7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E9DA3B" w14:textId="77777777" w:rsidR="00F35BAF" w:rsidRPr="009F7ACD" w:rsidRDefault="00F35BAF" w:rsidP="00C97039">
            <w:pPr>
              <w:spacing w:before="120"/>
              <w:jc w:val="center"/>
            </w:pPr>
            <w:r w:rsidRPr="009F7ACD">
              <w:rPr>
                <w:noProof/>
                <w:lang w:eastAsia="fr-CH"/>
              </w:rPr>
              <w:drawing>
                <wp:inline distT="0" distB="0" distL="0" distR="0" wp14:anchorId="10549177" wp14:editId="175D47F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65FD33" w14:textId="77777777" w:rsidR="00F35BAF" w:rsidRPr="009F7ACD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F7ACD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AF595A" w14:textId="77777777" w:rsidR="00F35BAF" w:rsidRPr="009F7ACD" w:rsidRDefault="00AD2909" w:rsidP="00C97039">
            <w:pPr>
              <w:spacing w:before="240"/>
            </w:pPr>
            <w:r w:rsidRPr="009F7ACD">
              <w:t xml:space="preserve">Distr. </w:t>
            </w:r>
            <w:proofErr w:type="gramStart"/>
            <w:r w:rsidRPr="009F7ACD">
              <w:t>générale</w:t>
            </w:r>
            <w:proofErr w:type="gramEnd"/>
          </w:p>
          <w:p w14:paraId="0503CB02" w14:textId="77777777" w:rsidR="00AD2909" w:rsidRPr="009F7ACD" w:rsidRDefault="00AD2909" w:rsidP="00AD2909">
            <w:pPr>
              <w:spacing w:line="240" w:lineRule="exact"/>
            </w:pPr>
            <w:r w:rsidRPr="009F7ACD">
              <w:t>12 novembre 2019</w:t>
            </w:r>
          </w:p>
          <w:p w14:paraId="7D8FC232" w14:textId="77777777" w:rsidR="00AD2909" w:rsidRPr="009F7ACD" w:rsidRDefault="00AD2909" w:rsidP="00AD2909">
            <w:pPr>
              <w:spacing w:line="240" w:lineRule="exact"/>
            </w:pPr>
            <w:r w:rsidRPr="009F7ACD">
              <w:t>Français</w:t>
            </w:r>
          </w:p>
          <w:p w14:paraId="0F19FA65" w14:textId="77777777" w:rsidR="00AD2909" w:rsidRPr="009F7ACD" w:rsidRDefault="00AD2909" w:rsidP="00AD2909">
            <w:pPr>
              <w:spacing w:line="240" w:lineRule="exact"/>
            </w:pPr>
            <w:r w:rsidRPr="009F7ACD">
              <w:t>Original : anglais</w:t>
            </w:r>
          </w:p>
        </w:tc>
      </w:tr>
    </w:tbl>
    <w:p w14:paraId="232ADF78" w14:textId="77777777" w:rsidR="007F20FA" w:rsidRPr="009F7ACD" w:rsidRDefault="007F20FA" w:rsidP="007F20FA">
      <w:pPr>
        <w:spacing w:before="120"/>
        <w:rPr>
          <w:b/>
          <w:sz w:val="28"/>
          <w:szCs w:val="28"/>
        </w:rPr>
      </w:pPr>
      <w:r w:rsidRPr="009F7ACD">
        <w:rPr>
          <w:b/>
          <w:sz w:val="28"/>
          <w:szCs w:val="28"/>
        </w:rPr>
        <w:t>Commission économique pour l</w:t>
      </w:r>
      <w:r w:rsidR="002754C9">
        <w:rPr>
          <w:b/>
          <w:sz w:val="28"/>
          <w:szCs w:val="28"/>
        </w:rPr>
        <w:t>’</w:t>
      </w:r>
      <w:r w:rsidRPr="009F7ACD">
        <w:rPr>
          <w:b/>
          <w:sz w:val="28"/>
          <w:szCs w:val="28"/>
        </w:rPr>
        <w:t>Europe</w:t>
      </w:r>
    </w:p>
    <w:p w14:paraId="3ECBCED8" w14:textId="77777777" w:rsidR="007F20FA" w:rsidRPr="009F7ACD" w:rsidRDefault="007F20FA" w:rsidP="007F20FA">
      <w:pPr>
        <w:spacing w:before="120"/>
        <w:rPr>
          <w:sz w:val="28"/>
          <w:szCs w:val="28"/>
        </w:rPr>
      </w:pPr>
      <w:r w:rsidRPr="009F7ACD">
        <w:rPr>
          <w:sz w:val="28"/>
          <w:szCs w:val="28"/>
        </w:rPr>
        <w:t>Comité des transports intérieurs</w:t>
      </w:r>
    </w:p>
    <w:p w14:paraId="2BCAFC8D" w14:textId="77777777" w:rsidR="009F7ACD" w:rsidRPr="009F7ACD" w:rsidRDefault="009F7ACD" w:rsidP="00AF0CB5">
      <w:pPr>
        <w:spacing w:before="120"/>
        <w:rPr>
          <w:b/>
          <w:sz w:val="24"/>
          <w:szCs w:val="24"/>
        </w:rPr>
      </w:pPr>
      <w:r w:rsidRPr="009F7ACD">
        <w:rPr>
          <w:b/>
          <w:sz w:val="24"/>
          <w:szCs w:val="24"/>
        </w:rPr>
        <w:t>Groupe de travail des transports de marchandises dangereuses</w:t>
      </w:r>
    </w:p>
    <w:p w14:paraId="25477D06" w14:textId="77777777" w:rsidR="009F7ACD" w:rsidRPr="009F7ACD" w:rsidRDefault="009F7ACD" w:rsidP="00AF0CB5">
      <w:pPr>
        <w:spacing w:before="120"/>
        <w:rPr>
          <w:b/>
        </w:rPr>
      </w:pPr>
      <w:r w:rsidRPr="009F7ACD">
        <w:rPr>
          <w:b/>
        </w:rPr>
        <w:t>Réunion commune d</w:t>
      </w:r>
      <w:r w:rsidR="002754C9">
        <w:rPr>
          <w:b/>
        </w:rPr>
        <w:t>’</w:t>
      </w:r>
      <w:r w:rsidRPr="009F7ACD">
        <w:rPr>
          <w:b/>
        </w:rPr>
        <w:t>experts sur le Règlement annexé</w:t>
      </w:r>
      <w:r w:rsidRPr="009F7ACD">
        <w:rPr>
          <w:b/>
        </w:rPr>
        <w:br/>
        <w:t>à l</w:t>
      </w:r>
      <w:r w:rsidR="002754C9">
        <w:rPr>
          <w:b/>
        </w:rPr>
        <w:t>’</w:t>
      </w:r>
      <w:r w:rsidRPr="009F7ACD">
        <w:rPr>
          <w:b/>
        </w:rPr>
        <w:t>Accord européen relatif au transport international</w:t>
      </w:r>
      <w:r w:rsidRPr="009F7ACD">
        <w:rPr>
          <w:b/>
        </w:rPr>
        <w:br/>
        <w:t xml:space="preserve">des marchandises </w:t>
      </w:r>
      <w:r w:rsidRPr="009F7ACD">
        <w:rPr>
          <w:b/>
          <w:bCs/>
          <w:iCs/>
        </w:rPr>
        <w:t>dangereuses par voies de navigation</w:t>
      </w:r>
      <w:r w:rsidRPr="009F7ACD">
        <w:rPr>
          <w:b/>
          <w:bCs/>
          <w:iCs/>
        </w:rPr>
        <w:br/>
        <w:t xml:space="preserve">intérieures (ADN) </w:t>
      </w:r>
      <w:r w:rsidRPr="009F7ACD">
        <w:rPr>
          <w:b/>
          <w:bCs/>
        </w:rPr>
        <w:t>(Comité de sécurité de l</w:t>
      </w:r>
      <w:r w:rsidR="002754C9">
        <w:rPr>
          <w:b/>
          <w:bCs/>
        </w:rPr>
        <w:t>’</w:t>
      </w:r>
      <w:r w:rsidRPr="009F7ACD">
        <w:rPr>
          <w:b/>
          <w:bCs/>
        </w:rPr>
        <w:t>ADN)</w:t>
      </w:r>
    </w:p>
    <w:p w14:paraId="429413D0" w14:textId="77777777" w:rsidR="009F7ACD" w:rsidRPr="009F7ACD" w:rsidRDefault="009F7ACD" w:rsidP="009F7ACD">
      <w:pPr>
        <w:spacing w:before="120" w:line="240" w:lineRule="auto"/>
        <w:rPr>
          <w:b/>
          <w:szCs w:val="24"/>
        </w:rPr>
      </w:pPr>
      <w:r w:rsidRPr="009F7ACD">
        <w:rPr>
          <w:b/>
          <w:szCs w:val="24"/>
        </w:rPr>
        <w:t>Trente-sixième session</w:t>
      </w:r>
    </w:p>
    <w:p w14:paraId="45C8FB16" w14:textId="77777777" w:rsidR="009F7ACD" w:rsidRPr="009F7ACD" w:rsidRDefault="009F7ACD" w:rsidP="009F7ACD">
      <w:pPr>
        <w:spacing w:line="240" w:lineRule="auto"/>
        <w:rPr>
          <w:szCs w:val="24"/>
        </w:rPr>
      </w:pPr>
      <w:r w:rsidRPr="009F7ACD">
        <w:rPr>
          <w:szCs w:val="24"/>
        </w:rPr>
        <w:t>Genève, 27-31 janvier 2020</w:t>
      </w:r>
    </w:p>
    <w:p w14:paraId="4A5563BE" w14:textId="77777777" w:rsidR="009F7ACD" w:rsidRPr="009F7ACD" w:rsidRDefault="009F7ACD" w:rsidP="009F7ACD">
      <w:pPr>
        <w:spacing w:line="240" w:lineRule="auto"/>
        <w:rPr>
          <w:szCs w:val="24"/>
        </w:rPr>
      </w:pPr>
      <w:r w:rsidRPr="009F7ACD">
        <w:rPr>
          <w:szCs w:val="24"/>
        </w:rPr>
        <w:t>Point 5 b) de l</w:t>
      </w:r>
      <w:r w:rsidR="002754C9">
        <w:rPr>
          <w:szCs w:val="24"/>
        </w:rPr>
        <w:t>’</w:t>
      </w:r>
      <w:r w:rsidRPr="009F7ACD">
        <w:rPr>
          <w:szCs w:val="24"/>
        </w:rPr>
        <w:t>ordre du jour provisoire</w:t>
      </w:r>
    </w:p>
    <w:p w14:paraId="48E04751" w14:textId="77777777" w:rsidR="009F7ACD" w:rsidRPr="009F7ACD" w:rsidRDefault="009F7ACD" w:rsidP="009F7ACD">
      <w:pPr>
        <w:spacing w:line="240" w:lineRule="auto"/>
        <w:rPr>
          <w:b/>
          <w:bCs/>
          <w:szCs w:val="24"/>
        </w:rPr>
      </w:pPr>
      <w:r w:rsidRPr="009F7ACD">
        <w:rPr>
          <w:b/>
          <w:bCs/>
          <w:szCs w:val="24"/>
        </w:rPr>
        <w:t>Propositions d</w:t>
      </w:r>
      <w:r w:rsidR="002754C9">
        <w:rPr>
          <w:b/>
          <w:bCs/>
          <w:szCs w:val="24"/>
        </w:rPr>
        <w:t>’</w:t>
      </w:r>
      <w:r w:rsidRPr="009F7ACD">
        <w:rPr>
          <w:b/>
          <w:bCs/>
          <w:szCs w:val="24"/>
        </w:rPr>
        <w:t>amendements au Règlement annexé à l</w:t>
      </w:r>
      <w:r w:rsidR="002754C9">
        <w:rPr>
          <w:b/>
          <w:bCs/>
          <w:szCs w:val="24"/>
        </w:rPr>
        <w:t>’</w:t>
      </w:r>
      <w:r w:rsidRPr="009F7ACD">
        <w:rPr>
          <w:b/>
          <w:bCs/>
          <w:szCs w:val="24"/>
        </w:rPr>
        <w:t>ADN :</w:t>
      </w:r>
    </w:p>
    <w:p w14:paraId="5F1CB95A" w14:textId="77777777" w:rsidR="009F7ACD" w:rsidRPr="009F7ACD" w:rsidRDefault="009F7ACD" w:rsidP="009F7ACD">
      <w:proofErr w:type="gramStart"/>
      <w:r w:rsidRPr="009F7ACD">
        <w:rPr>
          <w:b/>
          <w:bCs/>
          <w:szCs w:val="24"/>
        </w:rPr>
        <w:t>autres</w:t>
      </w:r>
      <w:proofErr w:type="gramEnd"/>
      <w:r w:rsidRPr="009F7ACD">
        <w:rPr>
          <w:b/>
          <w:bCs/>
          <w:szCs w:val="24"/>
        </w:rPr>
        <w:t xml:space="preserve"> propositions</w:t>
      </w:r>
    </w:p>
    <w:p w14:paraId="6BFFA41C" w14:textId="77777777" w:rsidR="009F7ACD" w:rsidRPr="009F7ACD" w:rsidRDefault="009F7ACD" w:rsidP="009F7ACD">
      <w:pPr>
        <w:pStyle w:val="HChG"/>
      </w:pPr>
      <w:r w:rsidRPr="009F7ACD">
        <w:tab/>
      </w:r>
      <w:r w:rsidRPr="009F7ACD">
        <w:tab/>
        <w:t>Propositions de corrections à l</w:t>
      </w:r>
      <w:r w:rsidR="002754C9">
        <w:t>’</w:t>
      </w:r>
      <w:r w:rsidRPr="009F7ACD">
        <w:t>ADN</w:t>
      </w:r>
      <w:r w:rsidR="002754C9">
        <w:t> </w:t>
      </w:r>
      <w:r w:rsidRPr="009F7ACD">
        <w:t>2019</w:t>
      </w:r>
    </w:p>
    <w:p w14:paraId="4947AE06" w14:textId="77777777" w:rsidR="009F7ACD" w:rsidRPr="009F7ACD" w:rsidRDefault="009F7ACD" w:rsidP="009F7ACD">
      <w:pPr>
        <w:pStyle w:val="H1G"/>
        <w:rPr>
          <w:b w:val="0"/>
          <w:bCs/>
          <w:sz w:val="20"/>
        </w:rPr>
      </w:pPr>
      <w:r w:rsidRPr="009F7ACD">
        <w:tab/>
      </w:r>
      <w:r w:rsidRPr="009F7ACD">
        <w:tab/>
        <w:t>Communication des</w:t>
      </w:r>
      <w:bookmarkStart w:id="1" w:name="_Hlk25081564"/>
      <w:r w:rsidRPr="009F7ACD">
        <w:t xml:space="preserve"> sociétés de classification ADN recommandées</w:t>
      </w:r>
      <w:bookmarkEnd w:id="1"/>
      <w:r w:rsidRPr="009F7AC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9F7ACD">
        <w:rPr>
          <w:b w:val="0"/>
          <w:bCs/>
          <w:position w:val="6"/>
          <w:sz w:val="20"/>
        </w:rPr>
        <w:t>,</w:t>
      </w:r>
      <w:r w:rsidRPr="009F7ACD">
        <w:rPr>
          <w:b w:val="0"/>
          <w:position w:val="6"/>
          <w:sz w:val="20"/>
        </w:rPr>
        <w:t xml:space="preserve"> </w:t>
      </w:r>
      <w:r w:rsidRPr="009F7AC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9F7ACD" w:rsidRPr="009F7ACD" w14:paraId="3EE57F8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DEBECBA" w14:textId="77777777" w:rsidR="009F7ACD" w:rsidRPr="009F7ACD" w:rsidRDefault="009F7ACD">
            <w:pPr>
              <w:spacing w:before="240" w:after="120"/>
              <w:ind w:left="255"/>
              <w:rPr>
                <w:i/>
                <w:sz w:val="24"/>
              </w:rPr>
            </w:pPr>
            <w:r w:rsidRPr="009F7ACD">
              <w:rPr>
                <w:i/>
                <w:sz w:val="24"/>
              </w:rPr>
              <w:t>Résumé</w:t>
            </w:r>
          </w:p>
        </w:tc>
      </w:tr>
      <w:tr w:rsidR="009F7ACD" w:rsidRPr="009F7ACD" w14:paraId="0457FB5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55A1D5C" w14:textId="77777777" w:rsidR="009F7ACD" w:rsidRPr="009F7ACD" w:rsidRDefault="009F7ACD" w:rsidP="009F7ACD">
            <w:pPr>
              <w:pStyle w:val="SingleTxtG"/>
              <w:ind w:left="3402" w:hanging="2268"/>
              <w:rPr>
                <w:szCs w:val="24"/>
              </w:rPr>
            </w:pPr>
            <w:r w:rsidRPr="009F7ACD">
              <w:rPr>
                <w:b/>
                <w:szCs w:val="24"/>
              </w:rPr>
              <w:t>Documents de référence </w:t>
            </w:r>
            <w:r w:rsidRPr="002754C9">
              <w:t>:</w:t>
            </w:r>
            <w:r w:rsidRPr="009F7ACD">
              <w:rPr>
                <w:b/>
                <w:szCs w:val="24"/>
              </w:rPr>
              <w:tab/>
            </w:r>
            <w:r w:rsidRPr="009F7ACD">
              <w:rPr>
                <w:szCs w:val="24"/>
              </w:rPr>
              <w:t>Documents informels INF.6 (France) et INF.13 (Sociétés de classification recommandées ADN), présentés à la trente-cinquième session ;</w:t>
            </w:r>
          </w:p>
          <w:p w14:paraId="6D25188D" w14:textId="77777777" w:rsidR="009F7ACD" w:rsidRPr="009F7ACD" w:rsidRDefault="009F7ACD" w:rsidP="009F7ACD">
            <w:pPr>
              <w:pStyle w:val="SingleTxtG"/>
              <w:ind w:left="3402" w:hanging="2268"/>
              <w:rPr>
                <w:szCs w:val="24"/>
              </w:rPr>
            </w:pPr>
            <w:r w:rsidRPr="009F7ACD">
              <w:tab/>
            </w:r>
            <w:bookmarkStart w:id="2" w:name="_Hlk24990013"/>
            <w:r w:rsidRPr="009F7ACD">
              <w:tab/>
            </w:r>
            <w:r w:rsidRPr="009F7ACD">
              <w:rPr>
                <w:szCs w:val="24"/>
              </w:rPr>
              <w:t>ECE/TRANS/WP.15/AC.2/72</w:t>
            </w:r>
            <w:bookmarkEnd w:id="2"/>
            <w:r w:rsidRPr="009F7ACD">
              <w:rPr>
                <w:szCs w:val="24"/>
              </w:rPr>
              <w:t>, par. 36</w:t>
            </w:r>
          </w:p>
          <w:p w14:paraId="432BDA06" w14:textId="77777777" w:rsidR="009F7ACD" w:rsidRPr="009F7ACD" w:rsidRDefault="009F7ACD" w:rsidP="009F7ACD">
            <w:pPr>
              <w:pStyle w:val="SingleTxtG"/>
              <w:ind w:left="3402" w:hanging="2268"/>
            </w:pPr>
            <w:r w:rsidRPr="009F7ACD">
              <w:rPr>
                <w:szCs w:val="24"/>
              </w:rPr>
              <w:tab/>
              <w:t>« 36. Le Comité de sécurité a examiné le document informel INF.13 et pris note de plusieurs observations concernant essentiellement le principe de l</w:t>
            </w:r>
            <w:r w:rsidR="002754C9">
              <w:rPr>
                <w:szCs w:val="24"/>
              </w:rPr>
              <w:t>’</w:t>
            </w:r>
            <w:r w:rsidRPr="009F7ACD">
              <w:rPr>
                <w:szCs w:val="24"/>
              </w:rPr>
              <w:t>ajout de dispositions transitoires appropriées. Les sociétés de classification recommandées ADN ont été instamment priées d</w:t>
            </w:r>
            <w:r w:rsidR="002754C9">
              <w:rPr>
                <w:szCs w:val="24"/>
              </w:rPr>
              <w:t>’</w:t>
            </w:r>
            <w:r w:rsidRPr="009F7ACD">
              <w:rPr>
                <w:szCs w:val="24"/>
              </w:rPr>
              <w:t>établir en temps voulu un document officiel pour examen par le Comité à sa session suivante. »</w:t>
            </w:r>
          </w:p>
        </w:tc>
      </w:tr>
      <w:tr w:rsidR="009F7ACD" w:rsidRPr="009F7ACD" w14:paraId="41658E3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E50EB74" w14:textId="77777777" w:rsidR="009F7ACD" w:rsidRPr="009F7ACD" w:rsidRDefault="009F7ACD"/>
        </w:tc>
      </w:tr>
    </w:tbl>
    <w:p w14:paraId="700EB6D7" w14:textId="77777777" w:rsidR="009F7ACD" w:rsidRPr="009F7ACD" w:rsidRDefault="009F7ACD" w:rsidP="009F7ACD">
      <w:pPr>
        <w:pStyle w:val="HChG"/>
        <w:spacing w:line="240" w:lineRule="auto"/>
        <w:rPr>
          <w:sz w:val="24"/>
          <w:szCs w:val="24"/>
        </w:rPr>
      </w:pPr>
      <w:r w:rsidRPr="009F7ACD">
        <w:rPr>
          <w:sz w:val="24"/>
          <w:szCs w:val="24"/>
        </w:rPr>
        <w:tab/>
      </w:r>
      <w:r w:rsidRPr="009F7ACD">
        <w:rPr>
          <w:sz w:val="24"/>
          <w:szCs w:val="24"/>
        </w:rPr>
        <w:tab/>
        <w:t>Introduction</w:t>
      </w:r>
    </w:p>
    <w:p w14:paraId="7F893988" w14:textId="77777777" w:rsidR="009F7ACD" w:rsidRPr="009F7ACD" w:rsidRDefault="009F7ACD" w:rsidP="009F7ACD">
      <w:pPr>
        <w:pStyle w:val="SingleTxtG"/>
        <w:spacing w:line="240" w:lineRule="auto"/>
        <w:rPr>
          <w:szCs w:val="24"/>
        </w:rPr>
      </w:pPr>
      <w:r w:rsidRPr="009F7ACD">
        <w:rPr>
          <w:szCs w:val="24"/>
        </w:rPr>
        <w:t>1.</w:t>
      </w:r>
      <w:r w:rsidRPr="009F7ACD">
        <w:rPr>
          <w:szCs w:val="24"/>
        </w:rPr>
        <w:tab/>
        <w:t xml:space="preserve">À la dix-septième réunion du groupe de travail informel des sociétés de classification ADN recommandées en mars 2019, il a été question du fait que certaines prescriptions de </w:t>
      </w:r>
      <w:r w:rsidRPr="009F7ACD">
        <w:rPr>
          <w:szCs w:val="24"/>
        </w:rPr>
        <w:lastRenderedPageBreak/>
        <w:t>l</w:t>
      </w:r>
      <w:r w:rsidR="002754C9">
        <w:rPr>
          <w:szCs w:val="24"/>
        </w:rPr>
        <w:t>’</w:t>
      </w:r>
      <w:r w:rsidRPr="009F7ACD">
        <w:rPr>
          <w:szCs w:val="24"/>
        </w:rPr>
        <w:t>ADN 2019 concernant les convois poussés comportant un bateau-citerne transportant des marchandises dangereuses paraissaient erronées ou n</w:t>
      </w:r>
      <w:r w:rsidR="002754C9">
        <w:rPr>
          <w:szCs w:val="24"/>
        </w:rPr>
        <w:t>’</w:t>
      </w:r>
      <w:r w:rsidRPr="009F7ACD">
        <w:rPr>
          <w:szCs w:val="24"/>
        </w:rPr>
        <w:t>avaient aucun sens pour les bateaux faisant partie du convoi. Il a été convenu d</w:t>
      </w:r>
      <w:r w:rsidR="002754C9">
        <w:rPr>
          <w:szCs w:val="24"/>
        </w:rPr>
        <w:t>’</w:t>
      </w:r>
      <w:r w:rsidRPr="009F7ACD">
        <w:rPr>
          <w:szCs w:val="24"/>
        </w:rPr>
        <w:t>examiner les paragraphes soulignés ci-après</w:t>
      </w:r>
      <w:r>
        <w:rPr>
          <w:szCs w:val="24"/>
        </w:rPr>
        <w:t> </w:t>
      </w:r>
      <w:r w:rsidRPr="009F7ACD">
        <w:rPr>
          <w:szCs w:val="24"/>
        </w:rPr>
        <w:t xml:space="preserve">: …, 9.3.3.0.1, </w:t>
      </w:r>
      <w:r w:rsidRPr="009F7ACD">
        <w:rPr>
          <w:szCs w:val="24"/>
          <w:u w:val="single"/>
        </w:rPr>
        <w:t>9.3.3.0.3 d)</w:t>
      </w:r>
      <w:r w:rsidRPr="009F7ACD">
        <w:rPr>
          <w:szCs w:val="24"/>
        </w:rPr>
        <w:t xml:space="preserve">, 9.3.3.0.5, 9.3.3.10.1, </w:t>
      </w:r>
      <w:r w:rsidRPr="009F7ACD">
        <w:rPr>
          <w:szCs w:val="24"/>
          <w:u w:val="single"/>
        </w:rPr>
        <w:t>9.3.3.10.2</w:t>
      </w:r>
      <w:r w:rsidRPr="009F7ACD">
        <w:rPr>
          <w:szCs w:val="24"/>
        </w:rPr>
        <w:t>, 9.3.3.10.5, …</w:t>
      </w:r>
    </w:p>
    <w:p w14:paraId="4E71181B" w14:textId="77777777" w:rsidR="009F7ACD" w:rsidRPr="009F7ACD" w:rsidRDefault="009F7ACD" w:rsidP="009F7ACD">
      <w:pPr>
        <w:pStyle w:val="SingleTxtG"/>
        <w:spacing w:line="240" w:lineRule="auto"/>
        <w:rPr>
          <w:szCs w:val="24"/>
        </w:rPr>
      </w:pPr>
      <w:r w:rsidRPr="009F7ACD">
        <w:rPr>
          <w:szCs w:val="24"/>
        </w:rPr>
        <w:t>2.</w:t>
      </w:r>
      <w:r w:rsidRPr="009F7ACD">
        <w:rPr>
          <w:szCs w:val="24"/>
        </w:rPr>
        <w:tab/>
        <w:t>En outre, les sociétés de classification ont estimé qu</w:t>
      </w:r>
      <w:r w:rsidR="002754C9">
        <w:rPr>
          <w:szCs w:val="24"/>
        </w:rPr>
        <w:t>’</w:t>
      </w:r>
      <w:r w:rsidRPr="009F7ACD">
        <w:rPr>
          <w:szCs w:val="24"/>
        </w:rPr>
        <w:t xml:space="preserve">il y avait certains problèmes, dans les dispositions transitoires du tableau du 1.6.7.2.2.2, </w:t>
      </w:r>
      <w:r w:rsidR="004C679C">
        <w:rPr>
          <w:szCs w:val="24"/>
        </w:rPr>
        <w:t>aux rubriques 7.2.2.19.3 et 7.2.</w:t>
      </w:r>
      <w:r w:rsidR="009E640D">
        <w:rPr>
          <w:szCs w:val="24"/>
        </w:rPr>
        <w:t xml:space="preserve">2.19.4 </w:t>
      </w:r>
      <w:r w:rsidRPr="009F7ACD">
        <w:rPr>
          <w:szCs w:val="24"/>
        </w:rPr>
        <w:t>en ce qui concerne les convois poussés avec des bateaux-citernes.</w:t>
      </w:r>
    </w:p>
    <w:p w14:paraId="63B6ADD5" w14:textId="77777777" w:rsidR="009F7ACD" w:rsidRPr="009F7ACD" w:rsidRDefault="009F7ACD" w:rsidP="009F7ACD">
      <w:pPr>
        <w:pStyle w:val="SingleTxtG"/>
        <w:spacing w:line="240" w:lineRule="auto"/>
        <w:rPr>
          <w:szCs w:val="24"/>
        </w:rPr>
      </w:pPr>
      <w:r w:rsidRPr="009F7ACD">
        <w:rPr>
          <w:szCs w:val="24"/>
        </w:rPr>
        <w:t>3.</w:t>
      </w:r>
      <w:r w:rsidRPr="009F7ACD">
        <w:rPr>
          <w:szCs w:val="24"/>
        </w:rPr>
        <w:tab/>
        <w:t xml:space="preserve">Le groupe informel a soumis le document informel INF.13 (trente-cinquième session) pour un premier examen de la suite à donner à ces questions. </w:t>
      </w:r>
      <w:proofErr w:type="gramStart"/>
      <w:r w:rsidRPr="009F7ACD">
        <w:rPr>
          <w:szCs w:val="24"/>
        </w:rPr>
        <w:t>Suite au</w:t>
      </w:r>
      <w:proofErr w:type="gramEnd"/>
      <w:r w:rsidRPr="009F7ACD">
        <w:rPr>
          <w:szCs w:val="24"/>
        </w:rPr>
        <w:t xml:space="preserve"> débat tenu à la trente-cinquième session du Comité de sécurité de l</w:t>
      </w:r>
      <w:r w:rsidR="002754C9">
        <w:rPr>
          <w:szCs w:val="24"/>
        </w:rPr>
        <w:t>’</w:t>
      </w:r>
      <w:r w:rsidRPr="009F7ACD">
        <w:rPr>
          <w:szCs w:val="24"/>
        </w:rPr>
        <w:t>ADN, les sociétés de classification ont soumis les propositions ci-après.</w:t>
      </w:r>
    </w:p>
    <w:p w14:paraId="72379F0A" w14:textId="77777777" w:rsidR="009F7ACD" w:rsidRPr="009F7ACD" w:rsidRDefault="009F7ACD" w:rsidP="009F7ACD">
      <w:pPr>
        <w:pStyle w:val="HChG"/>
      </w:pPr>
      <w:r w:rsidRPr="009F7ACD">
        <w:tab/>
        <w:t>I.</w:t>
      </w:r>
      <w:r w:rsidRPr="009F7ACD">
        <w:tab/>
      </w:r>
      <w:bookmarkStart w:id="3" w:name="_Hlk24983485"/>
      <w:r w:rsidRPr="009F7ACD">
        <w:t xml:space="preserve">Convois poussés et formations à couple (Bateau-citerne) </w:t>
      </w:r>
      <w:bookmarkEnd w:id="3"/>
      <w:r>
        <w:t>− </w:t>
      </w:r>
      <w:r w:rsidRPr="009F7ACD">
        <w:t>7.2.2.19.3 de l</w:t>
      </w:r>
      <w:r w:rsidR="002754C9">
        <w:t>’</w:t>
      </w:r>
      <w:r w:rsidRPr="009F7ACD">
        <w:t>ADN</w:t>
      </w:r>
    </w:p>
    <w:p w14:paraId="5ADD3A97" w14:textId="77777777" w:rsidR="009F7ACD" w:rsidRPr="009F7ACD" w:rsidRDefault="009F7ACD" w:rsidP="009F7ACD">
      <w:pPr>
        <w:pStyle w:val="SingleTxtG"/>
      </w:pPr>
      <w:r w:rsidRPr="009F7ACD">
        <w:t>4.</w:t>
      </w:r>
      <w:r w:rsidRPr="009F7ACD">
        <w:tab/>
      </w:r>
      <w:bookmarkStart w:id="4" w:name="_Hlk24983733"/>
      <w:r w:rsidRPr="009F7ACD">
        <w:t xml:space="preserve">Le paragraphe </w:t>
      </w:r>
      <w:bookmarkEnd w:id="4"/>
      <w:r w:rsidRPr="009F7ACD">
        <w:t xml:space="preserve">9.3.3.0.3 d), </w:t>
      </w:r>
      <w:bookmarkStart w:id="5" w:name="_Hlk24983782"/>
      <w:r w:rsidRPr="009F7ACD">
        <w:t xml:space="preserve">qui figure dans la liste du </w:t>
      </w:r>
      <w:proofErr w:type="gramStart"/>
      <w:r w:rsidRPr="009F7ACD">
        <w:t>7.2.2.19.3  répertoriant</w:t>
      </w:r>
      <w:proofErr w:type="gramEnd"/>
      <w:r w:rsidRPr="009F7ACD">
        <w:t xml:space="preserve"> les paragraphes comportant des prescriptions auxquelles les bateaux utilisés pour la propulsion doivent satisfaire, </w:t>
      </w:r>
      <w:bookmarkEnd w:id="5"/>
      <w:r w:rsidRPr="009F7ACD">
        <w:t>n</w:t>
      </w:r>
      <w:r w:rsidR="002754C9">
        <w:t>’</w:t>
      </w:r>
      <w:r w:rsidRPr="009F7ACD">
        <w:t>existe plus dans l</w:t>
      </w:r>
      <w:r w:rsidR="002754C9">
        <w:t>’</w:t>
      </w:r>
      <w:r w:rsidRPr="009F7ACD">
        <w:t>ADN 2019.</w:t>
      </w:r>
    </w:p>
    <w:p w14:paraId="741DABB6" w14:textId="77777777" w:rsidR="009F7ACD" w:rsidRPr="009F7ACD" w:rsidRDefault="009F7ACD" w:rsidP="009F7ACD">
      <w:pPr>
        <w:pStyle w:val="H1G"/>
      </w:pPr>
      <w:r w:rsidRPr="009F7ACD">
        <w:tab/>
      </w:r>
      <w:r w:rsidRPr="009F7ACD">
        <w:tab/>
        <w:t>Proposition</w:t>
      </w:r>
    </w:p>
    <w:p w14:paraId="315164CC" w14:textId="77777777" w:rsidR="009F7ACD" w:rsidRPr="009F7ACD" w:rsidRDefault="009F7ACD" w:rsidP="009F7ACD">
      <w:pPr>
        <w:pStyle w:val="SingleTxtG"/>
      </w:pPr>
      <w:r w:rsidRPr="009F7ACD">
        <w:t>5.</w:t>
      </w:r>
      <w:r w:rsidRPr="009F7ACD">
        <w:tab/>
        <w:t>Modifier la référence indiquée dans le 7.2.2.19.3, qui devrait devenir « dernier paragraphe du 9.3.3.0.3 » dans la prochaine version de l</w:t>
      </w:r>
      <w:r w:rsidR="002754C9">
        <w:t>’</w:t>
      </w:r>
      <w:r w:rsidRPr="009F7ACD">
        <w:t>ADN, ce paragraphe ayant le même libellé que le 9.3.3.0.3</w:t>
      </w:r>
      <w:r>
        <w:t> </w:t>
      </w:r>
      <w:r w:rsidRPr="009F7ACD">
        <w:t>d) dans l</w:t>
      </w:r>
      <w:r w:rsidR="002754C9">
        <w:t>’</w:t>
      </w:r>
      <w:r w:rsidRPr="009F7ACD">
        <w:t>ADN 2017.</w:t>
      </w:r>
    </w:p>
    <w:p w14:paraId="1A94AD5E" w14:textId="77777777" w:rsidR="009F7ACD" w:rsidRPr="009F7ACD" w:rsidRDefault="009F7ACD" w:rsidP="009F7ACD">
      <w:pPr>
        <w:pStyle w:val="H1G"/>
        <w:spacing w:line="240" w:lineRule="auto"/>
        <w:rPr>
          <w:szCs w:val="24"/>
        </w:rPr>
      </w:pPr>
      <w:r w:rsidRPr="009F7ACD">
        <w:rPr>
          <w:szCs w:val="24"/>
        </w:rPr>
        <w:tab/>
      </w:r>
      <w:r w:rsidRPr="009F7ACD">
        <w:rPr>
          <w:szCs w:val="24"/>
        </w:rPr>
        <w:tab/>
      </w:r>
      <w:r w:rsidRPr="009F7ACD">
        <w:rPr>
          <w:bCs/>
          <w:szCs w:val="24"/>
        </w:rPr>
        <w:t>Conséquences et faisabilité</w:t>
      </w:r>
    </w:p>
    <w:p w14:paraId="54CBBF05" w14:textId="77777777" w:rsidR="009F7ACD" w:rsidRPr="009F7ACD" w:rsidRDefault="009F7ACD" w:rsidP="009F7ACD">
      <w:pPr>
        <w:pStyle w:val="SingleTxtG"/>
      </w:pPr>
      <w:r w:rsidRPr="009F7ACD">
        <w:t>6.</w:t>
      </w:r>
      <w:r w:rsidRPr="009F7ACD">
        <w:tab/>
        <w:t>Le Comité de sécurité pourrait réfléchir à la conduite à tenir en ce qui concerne cette erreur, qui est manifestement de nature formelle, en attendant l</w:t>
      </w:r>
      <w:r w:rsidR="002754C9">
        <w:t>’</w:t>
      </w:r>
      <w:r w:rsidRPr="009F7ACD">
        <w:t>entrée en vigueur d</w:t>
      </w:r>
      <w:r w:rsidR="002754C9">
        <w:t>’</w:t>
      </w:r>
      <w:r w:rsidRPr="009F7ACD">
        <w:t>une nouvelle version de l</w:t>
      </w:r>
      <w:r w:rsidR="002754C9">
        <w:t>’</w:t>
      </w:r>
      <w:r w:rsidRPr="009F7ACD">
        <w:t>ADN.</w:t>
      </w:r>
    </w:p>
    <w:p w14:paraId="276C14C9" w14:textId="77777777" w:rsidR="009F7ACD" w:rsidRPr="009F7ACD" w:rsidRDefault="009F7ACD" w:rsidP="009F7ACD">
      <w:pPr>
        <w:pStyle w:val="HChG"/>
      </w:pPr>
      <w:r w:rsidRPr="009F7ACD">
        <w:tab/>
        <w:t>II.</w:t>
      </w:r>
      <w:r w:rsidRPr="009F7ACD">
        <w:tab/>
        <w:t xml:space="preserve">Convois poussés et formations à couple (Bateau-citerne) </w:t>
      </w:r>
      <w:r>
        <w:t>− </w:t>
      </w:r>
      <w:r w:rsidRPr="009F7ACD">
        <w:t>7.2.2.19.3 de l</w:t>
      </w:r>
      <w:r w:rsidR="002754C9">
        <w:t>’</w:t>
      </w:r>
      <w:r w:rsidRPr="009F7ACD">
        <w:t>ADN</w:t>
      </w:r>
    </w:p>
    <w:p w14:paraId="7866210F" w14:textId="77777777" w:rsidR="009F7ACD" w:rsidRPr="009F7ACD" w:rsidRDefault="009F7ACD" w:rsidP="009F7ACD">
      <w:pPr>
        <w:pStyle w:val="SingleTxtG"/>
      </w:pPr>
      <w:r w:rsidRPr="009F7ACD">
        <w:t>7.</w:t>
      </w:r>
      <w:r w:rsidRPr="009F7ACD">
        <w:tab/>
        <w:t xml:space="preserve">Le paragraphe 9.3.3.10.2, qui </w:t>
      </w:r>
      <w:proofErr w:type="gramStart"/>
      <w:r w:rsidRPr="009F7ACD">
        <w:t>figure  dans</w:t>
      </w:r>
      <w:proofErr w:type="gramEnd"/>
      <w:r w:rsidRPr="009F7ACD">
        <w:t xml:space="preserve"> la liste du 7.2.2.19.3 répertoriant les paragraphes comportant des prescriptions auxquelles les bateaux utilisés pour la propulsion doivent satisfaire  n</w:t>
      </w:r>
      <w:r w:rsidR="002754C9">
        <w:t>’</w:t>
      </w:r>
      <w:r w:rsidRPr="009F7ACD">
        <w:t>est pas applicable aux bateaux utilisés pour la propulsion tels que les pousseurs, car il a trait aux hiloires de protection placés au-dessus des cloisons des citernes à cargaison et que ce type d</w:t>
      </w:r>
      <w:r w:rsidR="002754C9">
        <w:t>’</w:t>
      </w:r>
      <w:r w:rsidRPr="009F7ACD">
        <w:t>hiloire (conforme au 9.3.3.10.2) ne peut normalement être installé sur un pousseur. Il n</w:t>
      </w:r>
      <w:r w:rsidR="002754C9">
        <w:t>’</w:t>
      </w:r>
      <w:r w:rsidRPr="009F7ACD">
        <w:t>y a pas de cloison de citernes à cargaison sur ce genre de bateau et l</w:t>
      </w:r>
      <w:r w:rsidR="002754C9">
        <w:t>’</w:t>
      </w:r>
      <w:r w:rsidRPr="009F7ACD">
        <w:t xml:space="preserve">hiloire est absurde dans la mesure où les liquides ne peuvent se répandre </w:t>
      </w:r>
      <w:proofErr w:type="gramStart"/>
      <w:r w:rsidRPr="009F7ACD">
        <w:t>directement</w:t>
      </w:r>
      <w:proofErr w:type="gramEnd"/>
      <w:r w:rsidRPr="009F7ACD">
        <w:t xml:space="preserve"> sur le pont du bateau.</w:t>
      </w:r>
    </w:p>
    <w:p w14:paraId="010F2594" w14:textId="77777777" w:rsidR="009F7ACD" w:rsidRPr="009F7ACD" w:rsidRDefault="009F7ACD" w:rsidP="009F7ACD">
      <w:pPr>
        <w:pStyle w:val="SingleTxtG"/>
        <w:spacing w:line="240" w:lineRule="auto"/>
        <w:rPr>
          <w:szCs w:val="24"/>
        </w:rPr>
      </w:pPr>
      <w:r w:rsidRPr="009F7ACD">
        <w:rPr>
          <w:szCs w:val="24"/>
        </w:rPr>
        <w:t>8.</w:t>
      </w:r>
      <w:r w:rsidRPr="009F7ACD">
        <w:rPr>
          <w:szCs w:val="24"/>
        </w:rPr>
        <w:tab/>
        <w:t>Le paragraphe</w:t>
      </w:r>
      <w:r w:rsidR="002754C9">
        <w:rPr>
          <w:szCs w:val="24"/>
        </w:rPr>
        <w:t> </w:t>
      </w:r>
      <w:r w:rsidRPr="009F7ACD">
        <w:rPr>
          <w:szCs w:val="24"/>
        </w:rPr>
        <w:t>9.3.3.10.2 de l</w:t>
      </w:r>
      <w:r w:rsidR="002754C9">
        <w:rPr>
          <w:szCs w:val="24"/>
        </w:rPr>
        <w:t>’</w:t>
      </w:r>
      <w:r w:rsidRPr="009F7ACD">
        <w:rPr>
          <w:szCs w:val="24"/>
        </w:rPr>
        <w:t>ADN 2017 traite de la hauteur des hiloires des ouvertures en dehors de la zone de cargaison</w:t>
      </w:r>
      <w:r>
        <w:rPr>
          <w:szCs w:val="24"/>
        </w:rPr>
        <w:t> :</w:t>
      </w:r>
    </w:p>
    <w:p w14:paraId="3D214C3F" w14:textId="77777777" w:rsidR="009F7ACD" w:rsidRPr="009F7ACD" w:rsidRDefault="009F7ACD" w:rsidP="009F7ACD">
      <w:pPr>
        <w:pStyle w:val="SingleTxtG"/>
        <w:ind w:left="1701"/>
      </w:pPr>
      <w:r w:rsidRPr="009F7ACD">
        <w:t>« En dehors de la zone de cargaison, l</w:t>
      </w:r>
      <w:r w:rsidR="002754C9">
        <w:t>’</w:t>
      </w:r>
      <w:r w:rsidRPr="009F7ACD">
        <w:t>arête inférieure des ouvertures de portes dans la paroi latérale des superstructures doit être située à 0,50</w:t>
      </w:r>
      <w:r w:rsidR="002754C9">
        <w:t> </w:t>
      </w:r>
      <w:r w:rsidRPr="009F7ACD">
        <w:t>m au moins au-dessus du pont et les hiloires des écoutilles menant à des locaux situés sous le pont doivent avoir une hauteur d</w:t>
      </w:r>
      <w:r w:rsidR="002754C9">
        <w:t>’</w:t>
      </w:r>
      <w:r w:rsidRPr="009F7ACD">
        <w:t>au moins 0,50</w:t>
      </w:r>
      <w:r>
        <w:t> </w:t>
      </w:r>
      <w:r w:rsidRPr="009F7ACD">
        <w:t>m au-dessus du pont.</w:t>
      </w:r>
    </w:p>
    <w:p w14:paraId="4176F08B" w14:textId="77777777" w:rsidR="009F7ACD" w:rsidRPr="009F7ACD" w:rsidRDefault="009F7ACD" w:rsidP="009F7ACD">
      <w:pPr>
        <w:pStyle w:val="SingleTxtG"/>
        <w:ind w:left="1701"/>
        <w:rPr>
          <w:szCs w:val="24"/>
        </w:rPr>
      </w:pPr>
      <w:r w:rsidRPr="009F7ACD">
        <w:rPr>
          <w:szCs w:val="24"/>
        </w:rPr>
        <w:t>Il peut être dérogé à cette prescription si la paroi des superstructures faisant face à la zone de cargaison s</w:t>
      </w:r>
      <w:r w:rsidR="002754C9">
        <w:rPr>
          <w:szCs w:val="24"/>
        </w:rPr>
        <w:t>’</w:t>
      </w:r>
      <w:r w:rsidRPr="009F7ACD">
        <w:rPr>
          <w:szCs w:val="24"/>
        </w:rPr>
        <w:t>étend d</w:t>
      </w:r>
      <w:r w:rsidR="002754C9">
        <w:rPr>
          <w:szCs w:val="24"/>
        </w:rPr>
        <w:t>’</w:t>
      </w:r>
      <w:r w:rsidRPr="009F7ACD">
        <w:rPr>
          <w:szCs w:val="24"/>
        </w:rPr>
        <w:t>un bordage à l</w:t>
      </w:r>
      <w:r w:rsidR="002754C9">
        <w:rPr>
          <w:szCs w:val="24"/>
        </w:rPr>
        <w:t>’</w:t>
      </w:r>
      <w:r w:rsidRPr="009F7ACD">
        <w:rPr>
          <w:szCs w:val="24"/>
        </w:rPr>
        <w:t>autre du bateau et si les portes situées dans cette paroi ont des seuils d</w:t>
      </w:r>
      <w:r w:rsidR="002754C9">
        <w:rPr>
          <w:szCs w:val="24"/>
        </w:rPr>
        <w:t>’</w:t>
      </w:r>
      <w:r w:rsidRPr="009F7ACD">
        <w:rPr>
          <w:szCs w:val="24"/>
        </w:rPr>
        <w:t>au moins 0,50</w:t>
      </w:r>
      <w:r w:rsidR="002754C9">
        <w:rPr>
          <w:szCs w:val="24"/>
        </w:rPr>
        <w:t> </w:t>
      </w:r>
      <w:r w:rsidRPr="009F7ACD">
        <w:rPr>
          <w:szCs w:val="24"/>
        </w:rPr>
        <w:t>m au-dessus du pont. La hauteur de cette paroi doit être d</w:t>
      </w:r>
      <w:r w:rsidR="002754C9">
        <w:rPr>
          <w:szCs w:val="24"/>
        </w:rPr>
        <w:t>’</w:t>
      </w:r>
      <w:r w:rsidRPr="009F7ACD">
        <w:rPr>
          <w:szCs w:val="24"/>
        </w:rPr>
        <w:t>au moins 2,00</w:t>
      </w:r>
      <w:r w:rsidR="002754C9">
        <w:rPr>
          <w:szCs w:val="24"/>
        </w:rPr>
        <w:t> </w:t>
      </w:r>
      <w:r w:rsidRPr="009F7ACD">
        <w:rPr>
          <w:szCs w:val="24"/>
        </w:rPr>
        <w:t>m. Dans ce cas, les seuils des portes situées dans la paroi latérale des superstructures et les hiloires des écoutilles situées en arrière de cette paroi doivent avoir une hauteur d</w:t>
      </w:r>
      <w:r w:rsidR="002754C9">
        <w:rPr>
          <w:szCs w:val="24"/>
        </w:rPr>
        <w:t>’</w:t>
      </w:r>
      <w:r w:rsidRPr="009F7ACD">
        <w:rPr>
          <w:szCs w:val="24"/>
        </w:rPr>
        <w:t>au moins 0,10</w:t>
      </w:r>
      <w:r w:rsidR="002754C9">
        <w:rPr>
          <w:szCs w:val="24"/>
        </w:rPr>
        <w:t> </w:t>
      </w:r>
      <w:r w:rsidRPr="009F7ACD">
        <w:rPr>
          <w:szCs w:val="24"/>
        </w:rPr>
        <w:t xml:space="preserve">m au-dessus du pont. Toutefois, les </w:t>
      </w:r>
      <w:r w:rsidRPr="009F7ACD">
        <w:rPr>
          <w:szCs w:val="24"/>
        </w:rPr>
        <w:lastRenderedPageBreak/>
        <w:t>seuils des portes de la salle des machines et les hiloires de ses écoutilles d</w:t>
      </w:r>
      <w:r w:rsidR="002754C9">
        <w:rPr>
          <w:szCs w:val="24"/>
        </w:rPr>
        <w:t>’</w:t>
      </w:r>
      <w:r w:rsidRPr="009F7ACD">
        <w:rPr>
          <w:szCs w:val="24"/>
        </w:rPr>
        <w:t>accès doivent toujours avoir une hauteur d</w:t>
      </w:r>
      <w:r w:rsidR="002754C9">
        <w:rPr>
          <w:szCs w:val="24"/>
        </w:rPr>
        <w:t>’</w:t>
      </w:r>
      <w:r w:rsidRPr="009F7ACD">
        <w:rPr>
          <w:szCs w:val="24"/>
        </w:rPr>
        <w:t>au moins 0,50</w:t>
      </w:r>
      <w:r w:rsidR="002754C9">
        <w:rPr>
          <w:szCs w:val="24"/>
        </w:rPr>
        <w:t> </w:t>
      </w:r>
      <w:r w:rsidRPr="009F7ACD">
        <w:rPr>
          <w:szCs w:val="24"/>
        </w:rPr>
        <w:t>m. »</w:t>
      </w:r>
    </w:p>
    <w:p w14:paraId="0AF6D9C5" w14:textId="77777777" w:rsidR="009F7ACD" w:rsidRPr="009F7ACD" w:rsidRDefault="009F7ACD" w:rsidP="009F7ACD">
      <w:pPr>
        <w:pStyle w:val="SingleTxtG"/>
        <w:spacing w:line="240" w:lineRule="auto"/>
        <w:rPr>
          <w:szCs w:val="24"/>
        </w:rPr>
      </w:pPr>
      <w:r w:rsidRPr="009F7ACD">
        <w:rPr>
          <w:szCs w:val="24"/>
        </w:rPr>
        <w:t>9.</w:t>
      </w:r>
      <w:r w:rsidRPr="009F7ACD">
        <w:rPr>
          <w:szCs w:val="24"/>
        </w:rPr>
        <w:tab/>
        <w:t>Il n</w:t>
      </w:r>
      <w:r w:rsidR="002754C9">
        <w:rPr>
          <w:szCs w:val="24"/>
        </w:rPr>
        <w:t>’</w:t>
      </w:r>
      <w:r w:rsidRPr="009F7ACD">
        <w:rPr>
          <w:szCs w:val="24"/>
        </w:rPr>
        <w:t>existe pas de paragraphe similaire dans l</w:t>
      </w:r>
      <w:r w:rsidR="002754C9">
        <w:rPr>
          <w:szCs w:val="24"/>
        </w:rPr>
        <w:t>’</w:t>
      </w:r>
      <w:r w:rsidRPr="009F7ACD">
        <w:rPr>
          <w:szCs w:val="24"/>
        </w:rPr>
        <w:t>ADN 2019, mais le paragraphe 9.3.3.10.4 de cette version de l</w:t>
      </w:r>
      <w:r w:rsidR="002754C9">
        <w:rPr>
          <w:szCs w:val="24"/>
        </w:rPr>
        <w:t>’</w:t>
      </w:r>
      <w:r w:rsidRPr="009F7ACD">
        <w:rPr>
          <w:szCs w:val="24"/>
        </w:rPr>
        <w:t>ADN reprend en partie les prescriptions susmentionnées</w:t>
      </w:r>
      <w:r w:rsidR="002754C9">
        <w:rPr>
          <w:szCs w:val="24"/>
        </w:rPr>
        <w:t> :</w:t>
      </w:r>
    </w:p>
    <w:p w14:paraId="3B0D02CE" w14:textId="77777777" w:rsidR="009F7ACD" w:rsidRPr="009F7ACD" w:rsidRDefault="009F7ACD" w:rsidP="009F7ACD">
      <w:pPr>
        <w:pStyle w:val="SingleTxtG"/>
        <w:ind w:left="1701"/>
        <w:rPr>
          <w:szCs w:val="24"/>
        </w:rPr>
      </w:pPr>
      <w:r w:rsidRPr="009F7ACD">
        <w:rPr>
          <w:szCs w:val="24"/>
        </w:rPr>
        <w:t>« Sur le pont, l</w:t>
      </w:r>
      <w:r w:rsidR="002754C9">
        <w:rPr>
          <w:szCs w:val="24"/>
        </w:rPr>
        <w:t>’</w:t>
      </w:r>
      <w:r w:rsidRPr="009F7ACD">
        <w:rPr>
          <w:szCs w:val="24"/>
        </w:rPr>
        <w:t>arête inférieure des ouvertures dans les parois latérales des superstructures ainsi que les seuils des écoutilles et les orifices d</w:t>
      </w:r>
      <w:r w:rsidR="002754C9">
        <w:rPr>
          <w:szCs w:val="24"/>
        </w:rPr>
        <w:t>’</w:t>
      </w:r>
      <w:r w:rsidRPr="009F7ACD">
        <w:rPr>
          <w:szCs w:val="24"/>
        </w:rPr>
        <w:t>aération de locaux situés sous le pont doivent être situés à 0,50 m au moins au-dessus du pont. Cette prescription ne s</w:t>
      </w:r>
      <w:r w:rsidR="002754C9">
        <w:rPr>
          <w:szCs w:val="24"/>
        </w:rPr>
        <w:t>’</w:t>
      </w:r>
      <w:r w:rsidRPr="009F7ACD">
        <w:rPr>
          <w:szCs w:val="24"/>
        </w:rPr>
        <w:t>applique pas aux ouvertures des espaces de double coque et doubles-fonds. »</w:t>
      </w:r>
    </w:p>
    <w:p w14:paraId="7D316110" w14:textId="77777777" w:rsidR="009F7ACD" w:rsidRPr="009F7ACD" w:rsidRDefault="009F7ACD" w:rsidP="009F7ACD">
      <w:pPr>
        <w:pStyle w:val="H1G"/>
      </w:pPr>
      <w:r w:rsidRPr="009F7ACD">
        <w:tab/>
      </w:r>
      <w:r w:rsidRPr="009F7ACD">
        <w:tab/>
        <w:t>Proposition</w:t>
      </w:r>
    </w:p>
    <w:p w14:paraId="6A65A6E9" w14:textId="77777777" w:rsidR="009F7ACD" w:rsidRPr="009F7ACD" w:rsidRDefault="009F7ACD" w:rsidP="009F7ACD">
      <w:pPr>
        <w:pStyle w:val="SingleTxtG"/>
        <w:spacing w:line="240" w:lineRule="auto"/>
        <w:rPr>
          <w:szCs w:val="24"/>
        </w:rPr>
      </w:pPr>
      <w:r w:rsidRPr="009F7ACD">
        <w:rPr>
          <w:szCs w:val="24"/>
        </w:rPr>
        <w:t>10.</w:t>
      </w:r>
      <w:r w:rsidRPr="009F7ACD">
        <w:rPr>
          <w:szCs w:val="24"/>
        </w:rPr>
        <w:tab/>
        <w:t>Au paragraphe 7.2.2.19.3 de la prochaine version de l</w:t>
      </w:r>
      <w:r w:rsidR="002754C9">
        <w:rPr>
          <w:szCs w:val="24"/>
        </w:rPr>
        <w:t>’</w:t>
      </w:r>
      <w:r w:rsidRPr="009F7ACD">
        <w:rPr>
          <w:szCs w:val="24"/>
        </w:rPr>
        <w:t>ADN, remplacer la référence au 9.3.3.10.2 par un renvoi au 9.3.3.10.4.</w:t>
      </w:r>
    </w:p>
    <w:p w14:paraId="58C11B79" w14:textId="77777777" w:rsidR="009F7ACD" w:rsidRPr="009F7ACD" w:rsidRDefault="009F7ACD" w:rsidP="009F7ACD">
      <w:pPr>
        <w:pStyle w:val="H1G"/>
      </w:pPr>
      <w:r w:rsidRPr="009F7ACD">
        <w:tab/>
      </w:r>
      <w:r w:rsidRPr="009F7ACD">
        <w:tab/>
      </w:r>
      <w:bookmarkStart w:id="6" w:name="_Hlk21068708"/>
      <w:r w:rsidRPr="009F7ACD">
        <w:t xml:space="preserve">Conséquences </w:t>
      </w:r>
      <w:bookmarkEnd w:id="6"/>
      <w:r w:rsidRPr="009F7ACD">
        <w:t>et faisabilité</w:t>
      </w:r>
    </w:p>
    <w:p w14:paraId="0347E134" w14:textId="77777777" w:rsidR="009F7ACD" w:rsidRPr="009F7ACD" w:rsidRDefault="009F7ACD" w:rsidP="009F7ACD">
      <w:pPr>
        <w:pStyle w:val="SingleTxtG"/>
      </w:pPr>
      <w:r w:rsidRPr="009F7ACD">
        <w:t>11.</w:t>
      </w:r>
      <w:r w:rsidRPr="009F7ACD">
        <w:tab/>
        <w:t>Le Comité de sécurité pourrait réfléchir à la conduite à tenir en ce qui concerne cette référence en attendant l</w:t>
      </w:r>
      <w:r w:rsidR="002754C9">
        <w:t>’</w:t>
      </w:r>
      <w:r w:rsidRPr="009F7ACD">
        <w:t>entrée en vigueur d</w:t>
      </w:r>
      <w:r w:rsidR="002754C9">
        <w:t>’</w:t>
      </w:r>
      <w:r w:rsidRPr="009F7ACD">
        <w:t>une nouvelle version de l</w:t>
      </w:r>
      <w:r w:rsidR="002754C9">
        <w:t>’</w:t>
      </w:r>
      <w:r w:rsidRPr="009F7ACD">
        <w:t>ADN.</w:t>
      </w:r>
    </w:p>
    <w:p w14:paraId="77973F1C" w14:textId="77777777" w:rsidR="009F7ACD" w:rsidRPr="009F7ACD" w:rsidRDefault="009F7ACD" w:rsidP="009F7ACD">
      <w:pPr>
        <w:pStyle w:val="SingleTxtG"/>
      </w:pPr>
      <w:r w:rsidRPr="009F7ACD">
        <w:t>12.</w:t>
      </w:r>
      <w:r w:rsidRPr="009F7ACD">
        <w:tab/>
        <w:t>La question se pose de savoir si l</w:t>
      </w:r>
      <w:r w:rsidR="002754C9">
        <w:t>’</w:t>
      </w:r>
      <w:r w:rsidRPr="009F7ACD">
        <w:t>on peut s</w:t>
      </w:r>
      <w:r w:rsidR="002754C9">
        <w:t>’</w:t>
      </w:r>
      <w:r w:rsidRPr="009F7ACD">
        <w:t>abstenir de vérifier la conformité à cette prescription pendant les visites de renouvellement du certificat d</w:t>
      </w:r>
      <w:r w:rsidR="002754C9">
        <w:t>’</w:t>
      </w:r>
      <w:r w:rsidRPr="009F7ACD">
        <w:t>agrément au titre de l</w:t>
      </w:r>
      <w:r w:rsidR="002754C9">
        <w:t>’</w:t>
      </w:r>
      <w:r w:rsidRPr="009F7ACD">
        <w:t>ADN et indiquer sur le certificat que ce paragraphe est sans objet pour le bateau</w:t>
      </w:r>
      <w:r>
        <w:t> ?</w:t>
      </w:r>
      <w:r w:rsidRPr="009F7ACD">
        <w:t xml:space="preserve"> </w:t>
      </w:r>
    </w:p>
    <w:p w14:paraId="005D105C" w14:textId="77777777" w:rsidR="009F7ACD" w:rsidRPr="009F7ACD" w:rsidRDefault="009F7ACD" w:rsidP="009F7ACD">
      <w:pPr>
        <w:pStyle w:val="HChG"/>
        <w:rPr>
          <w:bCs/>
        </w:rPr>
      </w:pPr>
      <w:r w:rsidRPr="009F7ACD">
        <w:tab/>
        <w:t>III.</w:t>
      </w:r>
      <w:r w:rsidRPr="009F7ACD">
        <w:tab/>
        <w:t>Disposition transitoire pour le 7.2.2.19.3</w:t>
      </w:r>
    </w:p>
    <w:p w14:paraId="0D49554B" w14:textId="77777777" w:rsidR="009F7ACD" w:rsidRPr="009F7ACD" w:rsidRDefault="009F7ACD" w:rsidP="009F7ACD">
      <w:pPr>
        <w:pStyle w:val="SingleTxtG"/>
      </w:pPr>
      <w:r w:rsidRPr="009F7ACD">
        <w:t>13.</w:t>
      </w:r>
      <w:r w:rsidRPr="009F7ACD">
        <w:tab/>
        <w:t xml:space="preserve">La disposition transitoire pour le 7.2.2.19.4 </w:t>
      </w:r>
      <w:r>
        <w:t>− </w:t>
      </w:r>
      <w:r w:rsidRPr="009F7ACD">
        <w:t>« Bateaux de la formation pour lesquels est exigée la protection contre les explosions » contient également des dispositions transitoires applicables aux bateaux utilisés pour la propulsion qui renvoient sans ambiguïté au contenu du 7.2.2.19.3, qui contient des prescriptions applicables à ce type de bateau.</w:t>
      </w:r>
    </w:p>
    <w:p w14:paraId="5159D6BE" w14:textId="77777777" w:rsidR="009F7ACD" w:rsidRPr="009F7ACD" w:rsidRDefault="009F7ACD" w:rsidP="009F7ACD">
      <w:pPr>
        <w:pStyle w:val="SingleTxtG"/>
      </w:pPr>
      <w:r w:rsidRPr="009F7ACD">
        <w:t>14.</w:t>
      </w:r>
      <w:r w:rsidRPr="009F7ACD">
        <w:tab/>
        <w:t>Compte tenu des propositions susmentionnées, les dispositions du 9.3.3.0.3</w:t>
      </w:r>
      <w:r w:rsidR="002754C9">
        <w:t> </w:t>
      </w:r>
      <w:r w:rsidRPr="009F7ACD">
        <w:t>d) et du</w:t>
      </w:r>
      <w:r w:rsidR="002754C9">
        <w:t> </w:t>
      </w:r>
      <w:r w:rsidRPr="009F7ACD">
        <w:t>9.3.3.10.2 doivent être adaptées.</w:t>
      </w:r>
    </w:p>
    <w:p w14:paraId="7E901D96" w14:textId="77777777" w:rsidR="009F7ACD" w:rsidRPr="009F7ACD" w:rsidRDefault="009F7ACD" w:rsidP="009F7ACD">
      <w:pPr>
        <w:pStyle w:val="H1G"/>
      </w:pPr>
      <w:r w:rsidRPr="009F7ACD">
        <w:tab/>
      </w:r>
      <w:r w:rsidRPr="009F7ACD">
        <w:tab/>
        <w:t>Proposition</w:t>
      </w:r>
    </w:p>
    <w:p w14:paraId="79CC0DF5" w14:textId="77777777" w:rsidR="009F7ACD" w:rsidRDefault="009F7ACD" w:rsidP="009F7ACD">
      <w:pPr>
        <w:pStyle w:val="SingleTxtG"/>
      </w:pPr>
      <w:r w:rsidRPr="009F7ACD">
        <w:t>15.</w:t>
      </w:r>
      <w:r w:rsidRPr="009F7ACD">
        <w:tab/>
        <w:t>Adapter la disposition transitoire du paragraphe 7.2.2.19.3 du tableau comme suit</w:t>
      </w:r>
      <w:r>
        <w:t> :</w:t>
      </w:r>
    </w:p>
    <w:tbl>
      <w:tblPr>
        <w:tblStyle w:val="TableNormal1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1F1F1F"/>
          <w:insideV w:val="single" w:sz="4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178"/>
        <w:gridCol w:w="6398"/>
      </w:tblGrid>
      <w:tr w:rsidR="009F7ACD" w:rsidRPr="009F7ACD" w14:paraId="57E72044" w14:textId="77777777" w:rsidTr="009F7ACD">
        <w:tc>
          <w:tcPr>
            <w:tcW w:w="1061" w:type="dxa"/>
          </w:tcPr>
          <w:p w14:paraId="2440639F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rPr>
                <w:rFonts w:ascii="Times New Roman" w:hAnsi="Times New Roman"/>
                <w:color w:val="5D5D5E"/>
                <w:sz w:val="18"/>
                <w:szCs w:val="18"/>
                <w:lang w:val="fr-CH"/>
              </w:rPr>
            </w:pPr>
            <w:r>
              <w:lastRenderedPageBreak/>
              <w:br w:type="page"/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7.2.2.19.3</w:t>
            </w:r>
          </w:p>
        </w:tc>
        <w:tc>
          <w:tcPr>
            <w:tcW w:w="2178" w:type="dxa"/>
          </w:tcPr>
          <w:p w14:paraId="553A88BA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Bateaux utilisés pour la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propulsion</w:t>
            </w:r>
          </w:p>
          <w:p w14:paraId="419C29BA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Adaptation aux nouvelles prescriptions</w:t>
            </w:r>
          </w:p>
          <w:p w14:paraId="1EF99C77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rPr>
                <w:rFonts w:ascii="Times New Roman"/>
                <w:color w:val="5D5D5E"/>
                <w:w w:val="105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Prescriptions des 9.3.3.12.4, 9.3.3.51 et 9.3.3.52.1 à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9.3.3.52.8</w:t>
            </w:r>
          </w:p>
        </w:tc>
        <w:tc>
          <w:tcPr>
            <w:tcW w:w="6398" w:type="dxa"/>
          </w:tcPr>
          <w:p w14:paraId="68F4372D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N.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R.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T. à partir du 1</w:t>
            </w:r>
            <w:r w:rsidRPr="009F7ACD">
              <w:rPr>
                <w:rFonts w:ascii="Times New Roman" w:hAnsi="Times New Roman"/>
                <w:sz w:val="18"/>
                <w:szCs w:val="18"/>
                <w:vertAlign w:val="superscript"/>
                <w:lang w:val="fr-CH"/>
              </w:rPr>
              <w:t>er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janvier 2019</w:t>
            </w:r>
          </w:p>
          <w:p w14:paraId="7BF5B128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Renouvellement du certificat d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agrément 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br/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après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le 31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décembre 2034</w:t>
            </w:r>
          </w:p>
          <w:p w14:paraId="1B9A3662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Jusqu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à cette échéance, les prescriptions suivantes sont applicables à bord des bateaux en service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:</w:t>
            </w:r>
          </w:p>
          <w:p w14:paraId="062501FB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Les bateaux utilisés pour la propulsion dans un convoi poussé ou une formation à couple doivent satisfaire aux prescriptions des sections, sous-sections et paragraphes ci-après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 :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1.16.1.1, 1.16.1.2, 1.16.1.3, 7.2.2.5, 8.1.4, 8.1.5, 8.1.6.1, 8.1.6.3, 8.1.7, 9.3.3.0.1, </w:t>
            </w:r>
            <w:r w:rsidRPr="009F7ACD">
              <w:rPr>
                <w:rFonts w:ascii="Times New Roman" w:hAnsi="Times New Roman"/>
                <w:strike/>
                <w:sz w:val="18"/>
                <w:szCs w:val="18"/>
                <w:lang w:val="fr-CH"/>
              </w:rPr>
              <w:t>9.3.3.0.3 d),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 w:rsidRPr="009F7ACD">
              <w:rPr>
                <w:rFonts w:ascii="Times New Roman" w:hAnsi="Times New Roman"/>
                <w:sz w:val="18"/>
                <w:szCs w:val="18"/>
                <w:u w:val="single"/>
                <w:lang w:val="fr-CH"/>
              </w:rPr>
              <w:t>dernier paragraphe du 9.3.3.0.3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, 9.3.3.0.5, 9.3.3.10.1, </w:t>
            </w:r>
            <w:r w:rsidRPr="009F7ACD">
              <w:rPr>
                <w:rFonts w:ascii="Times New Roman" w:hAnsi="Times New Roman"/>
                <w:strike/>
                <w:sz w:val="18"/>
                <w:szCs w:val="18"/>
                <w:lang w:val="fr-CH"/>
              </w:rPr>
              <w:t>9.3.3.10.2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,  </w:t>
            </w:r>
            <w:r w:rsidRPr="009F7ACD">
              <w:rPr>
                <w:rFonts w:ascii="Times New Roman" w:hAnsi="Times New Roman"/>
                <w:sz w:val="18"/>
                <w:szCs w:val="18"/>
                <w:u w:val="single"/>
                <w:lang w:val="fr-CH"/>
              </w:rPr>
              <w:t>9.3.3.10.4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, 9.3.3.12.4 a) à l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exception de la timonerie, 9.3.3.12.4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b) à l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exception du temps de réponse t90, 9.3.3.12.4 c), 9.3.3.12.6, 9.3.3.16, 9.3.3.17.1 à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9.3.3.17.4, 9.3.3.31.1 à 9.3.3.31.5, 9.3.3.32.2, 9.3.3.34.1, 9.3.3.34.2, 9.3.3.40.1 (toutefois, une seule pompe à incendie ou de ballastage suffit), 9.3.3.40.2, 9.3.3.41, 9.3.3.50.1 c), 9.3.3.50.2, 9.3.3.51, 9.3.3.52.6, 9.3.3.52.7, 9.3.3.52.8, 9.3.3.56.5, 9.3.3.71 et 9.3.3.74, lorsqu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au moins un bateau dudit convoi ou de ladite formation à couple transporte des marchandises dangereuses.</w:t>
            </w:r>
          </w:p>
          <w:p w14:paraId="54C9AC62" w14:textId="77777777" w:rsidR="009F7ACD" w:rsidRPr="009F7ACD" w:rsidRDefault="009F7ACD" w:rsidP="002754C9">
            <w:pPr>
              <w:pStyle w:val="TableParagraph"/>
              <w:keepNext/>
              <w:keepLines/>
              <w:widowControl/>
              <w:spacing w:before="60" w:after="60"/>
              <w:ind w:left="57" w:right="57"/>
              <w:rPr>
                <w:rFonts w:ascii="Times New Roman"/>
                <w:color w:val="5D5D5E"/>
                <w:w w:val="105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Les bateaux utilisés seulement pour la propulsion de bateaux-citernes de type N ouvert n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ont pas à satisfaire aux prescriptions des paragraphes 9.3.3.10.1, 9.3.3.10.2 et 9.3.3.12.6. Ces dérogations doivent être inscrites dans le certificat d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agrément ou dans le certificat d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agrément provisoire comme suit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 :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</w:t>
            </w:r>
            <w:r w:rsidR="002754C9">
              <w:rPr>
                <w:rFonts w:ascii="Times New Roman" w:hAnsi="Times New Roman"/>
                <w:sz w:val="18"/>
                <w:szCs w:val="18"/>
                <w:lang w:val="fr-CH"/>
              </w:rPr>
              <w:t>« </w:t>
            </w: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Dérogations </w:t>
            </w:r>
            <w:proofErr w:type="gramStart"/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admises:</w:t>
            </w:r>
            <w:proofErr w:type="gramEnd"/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 xml:space="preserve"> dérogation au 9.3.3.10.1, au 9.3.3.10.2 et au 9.3.3.12.6 ; le bateau peut uniquement déplacer des bateaux-citernes de type N ouvert.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»</w:t>
            </w:r>
          </w:p>
        </w:tc>
      </w:tr>
    </w:tbl>
    <w:p w14:paraId="58CDA36C" w14:textId="77777777" w:rsidR="009F7ACD" w:rsidRPr="009F7ACD" w:rsidRDefault="009F7ACD" w:rsidP="009F7ACD">
      <w:pPr>
        <w:pStyle w:val="HChG"/>
        <w:rPr>
          <w:bCs/>
        </w:rPr>
      </w:pPr>
      <w:r w:rsidRPr="009F7ACD">
        <w:tab/>
        <w:t>IV.</w:t>
      </w:r>
      <w:r w:rsidRPr="009F7ACD">
        <w:tab/>
        <w:t>Disposition transitoire pour le 7.2.2.19.4</w:t>
      </w:r>
    </w:p>
    <w:p w14:paraId="64035474" w14:textId="77777777" w:rsidR="009F7ACD" w:rsidRPr="009F7ACD" w:rsidRDefault="009F7ACD" w:rsidP="009F7ACD">
      <w:pPr>
        <w:pStyle w:val="SingleTxtG"/>
      </w:pPr>
      <w:r w:rsidRPr="009F7ACD">
        <w:t>16.</w:t>
      </w:r>
      <w:r w:rsidRPr="009F7ACD">
        <w:tab/>
        <w:t>La deuxième partie de la disposition transitoire pour le 7.2.2.19.4 a été transférée au 7.2.2.19.3 et doit être adaptée.</w:t>
      </w:r>
    </w:p>
    <w:p w14:paraId="6ECBC765" w14:textId="77777777" w:rsidR="009F7ACD" w:rsidRPr="009F7ACD" w:rsidRDefault="009F7ACD" w:rsidP="009F7ACD">
      <w:pPr>
        <w:pStyle w:val="H1G"/>
      </w:pPr>
      <w:r w:rsidRPr="009F7ACD">
        <w:tab/>
      </w:r>
      <w:r w:rsidRPr="009F7ACD">
        <w:tab/>
        <w:t>Proposition</w:t>
      </w:r>
    </w:p>
    <w:p w14:paraId="1AAD650E" w14:textId="77777777" w:rsidR="009F7ACD" w:rsidRPr="009F7ACD" w:rsidRDefault="009F7ACD" w:rsidP="009F7ACD">
      <w:pPr>
        <w:pStyle w:val="SingleTxtG"/>
        <w:spacing w:after="240" w:line="240" w:lineRule="auto"/>
        <w:rPr>
          <w:szCs w:val="24"/>
        </w:rPr>
      </w:pPr>
      <w:r w:rsidRPr="009F7ACD">
        <w:rPr>
          <w:szCs w:val="24"/>
        </w:rPr>
        <w:t>17.</w:t>
      </w:r>
      <w:r w:rsidRPr="009F7ACD">
        <w:rPr>
          <w:szCs w:val="24"/>
        </w:rPr>
        <w:tab/>
        <w:t>Adapter la disposition transitoire du 7.2.2.19.4 du tableau comme suit</w:t>
      </w:r>
      <w:r>
        <w:rPr>
          <w:szCs w:val="24"/>
        </w:rPr>
        <w:t> :</w:t>
      </w:r>
    </w:p>
    <w:tbl>
      <w:tblPr>
        <w:tblStyle w:val="TableNormal1"/>
        <w:tblW w:w="9637" w:type="dxa"/>
        <w:tblLayout w:type="fixed"/>
        <w:tblLook w:val="01E0" w:firstRow="1" w:lastRow="1" w:firstColumn="1" w:lastColumn="1" w:noHBand="0" w:noVBand="0"/>
      </w:tblPr>
      <w:tblGrid>
        <w:gridCol w:w="1190"/>
        <w:gridCol w:w="2429"/>
        <w:gridCol w:w="6018"/>
      </w:tblGrid>
      <w:tr w:rsidR="009F7ACD" w:rsidRPr="009F7ACD" w14:paraId="3F21EE2E" w14:textId="77777777" w:rsidTr="009F7ACD">
        <w:trPr>
          <w:trHeight w:hRule="exact" w:val="5559"/>
        </w:trPr>
        <w:tc>
          <w:tcPr>
            <w:tcW w:w="1198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 w14:paraId="090A8B34" w14:textId="77777777" w:rsidR="009F7ACD" w:rsidRPr="009F7ACD" w:rsidRDefault="009F7ACD" w:rsidP="009F7ACD">
            <w:pPr>
              <w:pStyle w:val="TableParagraph"/>
              <w:spacing w:before="60" w:after="60" w:line="240" w:lineRule="atLeast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7.2.2.19.4</w:t>
            </w:r>
          </w:p>
        </w:tc>
        <w:tc>
          <w:tcPr>
            <w:tcW w:w="2446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 w14:paraId="748AF772" w14:textId="77777777" w:rsidR="009F7ACD" w:rsidRPr="009F7ACD" w:rsidRDefault="009F7ACD" w:rsidP="009F7ACD">
            <w:pPr>
              <w:pStyle w:val="TableParagraph"/>
              <w:spacing w:before="60" w:after="60" w:line="240" w:lineRule="atLeast"/>
              <w:ind w:left="57" w:right="57"/>
              <w:rPr>
                <w:rFonts w:ascii="Times New Roman" w:hAnsi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/>
                <w:sz w:val="18"/>
                <w:szCs w:val="18"/>
                <w:lang w:val="fr-CH"/>
              </w:rPr>
              <w:t>Bateaux de la formation pour lesquels est exigée la protection contre les explosions</w:t>
            </w:r>
          </w:p>
        </w:tc>
        <w:tc>
          <w:tcPr>
            <w:tcW w:w="6060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 w14:paraId="1243BB0A" w14:textId="77777777" w:rsidR="009F7ACD" w:rsidRPr="009F7ACD" w:rsidRDefault="009F7ACD" w:rsidP="009F7ACD">
            <w:pPr>
              <w:pStyle w:val="TableParagraph"/>
              <w:spacing w:before="60" w:after="60" w:line="24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N.R.T. à partir du 1</w:t>
            </w:r>
            <w:r w:rsidRPr="009F7A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CH"/>
              </w:rPr>
              <w:t>er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 </w:t>
            </w:r>
            <w:r w:rsidRPr="009F7AC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janvier 2019</w:t>
            </w:r>
          </w:p>
          <w:p w14:paraId="4B6B3464" w14:textId="77777777" w:rsidR="009F7ACD" w:rsidRPr="009F7ACD" w:rsidRDefault="009F7ACD" w:rsidP="009F7ACD">
            <w:pPr>
              <w:pStyle w:val="TableParagraph"/>
              <w:spacing w:before="60" w:after="60" w:line="24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Renouvellement du certificat d</w:t>
            </w:r>
            <w:r w:rsidR="002754C9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agrément 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br/>
            </w:r>
            <w:r w:rsidRPr="009F7AC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après le 31 décembre 2034</w:t>
            </w:r>
          </w:p>
          <w:p w14:paraId="6AC5BE49" w14:textId="77777777" w:rsidR="009F7ACD" w:rsidRPr="009F7ACD" w:rsidRDefault="009F7ACD" w:rsidP="009F7ACD">
            <w:pPr>
              <w:pStyle w:val="TableParagraph"/>
              <w:spacing w:before="60" w:after="60" w:line="240" w:lineRule="atLeast"/>
              <w:ind w:left="57" w:right="57"/>
              <w:jc w:val="both"/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</w:pP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Jusqu</w:t>
            </w:r>
            <w:r w:rsidR="002754C9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à cette échéance, les prescriptions suivantes sont applicables à bord des bateaux en service : Les bateaux utilisés pour la propulsion dans un convoi poussé ou une formation à couple doivent satisfaire aux prescriptions des sections, sous-sections et paragraphes ci-après: 1.16.1.1, 1.16.1.2, 1.16.1.3, 7.2.2.5, 8.1.4, 8.1.5, 8.1.6.1, 8.1.6.3, 8.1.7, 9.3.3.0.1, 9.3.3.0.3 d), 9.3.3.0.5, 9.3.3.10.1, 9.3.3.10.2, 9.3.3.12.4 a) à l</w:t>
            </w:r>
            <w:r w:rsidR="002754C9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exception de la timonerie, 9.3.3.12.4 b) à l</w:t>
            </w:r>
            <w:r w:rsidR="002754C9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exception du temps de réponse t90, 9.3.3.12.4 c), 9.3.3.12.6, 9.3.3.16, 9.3.3.17.1 à 9.3.3.17.4, 9.3.3.31.1 à 9.3.3.31.5, 9.3.3.32.2, 9.3.3.34.1, 9.3.3.34.2, 9.3.3.40.1 (toutefois, une seule pompe à incendie ou de ballastage suffit), 9.3.3.40.2, 9.3.3.41, 9.3.3.50.1 c), 9.3.3.50.2, 9.3.3.51, 9.3.3.52.6, 9.3.3.52.7, 9.3.3.52.8, 9.3.3.56.5, 9.3.3.71 et 9.3.3.74, lorsqu</w:t>
            </w:r>
            <w:r w:rsidR="002754C9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au moins un bateau dudit convoi ou de ladite formation à couple transporte des marchandises dangereuses. Les bateaux utilisés seulement pour la propulsion de bateaux-citernes de type N ouvert n</w:t>
            </w:r>
            <w:r w:rsidR="002754C9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ont pas à satisfaire aux prescriptions des paragraphes 9.3.3.10.1, 9.3.3.10.2 et 9.3.3.12.6. Ces dérogations doivent être inscrites dans le certificat d</w:t>
            </w:r>
            <w:r w:rsidR="002754C9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agrément ou le certificat d</w:t>
            </w:r>
            <w:r w:rsidR="002754C9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’</w:t>
            </w:r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 xml:space="preserve">agrément provisoire comme </w:t>
            </w:r>
            <w:proofErr w:type="gramStart"/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>suit:</w:t>
            </w:r>
            <w:proofErr w:type="gramEnd"/>
            <w:r w:rsidRPr="009F7ACD">
              <w:rPr>
                <w:rFonts w:ascii="Times New Roman" w:hAnsi="Times New Roman" w:cs="Times New Roman"/>
                <w:strike/>
                <w:sz w:val="18"/>
                <w:szCs w:val="18"/>
                <w:lang w:val="fr-CH"/>
              </w:rPr>
              <w:t xml:space="preserve"> «Dérogations admises»: «Dérogation aux 9.3.3.10.1, 9.3.3.10.2 et 9.3.3.12.6; le bateau peut uniquement déplacer des bateaux-citernes de type N ouvert».</w:t>
            </w:r>
          </w:p>
        </w:tc>
      </w:tr>
    </w:tbl>
    <w:p w14:paraId="13BB37B3" w14:textId="77777777" w:rsidR="00F9573C" w:rsidRPr="009F7ACD" w:rsidRDefault="009F7ACD" w:rsidP="009F7A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F7ACD" w:rsidSect="00AD290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8945" w14:textId="77777777" w:rsidR="005A1DBF" w:rsidRDefault="005A1DBF" w:rsidP="00F95C08">
      <w:pPr>
        <w:spacing w:line="240" w:lineRule="auto"/>
      </w:pPr>
    </w:p>
  </w:endnote>
  <w:endnote w:type="continuationSeparator" w:id="0">
    <w:p w14:paraId="4D36C9A6" w14:textId="77777777" w:rsidR="005A1DBF" w:rsidRPr="00AC3823" w:rsidRDefault="005A1DBF" w:rsidP="00AC3823">
      <w:pPr>
        <w:pStyle w:val="Footer"/>
      </w:pPr>
    </w:p>
  </w:endnote>
  <w:endnote w:type="continuationNotice" w:id="1">
    <w:p w14:paraId="1B613964" w14:textId="77777777" w:rsidR="005A1DBF" w:rsidRDefault="005A1D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2630" w14:textId="77777777" w:rsidR="00AD2909" w:rsidRPr="00AD2909" w:rsidRDefault="00AD2909" w:rsidP="00AD2909">
    <w:pPr>
      <w:pStyle w:val="Footer"/>
      <w:tabs>
        <w:tab w:val="right" w:pos="9638"/>
      </w:tabs>
    </w:pPr>
    <w:r w:rsidRPr="00AD2909">
      <w:rPr>
        <w:b/>
        <w:sz w:val="18"/>
      </w:rPr>
      <w:fldChar w:fldCharType="begin"/>
    </w:r>
    <w:r w:rsidRPr="00AD2909">
      <w:rPr>
        <w:b/>
        <w:sz w:val="18"/>
      </w:rPr>
      <w:instrText xml:space="preserve"> PAGE  \* MERGEFORMAT </w:instrText>
    </w:r>
    <w:r w:rsidRPr="00AD2909">
      <w:rPr>
        <w:b/>
        <w:sz w:val="18"/>
      </w:rPr>
      <w:fldChar w:fldCharType="separate"/>
    </w:r>
    <w:r w:rsidRPr="00AD2909">
      <w:rPr>
        <w:b/>
        <w:noProof/>
        <w:sz w:val="18"/>
      </w:rPr>
      <w:t>2</w:t>
    </w:r>
    <w:r w:rsidRPr="00AD2909">
      <w:rPr>
        <w:b/>
        <w:sz w:val="18"/>
      </w:rPr>
      <w:fldChar w:fldCharType="end"/>
    </w:r>
    <w:r>
      <w:rPr>
        <w:b/>
        <w:sz w:val="18"/>
      </w:rPr>
      <w:tab/>
    </w:r>
    <w:r>
      <w:t>GE.19-19531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CAE0" w14:textId="77777777" w:rsidR="00AD2909" w:rsidRPr="00AD2909" w:rsidRDefault="00AD2909" w:rsidP="00AD2909">
    <w:pPr>
      <w:pStyle w:val="Footer"/>
      <w:tabs>
        <w:tab w:val="right" w:pos="9638"/>
      </w:tabs>
      <w:rPr>
        <w:b/>
        <w:sz w:val="18"/>
      </w:rPr>
    </w:pPr>
    <w:r>
      <w:t>GE.19-19531</w:t>
    </w:r>
    <w:r>
      <w:tab/>
    </w:r>
    <w:r w:rsidRPr="00AD2909">
      <w:rPr>
        <w:b/>
        <w:sz w:val="18"/>
      </w:rPr>
      <w:fldChar w:fldCharType="begin"/>
    </w:r>
    <w:r w:rsidRPr="00AD2909">
      <w:rPr>
        <w:b/>
        <w:sz w:val="18"/>
      </w:rPr>
      <w:instrText xml:space="preserve"> PAGE  \* MERGEFORMAT </w:instrText>
    </w:r>
    <w:r w:rsidRPr="00AD2909">
      <w:rPr>
        <w:b/>
        <w:sz w:val="18"/>
      </w:rPr>
      <w:fldChar w:fldCharType="separate"/>
    </w:r>
    <w:r w:rsidRPr="00AD2909">
      <w:rPr>
        <w:b/>
        <w:noProof/>
        <w:sz w:val="18"/>
      </w:rPr>
      <w:t>3</w:t>
    </w:r>
    <w:r w:rsidRPr="00AD29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ED02" w14:textId="77777777" w:rsidR="007F20FA" w:rsidRPr="00AD2909" w:rsidRDefault="00AD2909" w:rsidP="00AD290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7C1FB1" wp14:editId="38D8B3C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19531  (</w:t>
    </w:r>
    <w:proofErr w:type="gramEnd"/>
    <w:r>
      <w:rPr>
        <w:sz w:val="20"/>
      </w:rPr>
      <w:t xml:space="preserve">F)    </w:t>
    </w:r>
    <w:r w:rsidRPr="002754C9">
      <w:rPr>
        <w:sz w:val="20"/>
      </w:rPr>
      <w:t>201119    061219</w:t>
    </w:r>
    <w:r>
      <w:rPr>
        <w:sz w:val="20"/>
      </w:rPr>
      <w:br/>
    </w:r>
    <w:r w:rsidRPr="00AD2909">
      <w:rPr>
        <w:rFonts w:ascii="C39T30Lfz" w:hAnsi="C39T30Lfz"/>
        <w:sz w:val="56"/>
      </w:rPr>
      <w:t></w:t>
    </w:r>
    <w:r w:rsidRPr="00AD2909">
      <w:rPr>
        <w:rFonts w:ascii="C39T30Lfz" w:hAnsi="C39T30Lfz"/>
        <w:sz w:val="56"/>
      </w:rPr>
      <w:t></w:t>
    </w:r>
    <w:r w:rsidRPr="00AD2909">
      <w:rPr>
        <w:rFonts w:ascii="C39T30Lfz" w:hAnsi="C39T30Lfz"/>
        <w:sz w:val="56"/>
      </w:rPr>
      <w:t></w:t>
    </w:r>
    <w:r w:rsidRPr="00AD2909">
      <w:rPr>
        <w:rFonts w:ascii="C39T30Lfz" w:hAnsi="C39T30Lfz"/>
        <w:sz w:val="56"/>
      </w:rPr>
      <w:t></w:t>
    </w:r>
    <w:r w:rsidRPr="00AD2909">
      <w:rPr>
        <w:rFonts w:ascii="C39T30Lfz" w:hAnsi="C39T30Lfz"/>
        <w:sz w:val="56"/>
      </w:rPr>
      <w:t></w:t>
    </w:r>
    <w:r w:rsidRPr="00AD2909">
      <w:rPr>
        <w:rFonts w:ascii="C39T30Lfz" w:hAnsi="C39T30Lfz"/>
        <w:sz w:val="56"/>
      </w:rPr>
      <w:t></w:t>
    </w:r>
    <w:r w:rsidRPr="00AD2909">
      <w:rPr>
        <w:rFonts w:ascii="C39T30Lfz" w:hAnsi="C39T30Lfz"/>
        <w:sz w:val="56"/>
      </w:rPr>
      <w:t></w:t>
    </w:r>
    <w:r w:rsidRPr="00AD2909">
      <w:rPr>
        <w:rFonts w:ascii="C39T30Lfz" w:hAnsi="C39T30Lfz"/>
        <w:sz w:val="56"/>
      </w:rPr>
      <w:t></w:t>
    </w:r>
    <w:r w:rsidRPr="00AD290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C75910A" wp14:editId="754A0BD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20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464F" w14:textId="77777777" w:rsidR="005A1DBF" w:rsidRPr="00AC3823" w:rsidRDefault="005A1D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792060" w14:textId="77777777" w:rsidR="005A1DBF" w:rsidRPr="00AC3823" w:rsidRDefault="005A1D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ACE3D1" w14:textId="77777777" w:rsidR="005A1DBF" w:rsidRPr="00AC3823" w:rsidRDefault="005A1DBF">
      <w:pPr>
        <w:spacing w:line="240" w:lineRule="auto"/>
        <w:rPr>
          <w:sz w:val="2"/>
          <w:szCs w:val="2"/>
        </w:rPr>
      </w:pPr>
    </w:p>
  </w:footnote>
  <w:footnote w:id="2">
    <w:p w14:paraId="34B61865" w14:textId="77777777" w:rsidR="009F7ACD" w:rsidRPr="004D45CD" w:rsidRDefault="009F7ACD" w:rsidP="009F7ACD">
      <w:pPr>
        <w:pStyle w:val="FootnoteText"/>
      </w:pPr>
      <w:r>
        <w:rPr>
          <w:rStyle w:val="FootnoteReference"/>
        </w:rPr>
        <w:tab/>
      </w:r>
      <w:r w:rsidRPr="00424130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9A36CB">
        <w:t xml:space="preserve">Diffusée en allemand par la Commission centrale pour la navigation du Rhin sous la cote </w:t>
      </w:r>
      <w:r w:rsidRPr="00632167">
        <w:t>CCNR/ZKR/ADN/WP.15/AC.2/20</w:t>
      </w:r>
      <w:r>
        <w:t>20</w:t>
      </w:r>
      <w:r w:rsidRPr="00632167">
        <w:t>/</w:t>
      </w:r>
      <w:r>
        <w:t>17</w:t>
      </w:r>
      <w:r w:rsidRPr="00632167">
        <w:t>.</w:t>
      </w:r>
    </w:p>
  </w:footnote>
  <w:footnote w:id="3">
    <w:p w14:paraId="48D29EF3" w14:textId="77777777" w:rsidR="009F7ACD" w:rsidRPr="004D45CD" w:rsidRDefault="009F7ACD" w:rsidP="009F7ACD">
      <w:pPr>
        <w:pStyle w:val="FootnoteText"/>
      </w:pPr>
      <w:r>
        <w:rPr>
          <w:rStyle w:val="FootnoteReference"/>
        </w:rPr>
        <w:tab/>
      </w:r>
      <w:r w:rsidRPr="00424130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 w:rsidRPr="009A36CB">
        <w:t xml:space="preserve">Conformément au programme de travail du Comité des transports intérieurs pour </w:t>
      </w:r>
      <w:r w:rsidRPr="009F7ACD">
        <w:t>la période 2018</w:t>
      </w:r>
      <w:r w:rsidRPr="009A36CB">
        <w:t xml:space="preserve">-2019 (ECE/TRANS/2018/21/Add.1 </w:t>
      </w:r>
      <w:r>
        <w:t>du module</w:t>
      </w:r>
      <w:r w:rsidR="002754C9">
        <w:t> </w:t>
      </w:r>
      <w:r w:rsidRPr="009A36CB">
        <w:t>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29DD" w14:textId="73522A72" w:rsidR="00AD2909" w:rsidRPr="00AD2909" w:rsidRDefault="00094E6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AD65" w14:textId="775BD2A4" w:rsidR="00AD2909" w:rsidRPr="00AD2909" w:rsidRDefault="00094E65" w:rsidP="00AD29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F"/>
    <w:rsid w:val="00017F94"/>
    <w:rsid w:val="00023842"/>
    <w:rsid w:val="000334F9"/>
    <w:rsid w:val="00045FEB"/>
    <w:rsid w:val="0007796D"/>
    <w:rsid w:val="00094E65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54C9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C679C"/>
    <w:rsid w:val="004E2EED"/>
    <w:rsid w:val="004E468C"/>
    <w:rsid w:val="005505B7"/>
    <w:rsid w:val="00573BE5"/>
    <w:rsid w:val="00586ED3"/>
    <w:rsid w:val="00596AA9"/>
    <w:rsid w:val="005A1DBF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E640D"/>
    <w:rsid w:val="009F6B74"/>
    <w:rsid w:val="009F7ACD"/>
    <w:rsid w:val="00A3029F"/>
    <w:rsid w:val="00A30353"/>
    <w:rsid w:val="00A5309F"/>
    <w:rsid w:val="00AC3823"/>
    <w:rsid w:val="00AD2909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50981"/>
    <w:rsid w:val="00DB1831"/>
    <w:rsid w:val="00DD3BFD"/>
    <w:rsid w:val="00DF6678"/>
    <w:rsid w:val="00E0299A"/>
    <w:rsid w:val="00E12CE5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2C7DC"/>
  <w15:docId w15:val="{672ADBA7-0549-476A-B6F2-BFA4F59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9F7AC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F7AC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F7AC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7ACD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6BCE-7369-428C-B483-02EF9C0A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ECE/TRANS/WP.15/AC.2/2020/17</vt:lpstr>
      <vt:lpstr>ECE/TRANS/WP.15/AC.2/2020/17</vt:lpstr>
    </vt:vector>
  </TitlesOfParts>
  <Company>DCM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ECE/TRANS/WP.15/AC.2/2020/17</dc:title>
  <dc:subject/>
  <dc:creator>Edith BOURION</dc:creator>
  <cp:keywords/>
  <cp:lastModifiedBy>Marie-Claude Collet</cp:lastModifiedBy>
  <cp:revision>3</cp:revision>
  <cp:lastPrinted>2019-12-09T07:27:00Z</cp:lastPrinted>
  <dcterms:created xsi:type="dcterms:W3CDTF">2019-12-09T07:27:00Z</dcterms:created>
  <dcterms:modified xsi:type="dcterms:W3CDTF">2019-12-09T07:27:00Z</dcterms:modified>
</cp:coreProperties>
</file>