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14C077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71627EA" w14:textId="77777777" w:rsidR="002D5AAC" w:rsidRDefault="002D5AAC" w:rsidP="005B248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8061F4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DEB2735" w14:textId="77777777" w:rsidR="002D5AAC" w:rsidRDefault="005B2481" w:rsidP="005B2481">
            <w:pPr>
              <w:jc w:val="right"/>
            </w:pPr>
            <w:r w:rsidRPr="005B2481">
              <w:rPr>
                <w:sz w:val="40"/>
              </w:rPr>
              <w:t>ECE</w:t>
            </w:r>
            <w:r>
              <w:t>/TRANS/WP.15/AC.2/2020/7</w:t>
            </w:r>
          </w:p>
        </w:tc>
      </w:tr>
      <w:tr w:rsidR="002D5AAC" w:rsidRPr="004F10D1" w14:paraId="43CC7E9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C7AA7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8BB1493" wp14:editId="3C11433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2E3544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625C2DF" w14:textId="77777777" w:rsidR="002D5AAC" w:rsidRDefault="005B248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1B1C7FE" w14:textId="77777777" w:rsidR="005B2481" w:rsidRDefault="005B2481" w:rsidP="005B248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November 2019</w:t>
            </w:r>
          </w:p>
          <w:p w14:paraId="0C523318" w14:textId="77777777" w:rsidR="005B2481" w:rsidRDefault="005B2481" w:rsidP="005B248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87ECEB3" w14:textId="77777777" w:rsidR="005B2481" w:rsidRPr="008D53B6" w:rsidRDefault="005B2481" w:rsidP="005B248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172177B2" w14:textId="77777777" w:rsidR="005B2481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9F99F68" w14:textId="77777777" w:rsidR="005B2481" w:rsidRPr="002C55EB" w:rsidRDefault="005B2481" w:rsidP="005B2481">
      <w:pPr>
        <w:spacing w:before="120"/>
        <w:rPr>
          <w:sz w:val="28"/>
          <w:szCs w:val="28"/>
        </w:rPr>
      </w:pPr>
      <w:r w:rsidRPr="002C55EB">
        <w:rPr>
          <w:sz w:val="28"/>
          <w:szCs w:val="28"/>
        </w:rPr>
        <w:t>Комитет по внутреннему транспорту</w:t>
      </w:r>
    </w:p>
    <w:p w14:paraId="78655E60" w14:textId="77777777" w:rsidR="005B2481" w:rsidRPr="002C55EB" w:rsidRDefault="005B2481" w:rsidP="005B2481">
      <w:pPr>
        <w:spacing w:before="120"/>
        <w:rPr>
          <w:b/>
          <w:sz w:val="24"/>
          <w:szCs w:val="24"/>
        </w:rPr>
      </w:pPr>
      <w:r w:rsidRPr="002C55EB">
        <w:rPr>
          <w:b/>
          <w:bCs/>
          <w:sz w:val="24"/>
          <w:szCs w:val="24"/>
        </w:rPr>
        <w:t>Рабочая группа по перевозкам опасных грузов</w:t>
      </w:r>
    </w:p>
    <w:p w14:paraId="63E283FB" w14:textId="77777777" w:rsidR="005B2481" w:rsidRPr="00AD549B" w:rsidRDefault="005B2481" w:rsidP="005B2481">
      <w:pPr>
        <w:spacing w:before="120"/>
        <w:rPr>
          <w:b/>
        </w:rPr>
      </w:pPr>
      <w:r w:rsidRPr="00AD549B">
        <w:rPr>
          <w:b/>
          <w:bCs/>
        </w:rPr>
        <w:t>Совместное совещание экспертов по Правилам,</w:t>
      </w:r>
      <w:r w:rsidR="002C55EB">
        <w:rPr>
          <w:b/>
          <w:bCs/>
        </w:rPr>
        <w:br/>
      </w:r>
      <w:r w:rsidRPr="00AD549B">
        <w:rPr>
          <w:b/>
          <w:bCs/>
        </w:rPr>
        <w:t>прилагаемым к Европейскому соглашению о международной</w:t>
      </w:r>
      <w:r w:rsidR="002C55EB">
        <w:rPr>
          <w:b/>
          <w:bCs/>
        </w:rPr>
        <w:br/>
      </w:r>
      <w:r w:rsidRPr="00AD549B">
        <w:rPr>
          <w:b/>
          <w:bCs/>
        </w:rPr>
        <w:t>перевозке опасных грузов</w:t>
      </w:r>
      <w:r>
        <w:rPr>
          <w:b/>
          <w:bCs/>
        </w:rPr>
        <w:t xml:space="preserve"> </w:t>
      </w:r>
      <w:r w:rsidRPr="00AD549B">
        <w:rPr>
          <w:b/>
          <w:bCs/>
        </w:rPr>
        <w:t>по внутренним водным путям (ВОПОГ)</w:t>
      </w:r>
      <w:r w:rsidR="002C55EB">
        <w:rPr>
          <w:b/>
          <w:bCs/>
        </w:rPr>
        <w:br/>
      </w:r>
      <w:r w:rsidRPr="00AD549B">
        <w:rPr>
          <w:b/>
          <w:bCs/>
        </w:rPr>
        <w:t>(Комитет по вопросам безопасности ВОПОГ)</w:t>
      </w:r>
    </w:p>
    <w:p w14:paraId="03EE1ECF" w14:textId="77777777" w:rsidR="005B2481" w:rsidRPr="00AD549B" w:rsidRDefault="005B2481" w:rsidP="005B2481">
      <w:pPr>
        <w:spacing w:before="120"/>
        <w:rPr>
          <w:b/>
        </w:rPr>
      </w:pPr>
      <w:r w:rsidRPr="00AD549B">
        <w:rPr>
          <w:b/>
          <w:bCs/>
        </w:rPr>
        <w:t>Тридцать шестая сессия</w:t>
      </w:r>
    </w:p>
    <w:p w14:paraId="6120B0E1" w14:textId="77777777" w:rsidR="005B2481" w:rsidRPr="00AD549B" w:rsidRDefault="005B2481" w:rsidP="005B2481">
      <w:r w:rsidRPr="00AD549B">
        <w:t>Женева, 27–31 января 2020 года</w:t>
      </w:r>
    </w:p>
    <w:p w14:paraId="3E2EA518" w14:textId="77777777" w:rsidR="005B2481" w:rsidRPr="00AD549B" w:rsidRDefault="005B2481" w:rsidP="005B2481">
      <w:r w:rsidRPr="00AD549B">
        <w:t>Пункт 5 b) предварительной повестки дня</w:t>
      </w:r>
    </w:p>
    <w:p w14:paraId="1E805F24" w14:textId="77777777" w:rsidR="005B2481" w:rsidRPr="00AD549B" w:rsidRDefault="005B2481" w:rsidP="005B2481">
      <w:pPr>
        <w:rPr>
          <w:b/>
          <w:bCs/>
        </w:rPr>
      </w:pPr>
      <w:r w:rsidRPr="00AD549B">
        <w:rPr>
          <w:b/>
          <w:bCs/>
        </w:rPr>
        <w:t>Предложения о внесении поправок в Правила, прилагаемые к ВОПОГ:</w:t>
      </w:r>
      <w:r w:rsidR="002C55EB">
        <w:rPr>
          <w:b/>
          <w:bCs/>
        </w:rPr>
        <w:br/>
      </w:r>
      <w:r w:rsidRPr="00AD549B">
        <w:rPr>
          <w:b/>
          <w:bCs/>
        </w:rPr>
        <w:t>другие предложения</w:t>
      </w:r>
    </w:p>
    <w:p w14:paraId="3DCE9E40" w14:textId="77777777" w:rsidR="005B2481" w:rsidRPr="00AD549B" w:rsidRDefault="005B2481" w:rsidP="004A35F2">
      <w:pPr>
        <w:pStyle w:val="HChG"/>
        <w:spacing w:before="300" w:line="280" w:lineRule="exact"/>
      </w:pPr>
      <w:r w:rsidRPr="00AD549B">
        <w:tab/>
      </w:r>
      <w:r w:rsidRPr="00AD549B">
        <w:tab/>
      </w:r>
      <w:r w:rsidR="00D33368">
        <w:t xml:space="preserve">№ </w:t>
      </w:r>
      <w:r w:rsidRPr="00AD549B">
        <w:rPr>
          <w:bCs/>
        </w:rPr>
        <w:t>ООН 3082 – трюмные воды</w:t>
      </w:r>
    </w:p>
    <w:p w14:paraId="3A99E39A" w14:textId="77777777" w:rsidR="005B2481" w:rsidRDefault="005B2481" w:rsidP="004A35F2">
      <w:pPr>
        <w:pStyle w:val="H1G"/>
        <w:spacing w:before="300" w:line="260" w:lineRule="exact"/>
      </w:pPr>
      <w:r w:rsidRPr="00AD549B">
        <w:tab/>
      </w:r>
      <w:r w:rsidRPr="00AD549B">
        <w:tab/>
        <w:t>Передано правительством Германии</w:t>
      </w:r>
      <w:r w:rsidRPr="002C55EB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="002C55EB" w:rsidRPr="002C55EB">
        <w:rPr>
          <w:b w:val="0"/>
          <w:bCs/>
          <w:sz w:val="20"/>
        </w:rPr>
        <w:t xml:space="preserve"> </w:t>
      </w:r>
      <w:r w:rsidRPr="002C55EB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653"/>
      </w:tblGrid>
      <w:tr w:rsidR="002C55EB" w14:paraId="49827CAC" w14:textId="77777777" w:rsidTr="00637466">
        <w:trPr>
          <w:trHeight w:hRule="exact" w:val="240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BD696E" w14:textId="77777777" w:rsidR="002C55EB" w:rsidRDefault="002C55EB" w:rsidP="00637466"/>
        </w:tc>
      </w:tr>
      <w:tr w:rsidR="002C55EB" w14:paraId="46C3A819" w14:textId="77777777" w:rsidTr="00637466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F5B8EA" w14:textId="77777777" w:rsidR="002C55EB" w:rsidRDefault="002C55EB" w:rsidP="002C55EB">
            <w:pPr>
              <w:tabs>
                <w:tab w:val="left" w:pos="3109"/>
              </w:tabs>
              <w:spacing w:after="120"/>
              <w:ind w:left="3114" w:hanging="3114"/>
            </w:pPr>
            <w:r w:rsidRPr="002C55EB">
              <w:rPr>
                <w:b/>
              </w:rPr>
              <w:t>Сопроводительный документ:</w:t>
            </w:r>
            <w:r w:rsidRPr="00AD549B">
              <w:tab/>
            </w:r>
            <w:r w:rsidRPr="002C55EB">
              <w:t>неофициальный документ INF.7</w:t>
            </w:r>
            <w:r>
              <w:br/>
            </w:r>
            <w:r w:rsidRPr="002C55EB">
              <w:t>тридцать пятой сессии</w:t>
            </w:r>
            <w:r>
              <w:br/>
            </w:r>
            <w:r w:rsidRPr="00AD549B">
              <w:t>(Доклад о работе одиннадцатого совещания неофициальной рабочей группы по веществам.)</w:t>
            </w:r>
            <w:r>
              <w:br/>
            </w:r>
            <w:r w:rsidRPr="00AD549B">
              <w:t xml:space="preserve">Пункт G </w:t>
            </w:r>
            <w:r>
              <w:t>«</w:t>
            </w:r>
            <w:r w:rsidRPr="00AD549B">
              <w:t>Нефтяные шламы и трюмные воды как вещества, опасные для окружающей среды</w:t>
            </w:r>
            <w:r>
              <w:t>,</w:t>
            </w:r>
            <w:r w:rsidRPr="00AD549B">
              <w:t xml:space="preserve"> </w:t>
            </w:r>
            <w:r>
              <w:t>в соответствии с</w:t>
            </w:r>
            <w:r w:rsidRPr="00AD549B">
              <w:t xml:space="preserve"> № ООН 3082</w:t>
            </w:r>
            <w:r>
              <w:t>»</w:t>
            </w:r>
          </w:p>
        </w:tc>
      </w:tr>
      <w:tr w:rsidR="002C55EB" w14:paraId="41181349" w14:textId="77777777" w:rsidTr="00637466">
        <w:trPr>
          <w:trHeight w:hRule="exact" w:val="23"/>
          <w:jc w:val="center"/>
        </w:trPr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49EAC" w14:textId="77777777" w:rsidR="002C55EB" w:rsidRDefault="002C55EB" w:rsidP="00637466"/>
        </w:tc>
      </w:tr>
    </w:tbl>
    <w:p w14:paraId="53A8B973" w14:textId="77777777" w:rsidR="005B2481" w:rsidRPr="00AD549B" w:rsidRDefault="005B2481" w:rsidP="004A35F2">
      <w:pPr>
        <w:pStyle w:val="HChG"/>
        <w:spacing w:before="300" w:line="280" w:lineRule="exact"/>
      </w:pPr>
      <w:r w:rsidRPr="00AD549B">
        <w:tab/>
      </w:r>
      <w:r w:rsidRPr="00AD549B">
        <w:tab/>
      </w:r>
      <w:r w:rsidRPr="00AD549B">
        <w:rPr>
          <w:bCs/>
        </w:rPr>
        <w:t>Введение</w:t>
      </w:r>
    </w:p>
    <w:p w14:paraId="0ADF5A21" w14:textId="77777777" w:rsidR="005B2481" w:rsidRDefault="005B2481" w:rsidP="004A35F2">
      <w:pPr>
        <w:pStyle w:val="SingleTxtG"/>
        <w:spacing w:line="230" w:lineRule="atLeast"/>
      </w:pPr>
      <w:r w:rsidRPr="00AD549B">
        <w:t>1.</w:t>
      </w:r>
      <w:r w:rsidRPr="00AD549B">
        <w:tab/>
        <w:t>После рассмотрения доклада о работе одиннадцатой сессии неофициальной рабочей группы по веществам Комитет по вопросам безопасности поддержал предложение о включении в таблицу С новой позиции</w:t>
      </w:r>
      <w:r>
        <w:t>:</w:t>
      </w:r>
      <w:r w:rsidRPr="00AD549B">
        <w:t xml:space="preserve"> № ООН 3082 (ТРЮМНЫЕ ВОДЫ, СОДЕРЖАЩИЕ НЕФТЯНЫЕ ШЛАМЫ). Однако делегация Германии просила, чтобы перед тем, как добавить эту позицию, был рассмотрен поднятый рабочей группой в пункте 29 вопрос </w:t>
      </w:r>
      <w:r w:rsidR="00D33368">
        <w:t xml:space="preserve">о </w:t>
      </w:r>
      <w:r w:rsidRPr="00AD549B">
        <w:t>возврате газов, что предусмотрено в пункте</w:t>
      </w:r>
      <w:r w:rsidR="002C55EB">
        <w:t> </w:t>
      </w:r>
      <w:r w:rsidRPr="00AD549B">
        <w:t xml:space="preserve">7.2.4.25.5 ВОПОГ. </w:t>
      </w:r>
      <w:r>
        <w:t>В силу этого</w:t>
      </w:r>
      <w:r w:rsidRPr="00AD549B">
        <w:t>, Комитет по вопросам безопасности решени</w:t>
      </w:r>
      <w:r>
        <w:t>е</w:t>
      </w:r>
      <w:r w:rsidRPr="00AD549B">
        <w:t xml:space="preserve"> по </w:t>
      </w:r>
      <w:r>
        <w:t>данном</w:t>
      </w:r>
      <w:r w:rsidRPr="00AD549B">
        <w:t>у пункту не принял.</w:t>
      </w:r>
    </w:p>
    <w:p w14:paraId="3591664D" w14:textId="77777777" w:rsidR="005B2481" w:rsidRPr="00AD549B" w:rsidRDefault="004A35F2" w:rsidP="005B2481">
      <w:pPr>
        <w:pStyle w:val="HChG"/>
        <w:rPr>
          <w:iCs/>
          <w:szCs w:val="18"/>
        </w:rPr>
      </w:pPr>
      <w:r>
        <w:lastRenderedPageBreak/>
        <w:tab/>
      </w:r>
      <w:r w:rsidR="005B2481" w:rsidRPr="00AD549B">
        <w:t>I.</w:t>
      </w:r>
      <w:r w:rsidR="005B2481" w:rsidRPr="00AD549B">
        <w:tab/>
      </w:r>
      <w:r w:rsidR="005B2481" w:rsidRPr="00AD549B">
        <w:rPr>
          <w:bCs/>
        </w:rPr>
        <w:t>Предложение</w:t>
      </w:r>
    </w:p>
    <w:p w14:paraId="260E684C" w14:textId="77777777" w:rsidR="005B2481" w:rsidRPr="00AD549B" w:rsidRDefault="005B2481" w:rsidP="005B2481">
      <w:pPr>
        <w:pStyle w:val="SingleTxtG"/>
      </w:pPr>
      <w:r w:rsidRPr="00AD549B">
        <w:t>2.</w:t>
      </w:r>
      <w:r w:rsidRPr="00AD549B">
        <w:tab/>
        <w:t>Германия поддерживает это предложение неофициальной рабочей группы и представляет следующую просьбу:</w:t>
      </w:r>
    </w:p>
    <w:p w14:paraId="11C3FAA9" w14:textId="77777777" w:rsidR="005B2481" w:rsidRPr="00AD549B" w:rsidRDefault="005B2481" w:rsidP="005B2481">
      <w:pPr>
        <w:pStyle w:val="SingleTxtG"/>
      </w:pPr>
      <w:r w:rsidRPr="00AD549B">
        <w:tab/>
      </w:r>
      <w:r w:rsidRPr="00AD549B">
        <w:tab/>
        <w:t>a)</w:t>
      </w:r>
      <w:r w:rsidRPr="00AD549B">
        <w:tab/>
        <w:t>В подразделе 3.2.3.2, таблица С, ВОПОГ в позиции для № ООН 3082 Вещество, опасное для окружающей среды, жидкое, н.у.к. (трюмные воды), в колонке</w:t>
      </w:r>
      <w:r w:rsidR="00D33368">
        <w:t> </w:t>
      </w:r>
      <w:r w:rsidRPr="00AD549B">
        <w:t xml:space="preserve">2 заменить обозначение и описание следующим образом: </w:t>
      </w:r>
      <w:r w:rsidR="004A35F2">
        <w:t>«</w:t>
      </w:r>
      <w:r w:rsidRPr="00AD549B">
        <w:t>ВЕЩЕСТВО, ОПАСНОЕ ДЛЯ ОКРУЖАЮЩЕЙ СРЕДЫ, ЖИДКОЕ, Н.У.К. (ТРЮМНЫЕ ВОДЫ, КРОМЕ НЕФТЯНЫХ ШЛАМОВ)</w:t>
      </w:r>
      <w:r w:rsidR="004A35F2">
        <w:t>»</w:t>
      </w:r>
      <w:r w:rsidRPr="00AD549B">
        <w:t>.</w:t>
      </w:r>
    </w:p>
    <w:p w14:paraId="2673F113" w14:textId="77777777" w:rsidR="005B2481" w:rsidRPr="00AD549B" w:rsidRDefault="005B2481" w:rsidP="005B2481">
      <w:pPr>
        <w:pStyle w:val="SingleTxtG"/>
      </w:pPr>
      <w:r w:rsidRPr="00AD549B">
        <w:tab/>
      </w:r>
      <w:r w:rsidRPr="00AD549B">
        <w:tab/>
        <w:t>b)</w:t>
      </w:r>
      <w:r w:rsidRPr="00AD549B">
        <w:tab/>
        <w:t xml:space="preserve">В колонке 20 для этой позиции вставить замечание </w:t>
      </w:r>
      <w:r w:rsidR="004A35F2">
        <w:t>«</w:t>
      </w:r>
      <w:r w:rsidRPr="00AD549B">
        <w:t>45</w:t>
      </w:r>
      <w:r w:rsidR="004A35F2">
        <w:t>»</w:t>
      </w:r>
      <w:r w:rsidRPr="00AD549B">
        <w:t>;</w:t>
      </w:r>
    </w:p>
    <w:p w14:paraId="48F42AE9" w14:textId="77777777" w:rsidR="005B2481" w:rsidRPr="00AD549B" w:rsidRDefault="005B2481" w:rsidP="005B2481">
      <w:pPr>
        <w:pStyle w:val="SingleTxtG"/>
        <w:rPr>
          <w:bCs/>
          <w:szCs w:val="24"/>
        </w:rPr>
      </w:pPr>
      <w:r w:rsidRPr="00AD549B">
        <w:tab/>
      </w:r>
      <w:r w:rsidRPr="00AD549B">
        <w:tab/>
        <w:t>c)</w:t>
      </w:r>
      <w:r w:rsidRPr="00AD549B">
        <w:tab/>
        <w:t>В подразделе 3.2.3.2, таблица С, ВОПОГ вставить новую строку следующего содержания:</w:t>
      </w:r>
    </w:p>
    <w:tbl>
      <w:tblPr>
        <w:tblW w:w="9550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1572"/>
        <w:gridCol w:w="366"/>
        <w:gridCol w:w="374"/>
        <w:gridCol w:w="314"/>
        <w:gridCol w:w="851"/>
        <w:gridCol w:w="327"/>
        <w:gridCol w:w="304"/>
        <w:gridCol w:w="308"/>
        <w:gridCol w:w="308"/>
        <w:gridCol w:w="397"/>
        <w:gridCol w:w="419"/>
        <w:gridCol w:w="340"/>
        <w:gridCol w:w="305"/>
        <w:gridCol w:w="409"/>
        <w:gridCol w:w="421"/>
        <w:gridCol w:w="397"/>
        <w:gridCol w:w="388"/>
        <w:gridCol w:w="498"/>
        <w:gridCol w:w="380"/>
        <w:gridCol w:w="374"/>
      </w:tblGrid>
      <w:tr w:rsidR="005B2481" w:rsidRPr="004A35F2" w14:paraId="2C2088A1" w14:textId="77777777" w:rsidTr="00926908">
        <w:trPr>
          <w:trHeight w:val="2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F11A6" w14:textId="77777777" w:rsidR="005B2481" w:rsidRPr="004A35F2" w:rsidRDefault="005B2481" w:rsidP="00926908">
            <w:pPr>
              <w:spacing w:line="220" w:lineRule="exact"/>
              <w:ind w:firstLine="77"/>
              <w:rPr>
                <w:rFonts w:asciiTheme="majorBidi" w:hAnsiTheme="majorBidi" w:cstheme="majorBidi"/>
                <w:sz w:val="14"/>
                <w:szCs w:val="14"/>
              </w:rPr>
            </w:pPr>
            <w:r w:rsidRPr="004A35F2">
              <w:rPr>
                <w:sz w:val="14"/>
                <w:szCs w:val="14"/>
              </w:rPr>
              <w:t>(1)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4E172" w14:textId="77777777" w:rsidR="005B2481" w:rsidRPr="004A35F2" w:rsidRDefault="005B2481" w:rsidP="00926908">
            <w:pPr>
              <w:spacing w:line="220" w:lineRule="exact"/>
              <w:ind w:firstLine="170"/>
              <w:rPr>
                <w:rFonts w:asciiTheme="majorBidi" w:hAnsiTheme="majorBidi" w:cstheme="majorBidi"/>
                <w:sz w:val="14"/>
                <w:szCs w:val="14"/>
              </w:rPr>
            </w:pPr>
            <w:r w:rsidRPr="004A35F2">
              <w:rPr>
                <w:sz w:val="14"/>
                <w:szCs w:val="14"/>
              </w:rPr>
              <w:t>(2)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9D1F0" w14:textId="77777777" w:rsidR="005B2481" w:rsidRPr="004A35F2" w:rsidRDefault="005B2481" w:rsidP="00926908">
            <w:pPr>
              <w:spacing w:line="220" w:lineRule="exact"/>
              <w:rPr>
                <w:rFonts w:asciiTheme="majorBidi" w:hAnsiTheme="majorBidi" w:cstheme="majorBidi"/>
                <w:sz w:val="14"/>
                <w:szCs w:val="14"/>
              </w:rPr>
            </w:pPr>
            <w:r w:rsidRPr="004A35F2">
              <w:rPr>
                <w:sz w:val="14"/>
                <w:szCs w:val="14"/>
              </w:rPr>
              <w:t>(3a)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7EA62" w14:textId="77777777" w:rsidR="005B2481" w:rsidRPr="004A35F2" w:rsidRDefault="005B2481" w:rsidP="00926908">
            <w:pPr>
              <w:spacing w:line="220" w:lineRule="exact"/>
              <w:ind w:left="-80" w:firstLine="80"/>
              <w:rPr>
                <w:rFonts w:asciiTheme="majorBidi" w:hAnsiTheme="majorBidi" w:cstheme="majorBidi"/>
                <w:sz w:val="14"/>
                <w:szCs w:val="14"/>
              </w:rPr>
            </w:pPr>
            <w:r w:rsidRPr="004A35F2">
              <w:rPr>
                <w:sz w:val="14"/>
                <w:szCs w:val="14"/>
              </w:rPr>
              <w:t>(3b)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797BB" w14:textId="77777777" w:rsidR="005B2481" w:rsidRPr="004A35F2" w:rsidRDefault="005B2481" w:rsidP="00926908">
            <w:pPr>
              <w:spacing w:line="220" w:lineRule="exact"/>
              <w:rPr>
                <w:rFonts w:asciiTheme="majorBidi" w:hAnsiTheme="majorBidi" w:cstheme="majorBidi"/>
                <w:sz w:val="14"/>
                <w:szCs w:val="14"/>
              </w:rPr>
            </w:pPr>
            <w:r w:rsidRPr="004A35F2">
              <w:rPr>
                <w:sz w:val="14"/>
                <w:szCs w:val="14"/>
              </w:rPr>
              <w:t>(4)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4AA83" w14:textId="77777777" w:rsidR="005B2481" w:rsidRPr="004A35F2" w:rsidRDefault="005B2481" w:rsidP="00926908">
            <w:pPr>
              <w:spacing w:line="220" w:lineRule="exact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4A35F2">
              <w:rPr>
                <w:sz w:val="14"/>
                <w:szCs w:val="14"/>
              </w:rPr>
              <w:t>(5)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E4BAA" w14:textId="77777777" w:rsidR="005B2481" w:rsidRPr="004A35F2" w:rsidRDefault="005B2481" w:rsidP="00926908">
            <w:pPr>
              <w:spacing w:line="220" w:lineRule="exact"/>
              <w:ind w:left="-147" w:firstLine="170"/>
              <w:rPr>
                <w:rFonts w:asciiTheme="majorBidi" w:hAnsiTheme="majorBidi" w:cstheme="majorBidi"/>
                <w:sz w:val="14"/>
                <w:szCs w:val="14"/>
              </w:rPr>
            </w:pPr>
            <w:r w:rsidRPr="004A35F2">
              <w:rPr>
                <w:sz w:val="14"/>
                <w:szCs w:val="14"/>
              </w:rPr>
              <w:t>(6)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99E23" w14:textId="77777777" w:rsidR="005B2481" w:rsidRPr="004A35F2" w:rsidRDefault="005B2481" w:rsidP="00926908">
            <w:pPr>
              <w:spacing w:line="220" w:lineRule="exact"/>
              <w:rPr>
                <w:rFonts w:asciiTheme="majorBidi" w:hAnsiTheme="majorBidi" w:cstheme="majorBidi"/>
                <w:sz w:val="14"/>
                <w:szCs w:val="14"/>
              </w:rPr>
            </w:pPr>
            <w:r w:rsidRPr="004A35F2">
              <w:rPr>
                <w:sz w:val="14"/>
                <w:szCs w:val="14"/>
              </w:rPr>
              <w:t>(7)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47569" w14:textId="77777777" w:rsidR="005B2481" w:rsidRPr="004A35F2" w:rsidRDefault="005B2481" w:rsidP="00926908">
            <w:pPr>
              <w:spacing w:line="220" w:lineRule="exact"/>
              <w:ind w:left="-185" w:firstLine="170"/>
              <w:rPr>
                <w:rFonts w:asciiTheme="majorBidi" w:hAnsiTheme="majorBidi" w:cstheme="majorBidi"/>
                <w:sz w:val="14"/>
                <w:szCs w:val="14"/>
              </w:rPr>
            </w:pPr>
            <w:r w:rsidRPr="004A35F2">
              <w:rPr>
                <w:sz w:val="14"/>
                <w:szCs w:val="14"/>
              </w:rPr>
              <w:t>(8)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92F09" w14:textId="77777777" w:rsidR="005B2481" w:rsidRPr="004A35F2" w:rsidRDefault="005B2481" w:rsidP="00926908">
            <w:pPr>
              <w:spacing w:line="220" w:lineRule="exact"/>
              <w:ind w:left="-124" w:firstLine="73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4A35F2">
              <w:rPr>
                <w:sz w:val="14"/>
                <w:szCs w:val="14"/>
              </w:rPr>
              <w:t>(9)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E49B5" w14:textId="77777777" w:rsidR="005B2481" w:rsidRPr="004A35F2" w:rsidRDefault="005B2481" w:rsidP="00926908">
            <w:pPr>
              <w:spacing w:line="220" w:lineRule="exact"/>
              <w:ind w:firstLine="23"/>
              <w:rPr>
                <w:rFonts w:asciiTheme="majorBidi" w:hAnsiTheme="majorBidi" w:cstheme="majorBidi"/>
                <w:sz w:val="14"/>
                <w:szCs w:val="14"/>
              </w:rPr>
            </w:pPr>
            <w:r w:rsidRPr="004A35F2">
              <w:rPr>
                <w:sz w:val="14"/>
                <w:szCs w:val="14"/>
              </w:rPr>
              <w:t>(10)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E6BA2" w14:textId="77777777" w:rsidR="005B2481" w:rsidRPr="004A35F2" w:rsidRDefault="005B2481" w:rsidP="00926908">
            <w:pPr>
              <w:spacing w:line="220" w:lineRule="exact"/>
              <w:ind w:firstLine="45"/>
              <w:rPr>
                <w:rFonts w:asciiTheme="majorBidi" w:hAnsiTheme="majorBidi" w:cstheme="majorBidi"/>
                <w:sz w:val="14"/>
                <w:szCs w:val="14"/>
              </w:rPr>
            </w:pPr>
            <w:r w:rsidRPr="004A35F2">
              <w:rPr>
                <w:sz w:val="14"/>
                <w:szCs w:val="14"/>
              </w:rPr>
              <w:t>(11)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41F9C" w14:textId="77777777" w:rsidR="005B2481" w:rsidRPr="004A35F2" w:rsidRDefault="005B2481" w:rsidP="00926908">
            <w:pPr>
              <w:spacing w:line="220" w:lineRule="exact"/>
              <w:ind w:hanging="34"/>
              <w:rPr>
                <w:rFonts w:asciiTheme="majorBidi" w:hAnsiTheme="majorBidi" w:cstheme="majorBidi"/>
                <w:sz w:val="14"/>
                <w:szCs w:val="14"/>
              </w:rPr>
            </w:pPr>
            <w:r w:rsidRPr="004A35F2">
              <w:rPr>
                <w:sz w:val="14"/>
                <w:szCs w:val="14"/>
              </w:rPr>
              <w:t>(12)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D83E2" w14:textId="77777777" w:rsidR="005B2481" w:rsidRPr="004A35F2" w:rsidRDefault="005B2481" w:rsidP="001D40CB">
            <w:pPr>
              <w:spacing w:line="220" w:lineRule="exact"/>
              <w:ind w:hanging="69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4A35F2">
              <w:rPr>
                <w:sz w:val="14"/>
                <w:szCs w:val="14"/>
              </w:rPr>
              <w:t>(13)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93145" w14:textId="77777777" w:rsidR="005B2481" w:rsidRPr="004A35F2" w:rsidRDefault="005B2481" w:rsidP="00926908">
            <w:pPr>
              <w:spacing w:line="220" w:lineRule="exact"/>
              <w:ind w:right="35"/>
              <w:rPr>
                <w:rFonts w:asciiTheme="majorBidi" w:hAnsiTheme="majorBidi" w:cstheme="majorBidi"/>
                <w:sz w:val="14"/>
                <w:szCs w:val="14"/>
              </w:rPr>
            </w:pPr>
            <w:r w:rsidRPr="004A35F2">
              <w:rPr>
                <w:sz w:val="14"/>
                <w:szCs w:val="14"/>
              </w:rPr>
              <w:t>(14)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3F870" w14:textId="77777777" w:rsidR="005B2481" w:rsidRPr="004A35F2" w:rsidRDefault="005B2481" w:rsidP="00926908">
            <w:pPr>
              <w:spacing w:line="220" w:lineRule="exact"/>
              <w:ind w:firstLine="6"/>
              <w:rPr>
                <w:rFonts w:asciiTheme="majorBidi" w:hAnsiTheme="majorBidi" w:cstheme="majorBidi"/>
                <w:sz w:val="14"/>
                <w:szCs w:val="14"/>
              </w:rPr>
            </w:pPr>
            <w:r w:rsidRPr="004A35F2">
              <w:rPr>
                <w:sz w:val="14"/>
                <w:szCs w:val="14"/>
              </w:rPr>
              <w:t>(15)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EA864" w14:textId="77777777" w:rsidR="005B2481" w:rsidRPr="004A35F2" w:rsidRDefault="005B2481" w:rsidP="00926908">
            <w:pPr>
              <w:spacing w:line="220" w:lineRule="exact"/>
              <w:ind w:right="23"/>
              <w:rPr>
                <w:rFonts w:asciiTheme="majorBidi" w:hAnsiTheme="majorBidi" w:cstheme="majorBidi"/>
                <w:sz w:val="14"/>
                <w:szCs w:val="14"/>
              </w:rPr>
            </w:pPr>
            <w:r w:rsidRPr="004A35F2">
              <w:rPr>
                <w:sz w:val="14"/>
                <w:szCs w:val="14"/>
              </w:rPr>
              <w:t>(16)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EFE04" w14:textId="77777777" w:rsidR="005B2481" w:rsidRPr="004A35F2" w:rsidRDefault="005B2481" w:rsidP="00926908">
            <w:pPr>
              <w:spacing w:line="220" w:lineRule="exact"/>
              <w:rPr>
                <w:rFonts w:asciiTheme="majorBidi" w:hAnsiTheme="majorBidi" w:cstheme="majorBidi"/>
                <w:sz w:val="14"/>
                <w:szCs w:val="14"/>
              </w:rPr>
            </w:pPr>
            <w:r w:rsidRPr="004A35F2">
              <w:rPr>
                <w:sz w:val="14"/>
                <w:szCs w:val="14"/>
              </w:rPr>
              <w:t>(17)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39254" w14:textId="77777777" w:rsidR="005B2481" w:rsidRPr="004A35F2" w:rsidRDefault="005B2481" w:rsidP="00926908">
            <w:pPr>
              <w:spacing w:line="220" w:lineRule="exact"/>
              <w:rPr>
                <w:rFonts w:asciiTheme="majorBidi" w:hAnsiTheme="majorBidi" w:cstheme="majorBidi"/>
                <w:sz w:val="14"/>
                <w:szCs w:val="14"/>
              </w:rPr>
            </w:pPr>
            <w:r w:rsidRPr="004A35F2">
              <w:rPr>
                <w:sz w:val="14"/>
                <w:szCs w:val="14"/>
              </w:rPr>
              <w:t>(18)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1872B" w14:textId="77777777" w:rsidR="005B2481" w:rsidRPr="004A35F2" w:rsidRDefault="005B2481" w:rsidP="00926908">
            <w:pPr>
              <w:spacing w:line="220" w:lineRule="exact"/>
              <w:ind w:firstLine="6"/>
              <w:rPr>
                <w:rFonts w:asciiTheme="majorBidi" w:hAnsiTheme="majorBidi" w:cstheme="majorBidi"/>
                <w:sz w:val="14"/>
                <w:szCs w:val="14"/>
              </w:rPr>
            </w:pPr>
            <w:r w:rsidRPr="004A35F2">
              <w:rPr>
                <w:sz w:val="14"/>
                <w:szCs w:val="14"/>
              </w:rPr>
              <w:t>(19)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B509D" w14:textId="77777777" w:rsidR="005B2481" w:rsidRPr="004A35F2" w:rsidRDefault="005B2481" w:rsidP="00926908">
            <w:pPr>
              <w:spacing w:line="220" w:lineRule="exact"/>
              <w:rPr>
                <w:rFonts w:asciiTheme="majorBidi" w:hAnsiTheme="majorBidi" w:cstheme="majorBidi"/>
                <w:sz w:val="14"/>
                <w:szCs w:val="14"/>
              </w:rPr>
            </w:pPr>
            <w:r w:rsidRPr="004A35F2">
              <w:rPr>
                <w:sz w:val="14"/>
                <w:szCs w:val="14"/>
              </w:rPr>
              <w:t>(20)</w:t>
            </w:r>
          </w:p>
        </w:tc>
      </w:tr>
      <w:tr w:rsidR="005B2481" w:rsidRPr="004A35F2" w14:paraId="79A19725" w14:textId="77777777" w:rsidTr="00926908">
        <w:trPr>
          <w:trHeight w:val="39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64A0C" w14:textId="77777777" w:rsidR="005B2481" w:rsidRPr="004A35F2" w:rsidRDefault="005B2481" w:rsidP="00926908">
            <w:pPr>
              <w:spacing w:line="220" w:lineRule="exact"/>
              <w:ind w:firstLine="77"/>
              <w:rPr>
                <w:rFonts w:asciiTheme="majorBidi" w:hAnsiTheme="majorBidi" w:cstheme="majorBidi"/>
                <w:sz w:val="14"/>
                <w:szCs w:val="14"/>
              </w:rPr>
            </w:pPr>
            <w:r w:rsidRPr="004A35F2">
              <w:rPr>
                <w:sz w:val="14"/>
                <w:szCs w:val="14"/>
              </w:rPr>
              <w:t>3082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3AC18" w14:textId="77777777" w:rsidR="005B2481" w:rsidRPr="004A35F2" w:rsidRDefault="005B2481" w:rsidP="00926908">
            <w:pPr>
              <w:spacing w:line="220" w:lineRule="exact"/>
              <w:ind w:hanging="6"/>
              <w:rPr>
                <w:rFonts w:asciiTheme="majorBidi" w:hAnsiTheme="majorBidi" w:cstheme="majorBidi"/>
                <w:sz w:val="14"/>
                <w:szCs w:val="14"/>
              </w:rPr>
            </w:pPr>
            <w:r w:rsidRPr="004A35F2">
              <w:rPr>
                <w:sz w:val="14"/>
                <w:szCs w:val="14"/>
              </w:rPr>
              <w:t>ВЕЩЕСТВО, ОПАСНОЕ ДЛЯ ОКРУЖАЮЩЕЙ СРЕДЫ, ЖИДКОЕ, Н.У.К. (ТРЮМНЫЕ ВОДЫ, СОДЕРЖАЩИЕ НЕФТЯНЫЕ ШЛАМЫ)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DC067" w14:textId="77777777" w:rsidR="005B2481" w:rsidRPr="004A35F2" w:rsidRDefault="005B2481" w:rsidP="00926908">
            <w:pPr>
              <w:spacing w:line="220" w:lineRule="exact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4A35F2">
              <w:rPr>
                <w:sz w:val="14"/>
                <w:szCs w:val="14"/>
              </w:rPr>
              <w:t>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B0548" w14:textId="77777777" w:rsidR="005B2481" w:rsidRPr="004A35F2" w:rsidRDefault="005B2481" w:rsidP="00926908">
            <w:pPr>
              <w:spacing w:line="220" w:lineRule="exact"/>
              <w:ind w:left="-80" w:firstLine="8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4A35F2">
              <w:rPr>
                <w:sz w:val="14"/>
                <w:szCs w:val="14"/>
              </w:rPr>
              <w:t>M6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6A181" w14:textId="77777777" w:rsidR="005B2481" w:rsidRPr="004A35F2" w:rsidRDefault="005B2481" w:rsidP="00926908">
            <w:pPr>
              <w:spacing w:line="220" w:lineRule="exact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4A35F2">
              <w:rPr>
                <w:sz w:val="14"/>
                <w:szCs w:val="14"/>
              </w:rPr>
              <w:t>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E9F90" w14:textId="77777777" w:rsidR="005B2481" w:rsidRPr="004A35F2" w:rsidRDefault="005B2481" w:rsidP="00926908">
            <w:pPr>
              <w:spacing w:line="220" w:lineRule="exact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4A35F2">
              <w:rPr>
                <w:sz w:val="14"/>
                <w:szCs w:val="14"/>
              </w:rPr>
              <w:t>9+CMR+N1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C3F03" w14:textId="77777777" w:rsidR="005B2481" w:rsidRPr="004A35F2" w:rsidRDefault="005B2481" w:rsidP="00926908">
            <w:pPr>
              <w:spacing w:line="220" w:lineRule="exact"/>
              <w:ind w:left="-147" w:firstLine="17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4A35F2">
              <w:rPr>
                <w:sz w:val="14"/>
                <w:szCs w:val="14"/>
              </w:rPr>
              <w:t>N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A3EEB" w14:textId="77777777" w:rsidR="005B2481" w:rsidRPr="004A35F2" w:rsidRDefault="005B2481" w:rsidP="00926908">
            <w:pPr>
              <w:spacing w:line="220" w:lineRule="exact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4A35F2">
              <w:rPr>
                <w:sz w:val="14"/>
                <w:szCs w:val="14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C7545" w14:textId="77777777" w:rsidR="005B2481" w:rsidRPr="004A35F2" w:rsidRDefault="005B2481" w:rsidP="00926908">
            <w:pPr>
              <w:spacing w:line="220" w:lineRule="exact"/>
              <w:ind w:left="-185" w:firstLine="17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4A35F2">
              <w:rPr>
                <w:sz w:val="14"/>
                <w:szCs w:val="14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B9EE1" w14:textId="77777777" w:rsidR="005B2481" w:rsidRPr="004A35F2" w:rsidRDefault="005B2481" w:rsidP="00926908">
            <w:pPr>
              <w:spacing w:line="220" w:lineRule="exact"/>
              <w:ind w:left="-124" w:firstLine="73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AC3CD" w14:textId="77777777" w:rsidR="005B2481" w:rsidRPr="004A35F2" w:rsidRDefault="005B2481" w:rsidP="00926908">
            <w:pPr>
              <w:spacing w:line="220" w:lineRule="exact"/>
              <w:ind w:firstLine="23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4A35F2">
              <w:rPr>
                <w:sz w:val="14"/>
                <w:szCs w:val="14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73CD" w14:textId="77777777" w:rsidR="005B2481" w:rsidRPr="004A35F2" w:rsidRDefault="005B2481" w:rsidP="00926908">
            <w:pPr>
              <w:spacing w:line="220" w:lineRule="exact"/>
              <w:ind w:firstLine="45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4A35F2">
              <w:rPr>
                <w:sz w:val="14"/>
                <w:szCs w:val="14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561B3" w14:textId="77777777" w:rsidR="005B2481" w:rsidRPr="004A35F2" w:rsidRDefault="005B2481" w:rsidP="00926908">
            <w:pPr>
              <w:spacing w:line="220" w:lineRule="exact"/>
              <w:ind w:hanging="34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21540" w14:textId="77777777" w:rsidR="005B2481" w:rsidRPr="004A35F2" w:rsidRDefault="005B2481" w:rsidP="00926908">
            <w:pPr>
              <w:spacing w:line="220" w:lineRule="exact"/>
              <w:ind w:hanging="69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4A35F2">
              <w:rPr>
                <w:sz w:val="14"/>
                <w:szCs w:val="14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61097" w14:textId="77777777" w:rsidR="005B2481" w:rsidRPr="004A35F2" w:rsidRDefault="005B2481" w:rsidP="00926908">
            <w:pPr>
              <w:spacing w:line="220" w:lineRule="exact"/>
              <w:ind w:right="35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4A35F2">
              <w:rPr>
                <w:sz w:val="14"/>
                <w:szCs w:val="14"/>
              </w:rPr>
              <w:t>да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7509E" w14:textId="77777777" w:rsidR="005B2481" w:rsidRPr="004A35F2" w:rsidRDefault="005B2481" w:rsidP="00926908">
            <w:pPr>
              <w:spacing w:line="220" w:lineRule="exact"/>
              <w:ind w:firstLine="6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C761F" w14:textId="77777777" w:rsidR="005B2481" w:rsidRPr="004A35F2" w:rsidRDefault="005B2481" w:rsidP="00926908">
            <w:pPr>
              <w:spacing w:line="220" w:lineRule="exact"/>
              <w:ind w:right="23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C49FE" w14:textId="77777777" w:rsidR="005B2481" w:rsidRPr="004A35F2" w:rsidRDefault="005B2481" w:rsidP="00926908">
            <w:pPr>
              <w:spacing w:line="220" w:lineRule="exact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4A35F2">
              <w:rPr>
                <w:sz w:val="14"/>
                <w:szCs w:val="14"/>
              </w:rPr>
              <w:t>нет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F8118" w14:textId="77777777" w:rsidR="005B2481" w:rsidRPr="004A35F2" w:rsidRDefault="005B2481" w:rsidP="00926908">
            <w:pPr>
              <w:spacing w:line="220" w:lineRule="exact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4A35F2">
              <w:rPr>
                <w:sz w:val="14"/>
                <w:szCs w:val="14"/>
              </w:rPr>
              <w:t>PP,</w:t>
            </w:r>
          </w:p>
          <w:p w14:paraId="08585E2C" w14:textId="77777777" w:rsidR="005B2481" w:rsidRPr="004A35F2" w:rsidRDefault="005B2481" w:rsidP="00926908">
            <w:pPr>
              <w:spacing w:line="220" w:lineRule="exact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4A35F2">
              <w:rPr>
                <w:sz w:val="14"/>
                <w:szCs w:val="14"/>
              </w:rPr>
              <w:t>EP</w:t>
            </w:r>
          </w:p>
          <w:p w14:paraId="41217967" w14:textId="77777777" w:rsidR="005B2481" w:rsidRPr="004A35F2" w:rsidRDefault="005B2481" w:rsidP="00926908">
            <w:pPr>
              <w:spacing w:line="220" w:lineRule="exact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4A35F2">
              <w:rPr>
                <w:sz w:val="14"/>
                <w:szCs w:val="14"/>
              </w:rPr>
              <w:t>TOX,</w:t>
            </w:r>
          </w:p>
          <w:p w14:paraId="3C3B3FD5" w14:textId="77777777" w:rsidR="005B2481" w:rsidRPr="004A35F2" w:rsidRDefault="005B2481" w:rsidP="00926908">
            <w:pPr>
              <w:spacing w:line="220" w:lineRule="exact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4A35F2">
              <w:rPr>
                <w:sz w:val="14"/>
                <w:szCs w:val="14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C98EF" w14:textId="77777777" w:rsidR="005B2481" w:rsidRPr="004A35F2" w:rsidRDefault="005B2481" w:rsidP="00926908">
            <w:pPr>
              <w:spacing w:line="220" w:lineRule="exact"/>
              <w:ind w:firstLine="6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4A35F2">
              <w:rPr>
                <w:sz w:val="14"/>
                <w:szCs w:val="14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3D866" w14:textId="77777777" w:rsidR="005B2481" w:rsidRPr="004A35F2" w:rsidRDefault="005B2481" w:rsidP="00926908">
            <w:pPr>
              <w:spacing w:line="220" w:lineRule="exact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4A35F2">
              <w:rPr>
                <w:sz w:val="14"/>
                <w:szCs w:val="14"/>
              </w:rPr>
              <w:t>45</w:t>
            </w:r>
          </w:p>
        </w:tc>
      </w:tr>
    </w:tbl>
    <w:p w14:paraId="47305B54" w14:textId="77777777" w:rsidR="005B2481" w:rsidRPr="00AD549B" w:rsidRDefault="005B2481" w:rsidP="004A35F2">
      <w:pPr>
        <w:pStyle w:val="SingleTxtG"/>
        <w:spacing w:before="120" w:line="234" w:lineRule="atLeast"/>
      </w:pPr>
      <w:r w:rsidRPr="00AD549B">
        <w:tab/>
      </w:r>
      <w:r w:rsidRPr="00AD549B">
        <w:tab/>
        <w:t>d)</w:t>
      </w:r>
      <w:r w:rsidRPr="00AD549B">
        <w:tab/>
        <w:t xml:space="preserve">В конце </w:t>
      </w:r>
      <w:r>
        <w:t>под</w:t>
      </w:r>
      <w:r w:rsidRPr="00AD549B">
        <w:t>раздела 3.2.3.1 ВОПОГ добавить замечание следующего содержания:</w:t>
      </w:r>
    </w:p>
    <w:p w14:paraId="252C8D25" w14:textId="77777777" w:rsidR="005B2481" w:rsidRPr="00AD549B" w:rsidRDefault="005B2481" w:rsidP="004A35F2">
      <w:pPr>
        <w:pStyle w:val="SingleTxtG"/>
        <w:spacing w:line="234" w:lineRule="atLeast"/>
        <w:ind w:left="1701"/>
        <w:rPr>
          <w:iCs/>
          <w:szCs w:val="18"/>
        </w:rPr>
      </w:pPr>
      <w:r w:rsidRPr="00AD549B">
        <w:tab/>
        <w:t>«45.</w:t>
      </w:r>
      <w:r w:rsidRPr="00AD549B">
        <w:tab/>
        <w:t xml:space="preserve">При приеме с морских судов этого вещества в качестве отходов, связанных с эксплуатацией судна, на борту судов должны быть приняты соответствующие технические и организационные меры для предотвращения или максимально возможного снижения воздействия на персонал, находящийся на борту, газовоздушных смесей, </w:t>
      </w:r>
      <w:r>
        <w:t>образующихся в</w:t>
      </w:r>
      <w:r w:rsidRPr="00AD549B">
        <w:t xml:space="preserve"> грузовых танк</w:t>
      </w:r>
      <w:r>
        <w:t>ах</w:t>
      </w:r>
      <w:r w:rsidRPr="00AD549B">
        <w:t xml:space="preserve"> принимающего судна во время погрузки, и обеспечения защиты персонала на борту во время этих работ. </w:t>
      </w:r>
      <w:r>
        <w:t>С</w:t>
      </w:r>
      <w:r w:rsidRPr="00AD549B">
        <w:t>оответствующим сотрудникам</w:t>
      </w:r>
      <w:r w:rsidRPr="00EC3C72">
        <w:t xml:space="preserve"> </w:t>
      </w:r>
      <w:r w:rsidRPr="00AD549B">
        <w:t xml:space="preserve">должны предоставляться </w:t>
      </w:r>
      <w:r>
        <w:t>н</w:t>
      </w:r>
      <w:r w:rsidRPr="00AD549B">
        <w:t xml:space="preserve">адлежащие средства индивидуальной защиты, и они должны </w:t>
      </w:r>
      <w:r>
        <w:t xml:space="preserve">пользоваться </w:t>
      </w:r>
      <w:r w:rsidRPr="00AD549B">
        <w:t>и</w:t>
      </w:r>
      <w:r>
        <w:t>ми</w:t>
      </w:r>
      <w:r w:rsidRPr="00AD549B">
        <w:t xml:space="preserve"> в течение всего периода повышенной опасности.</w:t>
      </w:r>
      <w:r>
        <w:t>».</w:t>
      </w:r>
    </w:p>
    <w:p w14:paraId="392F7FEF" w14:textId="77777777" w:rsidR="005B2481" w:rsidRPr="00AD549B" w:rsidRDefault="005B2481" w:rsidP="004A35F2">
      <w:pPr>
        <w:pStyle w:val="SingleTxtG"/>
        <w:spacing w:line="234" w:lineRule="atLeast"/>
        <w:rPr>
          <w:iCs/>
          <w:szCs w:val="18"/>
        </w:rPr>
      </w:pPr>
      <w:r w:rsidRPr="00AD549B">
        <w:tab/>
      </w:r>
      <w:r w:rsidRPr="00AD549B">
        <w:tab/>
        <w:t>е)</w:t>
      </w:r>
      <w:r w:rsidRPr="00AD549B">
        <w:tab/>
        <w:t xml:space="preserve">В пункте 7.2.4.25.5 после слов </w:t>
      </w:r>
      <w:r w:rsidR="004A35F2">
        <w:t>«</w:t>
      </w:r>
      <w:r w:rsidRPr="00AD549B">
        <w:t>Газовоздушные смеси</w:t>
      </w:r>
      <w:r w:rsidR="004A35F2">
        <w:t>»</w:t>
      </w:r>
      <w:r w:rsidRPr="00AD549B">
        <w:t xml:space="preserve"> включить слова </w:t>
      </w:r>
      <w:r w:rsidR="004A35F2">
        <w:t>«</w:t>
      </w:r>
      <w:r w:rsidRPr="00AD549B">
        <w:t xml:space="preserve">которые </w:t>
      </w:r>
      <w:r>
        <w:t>образуются в</w:t>
      </w:r>
      <w:r w:rsidRPr="00AD549B">
        <w:t xml:space="preserve"> грузовых танк</w:t>
      </w:r>
      <w:r>
        <w:t>ах</w:t>
      </w:r>
      <w:r w:rsidRPr="00AD549B">
        <w:t xml:space="preserve"> принимающего судна во время [погрузки] [заполнения] береговой установкой</w:t>
      </w:r>
      <w:r w:rsidR="004A35F2">
        <w:t>»</w:t>
      </w:r>
      <w:r w:rsidRPr="00AD549B">
        <w:t>.</w:t>
      </w:r>
    </w:p>
    <w:p w14:paraId="6E4BD634" w14:textId="77777777" w:rsidR="005B2481" w:rsidRPr="00AD549B" w:rsidRDefault="005B2481" w:rsidP="004A35F2">
      <w:pPr>
        <w:pStyle w:val="SingleTxtG"/>
        <w:spacing w:line="234" w:lineRule="atLeast"/>
        <w:rPr>
          <w:u w:val="single"/>
        </w:rPr>
      </w:pPr>
      <w:r w:rsidRPr="00AD549B">
        <w:rPr>
          <w:u w:val="single"/>
        </w:rPr>
        <w:t>Сводный текст:</w:t>
      </w:r>
    </w:p>
    <w:p w14:paraId="6E6575AF" w14:textId="77777777" w:rsidR="005B2481" w:rsidRPr="00AD549B" w:rsidRDefault="005B2481" w:rsidP="004A35F2">
      <w:pPr>
        <w:pStyle w:val="SingleTxtG"/>
        <w:spacing w:line="234" w:lineRule="atLeast"/>
        <w:ind w:left="1701"/>
      </w:pPr>
      <w:r w:rsidRPr="00AD549B">
        <w:t>«7.2.4.25.5</w:t>
      </w:r>
      <w:r w:rsidRPr="00AD549B">
        <w:tab/>
        <w:t xml:space="preserve">Газовоздушные смеси, </w:t>
      </w:r>
      <w:r>
        <w:t>которые образуются в</w:t>
      </w:r>
      <w:r w:rsidRPr="00AD549B">
        <w:t xml:space="preserve"> грузовых танк</w:t>
      </w:r>
      <w:r>
        <w:t>ах</w:t>
      </w:r>
      <w:r w:rsidRPr="00AD549B">
        <w:t xml:space="preserve"> принимающего судна при [погрузке] [заполнении] береговой установкой, должны отводиться на берег через </w:t>
      </w:r>
      <w:r>
        <w:t>г</w:t>
      </w:r>
      <w:r w:rsidRPr="00AD549B">
        <w:t>азовозвратный трубопровод в тех случаях, когда:</w:t>
      </w:r>
      <w:r w:rsidR="004A35F2">
        <w:t>»</w:t>
      </w:r>
      <w:r w:rsidRPr="00AD549B">
        <w:t>.</w:t>
      </w:r>
    </w:p>
    <w:p w14:paraId="4560B0E3" w14:textId="77777777" w:rsidR="005B2481" w:rsidRPr="00AD549B" w:rsidRDefault="005B2481" w:rsidP="004A35F2">
      <w:pPr>
        <w:pStyle w:val="SingleTxtG"/>
        <w:spacing w:line="234" w:lineRule="atLeast"/>
      </w:pPr>
      <w:r w:rsidRPr="00AD549B">
        <w:tab/>
      </w:r>
      <w:r w:rsidRPr="00AD549B">
        <w:tab/>
        <w:t>f)</w:t>
      </w:r>
      <w:r w:rsidRPr="00AD549B">
        <w:tab/>
        <w:t>Пункт 7.2.4.2.1 ВОПОГ излагается в следующей редакции:</w:t>
      </w:r>
    </w:p>
    <w:p w14:paraId="296EC71D" w14:textId="77777777" w:rsidR="005B2481" w:rsidRPr="00AD549B" w:rsidRDefault="005B2481" w:rsidP="004A35F2">
      <w:pPr>
        <w:pStyle w:val="SingleTxtG"/>
        <w:spacing w:line="234" w:lineRule="atLeast"/>
        <w:ind w:left="1701"/>
      </w:pPr>
      <w:r w:rsidRPr="00AD549B">
        <w:tab/>
        <w:t>«7.2.4.2.1</w:t>
      </w:r>
      <w:r w:rsidRPr="00AD549B">
        <w:tab/>
        <w:t>Прием с судов внутреннего судоходства неупакованных маслосодержащих жидких отходов, образующихся пр</w:t>
      </w:r>
      <w:r>
        <w:t xml:space="preserve">и </w:t>
      </w:r>
      <w:r w:rsidRPr="00AD549B">
        <w:t xml:space="preserve">эксплуатации судов, должен обеспечиваться методом всасывания; прием с морских судов </w:t>
      </w:r>
      <w:r w:rsidR="00D33368">
        <w:t xml:space="preserve">также </w:t>
      </w:r>
      <w:r w:rsidRPr="00AD549B">
        <w:t>может осуществляться под давлением.»</w:t>
      </w:r>
      <w:r>
        <w:t>.</w:t>
      </w:r>
    </w:p>
    <w:p w14:paraId="19D9646D" w14:textId="77777777" w:rsidR="005B2481" w:rsidRPr="00AD549B" w:rsidRDefault="004A35F2" w:rsidP="005B2481">
      <w:pPr>
        <w:pStyle w:val="HChG"/>
      </w:pPr>
      <w:r>
        <w:tab/>
      </w:r>
      <w:r w:rsidR="005B2481" w:rsidRPr="00AD549B">
        <w:t>II.</w:t>
      </w:r>
      <w:r w:rsidR="005B2481" w:rsidRPr="00AD549B">
        <w:tab/>
      </w:r>
      <w:r w:rsidR="005B2481" w:rsidRPr="00AD549B">
        <w:rPr>
          <w:bCs/>
        </w:rPr>
        <w:t>Обоснование</w:t>
      </w:r>
    </w:p>
    <w:p w14:paraId="43EE689D" w14:textId="77777777" w:rsidR="005B2481" w:rsidRDefault="005B2481" w:rsidP="005B2481">
      <w:pPr>
        <w:pStyle w:val="SingleTxtG"/>
      </w:pPr>
      <w:r w:rsidRPr="00AD549B">
        <w:t>3.</w:t>
      </w:r>
      <w:r w:rsidRPr="00AD549B">
        <w:tab/>
        <w:t>Относительно добавления новой позиции в таблицу С мы ссылаемся на информацию, содержащуюся в докладе неофициальной рабочей группы по веществам, представленном тридцать пятой сессии Комитета по вопросам безопасности ВОПОГ (неофициальный документ INF.7.).</w:t>
      </w:r>
    </w:p>
    <w:p w14:paraId="2C301FA9" w14:textId="77777777" w:rsidR="005B2481" w:rsidRPr="00AD549B" w:rsidRDefault="005B2481" w:rsidP="005B2481">
      <w:pPr>
        <w:pStyle w:val="SingleTxtG"/>
      </w:pPr>
      <w:r w:rsidRPr="00AD549B">
        <w:lastRenderedPageBreak/>
        <w:t>4.</w:t>
      </w:r>
      <w:r w:rsidRPr="00AD549B">
        <w:tab/>
        <w:t>Отличи</w:t>
      </w:r>
      <w:r>
        <w:t>ем</w:t>
      </w:r>
      <w:r w:rsidRPr="00AD549B">
        <w:t xml:space="preserve"> </w:t>
      </w:r>
      <w:r>
        <w:t xml:space="preserve">для </w:t>
      </w:r>
      <w:r w:rsidRPr="00AD549B">
        <w:t>эт</w:t>
      </w:r>
      <w:r>
        <w:t>ой</w:t>
      </w:r>
      <w:r w:rsidRPr="00AD549B">
        <w:t xml:space="preserve"> нов</w:t>
      </w:r>
      <w:r>
        <w:t xml:space="preserve">ой </w:t>
      </w:r>
      <w:r w:rsidRPr="00AD549B">
        <w:t>позици</w:t>
      </w:r>
      <w:r>
        <w:t>и</w:t>
      </w:r>
      <w:r w:rsidRPr="00AD549B">
        <w:t xml:space="preserve"> от новой позиции № ООН 3082 ВЕЩЕСТВО, ОПАСНОЕ ДЛЯ ОКРУЖАЮЩЕЙ СРЕДЫ, ЖИДКОЕ, Н.У.К. (НЕФТЯНЫЕ ШЛАМЫ) мож</w:t>
      </w:r>
      <w:r>
        <w:t>ет</w:t>
      </w:r>
      <w:r w:rsidRPr="00AD549B">
        <w:t xml:space="preserve"> </w:t>
      </w:r>
      <w:r>
        <w:t xml:space="preserve">служить </w:t>
      </w:r>
      <w:r w:rsidRPr="00AD549B">
        <w:t>следующ</w:t>
      </w:r>
      <w:r>
        <w:t>ее</w:t>
      </w:r>
      <w:r w:rsidRPr="00AD549B">
        <w:t>:</w:t>
      </w:r>
    </w:p>
    <w:p w14:paraId="4D3B5AF4" w14:textId="77777777" w:rsidR="005B2481" w:rsidRPr="00AD549B" w:rsidRDefault="005B2481" w:rsidP="005B2481">
      <w:pPr>
        <w:pStyle w:val="SingleTxtG"/>
        <w:ind w:left="1701"/>
      </w:pPr>
      <w:r w:rsidRPr="00AD549B">
        <w:rPr>
          <w:b/>
          <w:bCs/>
        </w:rPr>
        <w:t>Нефтяные шламы,</w:t>
      </w:r>
      <w:r w:rsidRPr="00AD549B">
        <w:t xml:space="preserve"> как таковые, имеют пастообразную консистенцию и ближе к твердым веществам</w:t>
      </w:r>
      <w:r>
        <w:t>;</w:t>
      </w:r>
      <w:r w:rsidRPr="00AD549B">
        <w:t xml:space="preserve"> </w:t>
      </w:r>
      <w:r w:rsidRPr="004F10D1">
        <w:rPr>
          <w:b/>
        </w:rPr>
        <w:t>трюмные воды</w:t>
      </w:r>
      <w:r w:rsidRPr="00AD549B">
        <w:t xml:space="preserve"> представляют собой воды, загрязненные, например, в результате конденсации (конденсатом), моющими водами и просочившимися водами. </w:t>
      </w:r>
      <w:r>
        <w:t>Т</w:t>
      </w:r>
      <w:r w:rsidRPr="00AD549B">
        <w:t>еоретически возможно</w:t>
      </w:r>
      <w:r>
        <w:t>е различие</w:t>
      </w:r>
      <w:r w:rsidRPr="00AD549B">
        <w:t xml:space="preserve"> в зависимости от соотношения промежуточных смесей в </w:t>
      </w:r>
      <w:r>
        <w:t xml:space="preserve">повседневной </w:t>
      </w:r>
      <w:r w:rsidRPr="00AD549B">
        <w:t>пр</w:t>
      </w:r>
      <w:r>
        <w:t xml:space="preserve">актике </w:t>
      </w:r>
      <w:r w:rsidRPr="00AD549B">
        <w:t>эксплуатации судов</w:t>
      </w:r>
      <w:r>
        <w:t xml:space="preserve"> не проводится</w:t>
      </w:r>
      <w:r w:rsidRPr="00AD549B">
        <w:t xml:space="preserve">, </w:t>
      </w:r>
      <w:r>
        <w:t xml:space="preserve">в силу чего </w:t>
      </w:r>
      <w:r w:rsidRPr="00AD549B">
        <w:t>нет необходимости указывать процентн</w:t>
      </w:r>
      <w:r>
        <w:t>ы</w:t>
      </w:r>
      <w:r w:rsidRPr="00AD549B">
        <w:t xml:space="preserve">е </w:t>
      </w:r>
      <w:r>
        <w:t xml:space="preserve">доли </w:t>
      </w:r>
      <w:r w:rsidRPr="00AD549B">
        <w:t xml:space="preserve">трюмной воды </w:t>
      </w:r>
      <w:r>
        <w:t xml:space="preserve">и </w:t>
      </w:r>
      <w:r w:rsidRPr="00AD549B">
        <w:t>нефтяного шлама.</w:t>
      </w:r>
    </w:p>
    <w:p w14:paraId="791D2432" w14:textId="77777777" w:rsidR="005B2481" w:rsidRPr="00AD549B" w:rsidRDefault="005B2481" w:rsidP="005B2481">
      <w:pPr>
        <w:pStyle w:val="SingleTxtG"/>
        <w:rPr>
          <w:iCs/>
          <w:szCs w:val="18"/>
        </w:rPr>
      </w:pPr>
      <w:r w:rsidRPr="00AD549B">
        <w:t>5.</w:t>
      </w:r>
      <w:r w:rsidRPr="00AD549B">
        <w:tab/>
        <w:t>Морские суда не оборудованы газовозвратными трубопроводами для хранения отходов, образующихся при эксплуатации судов, или для пере</w:t>
      </w:r>
      <w:r>
        <w:t xml:space="preserve">грузки веществ </w:t>
      </w:r>
      <w:r w:rsidRPr="00AD549B">
        <w:t>из их грузовых танков на танкеры внутреннего</w:t>
      </w:r>
      <w:r w:rsidRPr="00D92091">
        <w:t xml:space="preserve"> </w:t>
      </w:r>
      <w:r w:rsidRPr="00AD549B">
        <w:t>судоходств</w:t>
      </w:r>
      <w:r>
        <w:t>а</w:t>
      </w:r>
      <w:r w:rsidRPr="00AD549B">
        <w:t>. Введение в ВОПОГ такого требования к конструкции привело бы к противоречию с правилами, применимыми к морскому судоходству.</w:t>
      </w:r>
    </w:p>
    <w:p w14:paraId="6E027F08" w14:textId="77777777" w:rsidR="005B2481" w:rsidRPr="00AD549B" w:rsidRDefault="005B2481" w:rsidP="005B2481">
      <w:pPr>
        <w:pStyle w:val="SingleTxtG"/>
      </w:pPr>
      <w:r w:rsidRPr="00AD549B">
        <w:t>6.</w:t>
      </w:r>
      <w:r w:rsidRPr="00AD549B">
        <w:tab/>
        <w:t xml:space="preserve">Нам не известно о наличии на борту судов внутреннего судоходства систем отвода или сбора газовоздушной смеси, образующейся в грузовых танках таких судов внутреннего </w:t>
      </w:r>
      <w:r w:rsidRPr="00D92091">
        <w:t>судоходства</w:t>
      </w:r>
      <w:r w:rsidRPr="00AD549B">
        <w:t>. По мнению делегации Германии, разработка и обеспечение наличия таких систем займет несколько лет, при этом их экономическая целесообразность будет сомнительной.</w:t>
      </w:r>
    </w:p>
    <w:p w14:paraId="70D05342" w14:textId="77777777" w:rsidR="005B2481" w:rsidRPr="00AD549B" w:rsidRDefault="005B2481" w:rsidP="005B2481">
      <w:pPr>
        <w:pStyle w:val="SingleTxtG"/>
      </w:pPr>
      <w:r w:rsidRPr="00AD549B">
        <w:t>7.</w:t>
      </w:r>
      <w:r w:rsidRPr="00AD549B">
        <w:tab/>
        <w:t>Хотя прием образующихся при эксплуатации судов отходов только в прошедшие дегазацию или свободные от газов грузовые танки с технической точки зрения можн</w:t>
      </w:r>
      <w:r>
        <w:t>о обеспечить</w:t>
      </w:r>
      <w:r w:rsidRPr="00AD549B">
        <w:t xml:space="preserve">, операторы принимающих танкеров столкнутся со значительными логистическими трудностями, </w:t>
      </w:r>
      <w:r>
        <w:t>пр</w:t>
      </w:r>
      <w:r w:rsidRPr="00AD549B">
        <w:t>и это</w:t>
      </w:r>
      <w:r>
        <w:t>м</w:t>
      </w:r>
      <w:r w:rsidRPr="00AD549B">
        <w:t xml:space="preserve"> </w:t>
      </w:r>
      <w:r>
        <w:t xml:space="preserve">возникнет необходимость </w:t>
      </w:r>
      <w:r w:rsidRPr="00AD549B">
        <w:t xml:space="preserve">значительных </w:t>
      </w:r>
      <w:r>
        <w:t xml:space="preserve">капиталовложений </w:t>
      </w:r>
      <w:r w:rsidRPr="00AD549B">
        <w:t>в оснащение судов.</w:t>
      </w:r>
    </w:p>
    <w:p w14:paraId="031706D6" w14:textId="77777777" w:rsidR="005B2481" w:rsidRPr="00AD549B" w:rsidRDefault="005B2481" w:rsidP="005B2481">
      <w:pPr>
        <w:pStyle w:val="SingleTxtG"/>
      </w:pPr>
      <w:r w:rsidRPr="00AD549B">
        <w:t>8.</w:t>
      </w:r>
      <w:r w:rsidRPr="00AD549B">
        <w:tab/>
        <w:t>В силу этого представляется несоразмерным применять положения пункта</w:t>
      </w:r>
      <w:r w:rsidR="00D33368">
        <w:t> </w:t>
      </w:r>
      <w:r w:rsidRPr="00AD549B">
        <w:t xml:space="preserve">7.2.4.25.5 ВОПОГ для приема на борт танкерами внутреннего судоходства отходов, </w:t>
      </w:r>
      <w:r w:rsidRPr="00EC3C72">
        <w:t xml:space="preserve">образующихся при эксплуатации </w:t>
      </w:r>
      <w:r w:rsidRPr="00AD549B">
        <w:t>морских судов.</w:t>
      </w:r>
    </w:p>
    <w:p w14:paraId="256DFCF6" w14:textId="77777777" w:rsidR="005B2481" w:rsidRPr="00AD549B" w:rsidRDefault="005B2481" w:rsidP="005B2481">
      <w:pPr>
        <w:pStyle w:val="SingleTxtG"/>
      </w:pPr>
      <w:r w:rsidRPr="00AD549B">
        <w:t>9.</w:t>
      </w:r>
      <w:r w:rsidRPr="00AD549B">
        <w:tab/>
        <w:t>Формулировка пункта 7.2.4.25.5 ВОПОГ уже допускает толкование, согласно которому она не применима к погрузке товаров с (морского) судна в цистерны судов внутреннего судоходства:</w:t>
      </w:r>
    </w:p>
    <w:p w14:paraId="078E2C36" w14:textId="77777777" w:rsidR="005B2481" w:rsidRPr="00AD549B" w:rsidRDefault="005B2481" w:rsidP="005B2481">
      <w:pPr>
        <w:pStyle w:val="SingleTxtG"/>
        <w:ind w:left="1701"/>
      </w:pPr>
      <w:r w:rsidRPr="00AD549B">
        <w:tab/>
      </w:r>
      <w:r w:rsidR="004A35F2">
        <w:t>«</w:t>
      </w:r>
      <w:r w:rsidRPr="00AD549B">
        <w:t xml:space="preserve">Газовоздушные смеси, выделяющиеся во время погрузки, должны отводиться </w:t>
      </w:r>
      <w:r w:rsidRPr="004F10D1">
        <w:rPr>
          <w:b/>
          <w:bCs/>
          <w:u w:val="single"/>
        </w:rPr>
        <w:t>на берег</w:t>
      </w:r>
      <w:r w:rsidRPr="00AD549B">
        <w:rPr>
          <w:b/>
          <w:bCs/>
        </w:rPr>
        <w:t xml:space="preserve"> </w:t>
      </w:r>
      <w:r w:rsidRPr="00AD549B">
        <w:t>через газовозвратный трубопровод в тех случаях, когда:</w:t>
      </w:r>
      <w:r w:rsidR="004A35F2">
        <w:t>»</w:t>
      </w:r>
    </w:p>
    <w:p w14:paraId="7442B8A1" w14:textId="77777777" w:rsidR="005B2481" w:rsidRPr="00AD549B" w:rsidRDefault="005B2481" w:rsidP="005B2481">
      <w:pPr>
        <w:pStyle w:val="SingleTxtG"/>
      </w:pPr>
      <w:r w:rsidRPr="00AD549B">
        <w:t>Это требование в данном случае неприменимо, поскольку речь не идет о погрузке с берега.</w:t>
      </w:r>
    </w:p>
    <w:p w14:paraId="3EB1EE5A" w14:textId="77777777" w:rsidR="005B2481" w:rsidRPr="00AD549B" w:rsidRDefault="005B2481" w:rsidP="005B2481">
      <w:pPr>
        <w:pStyle w:val="SingleTxtG"/>
        <w:rPr>
          <w:iCs/>
          <w:szCs w:val="18"/>
        </w:rPr>
      </w:pPr>
      <w:r w:rsidRPr="00AD549B">
        <w:t>10.</w:t>
      </w:r>
      <w:r w:rsidRPr="00AD549B">
        <w:tab/>
        <w:t>Для целей разъяснения в пункт 7.2.4.25.5 следует внести предложенные поправки. Предложение также включает в себя разъяснение того, где образуются соответствующие газовоздушные смеси.</w:t>
      </w:r>
    </w:p>
    <w:p w14:paraId="4B11C1E5" w14:textId="77777777" w:rsidR="005B2481" w:rsidRPr="00AD549B" w:rsidRDefault="005B2481" w:rsidP="005B2481">
      <w:pPr>
        <w:pStyle w:val="SingleTxtG"/>
      </w:pPr>
      <w:r w:rsidRPr="00AD549B">
        <w:t>11.</w:t>
      </w:r>
      <w:r w:rsidRPr="00AD549B">
        <w:tab/>
      </w:r>
      <w:r>
        <w:t>Вместе с тем</w:t>
      </w:r>
      <w:r w:rsidRPr="00AD549B">
        <w:t xml:space="preserve"> это означает, что, несмотря на </w:t>
      </w:r>
      <w:r>
        <w:t xml:space="preserve">определение </w:t>
      </w:r>
      <w:r w:rsidRPr="00AD549B">
        <w:t>канцерогенны</w:t>
      </w:r>
      <w:r>
        <w:t>х</w:t>
      </w:r>
      <w:r w:rsidRPr="00AD549B">
        <w:t>, мутагенны</w:t>
      </w:r>
      <w:r>
        <w:t>х</w:t>
      </w:r>
      <w:r w:rsidRPr="00AD549B">
        <w:t xml:space="preserve"> или токсичны</w:t>
      </w:r>
      <w:r>
        <w:t>х</w:t>
      </w:r>
      <w:r w:rsidRPr="00AD549B">
        <w:t xml:space="preserve"> для репродуктивной функции (КМР) характеристик отходов, образующихся пр</w:t>
      </w:r>
      <w:r>
        <w:t xml:space="preserve">и </w:t>
      </w:r>
      <w:r w:rsidRPr="00AD549B">
        <w:t>эксплуатации суд</w:t>
      </w:r>
      <w:r>
        <w:t>ов</w:t>
      </w:r>
      <w:r w:rsidRPr="00AD549B">
        <w:t xml:space="preserve">, независимо от того, представляют ли они собой </w:t>
      </w:r>
      <w:r w:rsidR="004A35F2">
        <w:t>«</w:t>
      </w:r>
      <w:r w:rsidRPr="00AD549B">
        <w:t>ВЕЩЕСТВО, ОПАСНОЕ ДЛЯ ОКРУЖАЮЩЕЙ СРЕДЫ, ЖИДКОЕ, Н.У.К. (ТРЮМНЫЕ ВОДЫ, КРОМЕ НЕФТЯНЫХ ШЛАМОВ)</w:t>
      </w:r>
      <w:r w:rsidR="004A35F2">
        <w:t>»</w:t>
      </w:r>
      <w:r w:rsidRPr="00AD549B">
        <w:t xml:space="preserve"> или </w:t>
      </w:r>
      <w:r w:rsidR="004A35F2">
        <w:t>«</w:t>
      </w:r>
      <w:r w:rsidRPr="00AD549B">
        <w:t>ВЕЩЕСТВО, ОПАСНОЕ ДЛЯ ОКРУЖАЮЩЕЙ СРЕДЫ, ЖИДКОЕ, Н.У.К. (ТРЮМНЫЕ ВОДЫ, СОДЕРЖАЩИЕ НЕФТЯНЫЕ ШЛАМЫ)</w:t>
      </w:r>
      <w:r w:rsidR="004A35F2">
        <w:t>»</w:t>
      </w:r>
      <w:r w:rsidRPr="00AD549B">
        <w:t xml:space="preserve">, газовоздушные смеси будут попадать в окружающий воздух, и находящиеся на борту люди будут подвергаться воздействию веществ </w:t>
      </w:r>
      <w:r>
        <w:t xml:space="preserve">со свойствами </w:t>
      </w:r>
      <w:r w:rsidRPr="00AD549B">
        <w:t>КМР.</w:t>
      </w:r>
    </w:p>
    <w:p w14:paraId="034847CF" w14:textId="77777777" w:rsidR="005B2481" w:rsidRPr="00AD549B" w:rsidRDefault="005B2481" w:rsidP="005B2481">
      <w:pPr>
        <w:pStyle w:val="SingleTxtG"/>
      </w:pPr>
      <w:r w:rsidRPr="00AD549B">
        <w:t>12.</w:t>
      </w:r>
      <w:r w:rsidRPr="00AD549B">
        <w:tab/>
        <w:t xml:space="preserve">№ ООН 3082 не относится к грузам, дегазация которых запрещена принятой в 2017 году поправкой к Конвенции о сборе, сдаче и приеме отходов, образующихся при судоходстве на Рейне и на других внутренних водных путях (CDNI). Аналогичным образом, к № ООН 3082 не применима Европейская директива по ЛОС и предусмотренные в ней запреты на выброс. В пункте 7.2.3.7 ВОПОГ говорится не о выбросах газовоздушных смесей, возникающих в связи с загрузкой, а исключительно о действующих </w:t>
      </w:r>
      <w:r>
        <w:t xml:space="preserve">самостоятельных </w:t>
      </w:r>
      <w:r w:rsidRPr="00AD549B">
        <w:t>мерах по дегазации.</w:t>
      </w:r>
    </w:p>
    <w:p w14:paraId="06F78CF8" w14:textId="77777777" w:rsidR="005B2481" w:rsidRPr="00AD549B" w:rsidRDefault="005B2481" w:rsidP="005B2481">
      <w:pPr>
        <w:pStyle w:val="SingleTxtG"/>
      </w:pPr>
      <w:r w:rsidRPr="00AD549B">
        <w:lastRenderedPageBreak/>
        <w:t>13.</w:t>
      </w:r>
      <w:r w:rsidRPr="00AD549B">
        <w:tab/>
        <w:t xml:space="preserve">В морских портах могут применяться местные или национальные требования, запрещающие выброс газовоздушной смеси в атмосферу, независимо от правил обращения с опасными грузами. Делегация Германии считает, что в этом случае национальные портовые власти несут ответственность за </w:t>
      </w:r>
      <w:r>
        <w:t>о</w:t>
      </w:r>
      <w:r w:rsidRPr="00AD549B">
        <w:t>пред</w:t>
      </w:r>
      <w:r>
        <w:t xml:space="preserve">еление </w:t>
      </w:r>
      <w:r w:rsidRPr="00AD549B">
        <w:t>мест сбора и очистки в соответствии с правилами, отличными от ВОПОГ.</w:t>
      </w:r>
    </w:p>
    <w:p w14:paraId="61E7C57C" w14:textId="77777777" w:rsidR="005B2481" w:rsidRPr="00AD549B" w:rsidRDefault="005B2481" w:rsidP="005B2481">
      <w:pPr>
        <w:pStyle w:val="SingleTxtG"/>
      </w:pPr>
      <w:r w:rsidRPr="00AD549B">
        <w:t>14.</w:t>
      </w:r>
      <w:r w:rsidRPr="00AD549B">
        <w:tab/>
        <w:t xml:space="preserve">Защита персонала, участвующего в приеме отходов, образующихся </w:t>
      </w:r>
      <w:r>
        <w:t>при</w:t>
      </w:r>
      <w:r w:rsidRPr="00AD549B">
        <w:t xml:space="preserve"> эксплуатации судна, может быть </w:t>
      </w:r>
      <w:r>
        <w:t>достигнута</w:t>
      </w:r>
      <w:r w:rsidRPr="00AD549B">
        <w:t xml:space="preserve"> путем обеспечения того, чтобы люди находящиеся на борту судна, подвергались воздействию высвобождаемой газовоздушной смеси в течение как можно более короткого необходимого времени, при этом соответ</w:t>
      </w:r>
      <w:r>
        <w:t>ст</w:t>
      </w:r>
      <w:r w:rsidRPr="00AD549B">
        <w:t>вующий порт должен предоставлять средства индивидуальной защиты. Кроме того, газовоздушная смесь, образующаяся в принимающих грузовых танках судна внутреннего судоходства, может быть отведена с использованием газоотводного трубопровода таким образом, чтобы находящиеся на борту судна лица не подвергались ее воздействию. Предлагаемый текст основан на национальном законодательстве Германии в области охраны здоровья и труда, которое в свою очередь основано на нормах Европейского союза. В силу этого содержание указанных правил должно быть одинаковым для всех Договаривающихся сторон ВОПОГ, которые являются также членами Европейского союза.</w:t>
      </w:r>
    </w:p>
    <w:p w14:paraId="13900A25" w14:textId="77777777" w:rsidR="005B2481" w:rsidRPr="00AD549B" w:rsidRDefault="005B2481" w:rsidP="005B2481">
      <w:pPr>
        <w:pStyle w:val="SingleTxtG"/>
        <w:rPr>
          <w:iCs/>
          <w:szCs w:val="18"/>
        </w:rPr>
      </w:pPr>
      <w:r w:rsidRPr="00AD549B">
        <w:t>15.</w:t>
      </w:r>
      <w:r w:rsidRPr="00AD549B">
        <w:tab/>
        <w:t xml:space="preserve">При приеме судами внутреннего плавания отходов, образующихся в ходе эксплуатации судов, следует принимать во внимание </w:t>
      </w:r>
      <w:r>
        <w:t>и</w:t>
      </w:r>
      <w:r w:rsidRPr="00AD549B">
        <w:t xml:space="preserve"> пункт 7.2.4.2.1 ВОПОГ. Предусмотрено, что прием с судов внутреннего плавания неупакованных маслосодержащих жидких отходов, образующихся </w:t>
      </w:r>
      <w:r>
        <w:t>при</w:t>
      </w:r>
      <w:r w:rsidRPr="00AD549B">
        <w:t xml:space="preserve"> эксплуатации судов, должен обеспечиваться методом всасывания. Однако, по имеющейся у делегации Германии информации, прием отходов, образующихся </w:t>
      </w:r>
      <w:r>
        <w:t xml:space="preserve">при </w:t>
      </w:r>
      <w:r w:rsidRPr="00AD549B">
        <w:t>эксплуатации морских судов, в</w:t>
      </w:r>
      <w:r>
        <w:t>о в</w:t>
      </w:r>
      <w:r w:rsidRPr="00AD549B">
        <w:t>се</w:t>
      </w:r>
      <w:r>
        <w:t>х случаях</w:t>
      </w:r>
      <w:r w:rsidRPr="00AD549B">
        <w:t xml:space="preserve"> обеспечивается путем нагнетания давления в цистерне на борту морского судна и их откачки в сборное судно. </w:t>
      </w:r>
      <w:r>
        <w:t xml:space="preserve">С учетом </w:t>
      </w:r>
      <w:r w:rsidRPr="00AD549B">
        <w:t>большо</w:t>
      </w:r>
      <w:r>
        <w:t>го</w:t>
      </w:r>
      <w:r w:rsidRPr="00AD549B">
        <w:t xml:space="preserve"> числ</w:t>
      </w:r>
      <w:r>
        <w:t>а</w:t>
      </w:r>
      <w:r w:rsidRPr="00AD549B">
        <w:t xml:space="preserve"> операций, проводимых в морском порту, представляется нереалистичным требовать от компетентного органа отступления в каждом конкретном случае в соответствии с пунктом 7.2.4.2.4 ВОПОГ.</w:t>
      </w:r>
    </w:p>
    <w:p w14:paraId="17E1EB69" w14:textId="77777777" w:rsidR="005B2481" w:rsidRPr="00AD549B" w:rsidRDefault="005B2481" w:rsidP="005B2481">
      <w:pPr>
        <w:pStyle w:val="SingleTxtG"/>
        <w:rPr>
          <w:iCs/>
          <w:szCs w:val="18"/>
        </w:rPr>
      </w:pPr>
      <w:r w:rsidRPr="00AD549B">
        <w:t>16.</w:t>
      </w:r>
      <w:r w:rsidRPr="00AD549B">
        <w:tab/>
        <w:t>Германия предлагает Комитету по вопросам безопасности изучить вышеизложенные соображения и принять соответствующие меры.</w:t>
      </w:r>
    </w:p>
    <w:p w14:paraId="5110D6F0" w14:textId="77777777" w:rsidR="005B2481" w:rsidRPr="00AD549B" w:rsidRDefault="005B2481" w:rsidP="005B2481">
      <w:pPr>
        <w:spacing w:before="240"/>
        <w:jc w:val="center"/>
        <w:rPr>
          <w:u w:val="single"/>
        </w:rPr>
      </w:pPr>
      <w:r w:rsidRPr="00AD549B">
        <w:rPr>
          <w:u w:val="single"/>
        </w:rPr>
        <w:tab/>
      </w:r>
      <w:r w:rsidRPr="00AD549B">
        <w:rPr>
          <w:u w:val="single"/>
        </w:rPr>
        <w:tab/>
      </w:r>
      <w:r w:rsidRPr="00AD549B">
        <w:rPr>
          <w:u w:val="single"/>
        </w:rPr>
        <w:tab/>
      </w:r>
    </w:p>
    <w:p w14:paraId="0E128D15" w14:textId="77777777" w:rsidR="00E12C5F" w:rsidRPr="008D53B6" w:rsidRDefault="00E12C5F" w:rsidP="00D9145B"/>
    <w:sectPr w:rsidR="00E12C5F" w:rsidRPr="008D53B6" w:rsidSect="005B248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99649" w14:textId="77777777" w:rsidR="00D04451" w:rsidRPr="00A312BC" w:rsidRDefault="00D04451" w:rsidP="00A312BC"/>
  </w:endnote>
  <w:endnote w:type="continuationSeparator" w:id="0">
    <w:p w14:paraId="147199A8" w14:textId="77777777" w:rsidR="00D04451" w:rsidRPr="00A312BC" w:rsidRDefault="00D0445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C133F" w14:textId="77777777" w:rsidR="005B2481" w:rsidRPr="005B2481" w:rsidRDefault="005B2481">
    <w:pPr>
      <w:pStyle w:val="Footer"/>
    </w:pPr>
    <w:r w:rsidRPr="005B2481">
      <w:rPr>
        <w:b/>
        <w:sz w:val="18"/>
      </w:rPr>
      <w:fldChar w:fldCharType="begin"/>
    </w:r>
    <w:r w:rsidRPr="005B2481">
      <w:rPr>
        <w:b/>
        <w:sz w:val="18"/>
      </w:rPr>
      <w:instrText xml:space="preserve"> PAGE  \* MERGEFORMAT </w:instrText>
    </w:r>
    <w:r w:rsidRPr="005B2481">
      <w:rPr>
        <w:b/>
        <w:sz w:val="18"/>
      </w:rPr>
      <w:fldChar w:fldCharType="separate"/>
    </w:r>
    <w:r w:rsidRPr="005B2481">
      <w:rPr>
        <w:b/>
        <w:noProof/>
        <w:sz w:val="18"/>
      </w:rPr>
      <w:t>2</w:t>
    </w:r>
    <w:r w:rsidRPr="005B2481">
      <w:rPr>
        <w:b/>
        <w:sz w:val="18"/>
      </w:rPr>
      <w:fldChar w:fldCharType="end"/>
    </w:r>
    <w:r>
      <w:rPr>
        <w:b/>
        <w:sz w:val="18"/>
      </w:rPr>
      <w:tab/>
    </w:r>
    <w:r>
      <w:t>GE.19-19456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4453B" w14:textId="77777777" w:rsidR="005B2481" w:rsidRPr="005B2481" w:rsidRDefault="005B2481" w:rsidP="005B2481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GE.19-19456</w:t>
    </w:r>
    <w:r>
      <w:tab/>
    </w:r>
    <w:r w:rsidRPr="005B2481">
      <w:rPr>
        <w:b/>
        <w:sz w:val="18"/>
      </w:rPr>
      <w:fldChar w:fldCharType="begin"/>
    </w:r>
    <w:r w:rsidRPr="005B2481">
      <w:rPr>
        <w:b/>
        <w:sz w:val="18"/>
      </w:rPr>
      <w:instrText xml:space="preserve"> PAGE  \* MERGEFORMAT </w:instrText>
    </w:r>
    <w:r w:rsidRPr="005B2481">
      <w:rPr>
        <w:b/>
        <w:sz w:val="18"/>
      </w:rPr>
      <w:fldChar w:fldCharType="separate"/>
    </w:r>
    <w:r w:rsidRPr="005B2481">
      <w:rPr>
        <w:b/>
        <w:noProof/>
        <w:sz w:val="18"/>
      </w:rPr>
      <w:t>3</w:t>
    </w:r>
    <w:r w:rsidRPr="005B248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39949" w14:textId="77777777" w:rsidR="00042B72" w:rsidRPr="005B2481" w:rsidRDefault="005B2481" w:rsidP="005B2481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B37B11" wp14:editId="25852DD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19-19456  (R)</w:t>
    </w:r>
    <w:r w:rsidR="00D33368">
      <w:t xml:space="preserve">  151119  181119</w:t>
    </w:r>
    <w:r>
      <w:br/>
    </w:r>
    <w:r w:rsidRPr="005B2481">
      <w:rPr>
        <w:rFonts w:ascii="C39T30Lfz" w:hAnsi="C39T30Lfz"/>
        <w:kern w:val="14"/>
        <w:sz w:val="56"/>
      </w:rPr>
      <w:t></w:t>
    </w:r>
    <w:r w:rsidRPr="005B2481">
      <w:rPr>
        <w:rFonts w:ascii="C39T30Lfz" w:hAnsi="C39T30Lfz"/>
        <w:kern w:val="14"/>
        <w:sz w:val="56"/>
      </w:rPr>
      <w:t></w:t>
    </w:r>
    <w:r w:rsidRPr="005B2481">
      <w:rPr>
        <w:rFonts w:ascii="C39T30Lfz" w:hAnsi="C39T30Lfz"/>
        <w:kern w:val="14"/>
        <w:sz w:val="56"/>
      </w:rPr>
      <w:t></w:t>
    </w:r>
    <w:r w:rsidRPr="005B2481">
      <w:rPr>
        <w:rFonts w:ascii="C39T30Lfz" w:hAnsi="C39T30Lfz"/>
        <w:kern w:val="14"/>
        <w:sz w:val="56"/>
      </w:rPr>
      <w:t></w:t>
    </w:r>
    <w:r w:rsidRPr="005B2481">
      <w:rPr>
        <w:rFonts w:ascii="C39T30Lfz" w:hAnsi="C39T30Lfz"/>
        <w:kern w:val="14"/>
        <w:sz w:val="56"/>
      </w:rPr>
      <w:t></w:t>
    </w:r>
    <w:r w:rsidRPr="005B2481">
      <w:rPr>
        <w:rFonts w:ascii="C39T30Lfz" w:hAnsi="C39T30Lfz"/>
        <w:kern w:val="14"/>
        <w:sz w:val="56"/>
      </w:rPr>
      <w:t></w:t>
    </w:r>
    <w:r w:rsidRPr="005B2481">
      <w:rPr>
        <w:rFonts w:ascii="C39T30Lfz" w:hAnsi="C39T30Lfz"/>
        <w:kern w:val="14"/>
        <w:sz w:val="56"/>
      </w:rPr>
      <w:t></w:t>
    </w:r>
    <w:r w:rsidRPr="005B2481">
      <w:rPr>
        <w:rFonts w:ascii="C39T30Lfz" w:hAnsi="C39T30Lfz"/>
        <w:kern w:val="14"/>
        <w:sz w:val="56"/>
      </w:rPr>
      <w:t></w:t>
    </w:r>
    <w:r w:rsidRPr="005B2481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13B8152" wp14:editId="62DCEAD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20/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20/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3E4B0" w14:textId="77777777" w:rsidR="00D04451" w:rsidRPr="001075E9" w:rsidRDefault="00D0445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5B23BF0" w14:textId="77777777" w:rsidR="00D04451" w:rsidRDefault="00D0445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02977CB" w14:textId="77777777" w:rsidR="005B2481" w:rsidRPr="00AD549B" w:rsidRDefault="005B2481" w:rsidP="004A35F2">
      <w:pPr>
        <w:pStyle w:val="FootnoteText"/>
        <w:spacing w:line="210" w:lineRule="exact"/>
        <w:rPr>
          <w:szCs w:val="18"/>
        </w:rPr>
      </w:pPr>
      <w:r>
        <w:tab/>
      </w:r>
      <w:r w:rsidRPr="002C55EB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</w:t>
      </w:r>
      <w:r w:rsidR="00D33368">
        <w:t>/</w:t>
      </w:r>
      <w:r>
        <w:t>ZKR/ADN/WP.15/AC.2/2020/7.</w:t>
      </w:r>
    </w:p>
  </w:footnote>
  <w:footnote w:id="2">
    <w:p w14:paraId="61E59590" w14:textId="77777777" w:rsidR="005B2481" w:rsidRPr="00AD549B" w:rsidRDefault="005B2481" w:rsidP="004A35F2">
      <w:pPr>
        <w:pStyle w:val="FootnoteText"/>
        <w:spacing w:line="210" w:lineRule="exact"/>
      </w:pPr>
      <w:r>
        <w:tab/>
      </w:r>
      <w:r w:rsidRPr="002C55EB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2018</w:t>
      </w:r>
      <w:r w:rsidR="002C55EB">
        <w:t>–</w:t>
      </w:r>
      <w:r>
        <w:t>2019 годы (ECE/TRANS/2018/21/Add.1, направление деятельности 9.3).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34412" w14:textId="2076E90B" w:rsidR="005B2481" w:rsidRPr="005B2481" w:rsidRDefault="00185EE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ECE/TRANS/WP.15/AC.2/2020/7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AE68D" w14:textId="2F0FB814" w:rsidR="005B2481" w:rsidRPr="005B2481" w:rsidRDefault="00185EE8" w:rsidP="005B248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ECE/TRANS/WP.15/AC.2/2020/7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5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5EE8"/>
    <w:rsid w:val="0018649F"/>
    <w:rsid w:val="00196389"/>
    <w:rsid w:val="001A350E"/>
    <w:rsid w:val="001B3EF6"/>
    <w:rsid w:val="001C7A89"/>
    <w:rsid w:val="001D40CB"/>
    <w:rsid w:val="00255343"/>
    <w:rsid w:val="0027151D"/>
    <w:rsid w:val="002A2EFC"/>
    <w:rsid w:val="002B0106"/>
    <w:rsid w:val="002B74B1"/>
    <w:rsid w:val="002C0E18"/>
    <w:rsid w:val="002C55EB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0C81"/>
    <w:rsid w:val="003958D0"/>
    <w:rsid w:val="003A0D43"/>
    <w:rsid w:val="003A48CE"/>
    <w:rsid w:val="003B00E5"/>
    <w:rsid w:val="003C726E"/>
    <w:rsid w:val="003E0B46"/>
    <w:rsid w:val="00407B78"/>
    <w:rsid w:val="00424203"/>
    <w:rsid w:val="00452493"/>
    <w:rsid w:val="00453318"/>
    <w:rsid w:val="00454AF2"/>
    <w:rsid w:val="00454E07"/>
    <w:rsid w:val="00472C5C"/>
    <w:rsid w:val="004A35F2"/>
    <w:rsid w:val="004E05B7"/>
    <w:rsid w:val="004F10D1"/>
    <w:rsid w:val="0050108D"/>
    <w:rsid w:val="00513081"/>
    <w:rsid w:val="00517901"/>
    <w:rsid w:val="00526683"/>
    <w:rsid w:val="00561360"/>
    <w:rsid w:val="005639C1"/>
    <w:rsid w:val="005709E0"/>
    <w:rsid w:val="00572E19"/>
    <w:rsid w:val="005961C8"/>
    <w:rsid w:val="005966F1"/>
    <w:rsid w:val="005B2481"/>
    <w:rsid w:val="005D7914"/>
    <w:rsid w:val="005E2B41"/>
    <w:rsid w:val="005F0B42"/>
    <w:rsid w:val="00617A43"/>
    <w:rsid w:val="006345DB"/>
    <w:rsid w:val="00640F49"/>
    <w:rsid w:val="006770B5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A77FD"/>
    <w:rsid w:val="00CB151C"/>
    <w:rsid w:val="00CE5A1A"/>
    <w:rsid w:val="00CF55F6"/>
    <w:rsid w:val="00D04451"/>
    <w:rsid w:val="00D33368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A5C9B"/>
    <w:rsid w:val="00ED0BDA"/>
    <w:rsid w:val="00EE142A"/>
    <w:rsid w:val="00EF1360"/>
    <w:rsid w:val="00EF3220"/>
    <w:rsid w:val="00F12EA1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37A74E"/>
  <w15:docId w15:val="{F1BC18E6-7C9F-43FD-B333-8359474B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5B2481"/>
    <w:rPr>
      <w:lang w:val="ru-RU" w:eastAsia="en-US"/>
    </w:rPr>
  </w:style>
  <w:style w:type="character" w:customStyle="1" w:styleId="HChGChar">
    <w:name w:val="_ H _Ch_G Char"/>
    <w:link w:val="HChG"/>
    <w:rsid w:val="005B2481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1460</Words>
  <Characters>8324</Characters>
  <Application>Microsoft Office Word</Application>
  <DocSecurity>0</DocSecurity>
  <Lines>69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ECE/TRANS/WP.15/AC.2/2020/7</vt:lpstr>
      <vt:lpstr>ECE/TRANS/WP.15/AC.2/2020/7</vt:lpstr>
      <vt:lpstr>A/</vt:lpstr>
    </vt:vector>
  </TitlesOfParts>
  <Company>DCM</Company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ECE/TRANS/WP.15/AC.2/2020/7</dc:title>
  <dc:subject/>
  <dc:creator>Uliana ANTIPOVA</dc:creator>
  <cp:keywords/>
  <cp:lastModifiedBy>Marie-Claude Collet</cp:lastModifiedBy>
  <cp:revision>3</cp:revision>
  <cp:lastPrinted>2019-12-02T14:13:00Z</cp:lastPrinted>
  <dcterms:created xsi:type="dcterms:W3CDTF">2019-12-02T14:13:00Z</dcterms:created>
  <dcterms:modified xsi:type="dcterms:W3CDTF">2019-12-02T14:13:00Z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