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4862F861" w:rsidR="00277F70" w:rsidRPr="009C033F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492DCC">
        <w:rPr>
          <w:rFonts w:ascii="Arial" w:eastAsia="Arial" w:hAnsi="Arial" w:cs="Arial"/>
          <w:bCs/>
          <w:szCs w:val="24"/>
          <w:lang w:val="en-GB" w:eastAsia="de-DE"/>
        </w:rPr>
        <w:t>26</w:t>
      </w:r>
    </w:p>
    <w:p w14:paraId="20DAC2EC" w14:textId="77777777" w:rsidR="00277F70" w:rsidRPr="00B041A6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6F5F1A1A" w:rsidR="00277F70" w:rsidRPr="00B041A6" w:rsidRDefault="00492DCC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29</w:t>
      </w:r>
      <w:r w:rsidR="00277F70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Mai</w:t>
      </w:r>
      <w:r w:rsidR="00277F70">
        <w:rPr>
          <w:rFonts w:ascii="Arial" w:eastAsia="Arial" w:hAnsi="Arial" w:cs="Arial"/>
          <w:szCs w:val="24"/>
          <w:lang w:eastAsia="de-DE"/>
        </w:rPr>
        <w:t xml:space="preserve"> 20</w:t>
      </w:r>
      <w:r w:rsidR="003F5E68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77777777" w:rsidR="00277F70" w:rsidRPr="00B041A6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14:paraId="3CEACF79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820ADF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7B0990D9" w:rsidR="00277F70" w:rsidRPr="00B041A6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</w:t>
      </w:r>
      <w:r w:rsidR="003F5E68">
        <w:rPr>
          <w:rFonts w:ascii="Arial" w:hAnsi="Arial"/>
          <w:sz w:val="16"/>
          <w:szCs w:val="24"/>
        </w:rPr>
        <w:t>7</w:t>
      </w:r>
      <w:r w:rsidRPr="00B041A6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</w:t>
      </w:r>
      <w:r w:rsidR="00222245">
        <w:rPr>
          <w:rFonts w:ascii="Arial" w:hAnsi="Arial"/>
          <w:sz w:val="16"/>
          <w:szCs w:val="24"/>
        </w:rPr>
        <w:t>4</w:t>
      </w:r>
      <w:r>
        <w:rPr>
          <w:rFonts w:ascii="Arial" w:hAnsi="Arial"/>
          <w:sz w:val="16"/>
          <w:szCs w:val="24"/>
        </w:rPr>
        <w:t>.</w:t>
      </w:r>
      <w:r w:rsidR="000B2B01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-</w:t>
      </w:r>
      <w:r w:rsidR="000B2B01">
        <w:rPr>
          <w:rFonts w:ascii="Arial" w:hAnsi="Arial"/>
          <w:sz w:val="16"/>
          <w:szCs w:val="24"/>
        </w:rPr>
        <w:t xml:space="preserve"> </w:t>
      </w:r>
      <w:r w:rsidR="00222245">
        <w:rPr>
          <w:rFonts w:ascii="Arial" w:hAnsi="Arial"/>
          <w:sz w:val="16"/>
          <w:szCs w:val="24"/>
        </w:rPr>
        <w:t>28</w:t>
      </w:r>
      <w:r>
        <w:rPr>
          <w:rFonts w:ascii="Arial" w:hAnsi="Arial"/>
          <w:sz w:val="16"/>
          <w:szCs w:val="24"/>
        </w:rPr>
        <w:t xml:space="preserve">. </w:t>
      </w:r>
      <w:r w:rsidR="00222245">
        <w:rPr>
          <w:rFonts w:ascii="Arial" w:hAnsi="Arial"/>
          <w:sz w:val="16"/>
          <w:szCs w:val="24"/>
        </w:rPr>
        <w:t>August</w:t>
      </w:r>
      <w:r>
        <w:rPr>
          <w:rFonts w:ascii="Arial" w:hAnsi="Arial"/>
          <w:sz w:val="16"/>
          <w:szCs w:val="24"/>
        </w:rPr>
        <w:t xml:space="preserve"> 2020</w:t>
      </w:r>
      <w:r w:rsidRPr="00B041A6">
        <w:rPr>
          <w:rFonts w:ascii="Arial" w:hAnsi="Arial"/>
          <w:sz w:val="16"/>
          <w:szCs w:val="24"/>
        </w:rPr>
        <w:t>)</w:t>
      </w:r>
    </w:p>
    <w:p w14:paraId="19D0F3FB" w14:textId="7A56A61B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492DCC">
        <w:rPr>
          <w:rFonts w:ascii="Arial" w:hAnsi="Arial" w:cs="Arial"/>
          <w:sz w:val="16"/>
          <w:szCs w:val="16"/>
          <w:lang w:eastAsia="en-US"/>
        </w:rPr>
        <w:t>3 c)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5FC28D92" w14:textId="77777777" w:rsidR="00492DCC" w:rsidRPr="00181D29" w:rsidRDefault="00492DCC" w:rsidP="00492DCC">
      <w:pPr>
        <w:widowControl/>
        <w:tabs>
          <w:tab w:val="left" w:pos="2977"/>
        </w:tabs>
        <w:overflowPunct/>
        <w:autoSpaceDE/>
        <w:autoSpaceDN/>
        <w:adjustRightInd/>
        <w:ind w:left="3969" w:firstLine="0"/>
        <w:jc w:val="left"/>
        <w:textAlignment w:val="auto"/>
        <w:rPr>
          <w:rFonts w:ascii="Arial" w:hAnsi="Arial" w:cs="Arial"/>
          <w:b/>
          <w:snapToGrid w:val="0"/>
          <w:sz w:val="16"/>
          <w:szCs w:val="16"/>
        </w:rPr>
      </w:pPr>
      <w:r w:rsidRPr="00181D29">
        <w:rPr>
          <w:rFonts w:ascii="Arial" w:hAnsi="Arial" w:cs="Arial"/>
          <w:b/>
          <w:snapToGrid w:val="0"/>
          <w:sz w:val="16"/>
          <w:szCs w:val="16"/>
        </w:rPr>
        <w:t>Durchführung des Europäischen Übereinkommens über die internationale Beförderung von gefährlichen Gütern auf Binnenwasserstraßen (ADN)</w:t>
      </w:r>
    </w:p>
    <w:p w14:paraId="45BDFE98" w14:textId="77777777" w:rsidR="00492DCC" w:rsidRPr="00181D29" w:rsidRDefault="00492DCC" w:rsidP="00492DCC">
      <w:pPr>
        <w:widowControl/>
        <w:tabs>
          <w:tab w:val="left" w:pos="2977"/>
        </w:tabs>
        <w:overflowPunct/>
        <w:autoSpaceDE/>
        <w:autoSpaceDN/>
        <w:adjustRightInd/>
        <w:ind w:left="3969" w:firstLine="0"/>
        <w:jc w:val="left"/>
        <w:textAlignment w:val="auto"/>
        <w:rPr>
          <w:rFonts w:ascii="Arial" w:hAnsi="Arial" w:cs="Arial"/>
          <w:b/>
          <w:snapToGrid w:val="0"/>
          <w:sz w:val="16"/>
          <w:szCs w:val="16"/>
        </w:rPr>
      </w:pPr>
      <w:r w:rsidRPr="00181D29">
        <w:rPr>
          <w:rFonts w:ascii="Arial" w:hAnsi="Arial" w:cs="Arial"/>
          <w:b/>
          <w:snapToGrid w:val="0"/>
          <w:sz w:val="16"/>
          <w:szCs w:val="16"/>
        </w:rPr>
        <w:t>Auslegung der dem ADN beigefügten Verordnung</w:t>
      </w:r>
    </w:p>
    <w:p w14:paraId="225D912B" w14:textId="5DD6AB9C" w:rsidR="001F57B6" w:rsidRDefault="001F57B6" w:rsidP="00722B3E">
      <w:pPr>
        <w:widowControl/>
        <w:suppressAutoHyphens/>
        <w:overflowPunct/>
        <w:autoSpaceDE/>
        <w:autoSpaceDN/>
        <w:adjustRightInd/>
        <w:spacing w:before="360" w:line="300" w:lineRule="exact"/>
        <w:ind w:right="1134" w:firstLine="0"/>
        <w:textAlignment w:val="auto"/>
        <w:rPr>
          <w:b/>
          <w:bCs/>
          <w:snapToGrid w:val="0"/>
          <w:sz w:val="28"/>
          <w:szCs w:val="24"/>
        </w:rPr>
      </w:pPr>
    </w:p>
    <w:p w14:paraId="3EB99905" w14:textId="3A13BD9A" w:rsidR="00722B3E" w:rsidRPr="00722B3E" w:rsidRDefault="00722B3E" w:rsidP="00722B3E">
      <w:pPr>
        <w:widowControl/>
        <w:suppressAutoHyphens/>
        <w:overflowPunct/>
        <w:autoSpaceDE/>
        <w:autoSpaceDN/>
        <w:adjustRightInd/>
        <w:spacing w:before="360" w:line="300" w:lineRule="exact"/>
        <w:ind w:right="1134" w:firstLine="0"/>
        <w:textAlignment w:val="auto"/>
        <w:rPr>
          <w:b/>
          <w:bCs/>
          <w:snapToGrid w:val="0"/>
          <w:sz w:val="28"/>
          <w:szCs w:val="24"/>
        </w:rPr>
      </w:pPr>
      <w:r w:rsidRPr="00722B3E">
        <w:rPr>
          <w:b/>
          <w:bCs/>
          <w:snapToGrid w:val="0"/>
          <w:sz w:val="28"/>
          <w:szCs w:val="24"/>
        </w:rPr>
        <w:t>Unterabschnitt 3.2.3.2 ADN Tabelle C, UN 1999</w:t>
      </w:r>
    </w:p>
    <w:p w14:paraId="0F4690A8" w14:textId="77777777" w:rsidR="00722B3E" w:rsidRPr="00722B3E" w:rsidRDefault="00722B3E" w:rsidP="00722B3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/>
          <w:snapToGrid w:val="0"/>
          <w:szCs w:val="24"/>
        </w:rPr>
      </w:pPr>
    </w:p>
    <w:p w14:paraId="3F9B00A3" w14:textId="387440D7" w:rsidR="00905C07" w:rsidRDefault="00905C07" w:rsidP="00722B3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snapToGrid w:val="0"/>
        </w:rPr>
      </w:pPr>
    </w:p>
    <w:p w14:paraId="06F74DC1" w14:textId="77777777" w:rsidR="00905C07" w:rsidRPr="00B041A6" w:rsidRDefault="00905C07" w:rsidP="0063033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after="120" w:line="240" w:lineRule="atLeast"/>
        <w:ind w:right="567" w:firstLine="0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 xml:space="preserve">Vorgelegt von </w:t>
      </w:r>
      <w:r>
        <w:rPr>
          <w:b/>
          <w:sz w:val="24"/>
        </w:rPr>
        <w:t>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14:paraId="5EE8377E" w14:textId="0DA5D03E" w:rsidR="00905C07" w:rsidRDefault="00905C07" w:rsidP="00722B3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snapToGrid w:val="0"/>
        </w:rPr>
      </w:pPr>
    </w:p>
    <w:p w14:paraId="2D328A7B" w14:textId="77777777" w:rsidR="00905C07" w:rsidRPr="00722B3E" w:rsidRDefault="00905C07" w:rsidP="00722B3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snapToGrid w:val="0"/>
        </w:rPr>
      </w:pPr>
    </w:p>
    <w:p w14:paraId="2DE8F451" w14:textId="77777777" w:rsidR="00722B3E" w:rsidRPr="00722B3E" w:rsidRDefault="00722B3E" w:rsidP="00722B3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snapToGrid w:val="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722B3E" w:rsidRPr="00722B3E" w14:paraId="57707B33" w14:textId="77777777" w:rsidTr="00AF01D9">
        <w:trPr>
          <w:jc w:val="center"/>
        </w:trPr>
        <w:tc>
          <w:tcPr>
            <w:tcW w:w="2330" w:type="dxa"/>
            <w:tcBorders>
              <w:bottom w:val="single" w:sz="4" w:space="0" w:color="auto"/>
            </w:tcBorders>
          </w:tcPr>
          <w:p w14:paraId="5CF19E91" w14:textId="77777777" w:rsidR="00722B3E" w:rsidRPr="00722B3E" w:rsidRDefault="00722B3E" w:rsidP="00722B3E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722B3E">
              <w:rPr>
                <w:rFonts w:eastAsia="Arial"/>
                <w:i/>
                <w:snapToGrid w:val="0"/>
                <w:lang w:eastAsia="en-US"/>
              </w:rPr>
              <w:tab/>
              <w:t>Zusammenfassung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14:paraId="3C5D0408" w14:textId="77777777" w:rsidR="00722B3E" w:rsidRPr="00722B3E" w:rsidRDefault="00722B3E" w:rsidP="00722B3E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722B3E" w:rsidRPr="00722B3E" w14:paraId="0D52C854" w14:textId="77777777" w:rsidTr="00AF01D9">
        <w:trPr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AA2" w14:textId="77777777" w:rsidR="00722B3E" w:rsidRPr="00722B3E" w:rsidRDefault="00722B3E" w:rsidP="00722B3E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722B3E">
              <w:rPr>
                <w:b/>
                <w:snapToGrid w:val="0"/>
                <w:lang w:eastAsia="en-US"/>
              </w:rPr>
              <w:tab/>
              <w:t xml:space="preserve">Analytische </w:t>
            </w:r>
            <w:r w:rsidRPr="00722B3E">
              <w:rPr>
                <w:b/>
                <w:snapToGrid w:val="0"/>
                <w:lang w:eastAsia="en-US"/>
              </w:rPr>
              <w:tab/>
              <w:t>Zusammenfassung: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D09ED" w14:textId="77777777" w:rsidR="00722B3E" w:rsidRPr="00722B3E" w:rsidRDefault="00722B3E" w:rsidP="001C7AEC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textAlignment w:val="auto"/>
              <w:rPr>
                <w:rFonts w:cs="Arial"/>
                <w:snapToGrid w:val="0"/>
              </w:rPr>
            </w:pPr>
            <w:r w:rsidRPr="00722B3E">
              <w:rPr>
                <w:rFonts w:cs="Arial"/>
                <w:snapToGrid w:val="0"/>
              </w:rPr>
              <w:t>Der Eintrag für UN 1999 ist nicht stimmig. Für einen Ladetanktyp N offen wird Explosionsschutz gefordert.</w:t>
            </w:r>
          </w:p>
        </w:tc>
      </w:tr>
      <w:tr w:rsidR="00722B3E" w:rsidRPr="00722B3E" w14:paraId="7E33133F" w14:textId="77777777" w:rsidTr="00AF01D9">
        <w:trPr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27A" w14:textId="77777777" w:rsidR="00722B3E" w:rsidRPr="00722B3E" w:rsidRDefault="00722B3E" w:rsidP="00722B3E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b/>
                <w:snapToGrid w:val="0"/>
                <w:lang w:eastAsia="en-US"/>
              </w:rPr>
            </w:pPr>
            <w:r w:rsidRPr="00722B3E">
              <w:rPr>
                <w:b/>
                <w:snapToGrid w:val="0"/>
                <w:lang w:eastAsia="en-US"/>
              </w:rPr>
              <w:tab/>
              <w:t xml:space="preserve">Zu ergreifende </w:t>
            </w:r>
            <w:r w:rsidRPr="00722B3E">
              <w:rPr>
                <w:b/>
                <w:snapToGrid w:val="0"/>
                <w:lang w:eastAsia="en-US"/>
              </w:rPr>
              <w:tab/>
              <w:t>Maßnahme: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D27F" w14:textId="77777777" w:rsidR="00722B3E" w:rsidRPr="00722B3E" w:rsidRDefault="00722B3E" w:rsidP="001C7AEC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textAlignment w:val="auto"/>
              <w:rPr>
                <w:snapToGrid w:val="0"/>
                <w:lang w:eastAsia="en-US"/>
              </w:rPr>
            </w:pPr>
            <w:r w:rsidRPr="00722B3E">
              <w:rPr>
                <w:snapToGrid w:val="0"/>
                <w:lang w:eastAsia="en-US"/>
              </w:rPr>
              <w:t>Die Informelle Arbeitsgruppe „Stoffe“ könnten darum gebeten werden, die Beförderungsbedingungen zu überprüfen.</w:t>
            </w:r>
          </w:p>
        </w:tc>
      </w:tr>
      <w:tr w:rsidR="00722B3E" w:rsidRPr="00722B3E" w14:paraId="01AC5CBE" w14:textId="77777777" w:rsidTr="00AF01D9">
        <w:trPr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22D" w14:textId="77777777" w:rsidR="00722B3E" w:rsidRPr="00722B3E" w:rsidRDefault="00722B3E" w:rsidP="00722B3E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b/>
                <w:snapToGrid w:val="0"/>
                <w:lang w:eastAsia="en-US"/>
              </w:rPr>
            </w:pPr>
            <w:r w:rsidRPr="00722B3E">
              <w:rPr>
                <w:b/>
                <w:snapToGrid w:val="0"/>
                <w:lang w:eastAsia="en-US"/>
              </w:rPr>
              <w:tab/>
              <w:t xml:space="preserve">Verbundene </w:t>
            </w:r>
            <w:r w:rsidRPr="00722B3E">
              <w:rPr>
                <w:b/>
                <w:snapToGrid w:val="0"/>
                <w:lang w:eastAsia="en-US"/>
              </w:rPr>
              <w:tab/>
              <w:t>Dokumente: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B3D53" w14:textId="77777777" w:rsidR="00722B3E" w:rsidRPr="00722B3E" w:rsidRDefault="00722B3E" w:rsidP="00722B3E">
            <w:pPr>
              <w:widowControl/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snapToGrid w:val="0"/>
                <w:lang w:eastAsia="en-US"/>
              </w:rPr>
            </w:pPr>
            <w:r w:rsidRPr="00722B3E">
              <w:rPr>
                <w:snapToGrid w:val="0"/>
                <w:lang w:eastAsia="en-US"/>
              </w:rPr>
              <w:t>Keine</w:t>
            </w:r>
          </w:p>
        </w:tc>
      </w:tr>
    </w:tbl>
    <w:p w14:paraId="4C6E925B" w14:textId="77777777" w:rsidR="00722B3E" w:rsidRPr="00722B3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48F182C7" w14:textId="77777777" w:rsidR="00722B3E" w:rsidRPr="00722B3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7432F557" w14:textId="77777777" w:rsidR="00722B3E" w:rsidRPr="006C1F9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snapToGrid w:val="0"/>
          <w:sz w:val="28"/>
          <w:szCs w:val="28"/>
        </w:rPr>
      </w:pPr>
      <w:r w:rsidRPr="006C1F9E">
        <w:rPr>
          <w:b/>
          <w:snapToGrid w:val="0"/>
          <w:sz w:val="28"/>
          <w:szCs w:val="28"/>
        </w:rPr>
        <w:t>Einleitung</w:t>
      </w:r>
    </w:p>
    <w:p w14:paraId="61FAFDC5" w14:textId="77777777" w:rsidR="00722B3E" w:rsidRPr="00722B3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74E64F72" w14:textId="1883AEBA" w:rsidR="00722B3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  <w:r w:rsidRPr="00722B3E">
        <w:rPr>
          <w:rFonts w:cs="Arial"/>
          <w:bCs/>
          <w:snapToGrid w:val="0"/>
        </w:rPr>
        <w:t>1.</w:t>
      </w:r>
      <w:r w:rsidRPr="00722B3E">
        <w:rPr>
          <w:rFonts w:cs="Arial"/>
          <w:bCs/>
          <w:snapToGrid w:val="0"/>
        </w:rPr>
        <w:tab/>
        <w:t xml:space="preserve">Nach Tabelle C dürfen Stoffe der UN-Nummer 1999 </w:t>
      </w:r>
      <w:r w:rsidRPr="00722B3E">
        <w:rPr>
          <w:snapToGrid w:val="0"/>
        </w:rPr>
        <w:t>TEERE, FLÜSSIG einschließlich Straßenöle und Cutback-Bitumen (</w:t>
      </w:r>
      <w:proofErr w:type="spellStart"/>
      <w:r w:rsidRPr="00722B3E">
        <w:rPr>
          <w:snapToGrid w:val="0"/>
        </w:rPr>
        <w:t>Verschnittbitumen</w:t>
      </w:r>
      <w:proofErr w:type="spellEnd"/>
      <w:r w:rsidRPr="00722B3E">
        <w:rPr>
          <w:snapToGrid w:val="0"/>
        </w:rPr>
        <w:t>) in Schiffen mit Ladetanks N-offen ohne Flammendurchschlagsicherung (oder freiwillig höherwertig) befördert werden.</w:t>
      </w:r>
    </w:p>
    <w:p w14:paraId="0ED2D6FC" w14:textId="77777777" w:rsidR="00722B3E" w:rsidRPr="00722B3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3E95301D" w14:textId="77777777" w:rsidR="006C1F9E" w:rsidRDefault="006C1F9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14:paraId="2D8B1041" w14:textId="2453D167" w:rsidR="00722B3E" w:rsidRPr="00722B3E" w:rsidRDefault="00722B3E" w:rsidP="00722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snapToGrid w:val="0"/>
        </w:rPr>
      </w:pPr>
      <w:r w:rsidRPr="00722B3E">
        <w:rPr>
          <w:snapToGrid w:val="0"/>
        </w:rPr>
        <w:lastRenderedPageBreak/>
        <w:t>In Spalte (17) der Tabelle C wird für die Beförderung dieses Stoffes aber auch Explosionsschutz gefordert.</w:t>
      </w:r>
    </w:p>
    <w:p w14:paraId="4AFB58B1" w14:textId="14BAF5AA" w:rsidR="00722B3E" w:rsidRDefault="00722B3E" w:rsidP="00722B3E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snapToGrid w:val="0"/>
        </w:rPr>
      </w:pPr>
    </w:p>
    <w:p w14:paraId="636F2A56" w14:textId="77777777" w:rsidR="006C1F9E" w:rsidRPr="00722B3E" w:rsidRDefault="006C1F9E" w:rsidP="00722B3E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snapToGrid w:val="0"/>
        </w:rPr>
      </w:pPr>
    </w:p>
    <w:p w14:paraId="2786584B" w14:textId="77777777" w:rsidR="00722B3E" w:rsidRPr="006C1F9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snapToGrid w:val="0"/>
          <w:sz w:val="28"/>
          <w:szCs w:val="28"/>
        </w:rPr>
      </w:pPr>
      <w:r w:rsidRPr="006C1F9E">
        <w:rPr>
          <w:b/>
          <w:snapToGrid w:val="0"/>
          <w:sz w:val="28"/>
          <w:szCs w:val="28"/>
        </w:rPr>
        <w:t>Vorschlag</w:t>
      </w:r>
    </w:p>
    <w:p w14:paraId="67F5EE7D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60CB28EB" w14:textId="0C344414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snapToGrid w:val="0"/>
        </w:rPr>
      </w:pPr>
      <w:r w:rsidRPr="00722B3E">
        <w:rPr>
          <w:rFonts w:cs="Arial"/>
          <w:snapToGrid w:val="0"/>
        </w:rPr>
        <w:t>2.</w:t>
      </w:r>
      <w:r w:rsidRPr="00722B3E">
        <w:rPr>
          <w:rFonts w:cs="Arial"/>
          <w:snapToGrid w:val="0"/>
        </w:rPr>
        <w:tab/>
        <w:t xml:space="preserve">Die Informelle Arbeitsgruppe </w:t>
      </w:r>
      <w:r w:rsidR="006C1F9E">
        <w:rPr>
          <w:rFonts w:cs="Arial"/>
          <w:snapToGrid w:val="0"/>
        </w:rPr>
        <w:t>„</w:t>
      </w:r>
      <w:r w:rsidRPr="00722B3E">
        <w:rPr>
          <w:rFonts w:cs="Arial"/>
          <w:snapToGrid w:val="0"/>
        </w:rPr>
        <w:t>Stoffe</w:t>
      </w:r>
      <w:r w:rsidR="006C1F9E">
        <w:rPr>
          <w:rFonts w:cs="Arial"/>
          <w:snapToGrid w:val="0"/>
        </w:rPr>
        <w:t>“</w:t>
      </w:r>
      <w:r w:rsidRPr="00722B3E">
        <w:rPr>
          <w:rFonts w:cs="Arial"/>
          <w:snapToGrid w:val="0"/>
        </w:rPr>
        <w:t xml:space="preserve"> könnte das Mandat erhalten, die Festlegung der Beförderungsbedingungen für UN 1999 zu überprüfen, den Eintrag zu bestätigen oder wenn erforderlich dem ADN-Sicherheitsausschuss die nötigen Änderungen vorzuschlagen.</w:t>
      </w:r>
    </w:p>
    <w:p w14:paraId="6CEDB4B5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snapToGrid w:val="0"/>
        </w:rPr>
      </w:pPr>
    </w:p>
    <w:p w14:paraId="763A6ED3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</w:p>
    <w:p w14:paraId="3ABA8439" w14:textId="77777777" w:rsidR="00722B3E" w:rsidRPr="006C1F9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snapToGrid w:val="0"/>
          <w:sz w:val="28"/>
          <w:szCs w:val="28"/>
        </w:rPr>
      </w:pPr>
      <w:r w:rsidRPr="006C1F9E">
        <w:rPr>
          <w:b/>
          <w:snapToGrid w:val="0"/>
          <w:sz w:val="28"/>
          <w:szCs w:val="28"/>
        </w:rPr>
        <w:t>Begründung</w:t>
      </w:r>
    </w:p>
    <w:p w14:paraId="206F4405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  <w:sz w:val="24"/>
          <w:szCs w:val="24"/>
        </w:rPr>
      </w:pPr>
    </w:p>
    <w:p w14:paraId="679127F7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  <w:r w:rsidRPr="00722B3E">
        <w:rPr>
          <w:rFonts w:cs="Arial"/>
          <w:bCs/>
          <w:snapToGrid w:val="0"/>
        </w:rPr>
        <w:t>3.</w:t>
      </w:r>
      <w:r w:rsidRPr="00722B3E">
        <w:rPr>
          <w:rFonts w:cs="Arial"/>
          <w:bCs/>
          <w:snapToGrid w:val="0"/>
        </w:rPr>
        <w:tab/>
        <w:t>Die Beförderungsbedingungen für UN 1999 sind widersprüchlich, sodass die Auswahl geeigneter Schiffe möglicherweise Probleme bereitet.</w:t>
      </w:r>
    </w:p>
    <w:p w14:paraId="46B718C1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</w:p>
    <w:p w14:paraId="793D7EC6" w14:textId="6640E2D9" w:rsid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  <w:r w:rsidRPr="00722B3E">
        <w:rPr>
          <w:rFonts w:cs="Arial"/>
          <w:bCs/>
          <w:snapToGrid w:val="0"/>
        </w:rPr>
        <w:t>4.</w:t>
      </w:r>
      <w:r w:rsidRPr="00722B3E">
        <w:rPr>
          <w:rFonts w:cs="Arial"/>
          <w:bCs/>
          <w:snapToGrid w:val="0"/>
        </w:rPr>
        <w:tab/>
        <w:t>Eine erste fachtechnische Bewertung ergibt, dass die Gemische und Produkte unter UN 1999 Nach ihren physikalisch-chemischen Eigenschaften stets entzündbare flüssige Stoffe mit einem Flammpunkt unterhalb 60°C sind und sie möglicherweise auch erwärmt befördert werden.</w:t>
      </w:r>
    </w:p>
    <w:p w14:paraId="35D54AB2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</w:p>
    <w:p w14:paraId="473569E4" w14:textId="4A11F849" w:rsidR="00722B3E" w:rsidRPr="00722B3E" w:rsidRDefault="00492DCC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5.</w:t>
      </w:r>
      <w:r>
        <w:rPr>
          <w:rFonts w:cs="Arial"/>
          <w:bCs/>
          <w:snapToGrid w:val="0"/>
        </w:rPr>
        <w:tab/>
      </w:r>
      <w:r w:rsidR="00722B3E" w:rsidRPr="00722B3E">
        <w:rPr>
          <w:rFonts w:cs="Arial"/>
          <w:bCs/>
          <w:snapToGrid w:val="0"/>
        </w:rPr>
        <w:t>Für die Beförderung im Binnenschiff ergäbe sich daher eine Zuordnung des Ladetanktyps 3 „Offen mit Flammendurchschlagsicherung“ (in Spalte 7) beim Schiffstyp N.</w:t>
      </w:r>
    </w:p>
    <w:p w14:paraId="672C2252" w14:textId="77777777" w:rsidR="00722B3E" w:rsidRPr="00722B3E" w:rsidRDefault="00722B3E" w:rsidP="001C7AE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rFonts w:cs="Arial"/>
          <w:bCs/>
          <w:snapToGrid w:val="0"/>
        </w:rPr>
      </w:pPr>
    </w:p>
    <w:p w14:paraId="232DA378" w14:textId="77777777" w:rsidR="00722B3E" w:rsidRPr="00722B3E" w:rsidRDefault="00722B3E" w:rsidP="001C7AEC">
      <w:pPr>
        <w:widowControl/>
        <w:suppressAutoHyphens/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  <w:rPr>
          <w:snapToGrid w:val="0"/>
        </w:rPr>
      </w:pPr>
      <w:r w:rsidRPr="00722B3E">
        <w:rPr>
          <w:snapToGrid w:val="0"/>
        </w:rPr>
        <w:t>***</w:t>
      </w:r>
    </w:p>
    <w:sectPr w:rsidR="00722B3E" w:rsidRPr="00722B3E" w:rsidSect="00D367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740AFB06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492DCC">
      <w:rPr>
        <w:rFonts w:ascii="Arial" w:hAnsi="Arial"/>
        <w:noProof/>
        <w:snapToGrid w:val="0"/>
        <w:sz w:val="12"/>
        <w:szCs w:val="24"/>
        <w:lang w:val="en-US"/>
      </w:rPr>
      <w:t>26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736DF9FA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E66ED">
      <w:rPr>
        <w:rFonts w:ascii="Arial" w:hAnsi="Arial"/>
        <w:noProof/>
        <w:snapToGrid w:val="0"/>
        <w:sz w:val="12"/>
        <w:szCs w:val="24"/>
        <w:lang w:val="en-US"/>
      </w:rPr>
      <w:t>0</w:t>
    </w:r>
    <w:r w:rsidR="000D45A5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586E9A03" w14:textId="34F4C8EC" w:rsidR="00905C07" w:rsidRPr="00B041A6" w:rsidRDefault="00905C07" w:rsidP="00905C07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492DCC">
        <w:rPr>
          <w:sz w:val="16"/>
          <w:szCs w:val="16"/>
        </w:rPr>
        <w:t>26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26174812" w14:textId="0622BCDF" w:rsidR="00905C07" w:rsidRPr="00B041A6" w:rsidRDefault="00905C07" w:rsidP="00905C07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847699" w:rsidRPr="00847699">
        <w:rPr>
          <w:sz w:val="16"/>
          <w:szCs w:val="16"/>
        </w:rPr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616C8893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492DCC">
      <w:rPr>
        <w:rFonts w:ascii="Arial" w:hAnsi="Arial"/>
        <w:snapToGrid w:val="0"/>
        <w:sz w:val="16"/>
        <w:szCs w:val="16"/>
        <w:lang w:val="en-US"/>
      </w:rPr>
      <w:t>26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2E448880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0D45A5">
      <w:rPr>
        <w:rFonts w:ascii="Arial" w:hAnsi="Arial"/>
        <w:snapToGrid w:val="0"/>
        <w:sz w:val="16"/>
        <w:szCs w:val="16"/>
        <w:lang w:val="en-US"/>
      </w:rPr>
      <w:t>2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9215A"/>
    <w:rsid w:val="00094A98"/>
    <w:rsid w:val="000A563B"/>
    <w:rsid w:val="000B2B01"/>
    <w:rsid w:val="000C6E63"/>
    <w:rsid w:val="000D45A5"/>
    <w:rsid w:val="000E12CF"/>
    <w:rsid w:val="00155C7C"/>
    <w:rsid w:val="00160AF1"/>
    <w:rsid w:val="001C60D6"/>
    <w:rsid w:val="001C7AEC"/>
    <w:rsid w:val="001F57B6"/>
    <w:rsid w:val="00222245"/>
    <w:rsid w:val="00225E1F"/>
    <w:rsid w:val="00277F70"/>
    <w:rsid w:val="002E6F67"/>
    <w:rsid w:val="00387BCB"/>
    <w:rsid w:val="003B3B76"/>
    <w:rsid w:val="003E12AD"/>
    <w:rsid w:val="003E6913"/>
    <w:rsid w:val="003F5E68"/>
    <w:rsid w:val="004076CE"/>
    <w:rsid w:val="00454F9B"/>
    <w:rsid w:val="00483782"/>
    <w:rsid w:val="00492DCC"/>
    <w:rsid w:val="004A7663"/>
    <w:rsid w:val="004E2AEF"/>
    <w:rsid w:val="004F06F2"/>
    <w:rsid w:val="00591A7D"/>
    <w:rsid w:val="005C2135"/>
    <w:rsid w:val="00630336"/>
    <w:rsid w:val="0063076E"/>
    <w:rsid w:val="00635226"/>
    <w:rsid w:val="00643AEA"/>
    <w:rsid w:val="00681464"/>
    <w:rsid w:val="0069704F"/>
    <w:rsid w:val="006C1F9E"/>
    <w:rsid w:val="006C4B7F"/>
    <w:rsid w:val="006E493E"/>
    <w:rsid w:val="00720516"/>
    <w:rsid w:val="00722B3E"/>
    <w:rsid w:val="00724E6F"/>
    <w:rsid w:val="00751575"/>
    <w:rsid w:val="007C4366"/>
    <w:rsid w:val="00821B17"/>
    <w:rsid w:val="00827D8E"/>
    <w:rsid w:val="00847699"/>
    <w:rsid w:val="00857D28"/>
    <w:rsid w:val="00895F87"/>
    <w:rsid w:val="008E0E25"/>
    <w:rsid w:val="008F4F6A"/>
    <w:rsid w:val="00905C07"/>
    <w:rsid w:val="009545CD"/>
    <w:rsid w:val="009624BC"/>
    <w:rsid w:val="009873A1"/>
    <w:rsid w:val="009A5ADD"/>
    <w:rsid w:val="009C033F"/>
    <w:rsid w:val="00A0258A"/>
    <w:rsid w:val="00A23A41"/>
    <w:rsid w:val="00A52F3E"/>
    <w:rsid w:val="00A857CC"/>
    <w:rsid w:val="00A97CEA"/>
    <w:rsid w:val="00B4533C"/>
    <w:rsid w:val="00BB0DBC"/>
    <w:rsid w:val="00C125FE"/>
    <w:rsid w:val="00C47D75"/>
    <w:rsid w:val="00C94048"/>
    <w:rsid w:val="00CF1246"/>
    <w:rsid w:val="00D12776"/>
    <w:rsid w:val="00D15348"/>
    <w:rsid w:val="00D25F16"/>
    <w:rsid w:val="00D36741"/>
    <w:rsid w:val="00D45DD4"/>
    <w:rsid w:val="00D4726C"/>
    <w:rsid w:val="00D63E14"/>
    <w:rsid w:val="00DB57E7"/>
    <w:rsid w:val="00E04049"/>
    <w:rsid w:val="00E37FFD"/>
    <w:rsid w:val="00E41049"/>
    <w:rsid w:val="00E565DE"/>
    <w:rsid w:val="00E569AC"/>
    <w:rsid w:val="00E6763F"/>
    <w:rsid w:val="00E727CB"/>
    <w:rsid w:val="00E83D57"/>
    <w:rsid w:val="00ED557F"/>
    <w:rsid w:val="00ED68EB"/>
    <w:rsid w:val="00EE66E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basedOn w:val="Normal"/>
    <w:link w:val="FootnoteTextChar"/>
    <w:rsid w:val="00277F70"/>
  </w:style>
  <w:style w:type="character" w:customStyle="1" w:styleId="FootnoteTextChar">
    <w:name w:val="Footnote Text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June revision</cp:lastModifiedBy>
  <cp:revision>2</cp:revision>
  <cp:lastPrinted>2019-11-12T10:07:00Z</cp:lastPrinted>
  <dcterms:created xsi:type="dcterms:W3CDTF">2020-06-12T14:40:00Z</dcterms:created>
  <dcterms:modified xsi:type="dcterms:W3CDTF">2020-06-12T14:40:00Z</dcterms:modified>
</cp:coreProperties>
</file>