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70DE968" w14:textId="77777777" w:rsidTr="00C97039">
        <w:trPr>
          <w:trHeight w:hRule="exact" w:val="851"/>
        </w:trPr>
        <w:tc>
          <w:tcPr>
            <w:tcW w:w="1276" w:type="dxa"/>
            <w:tcBorders>
              <w:bottom w:val="single" w:sz="4" w:space="0" w:color="auto"/>
            </w:tcBorders>
          </w:tcPr>
          <w:p w14:paraId="4DD85537" w14:textId="77777777" w:rsidR="00F35BAF" w:rsidRPr="00DB58B5" w:rsidRDefault="00F35BAF" w:rsidP="00566341"/>
        </w:tc>
        <w:tc>
          <w:tcPr>
            <w:tcW w:w="2268" w:type="dxa"/>
            <w:tcBorders>
              <w:bottom w:val="single" w:sz="4" w:space="0" w:color="auto"/>
            </w:tcBorders>
            <w:vAlign w:val="bottom"/>
          </w:tcPr>
          <w:p w14:paraId="7F49EB6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D8D91C" w14:textId="77777777" w:rsidR="00F35BAF" w:rsidRPr="00DB58B5" w:rsidRDefault="00566341" w:rsidP="00566341">
            <w:pPr>
              <w:jc w:val="right"/>
            </w:pPr>
            <w:r w:rsidRPr="00566341">
              <w:rPr>
                <w:sz w:val="40"/>
              </w:rPr>
              <w:t>ECE</w:t>
            </w:r>
            <w:r>
              <w:t>/TRANS/WP.15/AC.2/2020/31</w:t>
            </w:r>
          </w:p>
        </w:tc>
      </w:tr>
      <w:tr w:rsidR="00F35BAF" w:rsidRPr="00DB58B5" w14:paraId="09DF371E" w14:textId="77777777" w:rsidTr="00C97039">
        <w:trPr>
          <w:trHeight w:hRule="exact" w:val="2835"/>
        </w:trPr>
        <w:tc>
          <w:tcPr>
            <w:tcW w:w="1276" w:type="dxa"/>
            <w:tcBorders>
              <w:top w:val="single" w:sz="4" w:space="0" w:color="auto"/>
              <w:bottom w:val="single" w:sz="12" w:space="0" w:color="auto"/>
            </w:tcBorders>
          </w:tcPr>
          <w:p w14:paraId="3BBFF347" w14:textId="77777777" w:rsidR="00F35BAF" w:rsidRPr="00DB58B5" w:rsidRDefault="00F35BAF" w:rsidP="00C97039">
            <w:pPr>
              <w:spacing w:before="120"/>
              <w:jc w:val="center"/>
            </w:pPr>
            <w:r>
              <w:rPr>
                <w:noProof/>
                <w:lang w:eastAsia="fr-CH"/>
              </w:rPr>
              <w:drawing>
                <wp:inline distT="0" distB="0" distL="0" distR="0" wp14:anchorId="31D09412" wp14:editId="29CD56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4C2F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190F5E" w14:textId="77777777" w:rsidR="00F35BAF" w:rsidRDefault="00566341" w:rsidP="00C97039">
            <w:pPr>
              <w:spacing w:before="240"/>
            </w:pPr>
            <w:proofErr w:type="spellStart"/>
            <w:r>
              <w:t>Distr</w:t>
            </w:r>
            <w:proofErr w:type="spellEnd"/>
            <w:r>
              <w:t>. générale</w:t>
            </w:r>
          </w:p>
          <w:p w14:paraId="486F7079" w14:textId="77777777" w:rsidR="00566341" w:rsidRDefault="00566341" w:rsidP="00566341">
            <w:pPr>
              <w:spacing w:line="240" w:lineRule="exact"/>
            </w:pPr>
            <w:r>
              <w:t>29 mai 2020</w:t>
            </w:r>
          </w:p>
          <w:p w14:paraId="763ABE4D" w14:textId="77777777" w:rsidR="00566341" w:rsidRDefault="00566341" w:rsidP="00566341">
            <w:pPr>
              <w:spacing w:line="240" w:lineRule="exact"/>
            </w:pPr>
            <w:r>
              <w:t>Français</w:t>
            </w:r>
          </w:p>
          <w:p w14:paraId="46A382D6" w14:textId="77777777" w:rsidR="00566341" w:rsidRPr="00DB58B5" w:rsidRDefault="00566341" w:rsidP="00566341">
            <w:pPr>
              <w:spacing w:line="240" w:lineRule="exact"/>
            </w:pPr>
            <w:r>
              <w:t>Original : anglais</w:t>
            </w:r>
          </w:p>
        </w:tc>
      </w:tr>
    </w:tbl>
    <w:p w14:paraId="5352388A" w14:textId="77777777" w:rsidR="007F20FA" w:rsidRPr="000312C0" w:rsidRDefault="007F20FA" w:rsidP="007F20FA">
      <w:pPr>
        <w:spacing w:before="120"/>
        <w:rPr>
          <w:b/>
          <w:sz w:val="28"/>
          <w:szCs w:val="28"/>
        </w:rPr>
      </w:pPr>
      <w:r w:rsidRPr="000312C0">
        <w:rPr>
          <w:b/>
          <w:sz w:val="28"/>
          <w:szCs w:val="28"/>
        </w:rPr>
        <w:t>Commission économique pour l</w:t>
      </w:r>
      <w:r w:rsidR="00566341">
        <w:rPr>
          <w:b/>
          <w:sz w:val="28"/>
          <w:szCs w:val="28"/>
        </w:rPr>
        <w:t>’</w:t>
      </w:r>
      <w:r w:rsidRPr="000312C0">
        <w:rPr>
          <w:b/>
          <w:sz w:val="28"/>
          <w:szCs w:val="28"/>
        </w:rPr>
        <w:t>Europe</w:t>
      </w:r>
    </w:p>
    <w:p w14:paraId="144FDA48" w14:textId="77777777" w:rsidR="007F20FA" w:rsidRDefault="007F20FA" w:rsidP="007F20FA">
      <w:pPr>
        <w:spacing w:before="120"/>
        <w:rPr>
          <w:sz w:val="28"/>
          <w:szCs w:val="28"/>
        </w:rPr>
      </w:pPr>
      <w:r w:rsidRPr="00685843">
        <w:rPr>
          <w:sz w:val="28"/>
          <w:szCs w:val="28"/>
        </w:rPr>
        <w:t>Comité des transports intérieurs</w:t>
      </w:r>
    </w:p>
    <w:p w14:paraId="5675AEF5" w14:textId="77777777" w:rsidR="00566341" w:rsidRPr="009E01B8" w:rsidRDefault="00566341"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7BC5CCAF" w14:textId="77777777" w:rsidR="00566341" w:rsidRPr="004812F5" w:rsidRDefault="00566341" w:rsidP="00AF0CB5">
      <w:pPr>
        <w:spacing w:before="120"/>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6E4A540D" w14:textId="77777777" w:rsidR="00566341" w:rsidRPr="001F122D" w:rsidRDefault="00566341" w:rsidP="00566341">
      <w:pPr>
        <w:spacing w:before="120"/>
        <w:rPr>
          <w:b/>
          <w:lang w:val="fr-FR"/>
        </w:rPr>
      </w:pPr>
      <w:r>
        <w:rPr>
          <w:b/>
          <w:bCs/>
          <w:lang w:val="fr-FR"/>
        </w:rPr>
        <w:t>Trente-septième session</w:t>
      </w:r>
    </w:p>
    <w:p w14:paraId="348767F1" w14:textId="77777777" w:rsidR="00566341" w:rsidRPr="001F122D" w:rsidRDefault="00566341" w:rsidP="00566341">
      <w:pPr>
        <w:rPr>
          <w:lang w:val="fr-FR"/>
        </w:rPr>
      </w:pPr>
      <w:r>
        <w:rPr>
          <w:lang w:val="fr-FR"/>
        </w:rPr>
        <w:t>Genève, 24-28 août 2020</w:t>
      </w:r>
    </w:p>
    <w:p w14:paraId="49AB4DB6" w14:textId="77777777" w:rsidR="00566341" w:rsidRPr="001F122D" w:rsidRDefault="00566341" w:rsidP="00566341">
      <w:pPr>
        <w:rPr>
          <w:lang w:val="fr-FR"/>
        </w:rPr>
      </w:pPr>
      <w:r>
        <w:rPr>
          <w:lang w:val="fr-FR"/>
        </w:rPr>
        <w:t>Point 3 c) de l’ordre du jour provisoire</w:t>
      </w:r>
    </w:p>
    <w:p w14:paraId="4BD10BB2" w14:textId="77777777" w:rsidR="00566341" w:rsidRDefault="00566341" w:rsidP="00566341">
      <w:r>
        <w:rPr>
          <w:b/>
          <w:bCs/>
          <w:lang w:val="fr-FR"/>
        </w:rPr>
        <w:t xml:space="preserve">Mise en œuvre de l’Accord européen relatif au transport international </w:t>
      </w:r>
      <w:r>
        <w:rPr>
          <w:b/>
          <w:bCs/>
          <w:lang w:val="fr-FR"/>
        </w:rPr>
        <w:br/>
        <w:t xml:space="preserve">des marchandises dangereuses par voies de navigation intérieures (ADN) : </w:t>
      </w:r>
      <w:r>
        <w:rPr>
          <w:b/>
          <w:bCs/>
          <w:lang w:val="fr-FR"/>
        </w:rPr>
        <w:br/>
        <w:t>Interprétation du Règlement annexé à l’ADN</w:t>
      </w:r>
    </w:p>
    <w:p w14:paraId="2DBA7791" w14:textId="77777777" w:rsidR="00566341" w:rsidRPr="001F122D" w:rsidRDefault="00566341" w:rsidP="00566341">
      <w:pPr>
        <w:pStyle w:val="HChG"/>
        <w:rPr>
          <w:lang w:val="fr-FR"/>
        </w:rPr>
      </w:pPr>
      <w:r>
        <w:rPr>
          <w:lang w:val="fr-FR"/>
        </w:rPr>
        <w:tab/>
      </w:r>
      <w:r>
        <w:rPr>
          <w:lang w:val="fr-FR"/>
        </w:rPr>
        <w:tab/>
        <w:t xml:space="preserve">Matières non détectables pour lesquelles </w:t>
      </w:r>
      <w:r>
        <w:rPr>
          <w:lang w:val="fr-FR"/>
        </w:rPr>
        <w:br/>
        <w:t xml:space="preserve">un </w:t>
      </w:r>
      <w:proofErr w:type="spellStart"/>
      <w:r>
        <w:rPr>
          <w:lang w:val="fr-FR"/>
        </w:rPr>
        <w:t>toximètre</w:t>
      </w:r>
      <w:proofErr w:type="spellEnd"/>
      <w:r>
        <w:rPr>
          <w:lang w:val="fr-FR"/>
        </w:rPr>
        <w:t xml:space="preserve"> est exigé</w:t>
      </w:r>
    </w:p>
    <w:p w14:paraId="6589CF96" w14:textId="77777777" w:rsidR="00566341" w:rsidRPr="001F122D" w:rsidRDefault="00566341" w:rsidP="00566341">
      <w:pPr>
        <w:pStyle w:val="H1G"/>
        <w:rPr>
          <w:b w:val="0"/>
          <w:lang w:val="fr-FR"/>
        </w:rPr>
      </w:pPr>
      <w:r>
        <w:rPr>
          <w:lang w:val="fr-FR"/>
        </w:rPr>
        <w:tab/>
      </w:r>
      <w:r>
        <w:rPr>
          <w:lang w:val="fr-FR"/>
        </w:rPr>
        <w:tab/>
      </w:r>
      <w:r>
        <w:rPr>
          <w:bCs/>
          <w:lang w:val="fr-FR"/>
        </w:rPr>
        <w:t xml:space="preserve">Communication conjointe de l’Union européenne </w:t>
      </w:r>
      <w:r>
        <w:rPr>
          <w:bCs/>
          <w:lang w:val="fr-FR"/>
        </w:rPr>
        <w:br/>
        <w:t xml:space="preserve">de la navigation fluviale (UENF) et de l’Organisation </w:t>
      </w:r>
      <w:r>
        <w:rPr>
          <w:bCs/>
          <w:lang w:val="fr-FR"/>
        </w:rPr>
        <w:br/>
        <w:t>européenne des bateliers (OEB)</w:t>
      </w:r>
      <w:r w:rsidRPr="00566341">
        <w:rPr>
          <w:rStyle w:val="FootnoteReference"/>
          <w:b w:val="0"/>
          <w:bCs/>
          <w:sz w:val="20"/>
          <w:vertAlign w:val="baseline"/>
          <w:lang w:val="fr-FR"/>
        </w:rPr>
        <w:footnoteReference w:customMarkFollows="1" w:id="2"/>
        <w:t>*</w:t>
      </w:r>
      <w:r w:rsidRPr="00566341">
        <w:rPr>
          <w:b w:val="0"/>
          <w:position w:val="6"/>
          <w:sz w:val="20"/>
          <w:lang w:val="fr-FR"/>
        </w:rPr>
        <w:t>,</w:t>
      </w:r>
      <w:r>
        <w:rPr>
          <w:bCs/>
          <w:sz w:val="20"/>
          <w:lang w:val="fr-FR"/>
        </w:rPr>
        <w:t> </w:t>
      </w:r>
      <w:r w:rsidRPr="00566341">
        <w:rPr>
          <w:rStyle w:val="FootnoteReference"/>
          <w:b w:val="0"/>
          <w:bCs/>
          <w:sz w:val="20"/>
          <w:vertAlign w:val="baseline"/>
          <w:lang w:val="fr-FR"/>
        </w:rPr>
        <w:footnoteReference w:customMarkFollows="1" w:id="3"/>
        <w:t>**</w:t>
      </w:r>
      <w:r w:rsidRPr="00566341">
        <w:rPr>
          <w:sz w:val="20"/>
          <w:lang w:val="fr-FR"/>
        </w:rPr>
        <w:t xml:space="preserve"> </w:t>
      </w:r>
    </w:p>
    <w:p w14:paraId="72EDAC7E" w14:textId="77777777" w:rsidR="00566341" w:rsidRPr="001F122D" w:rsidRDefault="00566341" w:rsidP="00566341">
      <w:pPr>
        <w:pStyle w:val="HChG"/>
        <w:rPr>
          <w:lang w:val="fr-FR"/>
        </w:rPr>
      </w:pPr>
      <w:r>
        <w:rPr>
          <w:lang w:val="fr-FR"/>
        </w:rPr>
        <w:tab/>
      </w:r>
      <w:r>
        <w:rPr>
          <w:lang w:val="fr-FR"/>
        </w:rPr>
        <w:tab/>
        <w:t>Introduction</w:t>
      </w:r>
    </w:p>
    <w:p w14:paraId="22FF5968" w14:textId="77777777" w:rsidR="00566341" w:rsidRPr="001F122D" w:rsidRDefault="00566341" w:rsidP="00566341">
      <w:pPr>
        <w:pStyle w:val="SingleTxtG"/>
        <w:rPr>
          <w:lang w:val="fr-FR"/>
        </w:rPr>
      </w:pPr>
      <w:r>
        <w:rPr>
          <w:lang w:val="fr-FR"/>
        </w:rPr>
        <w:t>1.</w:t>
      </w:r>
      <w:r>
        <w:rPr>
          <w:lang w:val="fr-FR"/>
        </w:rPr>
        <w:tab/>
        <w:t xml:space="preserve">Selon le diagramme de décision du 3.2.3.3 de l’ADN, un </w:t>
      </w:r>
      <w:proofErr w:type="spellStart"/>
      <w:r>
        <w:rPr>
          <w:lang w:val="fr-FR"/>
        </w:rPr>
        <w:t>toximètre</w:t>
      </w:r>
      <w:proofErr w:type="spellEnd"/>
      <w:r>
        <w:rPr>
          <w:lang w:val="fr-FR"/>
        </w:rPr>
        <w:t xml:space="preserve"> est nécessaire pour :</w:t>
      </w:r>
    </w:p>
    <w:p w14:paraId="3915B988" w14:textId="77777777" w:rsidR="00566341" w:rsidRPr="001F122D" w:rsidRDefault="00566341" w:rsidP="00566341">
      <w:pPr>
        <w:pStyle w:val="Bullet1G"/>
        <w:rPr>
          <w:lang w:val="fr-FR"/>
        </w:rPr>
      </w:pPr>
      <w:r>
        <w:rPr>
          <w:lang w:val="fr-FR"/>
        </w:rPr>
        <w:t>Toutes les matières de la classe 6.1 ;</w:t>
      </w:r>
    </w:p>
    <w:p w14:paraId="117B6C94" w14:textId="77777777" w:rsidR="00566341" w:rsidRPr="001F122D" w:rsidRDefault="00566341" w:rsidP="00566341">
      <w:pPr>
        <w:pStyle w:val="Bullet1G"/>
        <w:rPr>
          <w:lang w:val="fr-FR"/>
        </w:rPr>
      </w:pPr>
      <w:r>
        <w:rPr>
          <w:lang w:val="fr-FR"/>
        </w:rPr>
        <w:t>Toutes les matières des autres classes pour lesquelles la lettre T figure dans la colonne (3b) ;</w:t>
      </w:r>
    </w:p>
    <w:p w14:paraId="470118E5" w14:textId="77777777" w:rsidR="00566341" w:rsidRPr="001F122D" w:rsidRDefault="00566341" w:rsidP="00566341">
      <w:pPr>
        <w:pStyle w:val="Bullet1G"/>
        <w:rPr>
          <w:lang w:val="fr-FR"/>
        </w:rPr>
      </w:pPr>
      <w:r>
        <w:rPr>
          <w:lang w:val="fr-FR"/>
        </w:rPr>
        <w:t>Les matières CMR des catégories 1A ou 1B au sens des chapitres 3.5, 3.6 et 3.7 du </w:t>
      </w:r>
      <w:r w:rsidRPr="001F122D">
        <w:rPr>
          <w:lang w:val="fr-FR"/>
        </w:rPr>
        <w:t>Système général harmonisé de classification et d</w:t>
      </w:r>
      <w:r>
        <w:rPr>
          <w:lang w:val="fr-FR"/>
        </w:rPr>
        <w:t>’</w:t>
      </w:r>
      <w:r w:rsidRPr="001F122D">
        <w:rPr>
          <w:lang w:val="fr-FR"/>
        </w:rPr>
        <w:t>étiquetage des produits chimiques</w:t>
      </w:r>
      <w:r w:rsidRPr="004D1930">
        <w:rPr>
          <w:lang w:val="fr-FR"/>
        </w:rPr>
        <w:t xml:space="preserve"> </w:t>
      </w:r>
      <w:r>
        <w:rPr>
          <w:lang w:val="fr-FR"/>
        </w:rPr>
        <w:t>(SGH).</w:t>
      </w:r>
    </w:p>
    <w:p w14:paraId="1024ECB3" w14:textId="77777777" w:rsidR="00566341" w:rsidRPr="001F122D" w:rsidRDefault="00566341" w:rsidP="00566341">
      <w:pPr>
        <w:pStyle w:val="SingleTxtG"/>
        <w:rPr>
          <w:lang w:val="fr-FR"/>
        </w:rPr>
      </w:pPr>
      <w:r>
        <w:rPr>
          <w:lang w:val="fr-FR"/>
        </w:rPr>
        <w:t>2.</w:t>
      </w:r>
      <w:r>
        <w:rPr>
          <w:lang w:val="fr-FR"/>
        </w:rPr>
        <w:tab/>
        <w:t xml:space="preserve">Il est précisé dans les tableaux A et C qu’un </w:t>
      </w:r>
      <w:proofErr w:type="spellStart"/>
      <w:r>
        <w:rPr>
          <w:lang w:val="fr-FR"/>
        </w:rPr>
        <w:t>toximètre</w:t>
      </w:r>
      <w:proofErr w:type="spellEnd"/>
      <w:r>
        <w:rPr>
          <w:lang w:val="fr-FR"/>
        </w:rPr>
        <w:t xml:space="preserve"> doit se trouver à bord si la mention TOX figure dans la colonne (9) du tableau A ou dans la colonne (18) du tableau C, cette mention étant explicitée au 8.1.5.1 de l’ADN, comme suit :</w:t>
      </w:r>
    </w:p>
    <w:p w14:paraId="73994AE4" w14:textId="77777777" w:rsidR="00566341" w:rsidRPr="001F122D" w:rsidRDefault="00566341" w:rsidP="00566341">
      <w:pPr>
        <w:pStyle w:val="SingleTxtG"/>
        <w:ind w:left="1701"/>
        <w:rPr>
          <w:i/>
          <w:lang w:val="fr-FR"/>
        </w:rPr>
      </w:pPr>
      <w:r>
        <w:rPr>
          <w:i/>
          <w:iCs/>
          <w:lang w:val="fr-FR"/>
        </w:rPr>
        <w:lastRenderedPageBreak/>
        <w:t xml:space="preserve">TOX : un </w:t>
      </w:r>
      <w:proofErr w:type="spellStart"/>
      <w:r>
        <w:rPr>
          <w:i/>
          <w:iCs/>
          <w:lang w:val="fr-FR"/>
        </w:rPr>
        <w:t>toximètre</w:t>
      </w:r>
      <w:proofErr w:type="spellEnd"/>
      <w:r>
        <w:rPr>
          <w:i/>
          <w:iCs/>
          <w:lang w:val="fr-FR"/>
        </w:rPr>
        <w:t xml:space="preserve"> adapté à la cargaison actuelle et précédente, avec ses accessoires et sa notice d’utilisation ;</w:t>
      </w:r>
    </w:p>
    <w:p w14:paraId="5ADB120D" w14:textId="77777777" w:rsidR="00566341" w:rsidRPr="001F122D" w:rsidRDefault="00566341" w:rsidP="00566341">
      <w:pPr>
        <w:pStyle w:val="SingleTxtG"/>
        <w:rPr>
          <w:iCs/>
          <w:lang w:val="fr-FR"/>
        </w:rPr>
      </w:pPr>
      <w:r>
        <w:rPr>
          <w:lang w:val="fr-FR"/>
        </w:rPr>
        <w:t>3.</w:t>
      </w:r>
      <w:r>
        <w:rPr>
          <w:lang w:val="fr-FR"/>
        </w:rPr>
        <w:tab/>
        <w:t>La définition du terme « </w:t>
      </w:r>
      <w:proofErr w:type="spellStart"/>
      <w:r>
        <w:rPr>
          <w:lang w:val="fr-FR"/>
        </w:rPr>
        <w:t>toximètre</w:t>
      </w:r>
      <w:proofErr w:type="spellEnd"/>
      <w:r>
        <w:rPr>
          <w:lang w:val="fr-FR"/>
        </w:rPr>
        <w:t> » est donnée au 1.2.1 de l’ADN, comme suit :</w:t>
      </w:r>
    </w:p>
    <w:p w14:paraId="21505511" w14:textId="77777777" w:rsidR="00566341" w:rsidRPr="001F122D" w:rsidRDefault="00566341" w:rsidP="00566341">
      <w:pPr>
        <w:pStyle w:val="SingleTxtG"/>
        <w:ind w:left="1701"/>
        <w:rPr>
          <w:iCs/>
          <w:lang w:val="fr-FR"/>
        </w:rPr>
      </w:pPr>
      <w:proofErr w:type="spellStart"/>
      <w:r>
        <w:rPr>
          <w:i/>
          <w:iCs/>
          <w:lang w:val="fr-FR"/>
        </w:rPr>
        <w:t>Toximètre</w:t>
      </w:r>
      <w:proofErr w:type="spellEnd"/>
      <w:r>
        <w:rPr>
          <w:i/>
          <w:iCs/>
          <w:lang w:val="fr-FR"/>
        </w:rPr>
        <w:t> </w:t>
      </w:r>
      <w:r>
        <w:t>:</w:t>
      </w:r>
      <w:r>
        <w:rPr>
          <w:lang w:val="fr-FR"/>
        </w:rPr>
        <w:t xml:space="preserve"> un appareil portable ou transportable permettant de mesurer toute concentration significative de gaz et de vapeurs toxiques. </w:t>
      </w:r>
    </w:p>
    <w:p w14:paraId="21DC2693" w14:textId="77777777" w:rsidR="00566341" w:rsidRPr="001F122D" w:rsidRDefault="00566341" w:rsidP="00566341">
      <w:pPr>
        <w:pStyle w:val="SingleTxtG"/>
        <w:rPr>
          <w:iCs/>
          <w:lang w:val="fr-FR"/>
        </w:rPr>
      </w:pPr>
      <w:r>
        <w:rPr>
          <w:lang w:val="fr-FR"/>
        </w:rPr>
        <w:t>4.</w:t>
      </w:r>
      <w:r>
        <w:rPr>
          <w:lang w:val="fr-FR"/>
        </w:rPr>
        <w:tab/>
        <w:t xml:space="preserve">Le </w:t>
      </w:r>
      <w:proofErr w:type="spellStart"/>
      <w:r>
        <w:rPr>
          <w:lang w:val="fr-FR"/>
        </w:rPr>
        <w:t>toximètre</w:t>
      </w:r>
      <w:proofErr w:type="spellEnd"/>
      <w:r>
        <w:rPr>
          <w:lang w:val="fr-FR"/>
        </w:rPr>
        <w:t xml:space="preserve"> doit être conforme aux normes EN 45544-1:2015, EN 45544-2:2015, EN 45544-3:2015 et EN 45544-4:2016, ou à la norme ISO 17621:2015.</w:t>
      </w:r>
    </w:p>
    <w:p w14:paraId="15C08E20" w14:textId="77777777" w:rsidR="00566341" w:rsidRPr="001F122D" w:rsidRDefault="00566341" w:rsidP="00566341">
      <w:pPr>
        <w:pStyle w:val="SingleTxtG"/>
        <w:rPr>
          <w:i/>
          <w:lang w:val="fr-FR"/>
        </w:rPr>
      </w:pPr>
      <w:r>
        <w:rPr>
          <w:lang w:val="fr-FR"/>
        </w:rPr>
        <w:t xml:space="preserve">5. </w:t>
      </w:r>
      <w:r>
        <w:rPr>
          <w:lang w:val="fr-FR"/>
        </w:rPr>
        <w:tab/>
        <w:t>On ne dispose pas d’appareils de mesure permettant de détecter les vapeurs ou les gaz toxiques pour tous les produits, si bien que les prescriptions applicables ne sont pas toujours respectées. Il conviendrait d’examiner si d’autres mesures de sécurité pourraient être proposées dans le but d’assurer le même niveau de sécurité que celui qui est prévu dans les dispositions de l’ADN.</w:t>
      </w:r>
    </w:p>
    <w:p w14:paraId="1719285C" w14:textId="77777777" w:rsidR="00566341" w:rsidRPr="001F122D" w:rsidRDefault="00566341" w:rsidP="00566341">
      <w:pPr>
        <w:pStyle w:val="HChG"/>
        <w:rPr>
          <w:lang w:val="fr-FR"/>
        </w:rPr>
      </w:pPr>
      <w:r>
        <w:rPr>
          <w:lang w:val="fr-FR"/>
        </w:rPr>
        <w:tab/>
      </w:r>
      <w:r>
        <w:rPr>
          <w:lang w:val="fr-FR"/>
        </w:rPr>
        <w:tab/>
      </w:r>
      <w:r>
        <w:rPr>
          <w:bCs/>
          <w:lang w:val="fr-FR"/>
        </w:rPr>
        <w:t xml:space="preserve">Dispositions de sécurité opérationnelle concernant l’utilisation d’un </w:t>
      </w:r>
      <w:proofErr w:type="spellStart"/>
      <w:r>
        <w:rPr>
          <w:bCs/>
          <w:lang w:val="fr-FR"/>
        </w:rPr>
        <w:t>toximètre</w:t>
      </w:r>
      <w:proofErr w:type="spellEnd"/>
    </w:p>
    <w:p w14:paraId="3B2E16E2" w14:textId="77777777" w:rsidR="00566341" w:rsidRPr="008A638F" w:rsidRDefault="00566341" w:rsidP="00566341">
      <w:pPr>
        <w:pStyle w:val="SingleTxtG"/>
      </w:pPr>
      <w:r>
        <w:rPr>
          <w:lang w:val="fr-FR"/>
        </w:rPr>
        <w:t xml:space="preserve">6. </w:t>
      </w:r>
      <w:r>
        <w:rPr>
          <w:lang w:val="fr-FR"/>
        </w:rPr>
        <w:tab/>
        <w:t xml:space="preserve">Dans l’ADN, plusieurs dispositions de sécurité opérationnelle font mention de l’utilisation d’un </w:t>
      </w:r>
      <w:proofErr w:type="spellStart"/>
      <w:r>
        <w:rPr>
          <w:lang w:val="fr-FR"/>
        </w:rPr>
        <w:t>toximètre</w:t>
      </w:r>
      <w:proofErr w:type="spellEnd"/>
      <w:r>
        <w:rPr>
          <w:lang w:val="fr-FR"/>
        </w:rPr>
        <w:t>. Par exemple :</w:t>
      </w:r>
    </w:p>
    <w:p w14:paraId="72309E30" w14:textId="77777777" w:rsidR="00566341" w:rsidRPr="008A638F" w:rsidRDefault="00566341" w:rsidP="00566341">
      <w:pPr>
        <w:pStyle w:val="Bullet1G"/>
        <w:numPr>
          <w:ilvl w:val="0"/>
          <w:numId w:val="17"/>
        </w:numPr>
        <w:kinsoku/>
        <w:overflowPunct/>
        <w:autoSpaceDE/>
        <w:autoSpaceDN/>
        <w:adjustRightInd/>
        <w:snapToGrid/>
      </w:pPr>
      <w:r>
        <w:rPr>
          <w:lang w:val="fr-FR"/>
        </w:rPr>
        <w:t>7.1.3.1.4 / 7.1.3.1.5 / 7.1.3.1.6 / 7.1.3.1.7 : Accès aux cales</w:t>
      </w:r>
    </w:p>
    <w:p w14:paraId="4E317938" w14:textId="77777777" w:rsidR="00566341" w:rsidRPr="001F122D" w:rsidRDefault="00566341" w:rsidP="00566341">
      <w:pPr>
        <w:pStyle w:val="Bullet1G"/>
        <w:numPr>
          <w:ilvl w:val="0"/>
          <w:numId w:val="17"/>
        </w:numPr>
        <w:kinsoku/>
        <w:overflowPunct/>
        <w:autoSpaceDE/>
        <w:autoSpaceDN/>
        <w:adjustRightInd/>
        <w:snapToGrid/>
        <w:rPr>
          <w:lang w:val="fr-FR"/>
        </w:rPr>
      </w:pPr>
      <w:r>
        <w:rPr>
          <w:lang w:val="fr-FR"/>
        </w:rPr>
        <w:t>7.1.4.12.2 : Prescriptions relatives à la ventilation en cas de fuite ou soupçon de fuite dans les cales</w:t>
      </w:r>
    </w:p>
    <w:p w14:paraId="5B0434D4" w14:textId="77777777" w:rsidR="00566341" w:rsidRPr="001F122D" w:rsidRDefault="00566341" w:rsidP="00566341">
      <w:pPr>
        <w:pStyle w:val="Bullet1G"/>
        <w:numPr>
          <w:ilvl w:val="0"/>
          <w:numId w:val="17"/>
        </w:numPr>
        <w:kinsoku/>
        <w:overflowPunct/>
        <w:autoSpaceDE/>
        <w:autoSpaceDN/>
        <w:adjustRightInd/>
        <w:snapToGrid/>
        <w:rPr>
          <w:lang w:val="fr-FR"/>
        </w:rPr>
      </w:pPr>
      <w:r>
        <w:rPr>
          <w:lang w:val="fr-FR"/>
        </w:rPr>
        <w:t xml:space="preserve">7.1.6.12 : Disposition spéciale VE02 : Mesures réalisées dans les cales pour déterminer si une ventilation s’impose lorsque les cales ne sont pas </w:t>
      </w:r>
      <w:r w:rsidR="00DE2BEB">
        <w:rPr>
          <w:lang w:val="fr-FR"/>
        </w:rPr>
        <w:t>« </w:t>
      </w:r>
      <w:r>
        <w:rPr>
          <w:lang w:val="fr-FR"/>
        </w:rPr>
        <w:t>exemptes de gaz ou de vapeurs toxiques</w:t>
      </w:r>
      <w:r w:rsidR="00DE2BEB">
        <w:rPr>
          <w:lang w:val="fr-FR"/>
        </w:rPr>
        <w:t> »</w:t>
      </w:r>
    </w:p>
    <w:p w14:paraId="4B6BA0E7" w14:textId="77777777" w:rsidR="00566341" w:rsidRPr="001F122D" w:rsidRDefault="00566341" w:rsidP="00566341">
      <w:pPr>
        <w:pStyle w:val="Bullet1G"/>
        <w:numPr>
          <w:ilvl w:val="0"/>
          <w:numId w:val="17"/>
        </w:numPr>
        <w:kinsoku/>
        <w:overflowPunct/>
        <w:autoSpaceDE/>
        <w:autoSpaceDN/>
        <w:adjustRightInd/>
        <w:snapToGrid/>
        <w:rPr>
          <w:lang w:val="fr-FR"/>
        </w:rPr>
      </w:pPr>
      <w:r>
        <w:rPr>
          <w:lang w:val="fr-FR"/>
        </w:rPr>
        <w:t>7.1.6.16 : Disposition spéciale IN01 : Toutes les huit heures, mesure de la concentration de gaz ou de vapeurs toxiques dans tous les locaux à bord fréquentés par les membres de l’équipage</w:t>
      </w:r>
    </w:p>
    <w:p w14:paraId="7B08895E" w14:textId="77777777" w:rsidR="00566341" w:rsidRPr="008A638F" w:rsidRDefault="00566341" w:rsidP="00566341">
      <w:pPr>
        <w:pStyle w:val="Bullet1G"/>
        <w:numPr>
          <w:ilvl w:val="0"/>
          <w:numId w:val="17"/>
        </w:numPr>
        <w:kinsoku/>
        <w:overflowPunct/>
        <w:autoSpaceDE/>
        <w:autoSpaceDN/>
        <w:adjustRightInd/>
        <w:snapToGrid/>
      </w:pPr>
      <w:r>
        <w:rPr>
          <w:lang w:val="fr-FR"/>
        </w:rPr>
        <w:t>7.2.3.1.4 / 7.2.3.1.5 / 7.2.3.1.6 : Accès aux citernes à cargaison</w:t>
      </w:r>
    </w:p>
    <w:p w14:paraId="118AD7FB" w14:textId="77777777" w:rsidR="00566341" w:rsidRPr="008A638F" w:rsidRDefault="00566341" w:rsidP="00566341">
      <w:pPr>
        <w:pStyle w:val="Bullet1G"/>
        <w:numPr>
          <w:ilvl w:val="0"/>
          <w:numId w:val="17"/>
        </w:numPr>
        <w:kinsoku/>
        <w:overflowPunct/>
        <w:autoSpaceDE/>
        <w:autoSpaceDN/>
        <w:adjustRightInd/>
        <w:snapToGrid/>
      </w:pPr>
      <w:r>
        <w:rPr>
          <w:lang w:val="fr-FR"/>
        </w:rPr>
        <w:t>7.2.3.7.1.4 : Dégazage dans l’atmosphère</w:t>
      </w:r>
    </w:p>
    <w:p w14:paraId="168C8357" w14:textId="77777777" w:rsidR="00566341" w:rsidRPr="001F122D" w:rsidRDefault="00566341" w:rsidP="00566341">
      <w:pPr>
        <w:pStyle w:val="Bullet1G"/>
        <w:numPr>
          <w:ilvl w:val="0"/>
          <w:numId w:val="17"/>
        </w:numPr>
        <w:kinsoku/>
        <w:overflowPunct/>
        <w:autoSpaceDE/>
        <w:autoSpaceDN/>
        <w:adjustRightInd/>
        <w:snapToGrid/>
        <w:rPr>
          <w:lang w:val="fr-FR"/>
        </w:rPr>
      </w:pPr>
      <w:r>
        <w:rPr>
          <w:lang w:val="fr-FR"/>
        </w:rPr>
        <w:t>7.2.3.7.1.5 / 7.2.3.7.2.5 : Retrait de la signalisation (cônes bleus) après le dégazage</w:t>
      </w:r>
    </w:p>
    <w:p w14:paraId="27975B34" w14:textId="77777777" w:rsidR="00566341" w:rsidRPr="001F122D" w:rsidRDefault="00566341" w:rsidP="00566341">
      <w:pPr>
        <w:pStyle w:val="Bullet1G"/>
        <w:numPr>
          <w:ilvl w:val="0"/>
          <w:numId w:val="17"/>
        </w:numPr>
        <w:kinsoku/>
        <w:overflowPunct/>
        <w:autoSpaceDE/>
        <w:autoSpaceDN/>
        <w:adjustRightInd/>
        <w:snapToGrid/>
        <w:rPr>
          <w:lang w:val="fr-FR"/>
        </w:rPr>
      </w:pPr>
      <w:r>
        <w:rPr>
          <w:lang w:val="fr-FR"/>
        </w:rPr>
        <w:t>7.2.5.0.1 : Signalisation à l’aide de cônes bleus</w:t>
      </w:r>
    </w:p>
    <w:p w14:paraId="74928F03" w14:textId="77777777" w:rsidR="00566341" w:rsidRPr="001F122D" w:rsidRDefault="00566341" w:rsidP="00566341">
      <w:pPr>
        <w:pStyle w:val="HChG"/>
        <w:rPr>
          <w:lang w:val="fr-FR"/>
        </w:rPr>
      </w:pPr>
      <w:r>
        <w:rPr>
          <w:lang w:val="fr-FR"/>
        </w:rPr>
        <w:tab/>
      </w:r>
      <w:r>
        <w:rPr>
          <w:lang w:val="fr-FR"/>
        </w:rPr>
        <w:tab/>
        <w:t xml:space="preserve">Matières dont la présence ne peut pas être </w:t>
      </w:r>
      <w:r>
        <w:rPr>
          <w:lang w:val="fr-FR"/>
        </w:rPr>
        <w:br/>
        <w:t xml:space="preserve">mesurée avec un </w:t>
      </w:r>
      <w:proofErr w:type="spellStart"/>
      <w:r>
        <w:rPr>
          <w:lang w:val="fr-FR"/>
        </w:rPr>
        <w:t>toximètre</w:t>
      </w:r>
      <w:proofErr w:type="spellEnd"/>
    </w:p>
    <w:p w14:paraId="35855DFA" w14:textId="77777777" w:rsidR="00566341" w:rsidRPr="001F122D" w:rsidRDefault="00566341" w:rsidP="00566341">
      <w:pPr>
        <w:pStyle w:val="SingleTxtG"/>
        <w:rPr>
          <w:lang w:val="fr-FR"/>
        </w:rPr>
      </w:pPr>
      <w:r>
        <w:rPr>
          <w:lang w:val="fr-FR"/>
        </w:rPr>
        <w:t>7.</w:t>
      </w:r>
      <w:r>
        <w:rPr>
          <w:lang w:val="fr-FR"/>
        </w:rPr>
        <w:tab/>
        <w:t xml:space="preserve">Conformément au document INF.2 de la trente-cinquième session du Comité de sécurité de l’ADN et à la lumière des débats tenus en général en ce qui concerne les matières qui ne peuvent pas être détectées à l’aide d’un </w:t>
      </w:r>
      <w:proofErr w:type="spellStart"/>
      <w:r>
        <w:rPr>
          <w:lang w:val="fr-FR"/>
        </w:rPr>
        <w:t>toximètre</w:t>
      </w:r>
      <w:proofErr w:type="spellEnd"/>
      <w:r>
        <w:rPr>
          <w:lang w:val="fr-FR"/>
        </w:rPr>
        <w:t xml:space="preserve">, l’UENF et l’OEB ont proposé d’entreprendre une enquête. Cette enquête a été réalisée par des membres des associations néerlandaises du secteur, en coopération avec des experts de </w:t>
      </w:r>
      <w:proofErr w:type="spellStart"/>
      <w:r>
        <w:rPr>
          <w:lang w:val="fr-FR"/>
        </w:rPr>
        <w:t>Dräger</w:t>
      </w:r>
      <w:proofErr w:type="spellEnd"/>
      <w:r>
        <w:rPr>
          <w:lang w:val="fr-FR"/>
        </w:rPr>
        <w:t xml:space="preserve"> Marine and Offshore. </w:t>
      </w:r>
    </w:p>
    <w:p w14:paraId="58730B46" w14:textId="77777777" w:rsidR="00566341" w:rsidRPr="001F122D" w:rsidRDefault="00566341" w:rsidP="00566341">
      <w:pPr>
        <w:pStyle w:val="SingleTxtG"/>
        <w:rPr>
          <w:lang w:val="fr-FR"/>
        </w:rPr>
      </w:pPr>
      <w:r>
        <w:rPr>
          <w:lang w:val="fr-FR"/>
        </w:rPr>
        <w:t xml:space="preserve">8. </w:t>
      </w:r>
      <w:r>
        <w:rPr>
          <w:lang w:val="fr-FR"/>
        </w:rPr>
        <w:tab/>
        <w:t>Les deux conclusions provisoires suivantes ont été dégagées à l’issue de cette enquête :</w:t>
      </w:r>
    </w:p>
    <w:p w14:paraId="508452E5" w14:textId="77777777" w:rsidR="00566341" w:rsidRPr="001F122D" w:rsidRDefault="00566341" w:rsidP="00566341">
      <w:pPr>
        <w:pStyle w:val="SingleTxtG"/>
        <w:ind w:firstLine="567"/>
        <w:rPr>
          <w:lang w:val="fr-FR"/>
        </w:rPr>
      </w:pPr>
      <w:r>
        <w:rPr>
          <w:lang w:val="fr-FR"/>
        </w:rPr>
        <w:t xml:space="preserve">a) </w:t>
      </w:r>
      <w:r>
        <w:rPr>
          <w:lang w:val="fr-FR"/>
        </w:rPr>
        <w:tab/>
        <w:t xml:space="preserve">Pour un grand nombre de matières, il n’existe aucune méthode de mesure ni aucun équipement de mesure approprié. On trouvera dans l’annexe I une liste provisoire et non exhaustive de matières transportées pour lesquelles un </w:t>
      </w:r>
      <w:proofErr w:type="spellStart"/>
      <w:r>
        <w:rPr>
          <w:lang w:val="fr-FR"/>
        </w:rPr>
        <w:t>toximètre</w:t>
      </w:r>
      <w:proofErr w:type="spellEnd"/>
      <w:r>
        <w:rPr>
          <w:lang w:val="fr-FR"/>
        </w:rPr>
        <w:t xml:space="preserve"> est exigé (mention « TOX ») et qui ne peuvent être détectées à l’aide du </w:t>
      </w:r>
      <w:proofErr w:type="spellStart"/>
      <w:r>
        <w:rPr>
          <w:lang w:val="fr-FR"/>
        </w:rPr>
        <w:t>toximètre</w:t>
      </w:r>
      <w:proofErr w:type="spellEnd"/>
      <w:r>
        <w:rPr>
          <w:lang w:val="fr-FR"/>
        </w:rPr>
        <w:t xml:space="preserve"> présent à bord ;</w:t>
      </w:r>
    </w:p>
    <w:p w14:paraId="7F6D0C8E" w14:textId="77777777" w:rsidR="00566341" w:rsidRPr="001F122D" w:rsidRDefault="00566341" w:rsidP="00566341">
      <w:pPr>
        <w:pStyle w:val="SingleTxtG"/>
        <w:ind w:firstLine="567"/>
        <w:rPr>
          <w:lang w:val="fr-FR"/>
        </w:rPr>
      </w:pPr>
      <w:r>
        <w:rPr>
          <w:lang w:val="fr-FR"/>
        </w:rPr>
        <w:t>b)</w:t>
      </w:r>
      <w:r>
        <w:rPr>
          <w:lang w:val="fr-FR"/>
        </w:rPr>
        <w:tab/>
        <w:t xml:space="preserve">Dans la pratique, la présence obligatoire de </w:t>
      </w:r>
      <w:proofErr w:type="spellStart"/>
      <w:r>
        <w:rPr>
          <w:lang w:val="fr-FR"/>
        </w:rPr>
        <w:t>toximètres</w:t>
      </w:r>
      <w:proofErr w:type="spellEnd"/>
      <w:r>
        <w:rPr>
          <w:lang w:val="fr-FR"/>
        </w:rPr>
        <w:t xml:space="preserve"> est satisfaite par l’utilisation d’un </w:t>
      </w:r>
      <w:proofErr w:type="spellStart"/>
      <w:r>
        <w:rPr>
          <w:lang w:val="fr-FR"/>
        </w:rPr>
        <w:t>toximètre</w:t>
      </w:r>
      <w:proofErr w:type="spellEnd"/>
      <w:r>
        <w:rPr>
          <w:lang w:val="fr-FR"/>
        </w:rPr>
        <w:t xml:space="preserve"> particulier doté de tubes de mesure à court terme, ou d’un détecteur à </w:t>
      </w:r>
      <w:proofErr w:type="spellStart"/>
      <w:r>
        <w:rPr>
          <w:lang w:val="fr-FR"/>
        </w:rPr>
        <w:t>photo</w:t>
      </w:r>
      <w:r w:rsidR="007B4C29">
        <w:rPr>
          <w:lang w:val="fr-FR"/>
        </w:rPr>
        <w:t>-</w:t>
      </w:r>
      <w:r>
        <w:rPr>
          <w:lang w:val="fr-FR"/>
        </w:rPr>
        <w:t>ionisation</w:t>
      </w:r>
      <w:proofErr w:type="spellEnd"/>
      <w:r>
        <w:rPr>
          <w:lang w:val="fr-FR"/>
        </w:rPr>
        <w:t xml:space="preserve"> (PID), lequel est couramment utilisé à bord comme dispositif </w:t>
      </w:r>
      <w:bookmarkStart w:id="0" w:name="_GoBack"/>
      <w:bookmarkEnd w:id="0"/>
      <w:r>
        <w:rPr>
          <w:lang w:val="fr-FR"/>
        </w:rPr>
        <w:lastRenderedPageBreak/>
        <w:t xml:space="preserve">de remplacement. Bien qu’il produise des résultats nettement plus fiables et précis que le </w:t>
      </w:r>
      <w:proofErr w:type="spellStart"/>
      <w:r>
        <w:rPr>
          <w:lang w:val="fr-FR"/>
        </w:rPr>
        <w:t>toximètre</w:t>
      </w:r>
      <w:proofErr w:type="spellEnd"/>
      <w:r>
        <w:rPr>
          <w:lang w:val="fr-FR"/>
        </w:rPr>
        <w:t xml:space="preserve"> doté de tubes de mesure à court terme, le détecteur PID n’est pas mentionné dans l’ADN.</w:t>
      </w:r>
    </w:p>
    <w:p w14:paraId="15879CF9" w14:textId="77777777" w:rsidR="00566341" w:rsidRPr="001F122D" w:rsidRDefault="00566341" w:rsidP="00566341">
      <w:pPr>
        <w:pStyle w:val="HChG"/>
        <w:rPr>
          <w:lang w:val="fr-FR"/>
        </w:rPr>
      </w:pPr>
      <w:r>
        <w:rPr>
          <w:lang w:val="fr-FR"/>
        </w:rPr>
        <w:tab/>
      </w:r>
      <w:r>
        <w:rPr>
          <w:lang w:val="fr-FR"/>
        </w:rPr>
        <w:tab/>
        <w:t>Questions adressées au Comité de sécurité de l’ADN</w:t>
      </w:r>
    </w:p>
    <w:p w14:paraId="0E9DB9D4" w14:textId="77777777" w:rsidR="00566341" w:rsidRPr="001F122D" w:rsidRDefault="00566341" w:rsidP="00566341">
      <w:pPr>
        <w:pStyle w:val="SingleTxtG"/>
        <w:rPr>
          <w:lang w:val="fr-FR"/>
        </w:rPr>
      </w:pPr>
      <w:r>
        <w:rPr>
          <w:lang w:val="fr-FR"/>
        </w:rPr>
        <w:t>9.</w:t>
      </w:r>
      <w:r>
        <w:rPr>
          <w:lang w:val="fr-FR"/>
        </w:rPr>
        <w:tab/>
        <w:t>L’UENF et l’OEB suggèrent de faire appel au groupe de travail informel des matières afin de tirer partir de ses connaissances techniques concernant les propriétés et la sécurité des matières.</w:t>
      </w:r>
    </w:p>
    <w:p w14:paraId="53EEA46D" w14:textId="77777777" w:rsidR="00566341" w:rsidRPr="001F122D" w:rsidRDefault="00566341" w:rsidP="00566341">
      <w:pPr>
        <w:pStyle w:val="SingleTxtG"/>
        <w:keepNext/>
        <w:keepLines/>
        <w:rPr>
          <w:lang w:val="fr-FR"/>
        </w:rPr>
      </w:pPr>
      <w:r>
        <w:rPr>
          <w:lang w:val="fr-FR"/>
        </w:rPr>
        <w:t>10.</w:t>
      </w:r>
      <w:r>
        <w:rPr>
          <w:lang w:val="fr-FR"/>
        </w:rPr>
        <w:tab/>
        <w:t>Le groupe de travail des matières pourrait aborder les questions suivantes :</w:t>
      </w:r>
    </w:p>
    <w:p w14:paraId="0526BC19" w14:textId="77777777" w:rsidR="00566341" w:rsidRPr="001F122D" w:rsidRDefault="00566341" w:rsidP="00566341">
      <w:pPr>
        <w:pStyle w:val="SingleTxtG"/>
        <w:ind w:firstLine="567"/>
        <w:rPr>
          <w:lang w:val="fr-FR"/>
        </w:rPr>
      </w:pPr>
      <w:r>
        <w:rPr>
          <w:lang w:val="fr-FR"/>
        </w:rPr>
        <w:t>a)</w:t>
      </w:r>
      <w:r>
        <w:rPr>
          <w:lang w:val="fr-FR"/>
        </w:rPr>
        <w:tab/>
        <w:t xml:space="preserve">Quelles matières pour lesquelles un </w:t>
      </w:r>
      <w:proofErr w:type="spellStart"/>
      <w:r>
        <w:rPr>
          <w:lang w:val="fr-FR"/>
        </w:rPr>
        <w:t>toximètre</w:t>
      </w:r>
      <w:proofErr w:type="spellEnd"/>
      <w:r>
        <w:rPr>
          <w:lang w:val="fr-FR"/>
        </w:rPr>
        <w:t xml:space="preserve"> est exigé ne peuvent pas être détectées à l’aide d’un </w:t>
      </w:r>
      <w:proofErr w:type="spellStart"/>
      <w:r>
        <w:rPr>
          <w:lang w:val="fr-FR"/>
        </w:rPr>
        <w:t>toximètre</w:t>
      </w:r>
      <w:proofErr w:type="spellEnd"/>
      <w:r>
        <w:rPr>
          <w:lang w:val="fr-FR"/>
        </w:rPr>
        <w:t xml:space="preserve"> ou d’un détecteur PID ?</w:t>
      </w:r>
    </w:p>
    <w:p w14:paraId="3A0ABE09" w14:textId="77777777" w:rsidR="00566341" w:rsidRPr="001F122D" w:rsidRDefault="00566341" w:rsidP="00566341">
      <w:pPr>
        <w:pStyle w:val="SingleTxtG"/>
        <w:ind w:firstLine="567"/>
        <w:rPr>
          <w:lang w:val="fr-FR"/>
        </w:rPr>
      </w:pPr>
      <w:r>
        <w:rPr>
          <w:lang w:val="fr-FR"/>
        </w:rPr>
        <w:t>b)</w:t>
      </w:r>
      <w:r>
        <w:rPr>
          <w:lang w:val="fr-FR"/>
        </w:rPr>
        <w:tab/>
        <w:t>Comment prendre en compte les dispositions actuelles de l’ADN (voir par. 6) pendant le transport de ces matières ? D’autres précautions peuvent-elles être appliquées pour garantir un même niveau de sécurité ?</w:t>
      </w:r>
    </w:p>
    <w:p w14:paraId="49292687" w14:textId="77777777" w:rsidR="00566341" w:rsidRPr="001F122D" w:rsidRDefault="00566341" w:rsidP="00566341">
      <w:pPr>
        <w:pStyle w:val="SingleTxtG"/>
        <w:ind w:firstLine="567"/>
        <w:rPr>
          <w:lang w:val="fr-FR"/>
        </w:rPr>
      </w:pPr>
      <w:r>
        <w:rPr>
          <w:lang w:val="fr-FR"/>
        </w:rPr>
        <w:t>c)</w:t>
      </w:r>
      <w:r>
        <w:rPr>
          <w:lang w:val="fr-FR"/>
        </w:rPr>
        <w:tab/>
        <w:t>Est-il pertinent de procéder à des mesures dans des conteneurs (citernes) qui sont arrimés au-dessus du pont à l’air libre et à la merci du vent, ce qui s’apparente à un transport en plein air par camion (ADR) ou par voie ferroviaire (RID) ?</w:t>
      </w:r>
    </w:p>
    <w:p w14:paraId="4AB7D8EB" w14:textId="77777777" w:rsidR="00566341" w:rsidRPr="001F122D" w:rsidRDefault="00566341" w:rsidP="00566341">
      <w:pPr>
        <w:pStyle w:val="SingleTxtG"/>
        <w:ind w:firstLine="567"/>
        <w:rPr>
          <w:lang w:val="fr-FR"/>
        </w:rPr>
      </w:pPr>
      <w:r>
        <w:rPr>
          <w:lang w:val="fr-FR"/>
        </w:rPr>
        <w:t>d)</w:t>
      </w:r>
      <w:r>
        <w:rPr>
          <w:lang w:val="fr-FR"/>
        </w:rPr>
        <w:tab/>
        <w:t>Conviendrait-il de mentionner expressément le détecteur PID dans l’ADN ?</w:t>
      </w:r>
    </w:p>
    <w:p w14:paraId="0A097AFA" w14:textId="77777777" w:rsidR="00566341" w:rsidRPr="001F122D" w:rsidRDefault="00566341" w:rsidP="00566341">
      <w:pPr>
        <w:pStyle w:val="SingleTxtG"/>
        <w:rPr>
          <w:lang w:val="fr-FR"/>
        </w:rPr>
      </w:pPr>
      <w:r>
        <w:rPr>
          <w:lang w:val="fr-FR"/>
        </w:rPr>
        <w:t xml:space="preserve">Les normes EN 45544:2015, telles que mentionnées dans la définition du </w:t>
      </w:r>
      <w:proofErr w:type="spellStart"/>
      <w:r>
        <w:rPr>
          <w:lang w:val="fr-FR"/>
        </w:rPr>
        <w:t>toximètre</w:t>
      </w:r>
      <w:proofErr w:type="spellEnd"/>
      <w:r>
        <w:rPr>
          <w:lang w:val="fr-FR"/>
        </w:rPr>
        <w:t xml:space="preserve">, concernent l’« appareillage électrique utilisé pour la détection directe des vapeurs et gaz toxiques et le mesurage direct de leur concentration », ce qui, à première vue, est applicable aux détecteurs PID. Le </w:t>
      </w:r>
      <w:proofErr w:type="spellStart"/>
      <w:r>
        <w:rPr>
          <w:lang w:val="fr-FR"/>
        </w:rPr>
        <w:t>toximètre</w:t>
      </w:r>
      <w:proofErr w:type="spellEnd"/>
      <w:r>
        <w:rPr>
          <w:lang w:val="fr-FR"/>
        </w:rPr>
        <w:t xml:space="preserve"> proprement dit est un appareil de mesure manuel (et non électrique), auquel la norme ISO 17621:2015 est applicable. Ce point pourrait-il être précisé ?</w:t>
      </w:r>
    </w:p>
    <w:p w14:paraId="28BF86DD" w14:textId="77777777" w:rsidR="00566341" w:rsidRPr="001F122D" w:rsidRDefault="00566341" w:rsidP="00566341">
      <w:pPr>
        <w:pStyle w:val="SingleTxtG"/>
        <w:rPr>
          <w:lang w:val="fr-FR"/>
        </w:rPr>
      </w:pPr>
      <w:r>
        <w:rPr>
          <w:lang w:val="fr-FR"/>
        </w:rPr>
        <w:t xml:space="preserve">11. </w:t>
      </w:r>
      <w:r>
        <w:rPr>
          <w:lang w:val="fr-FR"/>
        </w:rPr>
        <w:tab/>
        <w:t>L’UENF et l’OEB souhaiteraient réellement l’appui du Comité de sécurité de l’ADN pour que les acteurs du secteur, qui ont maintenant conscience de cette lacune sur le plan de la sécurité et ne savent pas comment gérer le transport des matières concernées, puissent continuer de les transporter. Il convient de mettre en place d’autres mesures de sécurité pour protéger les membres des équipages et faire en sorte que la législation puisse être respectée en toute sécurité. L’UENF et l’OEB sont disposées à étudier cette question de manière plus approfondie et à communiquer tous nouveaux résultats au groupe de travail informel des matières.</w:t>
      </w:r>
    </w:p>
    <w:p w14:paraId="56A58F0C" w14:textId="77777777" w:rsidR="00566341" w:rsidRPr="001F122D" w:rsidRDefault="00566341" w:rsidP="00566341">
      <w:pPr>
        <w:pStyle w:val="HChG"/>
        <w:rPr>
          <w:lang w:val="fr-FR"/>
        </w:rPr>
      </w:pPr>
      <w:r w:rsidRPr="001F122D">
        <w:rPr>
          <w:lang w:val="fr-FR"/>
        </w:rPr>
        <w:br w:type="page"/>
      </w:r>
      <w:r>
        <w:rPr>
          <w:lang w:val="fr-FR"/>
        </w:rPr>
        <w:lastRenderedPageBreak/>
        <w:t>Annexe</w:t>
      </w:r>
    </w:p>
    <w:p w14:paraId="286D9322" w14:textId="77777777" w:rsidR="00566341" w:rsidRPr="001F122D" w:rsidRDefault="00566341" w:rsidP="00566341">
      <w:pPr>
        <w:pStyle w:val="HChG"/>
        <w:rPr>
          <w:lang w:val="fr-FR"/>
        </w:rPr>
      </w:pPr>
      <w:r>
        <w:rPr>
          <w:lang w:val="fr-FR"/>
        </w:rPr>
        <w:tab/>
      </w:r>
      <w:r>
        <w:rPr>
          <w:lang w:val="fr-FR"/>
        </w:rPr>
        <w:tab/>
      </w:r>
      <w:r>
        <w:rPr>
          <w:bCs/>
          <w:lang w:val="fr-FR"/>
        </w:rPr>
        <w:t xml:space="preserve">Liste provisoire des produits qui ne peuvent pas être détectés à l’aide d’un </w:t>
      </w:r>
      <w:proofErr w:type="spellStart"/>
      <w:r>
        <w:rPr>
          <w:bCs/>
          <w:lang w:val="fr-FR"/>
        </w:rPr>
        <w:t>toximètre</w:t>
      </w:r>
      <w:proofErr w:type="spellEnd"/>
    </w:p>
    <w:p w14:paraId="0EB235AE" w14:textId="77777777" w:rsidR="00566341" w:rsidRPr="001F122D" w:rsidRDefault="00566341" w:rsidP="00566341">
      <w:pPr>
        <w:pStyle w:val="Heading1"/>
        <w:spacing w:after="120"/>
        <w:rPr>
          <w:b/>
          <w:bCs/>
          <w:lang w:val="fr-FR"/>
        </w:rPr>
      </w:pPr>
      <w:r>
        <w:rPr>
          <w:b/>
          <w:bCs/>
          <w:lang w:val="fr-FR"/>
        </w:rPr>
        <w:t xml:space="preserve">Exemples de matières qui ne peuvent pas être détectées à l’aide d’un </w:t>
      </w:r>
      <w:proofErr w:type="spellStart"/>
      <w:r>
        <w:rPr>
          <w:b/>
          <w:bCs/>
          <w:lang w:val="fr-FR"/>
        </w:rPr>
        <w:t>toximètre</w:t>
      </w:r>
      <w:proofErr w:type="spellEnd"/>
      <w:r>
        <w:rPr>
          <w:b/>
          <w:bCs/>
          <w:lang w:val="fr-FR"/>
        </w:rPr>
        <w:t xml:space="preserve"> </w:t>
      </w:r>
      <w:r>
        <w:rPr>
          <w:b/>
          <w:bCs/>
          <w:lang w:val="fr-FR"/>
        </w:rPr>
        <w:br/>
        <w:t xml:space="preserve">− inventaire provisoire UENF/OEB </w:t>
      </w:r>
      <w:r w:rsidR="00DE2BEB">
        <w:rPr>
          <w:b/>
          <w:bCs/>
          <w:lang w:val="fr-FR"/>
        </w:rPr>
        <w:t>−</w:t>
      </w:r>
      <w:r>
        <w:rPr>
          <w:b/>
          <w:bCs/>
          <w:lang w:val="fr-FR"/>
        </w:rPr>
        <w:t xml:space="preserve"> janvier 2020</w:t>
      </w:r>
    </w:p>
    <w:tbl>
      <w:tblPr>
        <w:tblW w:w="7370" w:type="dxa"/>
        <w:tblInd w:w="1134" w:type="dxa"/>
        <w:tblLayout w:type="fixed"/>
        <w:tblCellMar>
          <w:left w:w="0" w:type="dxa"/>
          <w:right w:w="0" w:type="dxa"/>
        </w:tblCellMar>
        <w:tblLook w:val="04A0" w:firstRow="1" w:lastRow="0" w:firstColumn="1" w:lastColumn="0" w:noHBand="0" w:noVBand="1"/>
      </w:tblPr>
      <w:tblGrid>
        <w:gridCol w:w="851"/>
        <w:gridCol w:w="2909"/>
        <w:gridCol w:w="3610"/>
      </w:tblGrid>
      <w:tr w:rsidR="00566341" w:rsidRPr="00566341" w14:paraId="72A311CC" w14:textId="77777777" w:rsidTr="00566341">
        <w:trPr>
          <w:tblHeader/>
        </w:trPr>
        <w:tc>
          <w:tcPr>
            <w:tcW w:w="851" w:type="dxa"/>
            <w:tcBorders>
              <w:top w:val="single" w:sz="4" w:space="0" w:color="auto"/>
              <w:bottom w:val="single" w:sz="12" w:space="0" w:color="auto"/>
            </w:tcBorders>
            <w:shd w:val="clear" w:color="auto" w:fill="auto"/>
            <w:noWrap/>
            <w:vAlign w:val="bottom"/>
            <w:hideMark/>
          </w:tcPr>
          <w:p w14:paraId="65C1FBC5" w14:textId="77777777" w:rsidR="00566341" w:rsidRPr="00566341" w:rsidRDefault="00566341" w:rsidP="00566341">
            <w:pPr>
              <w:spacing w:before="80" w:after="80" w:line="200" w:lineRule="exact"/>
              <w:ind w:right="113"/>
              <w:rPr>
                <w:i/>
                <w:sz w:val="16"/>
              </w:rPr>
            </w:pPr>
            <w:r w:rsidRPr="00566341">
              <w:rPr>
                <w:i/>
                <w:sz w:val="16"/>
                <w:lang w:val="fr-FR"/>
              </w:rPr>
              <w:t>No ONU</w:t>
            </w:r>
          </w:p>
        </w:tc>
        <w:tc>
          <w:tcPr>
            <w:tcW w:w="2909" w:type="dxa"/>
            <w:tcBorders>
              <w:top w:val="single" w:sz="4" w:space="0" w:color="auto"/>
              <w:bottom w:val="single" w:sz="12" w:space="0" w:color="auto"/>
            </w:tcBorders>
            <w:shd w:val="clear" w:color="auto" w:fill="auto"/>
            <w:noWrap/>
            <w:vAlign w:val="bottom"/>
            <w:hideMark/>
          </w:tcPr>
          <w:p w14:paraId="5DE4B12C" w14:textId="77777777" w:rsidR="00566341" w:rsidRPr="00566341" w:rsidRDefault="00566341" w:rsidP="00566341">
            <w:pPr>
              <w:spacing w:before="80" w:after="80" w:line="200" w:lineRule="exact"/>
              <w:ind w:right="113"/>
              <w:rPr>
                <w:i/>
                <w:sz w:val="16"/>
              </w:rPr>
            </w:pPr>
            <w:r w:rsidRPr="00566341">
              <w:rPr>
                <w:i/>
                <w:sz w:val="16"/>
                <w:lang w:val="fr-FR"/>
              </w:rPr>
              <w:t>Désignation du produit</w:t>
            </w:r>
          </w:p>
        </w:tc>
        <w:tc>
          <w:tcPr>
            <w:tcW w:w="3610" w:type="dxa"/>
            <w:tcBorders>
              <w:top w:val="single" w:sz="4" w:space="0" w:color="auto"/>
              <w:bottom w:val="single" w:sz="12" w:space="0" w:color="auto"/>
            </w:tcBorders>
            <w:shd w:val="clear" w:color="auto" w:fill="auto"/>
            <w:noWrap/>
            <w:vAlign w:val="bottom"/>
            <w:hideMark/>
          </w:tcPr>
          <w:p w14:paraId="296DC173" w14:textId="77777777" w:rsidR="00566341" w:rsidRPr="00566341" w:rsidRDefault="00566341" w:rsidP="00566341">
            <w:pPr>
              <w:spacing w:before="80" w:after="80" w:line="200" w:lineRule="exact"/>
              <w:ind w:right="113"/>
              <w:rPr>
                <w:i/>
                <w:sz w:val="16"/>
              </w:rPr>
            </w:pPr>
            <w:r w:rsidRPr="00566341">
              <w:rPr>
                <w:i/>
                <w:sz w:val="16"/>
                <w:lang w:val="fr-FR"/>
              </w:rPr>
              <w:t>Remarques</w:t>
            </w:r>
          </w:p>
        </w:tc>
      </w:tr>
      <w:tr w:rsidR="00566341" w:rsidRPr="00566341" w14:paraId="7C8097F1" w14:textId="77777777" w:rsidTr="00566341">
        <w:trPr>
          <w:trHeight w:hRule="exact" w:val="113"/>
          <w:tblHeader/>
        </w:trPr>
        <w:tc>
          <w:tcPr>
            <w:tcW w:w="851" w:type="dxa"/>
            <w:tcBorders>
              <w:top w:val="single" w:sz="12" w:space="0" w:color="auto"/>
            </w:tcBorders>
            <w:shd w:val="clear" w:color="auto" w:fill="auto"/>
            <w:noWrap/>
          </w:tcPr>
          <w:p w14:paraId="74EEA1B6" w14:textId="77777777" w:rsidR="00566341" w:rsidRPr="00566341" w:rsidRDefault="00566341" w:rsidP="00566341">
            <w:pPr>
              <w:spacing w:before="40" w:after="120"/>
              <w:ind w:right="113"/>
              <w:rPr>
                <w:lang w:val="fr-FR"/>
              </w:rPr>
            </w:pPr>
          </w:p>
        </w:tc>
        <w:tc>
          <w:tcPr>
            <w:tcW w:w="2909" w:type="dxa"/>
            <w:tcBorders>
              <w:top w:val="single" w:sz="12" w:space="0" w:color="auto"/>
            </w:tcBorders>
            <w:shd w:val="clear" w:color="auto" w:fill="auto"/>
            <w:noWrap/>
          </w:tcPr>
          <w:p w14:paraId="01BEC4D2" w14:textId="77777777" w:rsidR="00566341" w:rsidRPr="00566341" w:rsidRDefault="00566341" w:rsidP="00566341">
            <w:pPr>
              <w:spacing w:before="40" w:after="120"/>
              <w:ind w:right="113"/>
              <w:rPr>
                <w:lang w:val="fr-FR"/>
              </w:rPr>
            </w:pPr>
          </w:p>
        </w:tc>
        <w:tc>
          <w:tcPr>
            <w:tcW w:w="3610" w:type="dxa"/>
            <w:tcBorders>
              <w:top w:val="single" w:sz="12" w:space="0" w:color="auto"/>
            </w:tcBorders>
            <w:shd w:val="clear" w:color="auto" w:fill="auto"/>
            <w:noWrap/>
          </w:tcPr>
          <w:p w14:paraId="0E916FF4" w14:textId="77777777" w:rsidR="00566341" w:rsidRPr="00566341" w:rsidRDefault="00566341" w:rsidP="00566341">
            <w:pPr>
              <w:spacing w:before="40" w:after="120"/>
              <w:ind w:right="113"/>
              <w:rPr>
                <w:lang w:val="fr-FR"/>
              </w:rPr>
            </w:pPr>
          </w:p>
        </w:tc>
      </w:tr>
      <w:tr w:rsidR="00566341" w:rsidRPr="00566341" w14:paraId="024D0F5F" w14:textId="77777777" w:rsidTr="00566341">
        <w:tc>
          <w:tcPr>
            <w:tcW w:w="851" w:type="dxa"/>
            <w:shd w:val="clear" w:color="auto" w:fill="auto"/>
            <w:noWrap/>
            <w:hideMark/>
          </w:tcPr>
          <w:p w14:paraId="6C51E126" w14:textId="77777777" w:rsidR="00566341" w:rsidRPr="00566341" w:rsidRDefault="00566341" w:rsidP="00566341">
            <w:pPr>
              <w:spacing w:before="40" w:after="120"/>
              <w:ind w:right="113"/>
            </w:pPr>
            <w:r w:rsidRPr="00566341">
              <w:rPr>
                <w:lang w:val="fr-FR"/>
              </w:rPr>
              <w:t>1026</w:t>
            </w:r>
          </w:p>
        </w:tc>
        <w:tc>
          <w:tcPr>
            <w:tcW w:w="2909" w:type="dxa"/>
            <w:shd w:val="clear" w:color="auto" w:fill="auto"/>
            <w:noWrap/>
            <w:hideMark/>
          </w:tcPr>
          <w:p w14:paraId="1C375E86" w14:textId="77777777" w:rsidR="00566341" w:rsidRPr="00566341" w:rsidRDefault="00566341" w:rsidP="00566341">
            <w:pPr>
              <w:spacing w:before="40" w:after="120"/>
              <w:ind w:right="113"/>
            </w:pPr>
            <w:r w:rsidRPr="00566341">
              <w:rPr>
                <w:lang w:val="fr-FR"/>
              </w:rPr>
              <w:t>CYANOGÈNE</w:t>
            </w:r>
          </w:p>
        </w:tc>
        <w:tc>
          <w:tcPr>
            <w:tcW w:w="3610" w:type="dxa"/>
            <w:shd w:val="clear" w:color="auto" w:fill="auto"/>
            <w:noWrap/>
            <w:hideMark/>
          </w:tcPr>
          <w:p w14:paraId="13320DEE"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417C18AA" w14:textId="77777777" w:rsidTr="00566341">
        <w:tc>
          <w:tcPr>
            <w:tcW w:w="851" w:type="dxa"/>
            <w:shd w:val="clear" w:color="auto" w:fill="auto"/>
            <w:noWrap/>
            <w:hideMark/>
          </w:tcPr>
          <w:p w14:paraId="615373EB" w14:textId="77777777" w:rsidR="00566341" w:rsidRPr="00566341" w:rsidRDefault="00566341" w:rsidP="00566341">
            <w:pPr>
              <w:spacing w:before="40" w:after="120"/>
              <w:ind w:right="113"/>
            </w:pPr>
            <w:r w:rsidRPr="00566341">
              <w:rPr>
                <w:lang w:val="fr-FR"/>
              </w:rPr>
              <w:t>1069</w:t>
            </w:r>
          </w:p>
        </w:tc>
        <w:tc>
          <w:tcPr>
            <w:tcW w:w="2909" w:type="dxa"/>
            <w:shd w:val="clear" w:color="auto" w:fill="auto"/>
            <w:noWrap/>
            <w:hideMark/>
          </w:tcPr>
          <w:p w14:paraId="5992F85B" w14:textId="77777777" w:rsidR="00566341" w:rsidRPr="00566341" w:rsidRDefault="00566341" w:rsidP="00566341">
            <w:pPr>
              <w:spacing w:before="40" w:after="120"/>
              <w:ind w:right="113"/>
            </w:pPr>
            <w:r w:rsidRPr="00566341">
              <w:rPr>
                <w:lang w:val="fr-FR"/>
              </w:rPr>
              <w:t>CHLORURE DE NITROSYLE</w:t>
            </w:r>
          </w:p>
        </w:tc>
        <w:tc>
          <w:tcPr>
            <w:tcW w:w="3610" w:type="dxa"/>
            <w:shd w:val="clear" w:color="auto" w:fill="auto"/>
            <w:noWrap/>
            <w:hideMark/>
          </w:tcPr>
          <w:p w14:paraId="764EA0CF"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2E989443" w14:textId="77777777" w:rsidTr="00566341">
        <w:tc>
          <w:tcPr>
            <w:tcW w:w="851" w:type="dxa"/>
            <w:shd w:val="clear" w:color="auto" w:fill="auto"/>
            <w:noWrap/>
            <w:hideMark/>
          </w:tcPr>
          <w:p w14:paraId="50CB0826" w14:textId="77777777" w:rsidR="00566341" w:rsidRPr="00566341" w:rsidRDefault="00566341" w:rsidP="00566341">
            <w:pPr>
              <w:spacing w:before="40" w:after="120"/>
              <w:ind w:right="113"/>
            </w:pPr>
            <w:r w:rsidRPr="00566341">
              <w:rPr>
                <w:lang w:val="fr-FR"/>
              </w:rPr>
              <w:t>1381</w:t>
            </w:r>
          </w:p>
        </w:tc>
        <w:tc>
          <w:tcPr>
            <w:tcW w:w="2909" w:type="dxa"/>
            <w:shd w:val="clear" w:color="auto" w:fill="auto"/>
            <w:hideMark/>
          </w:tcPr>
          <w:p w14:paraId="18048435" w14:textId="77777777" w:rsidR="00566341" w:rsidRPr="00566341" w:rsidRDefault="00566341" w:rsidP="00566341">
            <w:pPr>
              <w:spacing w:before="40" w:after="120"/>
              <w:ind w:right="113"/>
              <w:rPr>
                <w:lang w:val="fr-FR"/>
              </w:rPr>
            </w:pPr>
            <w:r w:rsidRPr="00566341">
              <w:rPr>
                <w:lang w:val="fr-FR"/>
              </w:rPr>
              <w:t>PHOSPHORE BLANC ou</w:t>
            </w:r>
            <w:r>
              <w:rPr>
                <w:lang w:val="fr-FR"/>
              </w:rPr>
              <w:t> </w:t>
            </w:r>
            <w:r w:rsidRPr="00566341">
              <w:rPr>
                <w:lang w:val="fr-FR"/>
              </w:rPr>
              <w:t>JAUNE, RECOUVERT D’EAU ou EN SOLUTION</w:t>
            </w:r>
          </w:p>
        </w:tc>
        <w:tc>
          <w:tcPr>
            <w:tcW w:w="3610" w:type="dxa"/>
            <w:shd w:val="clear" w:color="auto" w:fill="auto"/>
            <w:hideMark/>
          </w:tcPr>
          <w:p w14:paraId="00509609" w14:textId="77777777" w:rsidR="00566341" w:rsidRPr="00566341" w:rsidRDefault="00566341" w:rsidP="00566341">
            <w:pPr>
              <w:spacing w:before="40" w:after="120"/>
              <w:ind w:right="113"/>
              <w:rPr>
                <w:lang w:val="fr-FR"/>
              </w:rPr>
            </w:pPr>
            <w:r w:rsidRPr="00566341">
              <w:rPr>
                <w:lang w:val="fr-FR"/>
              </w:rPr>
              <w:t xml:space="preserve">La matière elle-même n’est pas détectable, mais les vapeurs qui en émanent le sont au moyen de tubes de mesure à court terme destinés à l’hydrure de phosphore. </w:t>
            </w:r>
          </w:p>
        </w:tc>
      </w:tr>
      <w:tr w:rsidR="00566341" w:rsidRPr="00566341" w14:paraId="28AAB094" w14:textId="77777777" w:rsidTr="00566341">
        <w:tc>
          <w:tcPr>
            <w:tcW w:w="851" w:type="dxa"/>
            <w:shd w:val="clear" w:color="auto" w:fill="auto"/>
            <w:noWrap/>
            <w:hideMark/>
          </w:tcPr>
          <w:p w14:paraId="2E7CA2A3" w14:textId="77777777" w:rsidR="00566341" w:rsidRPr="00566341" w:rsidRDefault="00566341" w:rsidP="00566341">
            <w:pPr>
              <w:spacing w:before="40" w:after="120"/>
              <w:ind w:right="113"/>
            </w:pPr>
            <w:r w:rsidRPr="00566341">
              <w:rPr>
                <w:lang w:val="fr-FR"/>
              </w:rPr>
              <w:t>1182</w:t>
            </w:r>
          </w:p>
        </w:tc>
        <w:tc>
          <w:tcPr>
            <w:tcW w:w="2909" w:type="dxa"/>
            <w:shd w:val="clear" w:color="auto" w:fill="auto"/>
            <w:noWrap/>
            <w:hideMark/>
          </w:tcPr>
          <w:p w14:paraId="7E781656" w14:textId="77777777" w:rsidR="00566341" w:rsidRPr="00566341" w:rsidRDefault="00566341" w:rsidP="00566341">
            <w:pPr>
              <w:spacing w:before="40" w:after="120"/>
              <w:ind w:right="113"/>
            </w:pPr>
            <w:r w:rsidRPr="00566341">
              <w:rPr>
                <w:lang w:val="fr-FR"/>
              </w:rPr>
              <w:t>CHLOROFORMIATE D’ÉTHYLE</w:t>
            </w:r>
          </w:p>
        </w:tc>
        <w:tc>
          <w:tcPr>
            <w:tcW w:w="3610" w:type="dxa"/>
            <w:shd w:val="clear" w:color="auto" w:fill="auto"/>
            <w:noWrap/>
            <w:hideMark/>
          </w:tcPr>
          <w:p w14:paraId="5FFDDA40"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3AB923E5" w14:textId="77777777" w:rsidTr="00566341">
        <w:tc>
          <w:tcPr>
            <w:tcW w:w="851" w:type="dxa"/>
            <w:shd w:val="clear" w:color="auto" w:fill="auto"/>
            <w:noWrap/>
            <w:hideMark/>
          </w:tcPr>
          <w:p w14:paraId="3744E3C0" w14:textId="77777777" w:rsidR="00566341" w:rsidRPr="00566341" w:rsidRDefault="00566341" w:rsidP="00566341">
            <w:pPr>
              <w:spacing w:before="40" w:after="120"/>
              <w:ind w:right="113"/>
            </w:pPr>
            <w:r w:rsidRPr="00566341">
              <w:rPr>
                <w:lang w:val="fr-FR"/>
              </w:rPr>
              <w:t>1541</w:t>
            </w:r>
          </w:p>
        </w:tc>
        <w:tc>
          <w:tcPr>
            <w:tcW w:w="2909" w:type="dxa"/>
            <w:shd w:val="clear" w:color="auto" w:fill="auto"/>
            <w:noWrap/>
            <w:hideMark/>
          </w:tcPr>
          <w:p w14:paraId="68E20940" w14:textId="77777777" w:rsidR="00566341" w:rsidRPr="00566341" w:rsidRDefault="00566341" w:rsidP="00566341">
            <w:pPr>
              <w:spacing w:before="40" w:after="120"/>
              <w:ind w:right="113"/>
            </w:pPr>
            <w:r w:rsidRPr="00566341">
              <w:rPr>
                <w:lang w:val="fr-FR"/>
              </w:rPr>
              <w:t>CYANHYDRINE D’ACÉTONE STABILISÉE</w:t>
            </w:r>
          </w:p>
        </w:tc>
        <w:tc>
          <w:tcPr>
            <w:tcW w:w="3610" w:type="dxa"/>
            <w:shd w:val="clear" w:color="auto" w:fill="auto"/>
            <w:noWrap/>
            <w:hideMark/>
          </w:tcPr>
          <w:p w14:paraId="4289C78C"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184A315F" w14:textId="77777777" w:rsidTr="00566341">
        <w:tc>
          <w:tcPr>
            <w:tcW w:w="851" w:type="dxa"/>
            <w:shd w:val="clear" w:color="auto" w:fill="auto"/>
            <w:noWrap/>
            <w:hideMark/>
          </w:tcPr>
          <w:p w14:paraId="6BA2E074" w14:textId="77777777" w:rsidR="00566341" w:rsidRPr="00566341" w:rsidRDefault="00566341" w:rsidP="00566341">
            <w:pPr>
              <w:spacing w:before="40" w:after="120"/>
              <w:ind w:right="113"/>
            </w:pPr>
            <w:r w:rsidRPr="00566341">
              <w:rPr>
                <w:lang w:val="fr-FR"/>
              </w:rPr>
              <w:t>1664</w:t>
            </w:r>
          </w:p>
        </w:tc>
        <w:tc>
          <w:tcPr>
            <w:tcW w:w="2909" w:type="dxa"/>
            <w:shd w:val="clear" w:color="auto" w:fill="auto"/>
            <w:noWrap/>
            <w:hideMark/>
          </w:tcPr>
          <w:p w14:paraId="6289C14B" w14:textId="77777777" w:rsidR="00566341" w:rsidRPr="00566341" w:rsidRDefault="00566341" w:rsidP="00566341">
            <w:pPr>
              <w:spacing w:before="40" w:after="120"/>
              <w:ind w:right="113"/>
            </w:pPr>
            <w:r w:rsidRPr="00566341">
              <w:rPr>
                <w:lang w:val="fr-FR"/>
              </w:rPr>
              <w:t>NITROTOLUÈNES LIQUIDES</w:t>
            </w:r>
          </w:p>
        </w:tc>
        <w:tc>
          <w:tcPr>
            <w:tcW w:w="3610" w:type="dxa"/>
            <w:shd w:val="clear" w:color="auto" w:fill="auto"/>
            <w:noWrap/>
            <w:hideMark/>
          </w:tcPr>
          <w:p w14:paraId="59C93D86"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5E300353" w14:textId="77777777" w:rsidTr="00566341">
        <w:tc>
          <w:tcPr>
            <w:tcW w:w="851" w:type="dxa"/>
            <w:shd w:val="clear" w:color="auto" w:fill="auto"/>
            <w:noWrap/>
            <w:hideMark/>
          </w:tcPr>
          <w:p w14:paraId="7154CE5E" w14:textId="77777777" w:rsidR="00566341" w:rsidRPr="00566341" w:rsidRDefault="00566341" w:rsidP="00566341">
            <w:pPr>
              <w:spacing w:before="40" w:after="120"/>
              <w:ind w:right="113"/>
            </w:pPr>
            <w:r w:rsidRPr="00566341">
              <w:rPr>
                <w:lang w:val="fr-FR"/>
              </w:rPr>
              <w:t>1750</w:t>
            </w:r>
          </w:p>
        </w:tc>
        <w:tc>
          <w:tcPr>
            <w:tcW w:w="2909" w:type="dxa"/>
            <w:shd w:val="clear" w:color="auto" w:fill="auto"/>
            <w:noWrap/>
            <w:hideMark/>
          </w:tcPr>
          <w:p w14:paraId="5D7DE994" w14:textId="77777777" w:rsidR="00566341" w:rsidRPr="00566341" w:rsidRDefault="00566341" w:rsidP="00566341">
            <w:pPr>
              <w:spacing w:before="40" w:after="120"/>
              <w:ind w:right="113"/>
            </w:pPr>
            <w:r w:rsidRPr="00566341">
              <w:rPr>
                <w:lang w:val="fr-FR"/>
              </w:rPr>
              <w:t>ACIDE CHLORACÉTIQUE EN SOLUTION</w:t>
            </w:r>
          </w:p>
        </w:tc>
        <w:tc>
          <w:tcPr>
            <w:tcW w:w="3610" w:type="dxa"/>
            <w:shd w:val="clear" w:color="auto" w:fill="auto"/>
            <w:noWrap/>
            <w:hideMark/>
          </w:tcPr>
          <w:p w14:paraId="4276AF4D"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66B6FD21" w14:textId="77777777" w:rsidTr="00566341">
        <w:tc>
          <w:tcPr>
            <w:tcW w:w="851" w:type="dxa"/>
            <w:shd w:val="clear" w:color="auto" w:fill="auto"/>
            <w:noWrap/>
            <w:hideMark/>
          </w:tcPr>
          <w:p w14:paraId="72FC65A2" w14:textId="77777777" w:rsidR="00566341" w:rsidRPr="00566341" w:rsidRDefault="00566341" w:rsidP="00566341">
            <w:pPr>
              <w:spacing w:before="40" w:after="120"/>
              <w:ind w:right="113"/>
            </w:pPr>
            <w:r w:rsidRPr="00566341">
              <w:rPr>
                <w:lang w:val="fr-FR"/>
              </w:rPr>
              <w:t>1790</w:t>
            </w:r>
          </w:p>
        </w:tc>
        <w:tc>
          <w:tcPr>
            <w:tcW w:w="2909" w:type="dxa"/>
            <w:shd w:val="clear" w:color="auto" w:fill="auto"/>
            <w:noWrap/>
            <w:hideMark/>
          </w:tcPr>
          <w:p w14:paraId="57D3F9ED" w14:textId="77777777" w:rsidR="00566341" w:rsidRPr="00566341" w:rsidRDefault="00566341" w:rsidP="00566341">
            <w:pPr>
              <w:spacing w:before="40" w:after="120"/>
              <w:ind w:right="113"/>
              <w:rPr>
                <w:lang w:val="fr-FR"/>
              </w:rPr>
            </w:pPr>
            <w:r w:rsidRPr="00566341">
              <w:rPr>
                <w:lang w:val="fr-FR"/>
              </w:rPr>
              <w:t>ACIDE FLUORHYDRIQUE avec</w:t>
            </w:r>
            <w:r>
              <w:rPr>
                <w:lang w:val="fr-FR"/>
              </w:rPr>
              <w:t> </w:t>
            </w:r>
            <w:r w:rsidRPr="00566341">
              <w:rPr>
                <w:lang w:val="fr-FR"/>
              </w:rPr>
              <w:t>mention du pourcentage (3</w:t>
            </w:r>
            <w:r>
              <w:rPr>
                <w:lang w:val="fr-FR"/>
              </w:rPr>
              <w:t> </w:t>
            </w:r>
            <w:r w:rsidRPr="00566341">
              <w:rPr>
                <w:lang w:val="fr-FR"/>
              </w:rPr>
              <w:t>entrées) de fluorure d’hydrogène</w:t>
            </w:r>
          </w:p>
        </w:tc>
        <w:tc>
          <w:tcPr>
            <w:tcW w:w="3610" w:type="dxa"/>
            <w:shd w:val="clear" w:color="auto" w:fill="auto"/>
            <w:noWrap/>
            <w:hideMark/>
          </w:tcPr>
          <w:p w14:paraId="7A27DF85"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0BF705E2" w14:textId="77777777" w:rsidTr="00566341">
        <w:tc>
          <w:tcPr>
            <w:tcW w:w="851" w:type="dxa"/>
            <w:shd w:val="clear" w:color="auto" w:fill="auto"/>
            <w:noWrap/>
          </w:tcPr>
          <w:p w14:paraId="1519D918" w14:textId="77777777" w:rsidR="00566341" w:rsidRPr="00566341" w:rsidRDefault="00566341" w:rsidP="00566341">
            <w:pPr>
              <w:spacing w:before="40" w:after="120"/>
              <w:ind w:right="113"/>
            </w:pPr>
            <w:r w:rsidRPr="00566341">
              <w:rPr>
                <w:lang w:val="fr-FR"/>
              </w:rPr>
              <w:t>1838</w:t>
            </w:r>
          </w:p>
        </w:tc>
        <w:tc>
          <w:tcPr>
            <w:tcW w:w="2909" w:type="dxa"/>
            <w:shd w:val="clear" w:color="auto" w:fill="auto"/>
            <w:noWrap/>
          </w:tcPr>
          <w:p w14:paraId="1BAA3C19" w14:textId="77777777" w:rsidR="00566341" w:rsidRPr="00566341" w:rsidRDefault="00566341" w:rsidP="00566341">
            <w:pPr>
              <w:spacing w:before="40" w:after="120"/>
              <w:ind w:right="113"/>
            </w:pPr>
            <w:r w:rsidRPr="00566341">
              <w:rPr>
                <w:lang w:val="fr-FR"/>
              </w:rPr>
              <w:t>TÉTRACHLORURE DE</w:t>
            </w:r>
            <w:r>
              <w:rPr>
                <w:lang w:val="fr-FR"/>
              </w:rPr>
              <w:t> </w:t>
            </w:r>
            <w:r w:rsidRPr="00566341">
              <w:rPr>
                <w:lang w:val="fr-FR"/>
              </w:rPr>
              <w:t>TITANE</w:t>
            </w:r>
          </w:p>
        </w:tc>
        <w:tc>
          <w:tcPr>
            <w:tcW w:w="3610" w:type="dxa"/>
            <w:shd w:val="clear" w:color="auto" w:fill="auto"/>
            <w:noWrap/>
          </w:tcPr>
          <w:p w14:paraId="6CD03E68" w14:textId="77777777" w:rsidR="00566341" w:rsidRPr="00566341" w:rsidRDefault="00566341" w:rsidP="00566341">
            <w:pPr>
              <w:spacing w:before="40" w:after="120"/>
              <w:ind w:right="113"/>
              <w:rPr>
                <w:lang w:val="en-US" w:eastAsia="nl-NL"/>
              </w:rPr>
            </w:pPr>
          </w:p>
        </w:tc>
      </w:tr>
      <w:tr w:rsidR="00566341" w:rsidRPr="00566341" w14:paraId="4B7C5D94" w14:textId="77777777" w:rsidTr="00566341">
        <w:tc>
          <w:tcPr>
            <w:tcW w:w="851" w:type="dxa"/>
            <w:shd w:val="clear" w:color="auto" w:fill="auto"/>
            <w:noWrap/>
            <w:hideMark/>
          </w:tcPr>
          <w:p w14:paraId="1EA96A5F" w14:textId="77777777" w:rsidR="00566341" w:rsidRPr="00566341" w:rsidRDefault="00566341" w:rsidP="00566341">
            <w:pPr>
              <w:spacing w:before="40" w:after="120"/>
              <w:ind w:right="113"/>
            </w:pPr>
            <w:r w:rsidRPr="00566341">
              <w:rPr>
                <w:lang w:val="fr-FR"/>
              </w:rPr>
              <w:t>2013</w:t>
            </w:r>
          </w:p>
        </w:tc>
        <w:tc>
          <w:tcPr>
            <w:tcW w:w="2909" w:type="dxa"/>
            <w:shd w:val="clear" w:color="auto" w:fill="auto"/>
            <w:noWrap/>
            <w:hideMark/>
          </w:tcPr>
          <w:p w14:paraId="64628BFC" w14:textId="77777777" w:rsidR="00566341" w:rsidRPr="00566341" w:rsidRDefault="00566341" w:rsidP="00566341">
            <w:pPr>
              <w:spacing w:before="40" w:after="120"/>
              <w:ind w:right="113"/>
            </w:pPr>
            <w:r w:rsidRPr="00566341">
              <w:rPr>
                <w:lang w:val="fr-FR"/>
              </w:rPr>
              <w:t>PHOSPHURE DE STRONTIUM</w:t>
            </w:r>
          </w:p>
        </w:tc>
        <w:tc>
          <w:tcPr>
            <w:tcW w:w="3610" w:type="dxa"/>
            <w:shd w:val="clear" w:color="auto" w:fill="auto"/>
            <w:noWrap/>
            <w:hideMark/>
          </w:tcPr>
          <w:p w14:paraId="33A13BB5"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1FA4EF4B" w14:textId="77777777" w:rsidTr="00566341">
        <w:tc>
          <w:tcPr>
            <w:tcW w:w="851" w:type="dxa"/>
            <w:shd w:val="clear" w:color="auto" w:fill="auto"/>
            <w:noWrap/>
            <w:hideMark/>
          </w:tcPr>
          <w:p w14:paraId="7D1ED3E6" w14:textId="77777777" w:rsidR="00566341" w:rsidRPr="00566341" w:rsidRDefault="00566341" w:rsidP="00566341">
            <w:pPr>
              <w:spacing w:before="40" w:after="120"/>
              <w:ind w:right="113"/>
            </w:pPr>
            <w:r w:rsidRPr="00566341">
              <w:rPr>
                <w:lang w:val="fr-FR"/>
              </w:rPr>
              <w:t>2205</w:t>
            </w:r>
          </w:p>
        </w:tc>
        <w:tc>
          <w:tcPr>
            <w:tcW w:w="2909" w:type="dxa"/>
            <w:shd w:val="clear" w:color="auto" w:fill="auto"/>
            <w:noWrap/>
            <w:hideMark/>
          </w:tcPr>
          <w:p w14:paraId="22B4164B" w14:textId="77777777" w:rsidR="00566341" w:rsidRPr="00566341" w:rsidRDefault="00566341" w:rsidP="00566341">
            <w:pPr>
              <w:spacing w:before="40" w:after="120"/>
              <w:ind w:right="113"/>
            </w:pPr>
            <w:r w:rsidRPr="00566341">
              <w:rPr>
                <w:lang w:val="fr-FR"/>
              </w:rPr>
              <w:t>ADIPONITRILE</w:t>
            </w:r>
          </w:p>
        </w:tc>
        <w:tc>
          <w:tcPr>
            <w:tcW w:w="3610" w:type="dxa"/>
            <w:shd w:val="clear" w:color="auto" w:fill="auto"/>
            <w:noWrap/>
            <w:hideMark/>
          </w:tcPr>
          <w:p w14:paraId="71C7F8E9"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3E6DFE08" w14:textId="77777777" w:rsidTr="00566341">
        <w:tc>
          <w:tcPr>
            <w:tcW w:w="851" w:type="dxa"/>
            <w:shd w:val="clear" w:color="auto" w:fill="auto"/>
            <w:noWrap/>
            <w:hideMark/>
          </w:tcPr>
          <w:p w14:paraId="157CD269" w14:textId="77777777" w:rsidR="00566341" w:rsidRPr="00566341" w:rsidRDefault="00566341" w:rsidP="00566341">
            <w:pPr>
              <w:spacing w:before="40" w:after="120"/>
              <w:ind w:right="113"/>
            </w:pPr>
            <w:r w:rsidRPr="00566341">
              <w:rPr>
                <w:lang w:val="fr-FR"/>
              </w:rPr>
              <w:t>2078</w:t>
            </w:r>
          </w:p>
        </w:tc>
        <w:tc>
          <w:tcPr>
            <w:tcW w:w="2909" w:type="dxa"/>
            <w:shd w:val="clear" w:color="auto" w:fill="auto"/>
            <w:hideMark/>
          </w:tcPr>
          <w:p w14:paraId="70A0C887" w14:textId="77777777" w:rsidR="00566341" w:rsidRPr="00566341" w:rsidRDefault="00566341" w:rsidP="00566341">
            <w:pPr>
              <w:spacing w:before="40" w:after="120"/>
              <w:ind w:right="113"/>
              <w:rPr>
                <w:lang w:val="fr-FR"/>
              </w:rPr>
            </w:pPr>
            <w:r w:rsidRPr="00566341">
              <w:rPr>
                <w:lang w:val="fr-FR"/>
              </w:rPr>
              <w:t>DIISOCYANATE DE TOLUÈNE (et mélanges isomères) (DIISOCYANATE DE TOLUÈNE-2,4)</w:t>
            </w:r>
          </w:p>
        </w:tc>
        <w:tc>
          <w:tcPr>
            <w:tcW w:w="3610" w:type="dxa"/>
            <w:shd w:val="clear" w:color="auto" w:fill="auto"/>
            <w:noWrap/>
            <w:hideMark/>
          </w:tcPr>
          <w:p w14:paraId="6339E0B2"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19B38EE2" w14:textId="77777777" w:rsidTr="00566341">
        <w:tc>
          <w:tcPr>
            <w:tcW w:w="851" w:type="dxa"/>
            <w:shd w:val="clear" w:color="auto" w:fill="auto"/>
            <w:noWrap/>
            <w:hideMark/>
          </w:tcPr>
          <w:p w14:paraId="1CB74BEE" w14:textId="77777777" w:rsidR="00566341" w:rsidRPr="00566341" w:rsidRDefault="00566341" w:rsidP="00566341">
            <w:pPr>
              <w:spacing w:before="40" w:after="120"/>
              <w:ind w:right="113"/>
            </w:pPr>
            <w:r w:rsidRPr="00566341">
              <w:rPr>
                <w:lang w:val="fr-FR"/>
              </w:rPr>
              <w:t>2281</w:t>
            </w:r>
          </w:p>
        </w:tc>
        <w:tc>
          <w:tcPr>
            <w:tcW w:w="2909" w:type="dxa"/>
            <w:shd w:val="clear" w:color="auto" w:fill="auto"/>
            <w:noWrap/>
            <w:hideMark/>
          </w:tcPr>
          <w:p w14:paraId="3EE8A6D4" w14:textId="77777777" w:rsidR="00566341" w:rsidRPr="00566341" w:rsidRDefault="00566341" w:rsidP="00566341">
            <w:pPr>
              <w:spacing w:before="40" w:after="120"/>
              <w:ind w:right="113"/>
            </w:pPr>
            <w:r w:rsidRPr="00566341">
              <w:rPr>
                <w:lang w:val="fr-FR"/>
              </w:rPr>
              <w:t>DIISOCYANATE D’HEXAMÉTHYLÈNE</w:t>
            </w:r>
          </w:p>
        </w:tc>
        <w:tc>
          <w:tcPr>
            <w:tcW w:w="3610" w:type="dxa"/>
            <w:shd w:val="clear" w:color="auto" w:fill="auto"/>
            <w:noWrap/>
            <w:hideMark/>
          </w:tcPr>
          <w:p w14:paraId="7E54E3C9"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12BCC047" w14:textId="77777777" w:rsidTr="00566341">
        <w:tc>
          <w:tcPr>
            <w:tcW w:w="851" w:type="dxa"/>
            <w:shd w:val="clear" w:color="auto" w:fill="auto"/>
            <w:noWrap/>
            <w:hideMark/>
          </w:tcPr>
          <w:p w14:paraId="187D2721" w14:textId="77777777" w:rsidR="00566341" w:rsidRPr="00566341" w:rsidRDefault="00566341" w:rsidP="00566341">
            <w:pPr>
              <w:spacing w:before="40" w:after="120"/>
              <w:ind w:right="113"/>
            </w:pPr>
            <w:r w:rsidRPr="00566341">
              <w:rPr>
                <w:lang w:val="fr-FR"/>
              </w:rPr>
              <w:t>2290</w:t>
            </w:r>
          </w:p>
        </w:tc>
        <w:tc>
          <w:tcPr>
            <w:tcW w:w="2909" w:type="dxa"/>
            <w:shd w:val="clear" w:color="auto" w:fill="auto"/>
            <w:noWrap/>
            <w:hideMark/>
          </w:tcPr>
          <w:p w14:paraId="1452EB37" w14:textId="77777777" w:rsidR="00566341" w:rsidRPr="00566341" w:rsidRDefault="00566341" w:rsidP="00566341">
            <w:pPr>
              <w:spacing w:before="40" w:after="120"/>
              <w:ind w:right="113"/>
            </w:pPr>
            <w:r w:rsidRPr="00566341">
              <w:rPr>
                <w:lang w:val="fr-FR"/>
              </w:rPr>
              <w:t>DIISOCYANATE D’ISOPHORONE</w:t>
            </w:r>
          </w:p>
        </w:tc>
        <w:tc>
          <w:tcPr>
            <w:tcW w:w="3610" w:type="dxa"/>
            <w:shd w:val="clear" w:color="auto" w:fill="auto"/>
            <w:noWrap/>
            <w:hideMark/>
          </w:tcPr>
          <w:p w14:paraId="4C1668BC"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370D0B02" w14:textId="77777777" w:rsidTr="00566341">
        <w:tc>
          <w:tcPr>
            <w:tcW w:w="851" w:type="dxa"/>
            <w:shd w:val="clear" w:color="auto" w:fill="auto"/>
            <w:noWrap/>
            <w:hideMark/>
          </w:tcPr>
          <w:p w14:paraId="6E291E4F" w14:textId="77777777" w:rsidR="00566341" w:rsidRPr="00566341" w:rsidRDefault="00566341" w:rsidP="00566341">
            <w:pPr>
              <w:spacing w:before="40" w:after="120"/>
              <w:ind w:right="113"/>
            </w:pPr>
            <w:r w:rsidRPr="00566341">
              <w:rPr>
                <w:lang w:val="fr-FR"/>
              </w:rPr>
              <w:t>2295</w:t>
            </w:r>
          </w:p>
        </w:tc>
        <w:tc>
          <w:tcPr>
            <w:tcW w:w="2909" w:type="dxa"/>
            <w:shd w:val="clear" w:color="auto" w:fill="auto"/>
            <w:noWrap/>
            <w:hideMark/>
          </w:tcPr>
          <w:p w14:paraId="3A7CB795" w14:textId="77777777" w:rsidR="00566341" w:rsidRPr="00566341" w:rsidRDefault="00566341" w:rsidP="00566341">
            <w:pPr>
              <w:spacing w:before="40" w:after="120"/>
              <w:ind w:right="113"/>
            </w:pPr>
            <w:r w:rsidRPr="00566341">
              <w:rPr>
                <w:lang w:val="fr-FR"/>
              </w:rPr>
              <w:t>CHLORACÉTATE DE MÉTHYLE</w:t>
            </w:r>
          </w:p>
        </w:tc>
        <w:tc>
          <w:tcPr>
            <w:tcW w:w="3610" w:type="dxa"/>
            <w:shd w:val="clear" w:color="auto" w:fill="auto"/>
            <w:noWrap/>
            <w:hideMark/>
          </w:tcPr>
          <w:p w14:paraId="5D9BA4C5"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50BEDFE9" w14:textId="77777777" w:rsidTr="00566341">
        <w:tc>
          <w:tcPr>
            <w:tcW w:w="851" w:type="dxa"/>
            <w:shd w:val="clear" w:color="auto" w:fill="auto"/>
            <w:noWrap/>
            <w:hideMark/>
          </w:tcPr>
          <w:p w14:paraId="0A6C25B8" w14:textId="77777777" w:rsidR="00566341" w:rsidRPr="00566341" w:rsidRDefault="00566341" w:rsidP="00566341">
            <w:pPr>
              <w:spacing w:before="40" w:after="120"/>
              <w:ind w:right="113"/>
            </w:pPr>
            <w:r w:rsidRPr="00566341">
              <w:rPr>
                <w:lang w:val="fr-FR"/>
              </w:rPr>
              <w:t>2438</w:t>
            </w:r>
          </w:p>
        </w:tc>
        <w:tc>
          <w:tcPr>
            <w:tcW w:w="2909" w:type="dxa"/>
            <w:shd w:val="clear" w:color="auto" w:fill="auto"/>
            <w:noWrap/>
            <w:hideMark/>
          </w:tcPr>
          <w:p w14:paraId="71EFBD16" w14:textId="77777777" w:rsidR="00566341" w:rsidRPr="00566341" w:rsidRDefault="00566341" w:rsidP="00566341">
            <w:pPr>
              <w:spacing w:before="40" w:after="120"/>
              <w:ind w:right="113"/>
            </w:pPr>
            <w:r w:rsidRPr="00566341">
              <w:rPr>
                <w:lang w:val="fr-FR"/>
              </w:rPr>
              <w:t>CHLORURE DE TRIMÉTHYLACÉTYLE</w:t>
            </w:r>
          </w:p>
        </w:tc>
        <w:tc>
          <w:tcPr>
            <w:tcW w:w="3610" w:type="dxa"/>
            <w:shd w:val="clear" w:color="auto" w:fill="auto"/>
            <w:noWrap/>
            <w:hideMark/>
          </w:tcPr>
          <w:p w14:paraId="1535EC81"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32A73284" w14:textId="77777777" w:rsidTr="00566341">
        <w:tc>
          <w:tcPr>
            <w:tcW w:w="851" w:type="dxa"/>
            <w:shd w:val="clear" w:color="auto" w:fill="auto"/>
            <w:noWrap/>
            <w:hideMark/>
          </w:tcPr>
          <w:p w14:paraId="45A0DFAF" w14:textId="77777777" w:rsidR="00566341" w:rsidRPr="00566341" w:rsidRDefault="00566341" w:rsidP="00566341">
            <w:pPr>
              <w:keepNext/>
              <w:keepLines/>
              <w:spacing w:before="40" w:after="120"/>
              <w:ind w:right="113"/>
            </w:pPr>
            <w:r w:rsidRPr="00566341">
              <w:rPr>
                <w:lang w:val="fr-FR"/>
              </w:rPr>
              <w:lastRenderedPageBreak/>
              <w:t>2748</w:t>
            </w:r>
          </w:p>
        </w:tc>
        <w:tc>
          <w:tcPr>
            <w:tcW w:w="2909" w:type="dxa"/>
            <w:shd w:val="clear" w:color="auto" w:fill="auto"/>
            <w:noWrap/>
            <w:hideMark/>
          </w:tcPr>
          <w:p w14:paraId="47B227F2" w14:textId="77777777" w:rsidR="00566341" w:rsidRPr="00566341" w:rsidRDefault="00566341" w:rsidP="00566341">
            <w:pPr>
              <w:keepNext/>
              <w:keepLines/>
              <w:spacing w:before="40" w:after="120"/>
              <w:ind w:right="113"/>
            </w:pPr>
            <w:r w:rsidRPr="00566341">
              <w:rPr>
                <w:lang w:val="fr-FR"/>
              </w:rPr>
              <w:t>CHLOROFORMIATE D’ÉTHYL-2 HEXYLE</w:t>
            </w:r>
          </w:p>
        </w:tc>
        <w:tc>
          <w:tcPr>
            <w:tcW w:w="3610" w:type="dxa"/>
            <w:shd w:val="clear" w:color="auto" w:fill="auto"/>
            <w:noWrap/>
            <w:hideMark/>
          </w:tcPr>
          <w:p w14:paraId="18B353EC" w14:textId="77777777" w:rsidR="00566341" w:rsidRPr="00566341" w:rsidRDefault="00566341" w:rsidP="00566341">
            <w:pPr>
              <w:keepNext/>
              <w:keepLines/>
              <w:spacing w:before="40" w:after="120"/>
              <w:ind w:right="113"/>
              <w:rPr>
                <w:lang w:val="en-US" w:eastAsia="nl-NL"/>
              </w:rPr>
            </w:pPr>
            <w:r w:rsidRPr="00566341">
              <w:rPr>
                <w:lang w:val="en-US" w:eastAsia="nl-NL"/>
              </w:rPr>
              <w:t> </w:t>
            </w:r>
          </w:p>
        </w:tc>
      </w:tr>
      <w:tr w:rsidR="00566341" w:rsidRPr="00566341" w14:paraId="7C76FCBD" w14:textId="77777777" w:rsidTr="00566341">
        <w:tc>
          <w:tcPr>
            <w:tcW w:w="851" w:type="dxa"/>
            <w:shd w:val="clear" w:color="auto" w:fill="auto"/>
            <w:noWrap/>
            <w:hideMark/>
          </w:tcPr>
          <w:p w14:paraId="5349CB1E" w14:textId="77777777" w:rsidR="00566341" w:rsidRPr="00566341" w:rsidRDefault="00566341" w:rsidP="00566341">
            <w:pPr>
              <w:spacing w:before="40" w:after="120"/>
              <w:ind w:right="113"/>
            </w:pPr>
            <w:r w:rsidRPr="00566341">
              <w:rPr>
                <w:lang w:val="fr-FR"/>
              </w:rPr>
              <w:t>2754</w:t>
            </w:r>
          </w:p>
        </w:tc>
        <w:tc>
          <w:tcPr>
            <w:tcW w:w="2909" w:type="dxa"/>
            <w:shd w:val="clear" w:color="auto" w:fill="auto"/>
            <w:noWrap/>
            <w:hideMark/>
          </w:tcPr>
          <w:p w14:paraId="51021D95" w14:textId="77777777" w:rsidR="00566341" w:rsidRPr="00566341" w:rsidRDefault="00566341" w:rsidP="00566341">
            <w:pPr>
              <w:spacing w:before="40" w:after="120"/>
              <w:ind w:right="113"/>
            </w:pPr>
            <w:r w:rsidRPr="00566341">
              <w:rPr>
                <w:lang w:val="fr-FR"/>
              </w:rPr>
              <w:t>N-ÉTHYLTOLUIDINES</w:t>
            </w:r>
          </w:p>
        </w:tc>
        <w:tc>
          <w:tcPr>
            <w:tcW w:w="3610" w:type="dxa"/>
            <w:shd w:val="clear" w:color="auto" w:fill="auto"/>
            <w:noWrap/>
            <w:hideMark/>
          </w:tcPr>
          <w:p w14:paraId="5935B53E"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16642968" w14:textId="77777777" w:rsidTr="00566341">
        <w:tc>
          <w:tcPr>
            <w:tcW w:w="851" w:type="dxa"/>
            <w:shd w:val="clear" w:color="auto" w:fill="auto"/>
            <w:noWrap/>
            <w:hideMark/>
          </w:tcPr>
          <w:p w14:paraId="7BCACA1B" w14:textId="77777777" w:rsidR="00566341" w:rsidRPr="00566341" w:rsidRDefault="00566341" w:rsidP="00566341">
            <w:pPr>
              <w:spacing w:before="40" w:after="120"/>
              <w:ind w:right="113"/>
            </w:pPr>
            <w:r w:rsidRPr="00566341">
              <w:rPr>
                <w:lang w:val="fr-FR"/>
              </w:rPr>
              <w:t>2927</w:t>
            </w:r>
          </w:p>
        </w:tc>
        <w:tc>
          <w:tcPr>
            <w:tcW w:w="2909" w:type="dxa"/>
            <w:shd w:val="clear" w:color="auto" w:fill="auto"/>
            <w:hideMark/>
          </w:tcPr>
          <w:p w14:paraId="2DB859EE" w14:textId="77777777" w:rsidR="00566341" w:rsidRPr="00566341" w:rsidRDefault="00566341" w:rsidP="00566341">
            <w:pPr>
              <w:spacing w:before="40" w:after="120"/>
              <w:ind w:right="113"/>
              <w:rPr>
                <w:lang w:val="fr-FR"/>
              </w:rPr>
            </w:pPr>
            <w:r w:rsidRPr="00566341">
              <w:rPr>
                <w:lang w:val="fr-FR"/>
              </w:rPr>
              <w:t>LIQUIDE ORGANIQUE TOXIQUE, CORROSIF, N.S.A. (2 entrées)</w:t>
            </w:r>
          </w:p>
        </w:tc>
        <w:tc>
          <w:tcPr>
            <w:tcW w:w="3610" w:type="dxa"/>
            <w:shd w:val="clear" w:color="auto" w:fill="auto"/>
            <w:hideMark/>
          </w:tcPr>
          <w:p w14:paraId="145EDD80" w14:textId="77777777" w:rsidR="00566341" w:rsidRPr="00566341" w:rsidRDefault="00566341" w:rsidP="00566341">
            <w:pPr>
              <w:spacing w:before="40" w:after="120"/>
              <w:ind w:right="113"/>
              <w:rPr>
                <w:lang w:val="fr-FR"/>
              </w:rPr>
            </w:pPr>
            <w:r w:rsidRPr="00566341">
              <w:rPr>
                <w:lang w:val="fr-FR"/>
              </w:rPr>
              <w:t>On peut détecter le chlorure de 4</w:t>
            </w:r>
            <w:r>
              <w:rPr>
                <w:lang w:val="fr-FR"/>
              </w:rPr>
              <w:noBreakHyphen/>
            </w:r>
            <w:r w:rsidRPr="00566341">
              <w:rPr>
                <w:lang w:val="fr-FR"/>
              </w:rPr>
              <w:t>chlorobutyryle à l’aide d’un tube de mesure à court terme destiné à la détection du phosgène 0.02/a. Les autres matières qui relèvent du No</w:t>
            </w:r>
            <w:r>
              <w:rPr>
                <w:lang w:val="fr-FR"/>
              </w:rPr>
              <w:t> </w:t>
            </w:r>
            <w:r w:rsidRPr="00566341">
              <w:rPr>
                <w:lang w:val="fr-FR"/>
              </w:rPr>
              <w:t>ONU 2927 ne peuvent pas être décelées à l’aide d’un détecteur PID ou de tubes de mesure à court terme.</w:t>
            </w:r>
          </w:p>
        </w:tc>
      </w:tr>
      <w:tr w:rsidR="00566341" w:rsidRPr="00566341" w14:paraId="7674500C" w14:textId="77777777" w:rsidTr="00566341">
        <w:tc>
          <w:tcPr>
            <w:tcW w:w="851" w:type="dxa"/>
            <w:shd w:val="clear" w:color="auto" w:fill="auto"/>
            <w:noWrap/>
            <w:hideMark/>
          </w:tcPr>
          <w:p w14:paraId="1B952D36" w14:textId="77777777" w:rsidR="00566341" w:rsidRPr="00566341" w:rsidRDefault="00566341" w:rsidP="00566341">
            <w:pPr>
              <w:spacing w:before="40" w:after="120"/>
              <w:ind w:right="113"/>
            </w:pPr>
            <w:r w:rsidRPr="00566341">
              <w:rPr>
                <w:lang w:val="fr-FR"/>
              </w:rPr>
              <w:t>2929</w:t>
            </w:r>
          </w:p>
        </w:tc>
        <w:tc>
          <w:tcPr>
            <w:tcW w:w="2909" w:type="dxa"/>
            <w:shd w:val="clear" w:color="auto" w:fill="auto"/>
            <w:noWrap/>
            <w:hideMark/>
          </w:tcPr>
          <w:p w14:paraId="44F42D76" w14:textId="77777777" w:rsidR="00566341" w:rsidRPr="00566341" w:rsidRDefault="00566341" w:rsidP="00566341">
            <w:pPr>
              <w:spacing w:before="40" w:after="120"/>
              <w:ind w:right="113"/>
              <w:rPr>
                <w:lang w:val="fr-FR"/>
              </w:rPr>
            </w:pPr>
            <w:r w:rsidRPr="00566341">
              <w:rPr>
                <w:lang w:val="fr-FR"/>
              </w:rPr>
              <w:t>LIQUIDE ORGANIQUE TOXIQUE, INFLAMMABLE, N.S.A.</w:t>
            </w:r>
          </w:p>
        </w:tc>
        <w:tc>
          <w:tcPr>
            <w:tcW w:w="3610" w:type="dxa"/>
            <w:shd w:val="clear" w:color="auto" w:fill="auto"/>
            <w:noWrap/>
            <w:hideMark/>
          </w:tcPr>
          <w:p w14:paraId="6680CE39"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2CDE4BCA" w14:textId="77777777" w:rsidTr="00566341">
        <w:tc>
          <w:tcPr>
            <w:tcW w:w="851" w:type="dxa"/>
            <w:shd w:val="clear" w:color="auto" w:fill="auto"/>
            <w:noWrap/>
            <w:hideMark/>
          </w:tcPr>
          <w:p w14:paraId="672FD96A" w14:textId="77777777" w:rsidR="00566341" w:rsidRPr="00566341" w:rsidRDefault="00566341" w:rsidP="00566341">
            <w:pPr>
              <w:spacing w:before="40" w:after="120"/>
              <w:ind w:right="113"/>
            </w:pPr>
            <w:r w:rsidRPr="00566341">
              <w:rPr>
                <w:lang w:val="fr-FR"/>
              </w:rPr>
              <w:t>2966</w:t>
            </w:r>
          </w:p>
        </w:tc>
        <w:tc>
          <w:tcPr>
            <w:tcW w:w="2909" w:type="dxa"/>
            <w:shd w:val="clear" w:color="auto" w:fill="auto"/>
            <w:noWrap/>
            <w:hideMark/>
          </w:tcPr>
          <w:p w14:paraId="31B4977E" w14:textId="77777777" w:rsidR="00566341" w:rsidRPr="00566341" w:rsidRDefault="00566341" w:rsidP="00566341">
            <w:pPr>
              <w:spacing w:before="40" w:after="120"/>
              <w:ind w:right="113"/>
            </w:pPr>
            <w:r w:rsidRPr="00566341">
              <w:rPr>
                <w:lang w:val="fr-FR"/>
              </w:rPr>
              <w:t>THIOGLYCOL (mercaptoéthanol)</w:t>
            </w:r>
          </w:p>
        </w:tc>
        <w:tc>
          <w:tcPr>
            <w:tcW w:w="3610" w:type="dxa"/>
            <w:shd w:val="clear" w:color="auto" w:fill="auto"/>
            <w:noWrap/>
            <w:hideMark/>
          </w:tcPr>
          <w:p w14:paraId="78248A65"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1BBC66CF" w14:textId="77777777" w:rsidTr="00566341">
        <w:tc>
          <w:tcPr>
            <w:tcW w:w="851" w:type="dxa"/>
            <w:shd w:val="clear" w:color="auto" w:fill="auto"/>
            <w:noWrap/>
            <w:hideMark/>
          </w:tcPr>
          <w:p w14:paraId="670E4B0A" w14:textId="77777777" w:rsidR="00566341" w:rsidRPr="00566341" w:rsidRDefault="00566341" w:rsidP="00566341">
            <w:pPr>
              <w:spacing w:before="40" w:after="120"/>
              <w:ind w:right="113"/>
            </w:pPr>
            <w:r w:rsidRPr="00566341">
              <w:rPr>
                <w:lang w:val="fr-FR"/>
              </w:rPr>
              <w:t>3276</w:t>
            </w:r>
          </w:p>
        </w:tc>
        <w:tc>
          <w:tcPr>
            <w:tcW w:w="2909" w:type="dxa"/>
            <w:shd w:val="clear" w:color="auto" w:fill="auto"/>
            <w:noWrap/>
            <w:hideMark/>
          </w:tcPr>
          <w:p w14:paraId="2A61A37D" w14:textId="77777777" w:rsidR="00566341" w:rsidRPr="00566341" w:rsidRDefault="00566341" w:rsidP="00566341">
            <w:pPr>
              <w:spacing w:before="40" w:after="120"/>
              <w:ind w:right="113"/>
              <w:rPr>
                <w:lang w:val="fr-FR"/>
              </w:rPr>
            </w:pPr>
            <w:r w:rsidRPr="00566341">
              <w:rPr>
                <w:lang w:val="fr-FR"/>
              </w:rPr>
              <w:t>NITRILES LIQUIDES TOXIQUES, N.S.A. (3 entrées)</w:t>
            </w:r>
          </w:p>
        </w:tc>
        <w:tc>
          <w:tcPr>
            <w:tcW w:w="3610" w:type="dxa"/>
            <w:shd w:val="clear" w:color="auto" w:fill="auto"/>
            <w:noWrap/>
            <w:hideMark/>
          </w:tcPr>
          <w:p w14:paraId="7EC9B89D" w14:textId="77777777" w:rsidR="00566341" w:rsidRPr="00566341" w:rsidRDefault="00566341" w:rsidP="00566341">
            <w:pPr>
              <w:spacing w:before="40" w:after="120"/>
              <w:ind w:right="113"/>
              <w:rPr>
                <w:lang w:eastAsia="nl-NL"/>
              </w:rPr>
            </w:pPr>
            <w:r w:rsidRPr="00566341">
              <w:rPr>
                <w:lang w:eastAsia="nl-NL"/>
              </w:rPr>
              <w:t> </w:t>
            </w:r>
          </w:p>
        </w:tc>
      </w:tr>
      <w:tr w:rsidR="00566341" w:rsidRPr="00566341" w14:paraId="6B0492D7" w14:textId="77777777" w:rsidTr="00566341">
        <w:tc>
          <w:tcPr>
            <w:tcW w:w="851" w:type="dxa"/>
            <w:shd w:val="clear" w:color="auto" w:fill="auto"/>
            <w:noWrap/>
            <w:hideMark/>
          </w:tcPr>
          <w:p w14:paraId="25C0CBC6" w14:textId="77777777" w:rsidR="00566341" w:rsidRPr="00566341" w:rsidRDefault="00566341" w:rsidP="00566341">
            <w:pPr>
              <w:spacing w:before="40" w:after="120"/>
              <w:ind w:right="113"/>
            </w:pPr>
            <w:r w:rsidRPr="00566341">
              <w:rPr>
                <w:lang w:val="fr-FR"/>
              </w:rPr>
              <w:t>3302</w:t>
            </w:r>
          </w:p>
        </w:tc>
        <w:tc>
          <w:tcPr>
            <w:tcW w:w="2909" w:type="dxa"/>
            <w:shd w:val="clear" w:color="auto" w:fill="auto"/>
            <w:noWrap/>
            <w:hideMark/>
          </w:tcPr>
          <w:p w14:paraId="705623B9" w14:textId="77777777" w:rsidR="00566341" w:rsidRPr="00566341" w:rsidRDefault="00566341" w:rsidP="00566341">
            <w:pPr>
              <w:spacing w:before="40" w:after="120"/>
              <w:ind w:right="113"/>
            </w:pPr>
            <w:r w:rsidRPr="00566341">
              <w:rPr>
                <w:lang w:val="fr-FR"/>
              </w:rPr>
              <w:t>ACRYLATE DE 2-DIMÉTHYLAMINOÉTHYLE STABILISÉ</w:t>
            </w:r>
          </w:p>
        </w:tc>
        <w:tc>
          <w:tcPr>
            <w:tcW w:w="3610" w:type="dxa"/>
            <w:shd w:val="clear" w:color="auto" w:fill="auto"/>
            <w:noWrap/>
            <w:hideMark/>
          </w:tcPr>
          <w:p w14:paraId="33A56446" w14:textId="77777777" w:rsidR="00566341" w:rsidRPr="00566341" w:rsidRDefault="00566341" w:rsidP="00566341">
            <w:pPr>
              <w:spacing w:before="40" w:after="120"/>
              <w:ind w:right="113"/>
              <w:rPr>
                <w:lang w:val="en-US" w:eastAsia="nl-NL"/>
              </w:rPr>
            </w:pPr>
            <w:r w:rsidRPr="00566341">
              <w:rPr>
                <w:lang w:val="en-US" w:eastAsia="nl-NL"/>
              </w:rPr>
              <w:t> </w:t>
            </w:r>
          </w:p>
        </w:tc>
      </w:tr>
      <w:tr w:rsidR="00566341" w:rsidRPr="00566341" w14:paraId="725AA2BD" w14:textId="77777777" w:rsidTr="00566341">
        <w:tc>
          <w:tcPr>
            <w:tcW w:w="851" w:type="dxa"/>
            <w:shd w:val="clear" w:color="auto" w:fill="auto"/>
            <w:noWrap/>
            <w:hideMark/>
          </w:tcPr>
          <w:p w14:paraId="298231E6" w14:textId="77777777" w:rsidR="00566341" w:rsidRPr="00566341" w:rsidRDefault="00566341" w:rsidP="00566341">
            <w:pPr>
              <w:spacing w:before="40" w:after="120"/>
              <w:ind w:right="113"/>
            </w:pPr>
            <w:r w:rsidRPr="00566341">
              <w:rPr>
                <w:lang w:val="fr-FR"/>
              </w:rPr>
              <w:t>3381</w:t>
            </w:r>
          </w:p>
        </w:tc>
        <w:tc>
          <w:tcPr>
            <w:tcW w:w="2909" w:type="dxa"/>
            <w:shd w:val="clear" w:color="auto" w:fill="auto"/>
            <w:noWrap/>
            <w:hideMark/>
          </w:tcPr>
          <w:p w14:paraId="02C11EB3" w14:textId="77777777" w:rsidR="00566341" w:rsidRPr="00566341" w:rsidRDefault="00566341" w:rsidP="00566341">
            <w:pPr>
              <w:spacing w:before="40" w:after="120"/>
              <w:ind w:right="113"/>
              <w:rPr>
                <w:lang w:val="fr-FR"/>
              </w:rPr>
            </w:pPr>
            <w:r w:rsidRPr="00566341">
              <w:rPr>
                <w:lang w:val="fr-FR"/>
              </w:rPr>
              <w:t>LIQUIDE TOXIQUE À L’INHALATION, N.S.A.</w:t>
            </w:r>
          </w:p>
        </w:tc>
        <w:tc>
          <w:tcPr>
            <w:tcW w:w="3610" w:type="dxa"/>
            <w:shd w:val="clear" w:color="auto" w:fill="auto"/>
            <w:noWrap/>
            <w:hideMark/>
          </w:tcPr>
          <w:p w14:paraId="45C359D9"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6EF7A8DD" w14:textId="77777777" w:rsidTr="00566341">
        <w:tc>
          <w:tcPr>
            <w:tcW w:w="851" w:type="dxa"/>
            <w:shd w:val="clear" w:color="auto" w:fill="auto"/>
            <w:noWrap/>
            <w:hideMark/>
          </w:tcPr>
          <w:p w14:paraId="1A221364" w14:textId="77777777" w:rsidR="00566341" w:rsidRPr="00566341" w:rsidRDefault="00566341" w:rsidP="00566341">
            <w:pPr>
              <w:spacing w:before="40" w:after="120"/>
              <w:ind w:right="113"/>
            </w:pPr>
            <w:r w:rsidRPr="00566341">
              <w:rPr>
                <w:lang w:val="fr-FR"/>
              </w:rPr>
              <w:t>3382</w:t>
            </w:r>
          </w:p>
        </w:tc>
        <w:tc>
          <w:tcPr>
            <w:tcW w:w="2909" w:type="dxa"/>
            <w:shd w:val="clear" w:color="auto" w:fill="auto"/>
            <w:noWrap/>
            <w:hideMark/>
          </w:tcPr>
          <w:p w14:paraId="284E9801" w14:textId="77777777" w:rsidR="00566341" w:rsidRPr="00566341" w:rsidRDefault="00566341" w:rsidP="00566341">
            <w:pPr>
              <w:spacing w:before="40" w:after="120"/>
              <w:ind w:right="113"/>
              <w:rPr>
                <w:lang w:val="fr-FR"/>
              </w:rPr>
            </w:pPr>
            <w:r w:rsidRPr="00566341">
              <w:rPr>
                <w:lang w:val="fr-FR"/>
              </w:rPr>
              <w:t>LIQUIDE TOXIQUE À L’INHALATION, N.S.A.</w:t>
            </w:r>
          </w:p>
        </w:tc>
        <w:tc>
          <w:tcPr>
            <w:tcW w:w="3610" w:type="dxa"/>
            <w:shd w:val="clear" w:color="auto" w:fill="auto"/>
            <w:noWrap/>
            <w:hideMark/>
          </w:tcPr>
          <w:p w14:paraId="6A2A2C70"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285924D6" w14:textId="77777777" w:rsidTr="00566341">
        <w:tc>
          <w:tcPr>
            <w:tcW w:w="851" w:type="dxa"/>
            <w:shd w:val="clear" w:color="auto" w:fill="auto"/>
            <w:noWrap/>
            <w:hideMark/>
          </w:tcPr>
          <w:p w14:paraId="2E1620DF" w14:textId="77777777" w:rsidR="00566341" w:rsidRPr="00566341" w:rsidRDefault="00566341" w:rsidP="00566341">
            <w:pPr>
              <w:spacing w:before="40" w:after="120"/>
              <w:ind w:right="113"/>
            </w:pPr>
            <w:r w:rsidRPr="00566341">
              <w:rPr>
                <w:lang w:val="fr-FR"/>
              </w:rPr>
              <w:t>3383</w:t>
            </w:r>
          </w:p>
        </w:tc>
        <w:tc>
          <w:tcPr>
            <w:tcW w:w="2909" w:type="dxa"/>
            <w:shd w:val="clear" w:color="auto" w:fill="auto"/>
            <w:noWrap/>
            <w:hideMark/>
          </w:tcPr>
          <w:p w14:paraId="21F7C4C9" w14:textId="77777777" w:rsidR="00566341" w:rsidRPr="00566341" w:rsidRDefault="00566341" w:rsidP="00566341">
            <w:pPr>
              <w:spacing w:before="40" w:after="120"/>
              <w:ind w:right="113"/>
              <w:rPr>
                <w:lang w:val="fr-FR"/>
              </w:rPr>
            </w:pPr>
            <w:r w:rsidRPr="00566341">
              <w:rPr>
                <w:lang w:val="fr-FR"/>
              </w:rPr>
              <w:t>LIQUIDE TOXIQUE À L’INHALATION, INFLAMMABLE, N.S.A.</w:t>
            </w:r>
          </w:p>
        </w:tc>
        <w:tc>
          <w:tcPr>
            <w:tcW w:w="3610" w:type="dxa"/>
            <w:shd w:val="clear" w:color="auto" w:fill="auto"/>
            <w:noWrap/>
            <w:hideMark/>
          </w:tcPr>
          <w:p w14:paraId="39450838"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3D8D1F60" w14:textId="77777777" w:rsidTr="00566341">
        <w:tc>
          <w:tcPr>
            <w:tcW w:w="851" w:type="dxa"/>
            <w:shd w:val="clear" w:color="auto" w:fill="auto"/>
            <w:noWrap/>
            <w:hideMark/>
          </w:tcPr>
          <w:p w14:paraId="7EE6ED12" w14:textId="77777777" w:rsidR="00566341" w:rsidRPr="00566341" w:rsidRDefault="00566341" w:rsidP="00566341">
            <w:pPr>
              <w:spacing w:before="40" w:after="120"/>
              <w:ind w:right="113"/>
            </w:pPr>
            <w:r w:rsidRPr="00566341">
              <w:rPr>
                <w:lang w:val="fr-FR"/>
              </w:rPr>
              <w:t>3384</w:t>
            </w:r>
          </w:p>
        </w:tc>
        <w:tc>
          <w:tcPr>
            <w:tcW w:w="2909" w:type="dxa"/>
            <w:shd w:val="clear" w:color="auto" w:fill="auto"/>
            <w:hideMark/>
          </w:tcPr>
          <w:p w14:paraId="7C21C8BE" w14:textId="77777777" w:rsidR="00566341" w:rsidRPr="00566341" w:rsidRDefault="00566341" w:rsidP="00566341">
            <w:pPr>
              <w:spacing w:before="40" w:after="120"/>
              <w:ind w:right="113"/>
              <w:rPr>
                <w:lang w:val="fr-FR"/>
              </w:rPr>
            </w:pPr>
            <w:r w:rsidRPr="00566341">
              <w:rPr>
                <w:lang w:val="fr-FR"/>
              </w:rPr>
              <w:t>LIQUIDE TOXIQUE À L’INHALATION, INFLAMMABLE, N.S.A.</w:t>
            </w:r>
          </w:p>
        </w:tc>
        <w:tc>
          <w:tcPr>
            <w:tcW w:w="3610" w:type="dxa"/>
            <w:shd w:val="clear" w:color="auto" w:fill="auto"/>
            <w:noWrap/>
            <w:hideMark/>
          </w:tcPr>
          <w:p w14:paraId="371F0EF2"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162961E6" w14:textId="77777777" w:rsidTr="00566341">
        <w:tc>
          <w:tcPr>
            <w:tcW w:w="851" w:type="dxa"/>
            <w:shd w:val="clear" w:color="auto" w:fill="auto"/>
            <w:noWrap/>
            <w:hideMark/>
          </w:tcPr>
          <w:p w14:paraId="69F967F6" w14:textId="77777777" w:rsidR="00566341" w:rsidRPr="00566341" w:rsidRDefault="00566341" w:rsidP="00566341">
            <w:pPr>
              <w:spacing w:before="40" w:after="120"/>
              <w:ind w:right="113"/>
            </w:pPr>
            <w:r w:rsidRPr="00566341">
              <w:rPr>
                <w:lang w:val="fr-FR"/>
              </w:rPr>
              <w:t>3385</w:t>
            </w:r>
          </w:p>
        </w:tc>
        <w:tc>
          <w:tcPr>
            <w:tcW w:w="2909" w:type="dxa"/>
            <w:shd w:val="clear" w:color="auto" w:fill="auto"/>
            <w:hideMark/>
          </w:tcPr>
          <w:p w14:paraId="20162A27" w14:textId="77777777" w:rsidR="00566341" w:rsidRPr="00566341" w:rsidRDefault="00566341" w:rsidP="00566341">
            <w:pPr>
              <w:spacing w:before="40" w:after="120"/>
              <w:ind w:right="113"/>
              <w:rPr>
                <w:lang w:val="fr-FR"/>
              </w:rPr>
            </w:pPr>
            <w:r w:rsidRPr="00566341">
              <w:rPr>
                <w:lang w:val="fr-FR"/>
              </w:rPr>
              <w:t>LIQUIDE TOXIQUE À L’INHALATION, INFLAMMABLE, N.S.A.</w:t>
            </w:r>
          </w:p>
        </w:tc>
        <w:tc>
          <w:tcPr>
            <w:tcW w:w="3610" w:type="dxa"/>
            <w:shd w:val="clear" w:color="auto" w:fill="auto"/>
            <w:noWrap/>
            <w:hideMark/>
          </w:tcPr>
          <w:p w14:paraId="0D5BCF38"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41E7FFCB" w14:textId="77777777" w:rsidTr="00566341">
        <w:tc>
          <w:tcPr>
            <w:tcW w:w="851" w:type="dxa"/>
            <w:shd w:val="clear" w:color="auto" w:fill="auto"/>
            <w:noWrap/>
            <w:hideMark/>
          </w:tcPr>
          <w:p w14:paraId="4C9D8421" w14:textId="77777777" w:rsidR="00566341" w:rsidRPr="00566341" w:rsidRDefault="00566341" w:rsidP="00566341">
            <w:pPr>
              <w:spacing w:before="40" w:after="120"/>
              <w:ind w:right="113"/>
            </w:pPr>
            <w:r w:rsidRPr="00566341">
              <w:rPr>
                <w:lang w:val="fr-FR"/>
              </w:rPr>
              <w:t>3386</w:t>
            </w:r>
          </w:p>
        </w:tc>
        <w:tc>
          <w:tcPr>
            <w:tcW w:w="2909" w:type="dxa"/>
            <w:shd w:val="clear" w:color="auto" w:fill="auto"/>
            <w:noWrap/>
            <w:hideMark/>
          </w:tcPr>
          <w:p w14:paraId="51E2BC15" w14:textId="77777777" w:rsidR="00566341" w:rsidRPr="00566341" w:rsidRDefault="00566341" w:rsidP="00566341">
            <w:pPr>
              <w:spacing w:before="40" w:after="120"/>
              <w:ind w:right="113"/>
              <w:rPr>
                <w:lang w:val="fr-FR"/>
              </w:rPr>
            </w:pPr>
            <w:r w:rsidRPr="00566341">
              <w:rPr>
                <w:lang w:val="fr-FR"/>
              </w:rPr>
              <w:t>LIQUIDE TOXIQUE À L’INHALATION, HYDRORÉACTIF, N.S.A.</w:t>
            </w:r>
          </w:p>
        </w:tc>
        <w:tc>
          <w:tcPr>
            <w:tcW w:w="3610" w:type="dxa"/>
            <w:shd w:val="clear" w:color="auto" w:fill="auto"/>
            <w:noWrap/>
            <w:hideMark/>
          </w:tcPr>
          <w:p w14:paraId="02564028"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345B78A9" w14:textId="77777777" w:rsidTr="00566341">
        <w:tc>
          <w:tcPr>
            <w:tcW w:w="851" w:type="dxa"/>
            <w:shd w:val="clear" w:color="auto" w:fill="auto"/>
            <w:noWrap/>
            <w:hideMark/>
          </w:tcPr>
          <w:p w14:paraId="7C4CF09A" w14:textId="77777777" w:rsidR="00566341" w:rsidRPr="00566341" w:rsidRDefault="00566341" w:rsidP="00566341">
            <w:pPr>
              <w:spacing w:before="40" w:after="120"/>
              <w:ind w:right="113"/>
            </w:pPr>
            <w:r w:rsidRPr="00566341">
              <w:rPr>
                <w:lang w:val="fr-FR"/>
              </w:rPr>
              <w:t>3387</w:t>
            </w:r>
          </w:p>
        </w:tc>
        <w:tc>
          <w:tcPr>
            <w:tcW w:w="2909" w:type="dxa"/>
            <w:shd w:val="clear" w:color="auto" w:fill="auto"/>
            <w:noWrap/>
            <w:hideMark/>
          </w:tcPr>
          <w:p w14:paraId="2EB73D55" w14:textId="77777777" w:rsidR="00566341" w:rsidRPr="00566341" w:rsidRDefault="00566341" w:rsidP="00566341">
            <w:pPr>
              <w:spacing w:before="40" w:after="120"/>
              <w:ind w:right="113"/>
              <w:rPr>
                <w:lang w:val="fr-FR"/>
              </w:rPr>
            </w:pPr>
            <w:r w:rsidRPr="00566341">
              <w:rPr>
                <w:lang w:val="fr-FR"/>
              </w:rPr>
              <w:t>LIQUIDE TOXIQUE À L’INHALATION, COMBURANT, N.S.A.</w:t>
            </w:r>
          </w:p>
        </w:tc>
        <w:tc>
          <w:tcPr>
            <w:tcW w:w="3610" w:type="dxa"/>
            <w:shd w:val="clear" w:color="auto" w:fill="auto"/>
            <w:noWrap/>
            <w:hideMark/>
          </w:tcPr>
          <w:p w14:paraId="46B8A33F"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127541E7" w14:textId="77777777" w:rsidTr="00566341">
        <w:tc>
          <w:tcPr>
            <w:tcW w:w="851" w:type="dxa"/>
            <w:shd w:val="clear" w:color="auto" w:fill="auto"/>
            <w:noWrap/>
            <w:hideMark/>
          </w:tcPr>
          <w:p w14:paraId="3430BDE4" w14:textId="77777777" w:rsidR="00566341" w:rsidRPr="00566341" w:rsidRDefault="00566341" w:rsidP="00566341">
            <w:pPr>
              <w:spacing w:before="40" w:after="120"/>
              <w:ind w:right="113"/>
            </w:pPr>
            <w:r w:rsidRPr="00566341">
              <w:rPr>
                <w:lang w:val="fr-FR"/>
              </w:rPr>
              <w:t>3388</w:t>
            </w:r>
          </w:p>
        </w:tc>
        <w:tc>
          <w:tcPr>
            <w:tcW w:w="2909" w:type="dxa"/>
            <w:shd w:val="clear" w:color="auto" w:fill="auto"/>
            <w:noWrap/>
            <w:hideMark/>
          </w:tcPr>
          <w:p w14:paraId="4CF1AD24" w14:textId="77777777" w:rsidR="00566341" w:rsidRPr="00566341" w:rsidRDefault="00566341" w:rsidP="00566341">
            <w:pPr>
              <w:spacing w:before="40" w:after="120"/>
              <w:ind w:right="113"/>
              <w:rPr>
                <w:lang w:val="fr-FR"/>
              </w:rPr>
            </w:pPr>
            <w:r w:rsidRPr="00566341">
              <w:rPr>
                <w:lang w:val="fr-FR"/>
              </w:rPr>
              <w:t>LIQUIDE TOXIQUE À L’INHALATION, COMBURANT, N.S.A.</w:t>
            </w:r>
          </w:p>
        </w:tc>
        <w:tc>
          <w:tcPr>
            <w:tcW w:w="3610" w:type="dxa"/>
            <w:shd w:val="clear" w:color="auto" w:fill="auto"/>
            <w:noWrap/>
            <w:hideMark/>
          </w:tcPr>
          <w:p w14:paraId="6E8C2BB2"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33664D45" w14:textId="77777777" w:rsidTr="00566341">
        <w:tc>
          <w:tcPr>
            <w:tcW w:w="851" w:type="dxa"/>
            <w:shd w:val="clear" w:color="auto" w:fill="auto"/>
            <w:noWrap/>
            <w:hideMark/>
          </w:tcPr>
          <w:p w14:paraId="376E06AC" w14:textId="77777777" w:rsidR="00566341" w:rsidRPr="00566341" w:rsidRDefault="00566341" w:rsidP="00566341">
            <w:pPr>
              <w:spacing w:before="40" w:after="120"/>
              <w:ind w:right="113"/>
            </w:pPr>
            <w:r w:rsidRPr="00566341">
              <w:rPr>
                <w:lang w:val="fr-FR"/>
              </w:rPr>
              <w:t>3389</w:t>
            </w:r>
          </w:p>
        </w:tc>
        <w:tc>
          <w:tcPr>
            <w:tcW w:w="2909" w:type="dxa"/>
            <w:shd w:val="clear" w:color="auto" w:fill="auto"/>
            <w:hideMark/>
          </w:tcPr>
          <w:p w14:paraId="1302C077" w14:textId="77777777" w:rsidR="00566341" w:rsidRPr="00566341" w:rsidRDefault="00566341" w:rsidP="00566341">
            <w:pPr>
              <w:spacing w:before="40" w:after="120"/>
              <w:ind w:right="113"/>
              <w:rPr>
                <w:lang w:val="fr-FR"/>
              </w:rPr>
            </w:pPr>
            <w:r w:rsidRPr="00566341">
              <w:rPr>
                <w:lang w:val="fr-FR"/>
              </w:rPr>
              <w:t>LIQUIDE TOXIQUE À L’INHALATION, CORROSIF, N.S.A.</w:t>
            </w:r>
          </w:p>
        </w:tc>
        <w:tc>
          <w:tcPr>
            <w:tcW w:w="3610" w:type="dxa"/>
            <w:shd w:val="clear" w:color="auto" w:fill="auto"/>
            <w:noWrap/>
            <w:hideMark/>
          </w:tcPr>
          <w:p w14:paraId="6B9E4FBF" w14:textId="77777777" w:rsidR="00566341" w:rsidRPr="00566341" w:rsidRDefault="00566341" w:rsidP="00566341">
            <w:pPr>
              <w:spacing w:before="40" w:after="120"/>
              <w:ind w:right="113"/>
              <w:rPr>
                <w:lang w:val="fr-FR" w:eastAsia="nl-NL"/>
              </w:rPr>
            </w:pPr>
            <w:r w:rsidRPr="00566341">
              <w:rPr>
                <w:lang w:val="fr-FR" w:eastAsia="nl-NL"/>
              </w:rPr>
              <w:t> </w:t>
            </w:r>
          </w:p>
        </w:tc>
      </w:tr>
      <w:tr w:rsidR="00566341" w:rsidRPr="00566341" w14:paraId="31E28185" w14:textId="77777777" w:rsidTr="00566341">
        <w:tc>
          <w:tcPr>
            <w:tcW w:w="851" w:type="dxa"/>
            <w:shd w:val="clear" w:color="auto" w:fill="auto"/>
            <w:noWrap/>
            <w:hideMark/>
          </w:tcPr>
          <w:p w14:paraId="76AF25B5" w14:textId="77777777" w:rsidR="00566341" w:rsidRPr="00566341" w:rsidRDefault="00566341" w:rsidP="00566341">
            <w:pPr>
              <w:keepNext/>
              <w:keepLines/>
              <w:spacing w:before="40" w:after="120"/>
              <w:ind w:right="113"/>
            </w:pPr>
            <w:r w:rsidRPr="00566341">
              <w:rPr>
                <w:lang w:val="fr-FR"/>
              </w:rPr>
              <w:lastRenderedPageBreak/>
              <w:t>3390</w:t>
            </w:r>
          </w:p>
        </w:tc>
        <w:tc>
          <w:tcPr>
            <w:tcW w:w="2909" w:type="dxa"/>
            <w:shd w:val="clear" w:color="auto" w:fill="auto"/>
            <w:hideMark/>
          </w:tcPr>
          <w:p w14:paraId="38468232" w14:textId="77777777" w:rsidR="00566341" w:rsidRPr="00566341" w:rsidRDefault="00566341" w:rsidP="00566341">
            <w:pPr>
              <w:keepNext/>
              <w:keepLines/>
              <w:spacing w:before="40" w:after="120"/>
              <w:ind w:right="113"/>
              <w:rPr>
                <w:lang w:val="fr-FR"/>
              </w:rPr>
            </w:pPr>
            <w:r w:rsidRPr="00566341">
              <w:rPr>
                <w:lang w:val="fr-FR"/>
              </w:rPr>
              <w:t>LIQUIDE TOXIQUE À L’INHALATION, CORROSIF, N.S.A.</w:t>
            </w:r>
          </w:p>
        </w:tc>
        <w:tc>
          <w:tcPr>
            <w:tcW w:w="3610" w:type="dxa"/>
            <w:shd w:val="clear" w:color="auto" w:fill="auto"/>
            <w:hideMark/>
          </w:tcPr>
          <w:p w14:paraId="03FD924F" w14:textId="77777777" w:rsidR="00566341" w:rsidRPr="00566341" w:rsidRDefault="00566341" w:rsidP="00566341">
            <w:pPr>
              <w:keepNext/>
              <w:keepLines/>
              <w:spacing w:before="40" w:after="120"/>
              <w:ind w:right="113"/>
              <w:rPr>
                <w:lang w:val="fr-FR"/>
              </w:rPr>
            </w:pPr>
            <w:r w:rsidRPr="00566341">
              <w:rPr>
                <w:lang w:val="fr-FR"/>
              </w:rPr>
              <w:t xml:space="preserve">Le diphosgène (sous le No ONU 3390) peut être détecté à l’aide d’un tube destiné à la détection de la </w:t>
            </w:r>
            <w:proofErr w:type="spellStart"/>
            <w:r w:rsidRPr="00566341">
              <w:rPr>
                <w:lang w:val="fr-FR"/>
              </w:rPr>
              <w:t>chloropircine</w:t>
            </w:r>
            <w:proofErr w:type="spellEnd"/>
            <w:r>
              <w:rPr>
                <w:lang w:val="fr-FR"/>
              </w:rPr>
              <w:t> </w:t>
            </w:r>
            <w:r w:rsidRPr="00566341">
              <w:rPr>
                <w:lang w:val="fr-FR"/>
              </w:rPr>
              <w:t>0.1/a. Les</w:t>
            </w:r>
            <w:r>
              <w:rPr>
                <w:lang w:val="fr-FR"/>
              </w:rPr>
              <w:t> </w:t>
            </w:r>
            <w:r w:rsidRPr="00566341">
              <w:rPr>
                <w:lang w:val="fr-FR"/>
              </w:rPr>
              <w:t>autres matières qui relèvent du No</w:t>
            </w:r>
            <w:r>
              <w:rPr>
                <w:lang w:val="fr-FR"/>
              </w:rPr>
              <w:t> </w:t>
            </w:r>
            <w:r w:rsidRPr="00566341">
              <w:rPr>
                <w:lang w:val="fr-FR"/>
              </w:rPr>
              <w:t>ONU 3390 ne peuvent pas être décelées à l’aide d’un détecteur PID ou de tubes de mesure à court terme.</w:t>
            </w:r>
          </w:p>
        </w:tc>
      </w:tr>
      <w:tr w:rsidR="00566341" w:rsidRPr="00566341" w14:paraId="659BE7A1" w14:textId="77777777" w:rsidTr="00566341">
        <w:tc>
          <w:tcPr>
            <w:tcW w:w="851" w:type="dxa"/>
            <w:tcBorders>
              <w:bottom w:val="single" w:sz="12" w:space="0" w:color="auto"/>
            </w:tcBorders>
            <w:shd w:val="clear" w:color="auto" w:fill="auto"/>
            <w:noWrap/>
            <w:hideMark/>
          </w:tcPr>
          <w:p w14:paraId="598F9438" w14:textId="77777777" w:rsidR="00566341" w:rsidRPr="00566341" w:rsidRDefault="00566341" w:rsidP="00566341">
            <w:pPr>
              <w:spacing w:before="40" w:after="120"/>
              <w:ind w:right="113"/>
            </w:pPr>
            <w:r w:rsidRPr="00566341">
              <w:rPr>
                <w:lang w:val="fr-FR"/>
              </w:rPr>
              <w:t>3455</w:t>
            </w:r>
          </w:p>
        </w:tc>
        <w:tc>
          <w:tcPr>
            <w:tcW w:w="2909" w:type="dxa"/>
            <w:tcBorders>
              <w:bottom w:val="single" w:sz="12" w:space="0" w:color="auto"/>
            </w:tcBorders>
            <w:shd w:val="clear" w:color="auto" w:fill="auto"/>
            <w:noWrap/>
            <w:hideMark/>
          </w:tcPr>
          <w:p w14:paraId="74361E6E" w14:textId="77777777" w:rsidR="00566341" w:rsidRPr="00566341" w:rsidRDefault="00566341" w:rsidP="00566341">
            <w:pPr>
              <w:spacing w:before="40" w:after="120"/>
              <w:ind w:right="113"/>
            </w:pPr>
            <w:r w:rsidRPr="00566341">
              <w:rPr>
                <w:lang w:val="fr-FR"/>
              </w:rPr>
              <w:t>CRÉSOLS SOLIDES, FONDUS</w:t>
            </w:r>
          </w:p>
        </w:tc>
        <w:tc>
          <w:tcPr>
            <w:tcW w:w="3610" w:type="dxa"/>
            <w:tcBorders>
              <w:bottom w:val="single" w:sz="12" w:space="0" w:color="auto"/>
            </w:tcBorders>
            <w:shd w:val="clear" w:color="auto" w:fill="auto"/>
            <w:hideMark/>
          </w:tcPr>
          <w:p w14:paraId="5B3A45FD" w14:textId="77777777" w:rsidR="00566341" w:rsidRPr="00566341" w:rsidRDefault="00566341" w:rsidP="00566341">
            <w:pPr>
              <w:spacing w:before="40" w:after="120"/>
              <w:ind w:right="113"/>
              <w:rPr>
                <w:lang w:val="fr-FR"/>
              </w:rPr>
            </w:pPr>
            <w:r w:rsidRPr="00566341">
              <w:rPr>
                <w:lang w:val="fr-FR"/>
              </w:rPr>
              <w:t xml:space="preserve">Dans les barges-citernes, sous forme liquide, </w:t>
            </w:r>
            <w:proofErr w:type="spellStart"/>
            <w:r w:rsidRPr="00566341">
              <w:rPr>
                <w:lang w:val="fr-FR"/>
              </w:rPr>
              <w:t>toximètre</w:t>
            </w:r>
            <w:proofErr w:type="spellEnd"/>
            <w:r w:rsidRPr="00566341">
              <w:rPr>
                <w:lang w:val="fr-FR"/>
              </w:rPr>
              <w:t xml:space="preserve"> exigé ; dans les bateaux à marchandises sèches, sous forme solide, pas de </w:t>
            </w:r>
            <w:proofErr w:type="spellStart"/>
            <w:r w:rsidRPr="00566341">
              <w:rPr>
                <w:lang w:val="fr-FR"/>
              </w:rPr>
              <w:t>toximètre</w:t>
            </w:r>
            <w:proofErr w:type="spellEnd"/>
            <w:r w:rsidRPr="00566341">
              <w:rPr>
                <w:lang w:val="fr-FR"/>
              </w:rPr>
              <w:t xml:space="preserve"> exigé.</w:t>
            </w:r>
          </w:p>
        </w:tc>
      </w:tr>
    </w:tbl>
    <w:p w14:paraId="2911FAD5" w14:textId="77777777" w:rsidR="00F9573C" w:rsidRPr="00566341" w:rsidRDefault="00566341" w:rsidP="00566341">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566341" w:rsidSect="005663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7BB57" w14:textId="77777777" w:rsidR="00D06A2A" w:rsidRDefault="00D06A2A" w:rsidP="00F95C08">
      <w:pPr>
        <w:spacing w:line="240" w:lineRule="auto"/>
      </w:pPr>
    </w:p>
  </w:endnote>
  <w:endnote w:type="continuationSeparator" w:id="0">
    <w:p w14:paraId="7967603D" w14:textId="77777777" w:rsidR="00D06A2A" w:rsidRPr="00AC3823" w:rsidRDefault="00D06A2A" w:rsidP="00AC3823">
      <w:pPr>
        <w:pStyle w:val="Footer"/>
      </w:pPr>
    </w:p>
  </w:endnote>
  <w:endnote w:type="continuationNotice" w:id="1">
    <w:p w14:paraId="011D833A" w14:textId="77777777" w:rsidR="00D06A2A" w:rsidRDefault="00D06A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6937" w14:textId="77777777" w:rsidR="00566341" w:rsidRPr="00566341" w:rsidRDefault="00566341" w:rsidP="00566341">
    <w:pPr>
      <w:pStyle w:val="Footer"/>
      <w:tabs>
        <w:tab w:val="right" w:pos="9638"/>
      </w:tabs>
    </w:pPr>
    <w:r w:rsidRPr="00566341">
      <w:rPr>
        <w:b/>
        <w:sz w:val="18"/>
      </w:rPr>
      <w:fldChar w:fldCharType="begin"/>
    </w:r>
    <w:r w:rsidRPr="00566341">
      <w:rPr>
        <w:b/>
        <w:sz w:val="18"/>
      </w:rPr>
      <w:instrText xml:space="preserve"> PAGE  \* MERGEFORMAT </w:instrText>
    </w:r>
    <w:r w:rsidRPr="00566341">
      <w:rPr>
        <w:b/>
        <w:sz w:val="18"/>
      </w:rPr>
      <w:fldChar w:fldCharType="separate"/>
    </w:r>
    <w:r w:rsidRPr="00566341">
      <w:rPr>
        <w:b/>
        <w:noProof/>
        <w:sz w:val="18"/>
      </w:rPr>
      <w:t>2</w:t>
    </w:r>
    <w:r w:rsidRPr="00566341">
      <w:rPr>
        <w:b/>
        <w:sz w:val="18"/>
      </w:rPr>
      <w:fldChar w:fldCharType="end"/>
    </w:r>
    <w:r>
      <w:rPr>
        <w:b/>
        <w:sz w:val="18"/>
      </w:rPr>
      <w:tab/>
    </w:r>
    <w:r>
      <w:t>GE.20-07148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49CF" w14:textId="77777777" w:rsidR="00566341" w:rsidRPr="00566341" w:rsidRDefault="00566341" w:rsidP="00566341">
    <w:pPr>
      <w:pStyle w:val="Footer"/>
      <w:tabs>
        <w:tab w:val="right" w:pos="9638"/>
      </w:tabs>
      <w:rPr>
        <w:b/>
        <w:sz w:val="18"/>
      </w:rPr>
    </w:pPr>
    <w:r>
      <w:t>GE.20-07148</w:t>
    </w:r>
    <w:r>
      <w:tab/>
    </w:r>
    <w:r w:rsidRPr="00566341">
      <w:rPr>
        <w:b/>
        <w:sz w:val="18"/>
      </w:rPr>
      <w:fldChar w:fldCharType="begin"/>
    </w:r>
    <w:r w:rsidRPr="00566341">
      <w:rPr>
        <w:b/>
        <w:sz w:val="18"/>
      </w:rPr>
      <w:instrText xml:space="preserve"> PAGE  \* MERGEFORMAT </w:instrText>
    </w:r>
    <w:r w:rsidRPr="00566341">
      <w:rPr>
        <w:b/>
        <w:sz w:val="18"/>
      </w:rPr>
      <w:fldChar w:fldCharType="separate"/>
    </w:r>
    <w:r w:rsidRPr="00566341">
      <w:rPr>
        <w:b/>
        <w:noProof/>
        <w:sz w:val="18"/>
      </w:rPr>
      <w:t>3</w:t>
    </w:r>
    <w:r w:rsidRPr="005663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EEC3" w14:textId="77777777" w:rsidR="007F20FA" w:rsidRPr="00566341" w:rsidRDefault="00566341" w:rsidP="0056634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8BC2745" wp14:editId="453B77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 xml:space="preserve">07148 </w:t>
    </w:r>
    <w:r w:rsidR="00DE2BEB">
      <w:rPr>
        <w:sz w:val="20"/>
      </w:rPr>
      <w:t xml:space="preserve"> </w:t>
    </w:r>
    <w:r>
      <w:rPr>
        <w:sz w:val="20"/>
      </w:rPr>
      <w:t>(</w:t>
    </w:r>
    <w:proofErr w:type="gramEnd"/>
    <w:r>
      <w:rPr>
        <w:sz w:val="20"/>
      </w:rPr>
      <w:t xml:space="preserve">F)  </w:t>
    </w:r>
    <w:r w:rsidR="00DE2BEB">
      <w:rPr>
        <w:sz w:val="20"/>
      </w:rPr>
      <w:t xml:space="preserve">  </w:t>
    </w:r>
    <w:r>
      <w:rPr>
        <w:sz w:val="20"/>
      </w:rPr>
      <w:t xml:space="preserve">110620  </w:t>
    </w:r>
    <w:r w:rsidR="00DE2BEB">
      <w:rPr>
        <w:sz w:val="20"/>
      </w:rPr>
      <w:t xml:space="preserve">  </w:t>
    </w:r>
    <w:r>
      <w:rPr>
        <w:sz w:val="20"/>
      </w:rPr>
      <w:t>110620</w:t>
    </w:r>
    <w:r>
      <w:rPr>
        <w:sz w:val="20"/>
      </w:rPr>
      <w:br/>
    </w:r>
    <w:r w:rsidRPr="00566341">
      <w:rPr>
        <w:rFonts w:ascii="C39T30Lfz" w:hAnsi="C39T30Lfz"/>
        <w:sz w:val="56"/>
      </w:rPr>
      <w:t></w:t>
    </w:r>
    <w:r w:rsidRPr="00566341">
      <w:rPr>
        <w:rFonts w:ascii="C39T30Lfz" w:hAnsi="C39T30Lfz"/>
        <w:sz w:val="56"/>
      </w:rPr>
      <w:t></w:t>
    </w:r>
    <w:r w:rsidRPr="00566341">
      <w:rPr>
        <w:rFonts w:ascii="C39T30Lfz" w:hAnsi="C39T30Lfz"/>
        <w:sz w:val="56"/>
      </w:rPr>
      <w:t></w:t>
    </w:r>
    <w:r w:rsidRPr="00566341">
      <w:rPr>
        <w:rFonts w:ascii="C39T30Lfz" w:hAnsi="C39T30Lfz"/>
        <w:sz w:val="56"/>
      </w:rPr>
      <w:t></w:t>
    </w:r>
    <w:r w:rsidRPr="00566341">
      <w:rPr>
        <w:rFonts w:ascii="C39T30Lfz" w:hAnsi="C39T30Lfz"/>
        <w:sz w:val="56"/>
      </w:rPr>
      <w:t></w:t>
    </w:r>
    <w:r w:rsidRPr="00566341">
      <w:rPr>
        <w:rFonts w:ascii="C39T30Lfz" w:hAnsi="C39T30Lfz"/>
        <w:sz w:val="56"/>
      </w:rPr>
      <w:t></w:t>
    </w:r>
    <w:r w:rsidRPr="00566341">
      <w:rPr>
        <w:rFonts w:ascii="C39T30Lfz" w:hAnsi="C39T30Lfz"/>
        <w:sz w:val="56"/>
      </w:rPr>
      <w:t></w:t>
    </w:r>
    <w:r w:rsidRPr="00566341">
      <w:rPr>
        <w:rFonts w:ascii="C39T30Lfz" w:hAnsi="C39T30Lfz"/>
        <w:sz w:val="56"/>
      </w:rPr>
      <w:t></w:t>
    </w:r>
    <w:r w:rsidRPr="00566341">
      <w:rPr>
        <w:rFonts w:ascii="C39T30Lfz" w:hAnsi="C39T30Lfz"/>
        <w:sz w:val="56"/>
      </w:rPr>
      <w:t></w:t>
    </w:r>
    <w:r>
      <w:rPr>
        <w:noProof/>
        <w:sz w:val="20"/>
      </w:rPr>
      <w:drawing>
        <wp:anchor distT="0" distB="0" distL="114300" distR="114300" simplePos="0" relativeHeight="251658240" behindDoc="0" locked="0" layoutInCell="1" allowOverlap="1" wp14:anchorId="1563755D" wp14:editId="239A35C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406F" w14:textId="77777777" w:rsidR="00D06A2A" w:rsidRPr="00AC3823" w:rsidRDefault="00D06A2A" w:rsidP="00AC3823">
      <w:pPr>
        <w:pStyle w:val="Footer"/>
        <w:tabs>
          <w:tab w:val="right" w:pos="2155"/>
        </w:tabs>
        <w:spacing w:after="80" w:line="240" w:lineRule="atLeast"/>
        <w:ind w:left="680"/>
        <w:rPr>
          <w:u w:val="single"/>
        </w:rPr>
      </w:pPr>
      <w:r>
        <w:rPr>
          <w:u w:val="single"/>
        </w:rPr>
        <w:tab/>
      </w:r>
    </w:p>
  </w:footnote>
  <w:footnote w:type="continuationSeparator" w:id="0">
    <w:p w14:paraId="6513F5EB" w14:textId="77777777" w:rsidR="00D06A2A" w:rsidRPr="00AC3823" w:rsidRDefault="00D06A2A" w:rsidP="00AC3823">
      <w:pPr>
        <w:pStyle w:val="Footer"/>
        <w:tabs>
          <w:tab w:val="right" w:pos="2155"/>
        </w:tabs>
        <w:spacing w:after="80" w:line="240" w:lineRule="atLeast"/>
        <w:ind w:left="680"/>
        <w:rPr>
          <w:u w:val="single"/>
        </w:rPr>
      </w:pPr>
      <w:r>
        <w:rPr>
          <w:u w:val="single"/>
        </w:rPr>
        <w:tab/>
      </w:r>
    </w:p>
  </w:footnote>
  <w:footnote w:type="continuationNotice" w:id="1">
    <w:p w14:paraId="02C2A61A" w14:textId="77777777" w:rsidR="00D06A2A" w:rsidRPr="00AC3823" w:rsidRDefault="00D06A2A">
      <w:pPr>
        <w:spacing w:line="240" w:lineRule="auto"/>
        <w:rPr>
          <w:sz w:val="2"/>
          <w:szCs w:val="2"/>
        </w:rPr>
      </w:pPr>
    </w:p>
  </w:footnote>
  <w:footnote w:id="2">
    <w:p w14:paraId="6E0E91BF" w14:textId="77777777" w:rsidR="00566341" w:rsidRPr="001F122D" w:rsidRDefault="00566341" w:rsidP="00566341">
      <w:pPr>
        <w:pStyle w:val="FootnoteText"/>
        <w:rPr>
          <w:lang w:val="fr-FR"/>
        </w:rPr>
      </w:pPr>
      <w:r>
        <w:rPr>
          <w:lang w:val="fr-FR"/>
        </w:rPr>
        <w:tab/>
        <w:t>*</w:t>
      </w:r>
      <w:r>
        <w:rPr>
          <w:lang w:val="fr-FR"/>
        </w:rPr>
        <w:tab/>
        <w:t>Diffusée en allemand par la Commission centrale pour la navigation du Rhin sous la cote CCNR/ZKR/ADN/WP.15/AC.2/2020/31.</w:t>
      </w:r>
    </w:p>
  </w:footnote>
  <w:footnote w:id="3">
    <w:p w14:paraId="3FFA46E5" w14:textId="77777777" w:rsidR="00566341" w:rsidRPr="001F122D" w:rsidRDefault="00566341" w:rsidP="00566341">
      <w:pPr>
        <w:pStyle w:val="FootnoteText"/>
        <w:rPr>
          <w:lang w:val="fr-FR"/>
        </w:rPr>
      </w:pPr>
      <w:r>
        <w:rPr>
          <w:lang w:val="fr-FR"/>
        </w:rPr>
        <w:tab/>
        <w:t>**</w:t>
      </w:r>
      <w:r>
        <w:rPr>
          <w:lang w:val="fr-FR"/>
        </w:rPr>
        <w:tab/>
        <w:t xml:space="preserve"> Conformément au programme de travail du Comité des transports intérieurs pour 2020, tel qu'il figure dans le projet de budget-programme pour 2020 (A/74/6 (partie V, sect. 20), par.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2603" w14:textId="77777777" w:rsidR="00566341" w:rsidRPr="00566341" w:rsidRDefault="00F93826">
    <w:pPr>
      <w:pStyle w:val="Header"/>
    </w:pPr>
    <w:r>
      <w:fldChar w:fldCharType="begin"/>
    </w:r>
    <w:r>
      <w:instrText xml:space="preserve"> TITLE  \* MERGEFORMAT </w:instrText>
    </w:r>
    <w:r>
      <w:fldChar w:fldCharType="separate"/>
    </w:r>
    <w:r w:rsidR="0013545E">
      <w:t>ECE/TRANS/WP.15/AC.2/2020/31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F120" w14:textId="77777777" w:rsidR="00566341" w:rsidRPr="00566341" w:rsidRDefault="00F93826" w:rsidP="00566341">
    <w:pPr>
      <w:pStyle w:val="Header"/>
      <w:jc w:val="right"/>
    </w:pPr>
    <w:r>
      <w:fldChar w:fldCharType="begin"/>
    </w:r>
    <w:r>
      <w:instrText xml:space="preserve"> TITLE  \* MERGEFORMAT </w:instrText>
    </w:r>
    <w:r>
      <w:fldChar w:fldCharType="separate"/>
    </w:r>
    <w:r w:rsidR="0013545E">
      <w:t>ECE/TRANS/WP.15/AC.2/2020/31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2A"/>
    <w:rsid w:val="00017F94"/>
    <w:rsid w:val="00023842"/>
    <w:rsid w:val="000334F9"/>
    <w:rsid w:val="00045FEB"/>
    <w:rsid w:val="0007796D"/>
    <w:rsid w:val="000B7790"/>
    <w:rsid w:val="00111F2F"/>
    <w:rsid w:val="0013545E"/>
    <w:rsid w:val="0014365E"/>
    <w:rsid w:val="00143C66"/>
    <w:rsid w:val="00176178"/>
    <w:rsid w:val="001F525A"/>
    <w:rsid w:val="00223272"/>
    <w:rsid w:val="002414C7"/>
    <w:rsid w:val="0024779E"/>
    <w:rsid w:val="00257168"/>
    <w:rsid w:val="002744B8"/>
    <w:rsid w:val="002832AC"/>
    <w:rsid w:val="002D7C93"/>
    <w:rsid w:val="00305801"/>
    <w:rsid w:val="003916DE"/>
    <w:rsid w:val="00421996"/>
    <w:rsid w:val="00441C3B"/>
    <w:rsid w:val="00446FE5"/>
    <w:rsid w:val="00452396"/>
    <w:rsid w:val="004837D8"/>
    <w:rsid w:val="004A4E74"/>
    <w:rsid w:val="004E2EED"/>
    <w:rsid w:val="004E468C"/>
    <w:rsid w:val="005505B7"/>
    <w:rsid w:val="00566341"/>
    <w:rsid w:val="00573BE5"/>
    <w:rsid w:val="00586ED3"/>
    <w:rsid w:val="00596AA9"/>
    <w:rsid w:val="0071601D"/>
    <w:rsid w:val="007A62E6"/>
    <w:rsid w:val="007B4C29"/>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06A2A"/>
    <w:rsid w:val="00D3439C"/>
    <w:rsid w:val="00DB1831"/>
    <w:rsid w:val="00DD3BFD"/>
    <w:rsid w:val="00DE2BEB"/>
    <w:rsid w:val="00DF6678"/>
    <w:rsid w:val="00E0299A"/>
    <w:rsid w:val="00E85C74"/>
    <w:rsid w:val="00EA6547"/>
    <w:rsid w:val="00EF2E22"/>
    <w:rsid w:val="00F35BAF"/>
    <w:rsid w:val="00F660DF"/>
    <w:rsid w:val="00F93826"/>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A4D2E"/>
  <w15:docId w15:val="{0F8E2690-9FA0-4407-81FF-CE911479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56634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8224</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ECE/TRANS/WP.15/AC.2/2020/31</vt:lpstr>
      <vt:lpstr>ECE/TRANS/WP.15/AC.2/2020/31</vt:lpstr>
      <vt:lpstr>Exemples de matières qui ne peuvent pas être détectées à l’aide d’un toximètre  </vt:lpstr>
    </vt:vector>
  </TitlesOfParts>
  <Company>DCM</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ECE/TRANS/WP.15/AC.2/2020/31</dc:title>
  <dc:subject/>
  <dc:creator>Edith BOURION</dc:creator>
  <cp:keywords/>
  <cp:lastModifiedBy>Secretariat</cp:lastModifiedBy>
  <cp:revision>2</cp:revision>
  <cp:lastPrinted>2020-06-11T15:05:00Z</cp:lastPrinted>
  <dcterms:created xsi:type="dcterms:W3CDTF">2020-06-11T15:37:00Z</dcterms:created>
  <dcterms:modified xsi:type="dcterms:W3CDTF">2020-06-11T15:37:00Z</dcterms:modified>
</cp:coreProperties>
</file>