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8331C" w:rsidRPr="00FF658F" w14:paraId="13158010" w14:textId="77777777" w:rsidTr="00EE2CDD">
        <w:trPr>
          <w:cantSplit/>
          <w:trHeight w:hRule="exact" w:val="851"/>
        </w:trPr>
        <w:tc>
          <w:tcPr>
            <w:tcW w:w="1276" w:type="dxa"/>
            <w:tcBorders>
              <w:bottom w:val="single" w:sz="4" w:space="0" w:color="auto"/>
            </w:tcBorders>
            <w:vAlign w:val="bottom"/>
          </w:tcPr>
          <w:p w14:paraId="18359265" w14:textId="77777777" w:rsidR="0068331C" w:rsidRPr="00FF658F" w:rsidRDefault="0068331C" w:rsidP="0068331C">
            <w:pPr>
              <w:rPr>
                <w:lang w:eastAsia="en-GB"/>
              </w:rPr>
            </w:pPr>
          </w:p>
        </w:tc>
        <w:tc>
          <w:tcPr>
            <w:tcW w:w="8363" w:type="dxa"/>
            <w:gridSpan w:val="2"/>
            <w:tcBorders>
              <w:bottom w:val="single" w:sz="4" w:space="0" w:color="auto"/>
            </w:tcBorders>
            <w:vAlign w:val="bottom"/>
          </w:tcPr>
          <w:p w14:paraId="5A3DE20A" w14:textId="55E92683" w:rsidR="0068331C" w:rsidRPr="00FF658F" w:rsidRDefault="0068331C" w:rsidP="0068331C">
            <w:pPr>
              <w:jc w:val="right"/>
            </w:pPr>
            <w:r w:rsidRPr="003C435B">
              <w:rPr>
                <w:b/>
                <w:sz w:val="40"/>
                <w:szCs w:val="40"/>
              </w:rPr>
              <w:t>INF.</w:t>
            </w:r>
            <w:r>
              <w:rPr>
                <w:b/>
                <w:sz w:val="40"/>
                <w:szCs w:val="40"/>
              </w:rPr>
              <w:t>11</w:t>
            </w:r>
          </w:p>
        </w:tc>
      </w:tr>
      <w:tr w:rsidR="0068331C" w:rsidRPr="00FF658F" w14:paraId="6BE87D2F" w14:textId="77777777" w:rsidTr="00EE2CDD">
        <w:trPr>
          <w:cantSplit/>
          <w:trHeight w:hRule="exact" w:val="3271"/>
        </w:trPr>
        <w:tc>
          <w:tcPr>
            <w:tcW w:w="6804" w:type="dxa"/>
            <w:gridSpan w:val="2"/>
            <w:tcBorders>
              <w:top w:val="single" w:sz="4" w:space="0" w:color="auto"/>
              <w:bottom w:val="single" w:sz="12" w:space="0" w:color="auto"/>
            </w:tcBorders>
          </w:tcPr>
          <w:p w14:paraId="3ADEA4E7" w14:textId="77777777" w:rsidR="0068331C" w:rsidRPr="002E7DCB" w:rsidRDefault="0068331C" w:rsidP="0068331C">
            <w:pPr>
              <w:spacing w:before="120"/>
              <w:rPr>
                <w:b/>
                <w:sz w:val="28"/>
                <w:szCs w:val="28"/>
              </w:rPr>
            </w:pPr>
            <w:r>
              <w:rPr>
                <w:b/>
                <w:bCs/>
                <w:sz w:val="28"/>
                <w:szCs w:val="28"/>
              </w:rPr>
              <w:t>Economic Commission for Europe</w:t>
            </w:r>
          </w:p>
          <w:p w14:paraId="0A690983" w14:textId="77777777" w:rsidR="0068331C" w:rsidRPr="002E7DCB" w:rsidRDefault="0068331C" w:rsidP="0068331C">
            <w:pPr>
              <w:spacing w:before="120"/>
              <w:rPr>
                <w:sz w:val="28"/>
                <w:szCs w:val="28"/>
              </w:rPr>
            </w:pPr>
            <w:r>
              <w:rPr>
                <w:sz w:val="28"/>
                <w:szCs w:val="28"/>
              </w:rPr>
              <w:t>Inland Transport Committee</w:t>
            </w:r>
          </w:p>
          <w:p w14:paraId="7A9EA706" w14:textId="77777777" w:rsidR="0068331C" w:rsidRPr="002E7DCB" w:rsidRDefault="0068331C" w:rsidP="0068331C">
            <w:pPr>
              <w:spacing w:before="120"/>
              <w:rPr>
                <w:b/>
                <w:sz w:val="24"/>
                <w:szCs w:val="24"/>
              </w:rPr>
            </w:pPr>
            <w:r>
              <w:rPr>
                <w:b/>
                <w:sz w:val="24"/>
                <w:szCs w:val="24"/>
              </w:rPr>
              <w:t>Working Party on the Transport of Dangerous Goods</w:t>
            </w:r>
          </w:p>
          <w:p w14:paraId="337A997A" w14:textId="77777777" w:rsidR="0068331C" w:rsidRPr="00FF658F" w:rsidRDefault="0068331C" w:rsidP="0068331C">
            <w:pPr>
              <w:spacing w:before="120"/>
              <w:rPr>
                <w:b/>
              </w:rPr>
            </w:pPr>
            <w:r>
              <w:rPr>
                <w:b/>
              </w:rPr>
              <w:t>Joint Meeting of Experts on the Regulations annexed to the</w:t>
            </w:r>
          </w:p>
          <w:p w14:paraId="015EA063" w14:textId="77777777" w:rsidR="0068331C" w:rsidRPr="00FF658F" w:rsidRDefault="0068331C" w:rsidP="0068331C">
            <w:pPr>
              <w:rPr>
                <w:b/>
              </w:rPr>
            </w:pPr>
            <w:r>
              <w:rPr>
                <w:b/>
              </w:rPr>
              <w:t>European Agreement concerning the International Carriage</w:t>
            </w:r>
          </w:p>
          <w:p w14:paraId="263B98E2" w14:textId="77777777" w:rsidR="0068331C" w:rsidRPr="002E7DCB" w:rsidRDefault="0068331C" w:rsidP="0068331C">
            <w:pPr>
              <w:rPr>
                <w:b/>
              </w:rPr>
            </w:pPr>
            <w:r>
              <w:rPr>
                <w:b/>
              </w:rPr>
              <w:t>of Dangerous Goods by Inland Waterways (ADN)</w:t>
            </w:r>
          </w:p>
          <w:p w14:paraId="5764E24E" w14:textId="77777777" w:rsidR="0068331C" w:rsidRPr="00614AA5" w:rsidRDefault="0068331C" w:rsidP="0068331C">
            <w:pPr>
              <w:spacing w:before="120"/>
              <w:rPr>
                <w:b/>
                <w:lang w:eastAsia="en-US"/>
              </w:rPr>
            </w:pPr>
            <w:r w:rsidRPr="00614AA5">
              <w:rPr>
                <w:b/>
                <w:lang w:eastAsia="en-US"/>
              </w:rPr>
              <w:t>Thirty-sixth session</w:t>
            </w:r>
          </w:p>
          <w:p w14:paraId="544AA543" w14:textId="77777777" w:rsidR="0068331C" w:rsidRPr="00614AA5" w:rsidRDefault="0068331C" w:rsidP="0068331C">
            <w:pPr>
              <w:rPr>
                <w:lang w:eastAsia="en-US"/>
              </w:rPr>
            </w:pPr>
            <w:r w:rsidRPr="00614AA5">
              <w:rPr>
                <w:lang w:eastAsia="en-US"/>
              </w:rPr>
              <w:t>Geneva, 27-31 January 2020</w:t>
            </w:r>
            <w:r w:rsidRPr="00614AA5">
              <w:rPr>
                <w:lang w:eastAsia="en-US"/>
              </w:rPr>
              <w:br/>
              <w:t>Item 6 of the provisional agenda</w:t>
            </w:r>
          </w:p>
          <w:p w14:paraId="4EB2D21B" w14:textId="77777777" w:rsidR="0068331C" w:rsidRPr="00FF658F" w:rsidRDefault="0068331C" w:rsidP="0068331C">
            <w:pPr>
              <w:rPr>
                <w:b/>
              </w:rPr>
            </w:pPr>
            <w:r w:rsidRPr="00614AA5">
              <w:rPr>
                <w:b/>
                <w:bCs/>
                <w:lang w:eastAsia="en-US"/>
              </w:rPr>
              <w:t>Reports of informal working groups</w:t>
            </w:r>
            <w:r w:rsidRPr="00614AA5">
              <w:rPr>
                <w:b/>
                <w:lang w:eastAsia="en-US"/>
              </w:rPr>
              <w:t xml:space="preserve">  </w:t>
            </w:r>
            <w:r>
              <w:rPr>
                <w:b/>
              </w:rPr>
              <w:t xml:space="preserve"> </w:t>
            </w:r>
          </w:p>
        </w:tc>
        <w:tc>
          <w:tcPr>
            <w:tcW w:w="2835" w:type="dxa"/>
            <w:tcBorders>
              <w:top w:val="single" w:sz="4" w:space="0" w:color="auto"/>
              <w:bottom w:val="single" w:sz="12" w:space="0" w:color="auto"/>
            </w:tcBorders>
          </w:tcPr>
          <w:p w14:paraId="3D333CB0" w14:textId="77777777" w:rsidR="0068331C" w:rsidRPr="00FF658F" w:rsidRDefault="0068331C" w:rsidP="0068331C">
            <w:pPr>
              <w:spacing w:before="120"/>
              <w:rPr>
                <w:lang w:eastAsia="en-GB"/>
              </w:rPr>
            </w:pPr>
          </w:p>
          <w:p w14:paraId="71ABEE79" w14:textId="430F01B7" w:rsidR="0068331C" w:rsidRPr="00FF658F" w:rsidRDefault="0068331C" w:rsidP="0068331C">
            <w:pPr>
              <w:spacing w:before="120"/>
              <w:ind w:left="431"/>
            </w:pPr>
            <w:r>
              <w:t>9 January 2020</w:t>
            </w:r>
            <w:r>
              <w:br/>
              <w:t>English</w:t>
            </w:r>
          </w:p>
        </w:tc>
      </w:tr>
    </w:tbl>
    <w:p w14:paraId="345F9CA9" w14:textId="77777777" w:rsidR="003432D9" w:rsidRPr="003134DF" w:rsidRDefault="003432D9" w:rsidP="003432D9">
      <w:pPr>
        <w:pStyle w:val="HChG"/>
      </w:pPr>
      <w:r w:rsidRPr="00D66DD5">
        <w:tab/>
      </w:r>
      <w:r w:rsidRPr="00D66DD5">
        <w:tab/>
        <w:t>Report</w:t>
      </w:r>
      <w:r>
        <w:t xml:space="preserve"> </w:t>
      </w:r>
      <w:r w:rsidR="00332119">
        <w:t xml:space="preserve">of the </w:t>
      </w:r>
      <w:r>
        <w:t xml:space="preserve">informal </w:t>
      </w:r>
      <w:r w:rsidR="00332119">
        <w:t>w</w:t>
      </w:r>
      <w:r>
        <w:t xml:space="preserve">orking </w:t>
      </w:r>
      <w:r w:rsidR="00332119">
        <w:t>g</w:t>
      </w:r>
      <w:r>
        <w:t xml:space="preserve">roup </w:t>
      </w:r>
      <w:r w:rsidR="00332119">
        <w:t>on</w:t>
      </w:r>
      <w:r w:rsidR="00855558">
        <w:t xml:space="preserve"> </w:t>
      </w:r>
      <w:r w:rsidR="00855558" w:rsidRPr="006C4182">
        <w:t>Degassing/Operation emissions</w:t>
      </w:r>
      <w:r w:rsidR="00855558">
        <w:t xml:space="preserve"> </w:t>
      </w:r>
    </w:p>
    <w:p w14:paraId="5309E1ED" w14:textId="77777777" w:rsidR="003432D9" w:rsidRDefault="003432D9" w:rsidP="003432D9">
      <w:pPr>
        <w:pStyle w:val="H1G"/>
      </w:pPr>
      <w:r w:rsidRPr="003134DF">
        <w:tab/>
      </w:r>
      <w:r w:rsidRPr="003134DF">
        <w:tab/>
        <w:t xml:space="preserve">Transmitted by the </w:t>
      </w:r>
      <w:r w:rsidR="00332119">
        <w:t>g</w:t>
      </w:r>
      <w:r w:rsidRPr="003134DF">
        <w:t>o</w:t>
      </w:r>
      <w:r>
        <w:t>vernment of Belgium</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804"/>
      </w:tblGrid>
      <w:tr w:rsidR="003432D9" w:rsidRPr="003134DF" w14:paraId="021DB14C" w14:textId="77777777" w:rsidTr="004D45CD">
        <w:trPr>
          <w:jc w:val="center"/>
        </w:trPr>
        <w:tc>
          <w:tcPr>
            <w:tcW w:w="2405" w:type="dxa"/>
            <w:tcBorders>
              <w:top w:val="single" w:sz="4" w:space="0" w:color="auto"/>
            </w:tcBorders>
          </w:tcPr>
          <w:p w14:paraId="3D2D1578" w14:textId="77777777" w:rsidR="003432D9" w:rsidRPr="003134DF" w:rsidRDefault="003432D9" w:rsidP="00A960F2">
            <w:pPr>
              <w:tabs>
                <w:tab w:val="left" w:pos="284"/>
              </w:tabs>
              <w:spacing w:before="120" w:after="120"/>
            </w:pPr>
            <w:r w:rsidRPr="003134DF">
              <w:rPr>
                <w:i/>
                <w:sz w:val="24"/>
              </w:rPr>
              <w:tab/>
              <w:t>Summary</w:t>
            </w:r>
          </w:p>
        </w:tc>
        <w:tc>
          <w:tcPr>
            <w:tcW w:w="6804" w:type="dxa"/>
            <w:tcBorders>
              <w:top w:val="single" w:sz="4" w:space="0" w:color="auto"/>
            </w:tcBorders>
          </w:tcPr>
          <w:p w14:paraId="059D644E" w14:textId="77777777" w:rsidR="003432D9" w:rsidRPr="003134DF" w:rsidRDefault="003432D9" w:rsidP="00A960F2">
            <w:pPr>
              <w:spacing w:before="120" w:after="120"/>
            </w:pPr>
          </w:p>
        </w:tc>
      </w:tr>
      <w:tr w:rsidR="003432D9" w:rsidRPr="003134DF" w14:paraId="39DD2807" w14:textId="77777777" w:rsidTr="004D45CD">
        <w:trPr>
          <w:jc w:val="center"/>
        </w:trPr>
        <w:tc>
          <w:tcPr>
            <w:tcW w:w="2405" w:type="dxa"/>
          </w:tcPr>
          <w:p w14:paraId="4827637C" w14:textId="77777777" w:rsidR="003432D9" w:rsidRPr="003134DF" w:rsidRDefault="003432D9" w:rsidP="00A960F2">
            <w:pPr>
              <w:tabs>
                <w:tab w:val="left" w:pos="284"/>
              </w:tabs>
              <w:spacing w:before="120" w:after="120"/>
            </w:pPr>
            <w:r w:rsidRPr="003134DF">
              <w:rPr>
                <w:b/>
              </w:rPr>
              <w:tab/>
              <w:t>Executive summary:</w:t>
            </w:r>
          </w:p>
        </w:tc>
        <w:tc>
          <w:tcPr>
            <w:tcW w:w="6804" w:type="dxa"/>
          </w:tcPr>
          <w:p w14:paraId="2A2072B4" w14:textId="77777777" w:rsidR="003432D9" w:rsidRPr="003134DF" w:rsidRDefault="003432D9" w:rsidP="00F65BA7">
            <w:pPr>
              <w:spacing w:before="120" w:after="120"/>
              <w:ind w:left="-74"/>
            </w:pPr>
            <w:r>
              <w:rPr>
                <w:bCs/>
                <w:szCs w:val="24"/>
              </w:rPr>
              <w:t xml:space="preserve">The document contains the report of the </w:t>
            </w:r>
            <w:r w:rsidR="00855558">
              <w:rPr>
                <w:bCs/>
                <w:szCs w:val="24"/>
              </w:rPr>
              <w:t xml:space="preserve">first </w:t>
            </w:r>
            <w:r>
              <w:rPr>
                <w:bCs/>
                <w:szCs w:val="24"/>
              </w:rPr>
              <w:t xml:space="preserve">meeting of the informal </w:t>
            </w:r>
            <w:r w:rsidR="00332119">
              <w:rPr>
                <w:bCs/>
                <w:szCs w:val="24"/>
              </w:rPr>
              <w:t>w</w:t>
            </w:r>
            <w:r>
              <w:rPr>
                <w:bCs/>
                <w:szCs w:val="24"/>
              </w:rPr>
              <w:t xml:space="preserve">orking </w:t>
            </w:r>
            <w:r w:rsidR="00332119">
              <w:rPr>
                <w:bCs/>
                <w:szCs w:val="24"/>
              </w:rPr>
              <w:t>g</w:t>
            </w:r>
            <w:r>
              <w:rPr>
                <w:bCs/>
                <w:szCs w:val="24"/>
              </w:rPr>
              <w:t xml:space="preserve">roup on </w:t>
            </w:r>
            <w:r w:rsidR="00855558">
              <w:rPr>
                <w:bCs/>
                <w:szCs w:val="24"/>
              </w:rPr>
              <w:t>Degassing/</w:t>
            </w:r>
            <w:r w:rsidR="00593B87">
              <w:rPr>
                <w:bCs/>
                <w:szCs w:val="24"/>
              </w:rPr>
              <w:t>O</w:t>
            </w:r>
            <w:r w:rsidR="00855558">
              <w:rPr>
                <w:bCs/>
                <w:szCs w:val="24"/>
              </w:rPr>
              <w:t>peration emissions</w:t>
            </w:r>
            <w:r>
              <w:rPr>
                <w:bCs/>
                <w:szCs w:val="24"/>
              </w:rPr>
              <w:t xml:space="preserve">. </w:t>
            </w:r>
          </w:p>
        </w:tc>
      </w:tr>
      <w:tr w:rsidR="003432D9" w:rsidRPr="003134DF" w14:paraId="6599DC84" w14:textId="77777777" w:rsidTr="004D45CD">
        <w:trPr>
          <w:trHeight w:val="509"/>
          <w:jc w:val="center"/>
        </w:trPr>
        <w:tc>
          <w:tcPr>
            <w:tcW w:w="2405" w:type="dxa"/>
          </w:tcPr>
          <w:p w14:paraId="745556B4" w14:textId="77777777" w:rsidR="003432D9" w:rsidRPr="003134DF" w:rsidRDefault="003432D9" w:rsidP="00A960F2">
            <w:pPr>
              <w:tabs>
                <w:tab w:val="left" w:pos="284"/>
              </w:tabs>
              <w:spacing w:before="120" w:after="120"/>
              <w:rPr>
                <w:b/>
              </w:rPr>
            </w:pPr>
            <w:r w:rsidRPr="003134DF">
              <w:rPr>
                <w:b/>
              </w:rPr>
              <w:tab/>
              <w:t>Action to be taken:</w:t>
            </w:r>
          </w:p>
        </w:tc>
        <w:tc>
          <w:tcPr>
            <w:tcW w:w="6804" w:type="dxa"/>
          </w:tcPr>
          <w:p w14:paraId="08EC2025" w14:textId="77777777" w:rsidR="003432D9" w:rsidRPr="003134DF" w:rsidRDefault="003432D9" w:rsidP="001F7109">
            <w:pPr>
              <w:spacing w:before="120" w:after="120"/>
              <w:ind w:left="-74"/>
            </w:pPr>
            <w:r>
              <w:t xml:space="preserve">The Safety Committee is invited to </w:t>
            </w:r>
            <w:r w:rsidR="00A47EDC">
              <w:t xml:space="preserve">discuss this report and </w:t>
            </w:r>
            <w:proofErr w:type="gramStart"/>
            <w:r w:rsidR="00A47EDC">
              <w:t>take action</w:t>
            </w:r>
            <w:proofErr w:type="gramEnd"/>
            <w:r w:rsidR="00A47EDC">
              <w:t xml:space="preserve"> as it deems appropriate</w:t>
            </w:r>
            <w:r>
              <w:t>.</w:t>
            </w:r>
          </w:p>
        </w:tc>
      </w:tr>
      <w:tr w:rsidR="003432D9" w:rsidRPr="003134DF" w14:paraId="0E758B8F" w14:textId="77777777" w:rsidTr="00135A88">
        <w:trPr>
          <w:trHeight w:val="1519"/>
          <w:jc w:val="center"/>
        </w:trPr>
        <w:tc>
          <w:tcPr>
            <w:tcW w:w="2405" w:type="dxa"/>
            <w:tcBorders>
              <w:bottom w:val="single" w:sz="4" w:space="0" w:color="auto"/>
            </w:tcBorders>
          </w:tcPr>
          <w:p w14:paraId="5AADB32E" w14:textId="77777777" w:rsidR="003432D9" w:rsidRPr="003134DF" w:rsidRDefault="003432D9" w:rsidP="00A960F2">
            <w:pPr>
              <w:tabs>
                <w:tab w:val="left" w:pos="284"/>
              </w:tabs>
              <w:spacing w:before="120" w:after="120"/>
              <w:rPr>
                <w:b/>
              </w:rPr>
            </w:pPr>
            <w:r w:rsidRPr="003134DF">
              <w:rPr>
                <w:b/>
              </w:rPr>
              <w:tab/>
              <w:t>Related documents:</w:t>
            </w:r>
          </w:p>
        </w:tc>
        <w:tc>
          <w:tcPr>
            <w:tcW w:w="6804" w:type="dxa"/>
            <w:tcBorders>
              <w:bottom w:val="single" w:sz="4" w:space="0" w:color="auto"/>
            </w:tcBorders>
          </w:tcPr>
          <w:p w14:paraId="54BFD5E2" w14:textId="77777777" w:rsidR="00372F38" w:rsidRPr="00135A88" w:rsidRDefault="00372F38" w:rsidP="00135A88">
            <w:pPr>
              <w:spacing w:before="120" w:after="120"/>
              <w:ind w:left="-74"/>
            </w:pPr>
            <w:r w:rsidRPr="00135A88">
              <w:t>Informal document INF.35 of the thirty-fifth session</w:t>
            </w:r>
          </w:p>
          <w:p w14:paraId="5E7D27B3" w14:textId="77777777" w:rsidR="003432D9" w:rsidRPr="00135A88" w:rsidRDefault="003432D9" w:rsidP="00135A88">
            <w:pPr>
              <w:spacing w:before="120" w:after="120"/>
              <w:ind w:left="-74"/>
            </w:pPr>
            <w:r w:rsidRPr="00135A88">
              <w:t>Informal document INF.</w:t>
            </w:r>
            <w:r w:rsidR="00F319CD" w:rsidRPr="00135A88">
              <w:t>3</w:t>
            </w:r>
            <w:r w:rsidRPr="00135A88">
              <w:t>6 of the t</w:t>
            </w:r>
            <w:r w:rsidR="00372F38" w:rsidRPr="00135A88">
              <w:t>hirt</w:t>
            </w:r>
            <w:r w:rsidRPr="00135A88">
              <w:t>y-</w:t>
            </w:r>
            <w:r w:rsidR="00372F38" w:rsidRPr="00135A88">
              <w:t xml:space="preserve">fifth </w:t>
            </w:r>
            <w:r w:rsidRPr="00135A88">
              <w:t>session</w:t>
            </w:r>
          </w:p>
          <w:p w14:paraId="0268EDC0" w14:textId="77777777" w:rsidR="003432D9" w:rsidRPr="003134DF" w:rsidRDefault="003432D9" w:rsidP="00135A88">
            <w:pPr>
              <w:spacing w:before="120" w:after="120"/>
              <w:ind w:left="-74"/>
            </w:pPr>
            <w:r w:rsidRPr="00135A88">
              <w:t>ECE/TRANS/WP.15/AC.2/</w:t>
            </w:r>
            <w:r w:rsidR="00372F38" w:rsidRPr="00135A88">
              <w:t>72</w:t>
            </w:r>
            <w:r w:rsidRPr="00135A88">
              <w:t xml:space="preserve"> (Paragraphs </w:t>
            </w:r>
            <w:r w:rsidR="00372F38" w:rsidRPr="00135A88">
              <w:t>11</w:t>
            </w:r>
            <w:r w:rsidRPr="00135A88">
              <w:t>–1</w:t>
            </w:r>
            <w:r w:rsidR="00372F38" w:rsidRPr="00135A88">
              <w:t>3</w:t>
            </w:r>
            <w:r w:rsidR="001853D9">
              <w:t>)</w:t>
            </w:r>
          </w:p>
        </w:tc>
      </w:tr>
    </w:tbl>
    <w:p w14:paraId="4E77B841" w14:textId="77777777" w:rsidR="003432D9" w:rsidRPr="00440461" w:rsidRDefault="00440461" w:rsidP="00440461">
      <w:pPr>
        <w:pStyle w:val="HChG"/>
        <w:rPr>
          <w:sz w:val="20"/>
        </w:rPr>
      </w:pPr>
      <w:r>
        <w:tab/>
      </w:r>
      <w:r w:rsidR="003B6FCB">
        <w:tab/>
      </w:r>
      <w:r w:rsidR="003432D9" w:rsidRPr="005D2090">
        <w:t>Introduction</w:t>
      </w:r>
    </w:p>
    <w:p w14:paraId="61E47525" w14:textId="77777777" w:rsidR="001853D9" w:rsidRDefault="001853D9" w:rsidP="003D471F">
      <w:pPr>
        <w:pStyle w:val="SingleTxtG"/>
        <w:numPr>
          <w:ilvl w:val="0"/>
          <w:numId w:val="28"/>
        </w:numPr>
        <w:spacing w:before="120" w:line="276" w:lineRule="auto"/>
      </w:pPr>
      <w:r>
        <w:t>The Committee may recall that at its 35</w:t>
      </w:r>
      <w:r w:rsidRPr="001853D9">
        <w:rPr>
          <w:vertAlign w:val="superscript"/>
        </w:rPr>
        <w:t>th</w:t>
      </w:r>
      <w:r>
        <w:t xml:space="preserve"> session </w:t>
      </w:r>
      <w:r w:rsidR="00985B89">
        <w:t>an informal working group on degassing of tank vessels was established with the following terms of reference</w:t>
      </w:r>
    </w:p>
    <w:p w14:paraId="146EFCFD" w14:textId="77777777" w:rsidR="001853D9" w:rsidRPr="001853D9" w:rsidRDefault="001853D9" w:rsidP="001853D9">
      <w:pPr>
        <w:pStyle w:val="SingleTxtG"/>
        <w:spacing w:before="120" w:line="276" w:lineRule="auto"/>
        <w:ind w:left="720"/>
        <w:rPr>
          <w:i/>
          <w:lang w:val="en-US"/>
        </w:rPr>
      </w:pPr>
      <w:proofErr w:type="gramStart"/>
      <w:r w:rsidRPr="001853D9">
        <w:rPr>
          <w:i/>
          <w:lang w:val="en-US"/>
        </w:rPr>
        <w:t>“ The</w:t>
      </w:r>
      <w:proofErr w:type="gramEnd"/>
      <w:r w:rsidRPr="001853D9">
        <w:rPr>
          <w:i/>
          <w:lang w:val="en-US"/>
        </w:rPr>
        <w:t xml:space="preserve"> informal working group is requested: </w:t>
      </w:r>
    </w:p>
    <w:p w14:paraId="00EC22A6" w14:textId="77777777" w:rsidR="001853D9" w:rsidRPr="001853D9" w:rsidRDefault="001853D9" w:rsidP="001853D9">
      <w:pPr>
        <w:pStyle w:val="SingleTxtG"/>
        <w:numPr>
          <w:ilvl w:val="0"/>
          <w:numId w:val="33"/>
        </w:numPr>
        <w:spacing w:before="120" w:line="276" w:lineRule="auto"/>
        <w:rPr>
          <w:i/>
          <w:lang w:val="en-US"/>
        </w:rPr>
      </w:pPr>
      <w:r w:rsidRPr="001853D9">
        <w:rPr>
          <w:i/>
          <w:lang w:val="en-US"/>
        </w:rPr>
        <w:t xml:space="preserve">To review the benefits and disadvantages of amending the prohibition regarding degassing to the atmosphere in densely populated areas in 7.2.3.7.1.2 and 7.2.3.7.1.3; </w:t>
      </w:r>
    </w:p>
    <w:p w14:paraId="7DF9D846" w14:textId="77777777" w:rsidR="001853D9" w:rsidRPr="001853D9" w:rsidRDefault="001853D9" w:rsidP="001853D9">
      <w:pPr>
        <w:pStyle w:val="SingleTxtG"/>
        <w:numPr>
          <w:ilvl w:val="0"/>
          <w:numId w:val="33"/>
        </w:numPr>
        <w:spacing w:before="120" w:line="276" w:lineRule="auto"/>
        <w:rPr>
          <w:i/>
          <w:lang w:val="en-US"/>
        </w:rPr>
      </w:pPr>
      <w:r w:rsidRPr="001853D9">
        <w:rPr>
          <w:i/>
          <w:lang w:val="en-US"/>
        </w:rPr>
        <w:t xml:space="preserve">To check the historical background of the requirements in the last paragraph of 7.2.3.7.1.2 and 7.2.3.7.1.3; </w:t>
      </w:r>
    </w:p>
    <w:p w14:paraId="74EAE871" w14:textId="77777777" w:rsidR="001853D9" w:rsidRPr="001853D9" w:rsidRDefault="001853D9" w:rsidP="003C0631">
      <w:pPr>
        <w:pStyle w:val="SingleTxtG"/>
        <w:numPr>
          <w:ilvl w:val="0"/>
          <w:numId w:val="33"/>
        </w:numPr>
        <w:spacing w:before="120" w:line="276" w:lineRule="auto"/>
        <w:rPr>
          <w:i/>
          <w:lang w:val="en-US"/>
        </w:rPr>
      </w:pPr>
      <w:r w:rsidRPr="001853D9">
        <w:rPr>
          <w:i/>
          <w:lang w:val="en-US"/>
        </w:rPr>
        <w:t xml:space="preserve">To check whether regulations on operational emissions during the carriage of dangerous goods on inland waterways exist, both in countries which are Contracting Parties to the CDNI-Convention and other countries which are Contracting Parties to the ADN; </w:t>
      </w:r>
    </w:p>
    <w:p w14:paraId="72E43BE5" w14:textId="77777777" w:rsidR="001853D9" w:rsidRPr="001853D9" w:rsidRDefault="001853D9" w:rsidP="001853D9">
      <w:pPr>
        <w:pStyle w:val="SingleTxtG"/>
        <w:numPr>
          <w:ilvl w:val="0"/>
          <w:numId w:val="33"/>
        </w:numPr>
        <w:spacing w:before="120" w:line="276" w:lineRule="auto"/>
        <w:rPr>
          <w:i/>
          <w:lang w:val="en-US"/>
        </w:rPr>
      </w:pPr>
      <w:r w:rsidRPr="001853D9">
        <w:rPr>
          <w:i/>
          <w:lang w:val="en-US"/>
        </w:rPr>
        <w:t xml:space="preserve">To propose amendments, if reviewing of the requirements in 7.2.3.7.1.2 and 7.2.3.7.1.3 is needed; </w:t>
      </w:r>
    </w:p>
    <w:p w14:paraId="38DAC258" w14:textId="77777777" w:rsidR="001853D9" w:rsidRPr="001853D9" w:rsidRDefault="001853D9" w:rsidP="001853D9">
      <w:pPr>
        <w:pStyle w:val="SingleTxtG"/>
        <w:numPr>
          <w:ilvl w:val="0"/>
          <w:numId w:val="33"/>
        </w:numPr>
        <w:spacing w:before="120" w:line="276" w:lineRule="auto"/>
        <w:rPr>
          <w:i/>
          <w:lang w:val="en-US"/>
        </w:rPr>
      </w:pPr>
      <w:r w:rsidRPr="001853D9">
        <w:rPr>
          <w:i/>
          <w:lang w:val="en-US"/>
        </w:rPr>
        <w:t xml:space="preserve">To report the results of the informal working group at the 36th session of the ADN Safety Committee in January 2020.” </w:t>
      </w:r>
    </w:p>
    <w:p w14:paraId="3B5E7114" w14:textId="77777777" w:rsidR="003432D9" w:rsidRDefault="00985B89" w:rsidP="003D471F">
      <w:pPr>
        <w:pStyle w:val="SingleTxtG"/>
        <w:numPr>
          <w:ilvl w:val="0"/>
          <w:numId w:val="28"/>
        </w:numPr>
        <w:spacing w:before="120" w:line="276" w:lineRule="auto"/>
      </w:pPr>
      <w:r>
        <w:lastRenderedPageBreak/>
        <w:t xml:space="preserve">The group met on </w:t>
      </w:r>
      <w:r w:rsidR="00855558">
        <w:t>20</w:t>
      </w:r>
      <w:r w:rsidR="003432D9">
        <w:t xml:space="preserve"> and 2</w:t>
      </w:r>
      <w:r w:rsidR="00855558">
        <w:t xml:space="preserve">1 November </w:t>
      </w:r>
      <w:proofErr w:type="gramStart"/>
      <w:r w:rsidR="00855558">
        <w:t>2</w:t>
      </w:r>
      <w:r w:rsidR="003432D9">
        <w:t xml:space="preserve">019, </w:t>
      </w:r>
      <w:r w:rsidR="00034BFB">
        <w:t xml:space="preserve"> in</w:t>
      </w:r>
      <w:proofErr w:type="gramEnd"/>
      <w:r w:rsidR="00034BFB">
        <w:t xml:space="preserve"> </w:t>
      </w:r>
      <w:r w:rsidR="003432D9">
        <w:t xml:space="preserve">Brussels, The meeting was attended by </w:t>
      </w:r>
      <w:r w:rsidR="005977AC">
        <w:t xml:space="preserve">the chair of the Safety Committee, by </w:t>
      </w:r>
      <w:r w:rsidR="003432D9">
        <w:t xml:space="preserve">delegates of Belgium, </w:t>
      </w:r>
      <w:r w:rsidR="005977AC">
        <w:t xml:space="preserve">Germany, </w:t>
      </w:r>
      <w:r>
        <w:t xml:space="preserve">and </w:t>
      </w:r>
      <w:r w:rsidR="006B440C">
        <w:t>t</w:t>
      </w:r>
      <w:r w:rsidR="005977AC">
        <w:t xml:space="preserve">he Netherlands, </w:t>
      </w:r>
      <w:r w:rsidR="003432D9">
        <w:t xml:space="preserve">by </w:t>
      </w:r>
      <w:r w:rsidR="005977AC">
        <w:t xml:space="preserve">representatives of the European Commission and by </w:t>
      </w:r>
      <w:r>
        <w:t xml:space="preserve">representatives of </w:t>
      </w:r>
      <w:r w:rsidR="003432D9">
        <w:t>EBU/ESO</w:t>
      </w:r>
      <w:r w:rsidR="005977AC">
        <w:t xml:space="preserve"> and CCNR</w:t>
      </w:r>
      <w:r w:rsidR="003432D9">
        <w:t xml:space="preserve">. </w:t>
      </w:r>
    </w:p>
    <w:p w14:paraId="3124CE34" w14:textId="77777777" w:rsidR="000C6EBA" w:rsidRPr="00F11B71" w:rsidRDefault="003D471F" w:rsidP="000C6EBA">
      <w:pPr>
        <w:pStyle w:val="SingleTxtG"/>
        <w:numPr>
          <w:ilvl w:val="0"/>
          <w:numId w:val="28"/>
        </w:numPr>
        <w:spacing w:before="120" w:line="276" w:lineRule="auto"/>
      </w:pPr>
      <w:r>
        <w:t xml:space="preserve">The meeting started with a short presentation </w:t>
      </w:r>
      <w:r w:rsidR="00B51314">
        <w:t xml:space="preserve">made </w:t>
      </w:r>
      <w:r w:rsidR="00BF4AA5">
        <w:t xml:space="preserve">by </w:t>
      </w:r>
      <w:r>
        <w:t xml:space="preserve">Mr. </w:t>
      </w:r>
      <w:r w:rsidR="00BF4AA5">
        <w:t xml:space="preserve">Guido de Wilt from the European Commission, DG Environment on air quality and degassing in Inland Watery Transport. </w:t>
      </w:r>
      <w:r>
        <w:t>DG</w:t>
      </w:r>
      <w:r w:rsidR="00BF4AA5">
        <w:t xml:space="preserve"> Environment</w:t>
      </w:r>
      <w:r>
        <w:t xml:space="preserve"> is now focusing more and more on inland navigation in order to promote air quality. For vessels there is also a standard </w:t>
      </w:r>
      <w:proofErr w:type="gramStart"/>
      <w:r>
        <w:t>with regard to</w:t>
      </w:r>
      <w:proofErr w:type="gramEnd"/>
      <w:r>
        <w:t xml:space="preserve"> engine emissions. For air quality, a distinction is made between emission ceilings and maximum (local) concentrations of pollutants.</w:t>
      </w:r>
      <w:r w:rsidR="00BF4AA5">
        <w:t xml:space="preserve"> The European Commission </w:t>
      </w:r>
      <w:r w:rsidR="00B51314">
        <w:t xml:space="preserve">invited </w:t>
      </w:r>
      <w:r w:rsidR="00BF4AA5">
        <w:t xml:space="preserve">the participants to deliver information that can be added to the programmes that will soon be set out in the next seven-year budget of the EU. </w:t>
      </w:r>
    </w:p>
    <w:p w14:paraId="6C0774BC" w14:textId="77777777" w:rsidR="00985B89" w:rsidRDefault="00985B89" w:rsidP="00985B89">
      <w:pPr>
        <w:pStyle w:val="HChG"/>
        <w:ind w:left="720" w:firstLine="0"/>
      </w:pPr>
      <w:r>
        <w:t>B</w:t>
      </w:r>
      <w:r w:rsidRPr="00F11B71">
        <w:t>enefits and disadvantages of amending the prohibition regarding degassing to the atmosphere in densely populated areas in 7.2.3.7.1.2 and 7.2.3.7.1.3</w:t>
      </w:r>
    </w:p>
    <w:p w14:paraId="751633F3" w14:textId="77777777" w:rsidR="00985B89" w:rsidRDefault="00985B89" w:rsidP="00985B89">
      <w:pPr>
        <w:pStyle w:val="SingleTxtG"/>
        <w:numPr>
          <w:ilvl w:val="0"/>
          <w:numId w:val="28"/>
        </w:numPr>
        <w:spacing w:before="120" w:line="276" w:lineRule="auto"/>
      </w:pPr>
      <w:r>
        <w:t xml:space="preserve">The Group comes to the conclusion that emissions can be divided in four types:: (1) accidental emissions, (2) unintentional emissions as a result of a particular operational action, (3) operational emissions that can lead to a safety risk (explosion), and (4) operational emissions that do not lead to a safety risk (other legislation). Since ADN aims to prevent pollution resulting from accidents or incidents during carriage, the first three types of emissions are regulated by ADN. </w:t>
      </w:r>
      <w:proofErr w:type="gramStart"/>
      <w:r w:rsidR="00BC3E5E">
        <w:t>A majority of</w:t>
      </w:r>
      <w:proofErr w:type="gramEnd"/>
      <w:r w:rsidR="00BC3E5E">
        <w:t xml:space="preserve"> the group was of the opinion that, the fourth type of emission falls out of the scope of ADN and should therefore be regulated by other legal instruments. Some participants raised the point that “safety” may cover more issues than possible explosions.”</w:t>
      </w:r>
      <w:r>
        <w:t xml:space="preserve">. </w:t>
      </w:r>
    </w:p>
    <w:p w14:paraId="6FD3E198" w14:textId="77777777" w:rsidR="00985B89" w:rsidRDefault="00985B89" w:rsidP="00985B89">
      <w:pPr>
        <w:pStyle w:val="SingleTxtG"/>
        <w:numPr>
          <w:ilvl w:val="0"/>
          <w:numId w:val="28"/>
        </w:numPr>
        <w:spacing w:before="120" w:line="276" w:lineRule="auto"/>
      </w:pPr>
      <w:r>
        <w:t xml:space="preserve">The group concludes that from a safety point of view, both bridges and locks and their outer harbours are logically to be mentioned in ADN because they </w:t>
      </w:r>
      <w:r w:rsidR="00BC3E5E">
        <w:t xml:space="preserve">might be </w:t>
      </w:r>
      <w:proofErr w:type="gramStart"/>
      <w:r w:rsidR="00BC3E5E">
        <w:t>effected</w:t>
      </w:r>
      <w:proofErr w:type="gramEnd"/>
      <w:r w:rsidR="00BC3E5E">
        <w:t xml:space="preserve"> and relevant with regard to the third type of emission</w:t>
      </w:r>
      <w:r>
        <w:t xml:space="preserve">. </w:t>
      </w:r>
    </w:p>
    <w:p w14:paraId="2E8268D9" w14:textId="77777777" w:rsidR="00985B89" w:rsidRDefault="00985B89" w:rsidP="00985B89">
      <w:pPr>
        <w:pStyle w:val="SingleTxtG"/>
        <w:numPr>
          <w:ilvl w:val="0"/>
          <w:numId w:val="28"/>
        </w:numPr>
        <w:spacing w:before="120" w:line="276" w:lineRule="auto"/>
      </w:pPr>
      <w:r>
        <w:t xml:space="preserve">The group concludes that the CDNI also uses the term “densely populated areas”. The CDNI prohibits </w:t>
      </w:r>
      <w:r w:rsidR="00BC3E5E">
        <w:t>any</w:t>
      </w:r>
      <w:r>
        <w:t xml:space="preserve"> ventilation into the atmosphere within densely populated areas.</w:t>
      </w:r>
    </w:p>
    <w:p w14:paraId="5BFD2492" w14:textId="77777777" w:rsidR="00985B89" w:rsidRDefault="00985B89" w:rsidP="00985B89">
      <w:pPr>
        <w:pStyle w:val="SingleTxtG"/>
        <w:numPr>
          <w:ilvl w:val="0"/>
          <w:numId w:val="28"/>
        </w:numPr>
        <w:spacing w:before="120" w:line="276" w:lineRule="auto"/>
      </w:pPr>
      <w:r w:rsidRPr="00873467">
        <w:t>German Representative pointed out that it should be decided on a case-by-case approach depending on the local circumstances if a “densely populated area” is affected</w:t>
      </w:r>
      <w:r>
        <w:t xml:space="preserve">. </w:t>
      </w:r>
      <w:r w:rsidRPr="00546A83">
        <w:t xml:space="preserve">The Netherlands indicates that parties involved </w:t>
      </w:r>
      <w:r>
        <w:t xml:space="preserve">requested </w:t>
      </w:r>
      <w:proofErr w:type="gramStart"/>
      <w:r>
        <w:t xml:space="preserve">a </w:t>
      </w:r>
      <w:r w:rsidRPr="00546A83">
        <w:t xml:space="preserve"> degree</w:t>
      </w:r>
      <w:proofErr w:type="gramEnd"/>
      <w:r w:rsidRPr="00546A83">
        <w:t xml:space="preserve"> of legal certainty by means of an interpretation of the term</w:t>
      </w:r>
      <w:r>
        <w:t xml:space="preserve"> “densely populated areas”.</w:t>
      </w:r>
    </w:p>
    <w:p w14:paraId="1970E9C8" w14:textId="77777777" w:rsidR="000C6EBA" w:rsidRDefault="000C6EBA" w:rsidP="006B440C">
      <w:pPr>
        <w:pStyle w:val="HChG"/>
        <w:ind w:left="720" w:firstLine="0"/>
      </w:pPr>
      <w:r>
        <w:t>H</w:t>
      </w:r>
      <w:r w:rsidRPr="00F11B71">
        <w:t>istorical background of the requirements in the last paragraph of 7.2.3.7.1.2 and 7.2.3.7.1.3;</w:t>
      </w:r>
    </w:p>
    <w:p w14:paraId="1BC550FC" w14:textId="77777777" w:rsidR="000C6EBA" w:rsidRDefault="000C6EBA" w:rsidP="000C6EBA">
      <w:pPr>
        <w:pStyle w:val="SingleTxtG"/>
        <w:numPr>
          <w:ilvl w:val="0"/>
          <w:numId w:val="28"/>
        </w:numPr>
        <w:spacing w:before="120" w:line="276" w:lineRule="auto"/>
      </w:pPr>
      <w:r>
        <w:t>Since 1989, the ADNR has regulated the degassing of toxic substances in densely populated areas. The inland navigation industry considers this term to refer to the "urban areas" of the major cities.</w:t>
      </w:r>
    </w:p>
    <w:p w14:paraId="7BC09747" w14:textId="5E1F0BDB" w:rsidR="00604A1D" w:rsidRPr="000B0B19" w:rsidRDefault="006B440C" w:rsidP="000B0B19">
      <w:pPr>
        <w:pStyle w:val="SingleTxtG"/>
        <w:numPr>
          <w:ilvl w:val="0"/>
          <w:numId w:val="28"/>
        </w:numPr>
        <w:spacing w:before="120" w:line="276" w:lineRule="auto"/>
      </w:pPr>
      <w:r>
        <w:t>However, a</w:t>
      </w:r>
      <w:r w:rsidR="000C6EBA">
        <w:t xml:space="preserve"> distinction </w:t>
      </w:r>
      <w:r>
        <w:t xml:space="preserve">can be made </w:t>
      </w:r>
      <w:r w:rsidR="000C6EBA">
        <w:t xml:space="preserve">between the two paragraphs </w:t>
      </w:r>
      <w:r w:rsidR="000C6EBA" w:rsidRPr="00F11B71">
        <w:t>of 7.2.3.7.1.2 and 7.2.3.7.1.3</w:t>
      </w:r>
      <w:r w:rsidR="000C6EBA">
        <w:t xml:space="preserve">. </w:t>
      </w:r>
      <w:r>
        <w:t>While</w:t>
      </w:r>
      <w:r w:rsidR="000C6EBA">
        <w:t xml:space="preserve"> the </w:t>
      </w:r>
      <w:r>
        <w:t>prohibition</w:t>
      </w:r>
      <w:r w:rsidR="000C6EBA">
        <w:t xml:space="preserve"> on degassing toxic substances </w:t>
      </w:r>
      <w:r>
        <w:t xml:space="preserve">(7.2.3.7.1.2) </w:t>
      </w:r>
      <w:r w:rsidR="000C6EBA">
        <w:t xml:space="preserve">has been in the ADN and the </w:t>
      </w:r>
      <w:r w:rsidR="00E50B9C">
        <w:t>ADNR for a very long time,</w:t>
      </w:r>
      <w:r w:rsidR="00E50B9C" w:rsidRPr="00DC44F4">
        <w:t xml:space="preserve"> </w:t>
      </w:r>
      <w:r w:rsidR="000E2376">
        <w:t>u</w:t>
      </w:r>
      <w:r w:rsidR="00E50B9C">
        <w:t xml:space="preserve">nfortunately, the group could not find in the archives of the CCNR exactly what the reason and motives were for adopting this text.  </w:t>
      </w:r>
      <w:r w:rsidR="000B0B19" w:rsidRPr="000B0B19">
        <w:t>The prohibition on degassing all other substances in densely populated areas was only adopted in ADN since 2019, as proposed by the former Informal Working Group “Degassing”.</w:t>
      </w:r>
    </w:p>
    <w:p w14:paraId="267886CA" w14:textId="77777777" w:rsidR="000C6EBA" w:rsidRDefault="000C6EBA" w:rsidP="000C6EBA">
      <w:pPr>
        <w:pStyle w:val="SingleTxtG"/>
        <w:numPr>
          <w:ilvl w:val="0"/>
          <w:numId w:val="28"/>
        </w:numPr>
        <w:spacing w:before="120" w:line="276" w:lineRule="auto"/>
      </w:pPr>
      <w:r>
        <w:t xml:space="preserve">One can well imagine (and speculate) that </w:t>
      </w:r>
      <w:r w:rsidR="00E50B9C">
        <w:t xml:space="preserve">in the 1980ies </w:t>
      </w:r>
      <w:r>
        <w:t>environmental legislation was still in its infancy. Therefore, it is likely that the initial authors of the ADNR included these measures to safeguard the immediate vicinity of the vessel.</w:t>
      </w:r>
    </w:p>
    <w:p w14:paraId="78D7C0EE" w14:textId="77777777" w:rsidR="00C31FA5" w:rsidRPr="00F11B71" w:rsidRDefault="00C31FA5" w:rsidP="00D01955">
      <w:pPr>
        <w:pStyle w:val="HChG"/>
        <w:ind w:left="720" w:firstLine="0"/>
      </w:pPr>
      <w:r>
        <w:lastRenderedPageBreak/>
        <w:t>R</w:t>
      </w:r>
      <w:r w:rsidRPr="00F11B71">
        <w:t>egulations on operational emissions during the carriage of dangerous goods on inland waterways, both in countries which are Contracting Parties to the CDNI-Convention and other countries which are Contracting Parties to the ADN</w:t>
      </w:r>
    </w:p>
    <w:p w14:paraId="08116A98" w14:textId="636CA9B8" w:rsidR="00F627CA" w:rsidRPr="00F11B71" w:rsidRDefault="00F627CA" w:rsidP="00F627CA">
      <w:pPr>
        <w:pStyle w:val="SingleTxtG"/>
        <w:numPr>
          <w:ilvl w:val="0"/>
          <w:numId w:val="28"/>
        </w:numPr>
        <w:spacing w:before="120" w:line="276" w:lineRule="auto"/>
      </w:pPr>
      <w:r>
        <w:t>A list of existing r</w:t>
      </w:r>
      <w:r w:rsidRPr="00F11B71">
        <w:t xml:space="preserve">egulations on operational emissions during the carriage of dangerous goods on inland waterways, both in countries which are Contracting Parties to the CDNI-Convention and other countries which are Contracting Parties to the </w:t>
      </w:r>
      <w:r>
        <w:t xml:space="preserve">AND has been made </w:t>
      </w:r>
      <w:r w:rsidR="009C5BDE">
        <w:t>based on the submissions made by Belgium, German, and EBU/ESO</w:t>
      </w:r>
      <w:r>
        <w:t xml:space="preserve">. </w:t>
      </w:r>
    </w:p>
    <w:p w14:paraId="1F32EDB6" w14:textId="77777777" w:rsidR="00C31FA5" w:rsidRDefault="00BB7761" w:rsidP="003F3D1B">
      <w:pPr>
        <w:pStyle w:val="SingleTxtG"/>
        <w:numPr>
          <w:ilvl w:val="0"/>
          <w:numId w:val="28"/>
        </w:numPr>
        <w:spacing w:before="120" w:line="276" w:lineRule="auto"/>
      </w:pPr>
      <w:r>
        <w:t>Because</w:t>
      </w:r>
      <w:r w:rsidR="00F627CA">
        <w:t xml:space="preserve"> the group decided to not remove but rather rephrase the term 'densely populated areas</w:t>
      </w:r>
      <w:r>
        <w:t>’</w:t>
      </w:r>
      <w:r w:rsidR="00F627CA">
        <w:t>, it was concluded that it is a good idea to draw up this list as an informal document and to ask the other Member States to contribute to it as an informal information document of added value.</w:t>
      </w:r>
    </w:p>
    <w:p w14:paraId="7FD62433" w14:textId="77777777" w:rsidR="00F627CA" w:rsidRDefault="00F627CA" w:rsidP="00D01955">
      <w:pPr>
        <w:pStyle w:val="HChG"/>
        <w:ind w:left="720" w:firstLine="0"/>
      </w:pPr>
      <w:r>
        <w:t xml:space="preserve">Proposed amendments </w:t>
      </w:r>
      <w:r w:rsidRPr="00F11B71">
        <w:t>of the requirements in 7.2.3.7.1.2 and 7.2.3.7.1.3</w:t>
      </w:r>
      <w:r>
        <w:t>.</w:t>
      </w:r>
    </w:p>
    <w:p w14:paraId="5537A480" w14:textId="77777777" w:rsidR="001472C6" w:rsidRDefault="0015428A" w:rsidP="0015428A">
      <w:pPr>
        <w:pStyle w:val="SingleTxtG"/>
        <w:numPr>
          <w:ilvl w:val="0"/>
          <w:numId w:val="28"/>
        </w:numPr>
        <w:spacing w:before="120" w:line="276" w:lineRule="auto"/>
      </w:pPr>
      <w:r>
        <w:t xml:space="preserve">Some delegates </w:t>
      </w:r>
      <w:r w:rsidR="001472C6">
        <w:t xml:space="preserve">reiterate </w:t>
      </w:r>
      <w:r>
        <w:t xml:space="preserve">their concern about </w:t>
      </w:r>
      <w:r w:rsidR="001472C6">
        <w:t xml:space="preserve">the </w:t>
      </w:r>
      <w:r w:rsidR="001472C6" w:rsidRPr="000B6EDB">
        <w:t xml:space="preserve">purpose and scope of the ADN. If that is the protection of people, you cannot distinguish between the protection of many or few people. Both the preamble and 7.2.3.7.0 state that </w:t>
      </w:r>
      <w:r w:rsidR="001472C6">
        <w:t xml:space="preserve">other legislation could </w:t>
      </w:r>
      <w:r w:rsidR="00985B89">
        <w:t xml:space="preserve">regulate (prohibit) </w:t>
      </w:r>
      <w:r w:rsidR="001472C6">
        <w:t>degassing to the atmosphere</w:t>
      </w:r>
      <w:r w:rsidR="001472C6" w:rsidRPr="000B6EDB">
        <w:t>.</w:t>
      </w:r>
      <w:r w:rsidR="00985B89">
        <w:t xml:space="preserve"> In situations where degassing </w:t>
      </w:r>
      <w:proofErr w:type="gramStart"/>
      <w:r w:rsidR="00985B89">
        <w:t>tot</w:t>
      </w:r>
      <w:proofErr w:type="gramEnd"/>
      <w:r w:rsidR="00985B89">
        <w:t xml:space="preserve"> the atmosphere is not prohibited by other regulations, t</w:t>
      </w:r>
      <w:r w:rsidR="001472C6" w:rsidRPr="000B6EDB">
        <w:t>he ADN provides conditions under which degassing</w:t>
      </w:r>
      <w:r w:rsidR="001472C6">
        <w:t xml:space="preserve"> to the atmosphere</w:t>
      </w:r>
      <w:r w:rsidR="001472C6" w:rsidRPr="000B6EDB">
        <w:t xml:space="preserve"> may take place</w:t>
      </w:r>
      <w:r w:rsidR="002868CA">
        <w:t xml:space="preserve"> with a view to safety in the direct surroundings of the vessel</w:t>
      </w:r>
    </w:p>
    <w:p w14:paraId="52AE9299" w14:textId="77777777" w:rsidR="001472C6" w:rsidRDefault="002868CA" w:rsidP="00F0729A">
      <w:pPr>
        <w:pStyle w:val="SingleTxtG"/>
        <w:numPr>
          <w:ilvl w:val="0"/>
          <w:numId w:val="28"/>
        </w:numPr>
        <w:spacing w:before="120" w:line="276" w:lineRule="auto"/>
      </w:pPr>
      <w:bookmarkStart w:id="0" w:name="_Hlk27638908"/>
      <w:r>
        <w:t>The</w:t>
      </w:r>
      <w:r w:rsidR="001472C6">
        <w:t xml:space="preserve"> informal group </w:t>
      </w:r>
      <w:r>
        <w:t>concluded unanimously</w:t>
      </w:r>
      <w:r w:rsidR="001472C6">
        <w:t xml:space="preserve"> that the term 'densely populated areas' in 7.2.3.7.1.3 </w:t>
      </w:r>
      <w:r w:rsidR="00C5052C">
        <w:t xml:space="preserve">(non-toxic substances) </w:t>
      </w:r>
      <w:r w:rsidR="001472C6">
        <w:t xml:space="preserve">by </w:t>
      </w:r>
      <w:r>
        <w:t xml:space="preserve">should be replaced </w:t>
      </w:r>
      <w:r w:rsidR="001472C6">
        <w:t>‘residential areas’</w:t>
      </w:r>
      <w:r w:rsidR="00775C17">
        <w:t xml:space="preserve"> which is already used in </w:t>
      </w:r>
      <w:r w:rsidR="00B25E74">
        <w:t xml:space="preserve">subsections 7.1.5.4 and 7.2.5.4 in the context of </w:t>
      </w:r>
      <w:proofErr w:type="gramStart"/>
      <w:r w:rsidR="00B25E74">
        <w:t>mooring</w:t>
      </w:r>
      <w:r w:rsidR="00775C17">
        <w:t xml:space="preserve"> </w:t>
      </w:r>
      <w:r w:rsidR="001472C6">
        <w:t xml:space="preserve"> since</w:t>
      </w:r>
      <w:proofErr w:type="gramEnd"/>
      <w:r w:rsidR="001472C6">
        <w:t xml:space="preserve"> the latter term provides more legal certainty and clarity. </w:t>
      </w:r>
    </w:p>
    <w:p w14:paraId="0E3AD818" w14:textId="77777777" w:rsidR="00885AAD" w:rsidRDefault="00885AAD" w:rsidP="00885AAD">
      <w:pPr>
        <w:pStyle w:val="SingleTxtG"/>
        <w:numPr>
          <w:ilvl w:val="0"/>
          <w:numId w:val="28"/>
        </w:numPr>
        <w:spacing w:before="120" w:line="276" w:lineRule="auto"/>
      </w:pPr>
      <w:r w:rsidRPr="00885AAD">
        <w:t xml:space="preserve">no unanimous conclusion could be reached </w:t>
      </w:r>
      <w:r>
        <w:t xml:space="preserve">regarding the term 'densely populated areas' in 7.2.3.1.2 (toxic substances). </w:t>
      </w:r>
      <w:r w:rsidRPr="00885AAD">
        <w:t xml:space="preserve">Different views on the scope of the ADN </w:t>
      </w:r>
      <w:r w:rsidR="003368FA">
        <w:t xml:space="preserve">(safety/environmental/health issues) </w:t>
      </w:r>
      <w:r w:rsidRPr="00885AAD">
        <w:t xml:space="preserve">formed the basis for the fact that no unanimous conclusion could be reached. </w:t>
      </w:r>
      <w:proofErr w:type="gramStart"/>
      <w:r w:rsidRPr="00885AAD">
        <w:t>However</w:t>
      </w:r>
      <w:proofErr w:type="gramEnd"/>
      <w:r w:rsidRPr="00885AAD">
        <w:t xml:space="preserve"> a majority</w:t>
      </w:r>
      <w:r>
        <w:t xml:space="preserve"> of the participants concluded that 7.2.3.1.2 should be amended by replacing “densely populated areas” by “residential areas” as well. </w:t>
      </w:r>
    </w:p>
    <w:p w14:paraId="0280C266" w14:textId="77777777" w:rsidR="00EA3176" w:rsidRPr="0015428A" w:rsidRDefault="00524631" w:rsidP="00EA3176">
      <w:pPr>
        <w:pStyle w:val="SingleTxtG"/>
        <w:numPr>
          <w:ilvl w:val="0"/>
          <w:numId w:val="28"/>
        </w:numPr>
        <w:spacing w:before="120" w:line="276" w:lineRule="auto"/>
      </w:pPr>
      <w:r>
        <w:t xml:space="preserve">Some members of the group </w:t>
      </w:r>
      <w:proofErr w:type="gramStart"/>
      <w:r>
        <w:t>were of the opinion that</w:t>
      </w:r>
      <w:proofErr w:type="gramEnd"/>
      <w:r>
        <w:t xml:space="preserve"> it is not possible to reach agreement on amending 7.2.3.1.2 without clear guidance from the ADN Safety Committee on th</w:t>
      </w:r>
      <w:r w:rsidR="003368FA">
        <w:t>e scope of ADN</w:t>
      </w:r>
      <w:r>
        <w:t>.</w:t>
      </w:r>
    </w:p>
    <w:bookmarkEnd w:id="0"/>
    <w:p w14:paraId="20AE86F1" w14:textId="77777777" w:rsidR="00A47EDC" w:rsidRPr="00034BFB" w:rsidRDefault="00A47EDC" w:rsidP="00A47EDC">
      <w:pPr>
        <w:pStyle w:val="HChG"/>
        <w:ind w:left="720" w:firstLine="0"/>
      </w:pPr>
      <w:r w:rsidRPr="00034BFB">
        <w:t>Conclusion</w:t>
      </w:r>
    </w:p>
    <w:p w14:paraId="627B94C2" w14:textId="77777777" w:rsidR="00F0729A" w:rsidRPr="00A47EDC" w:rsidRDefault="00524631" w:rsidP="00A47EDC">
      <w:pPr>
        <w:pStyle w:val="SingleTxtG"/>
        <w:numPr>
          <w:ilvl w:val="0"/>
          <w:numId w:val="28"/>
        </w:numPr>
        <w:spacing w:before="120" w:line="276" w:lineRule="auto"/>
      </w:pPr>
      <w:bookmarkStart w:id="1" w:name="_Hlk27639556"/>
      <w:r w:rsidRPr="00034BFB">
        <w:t>The informal working group invites the committee to:</w:t>
      </w:r>
    </w:p>
    <w:p w14:paraId="3A06B2B7" w14:textId="5EC84F3B" w:rsidR="003E0CBB" w:rsidRDefault="003E0CBB" w:rsidP="00A47EDC">
      <w:pPr>
        <w:pStyle w:val="SingleTxtG"/>
        <w:numPr>
          <w:ilvl w:val="0"/>
          <w:numId w:val="36"/>
        </w:numPr>
        <w:spacing w:before="120" w:line="276" w:lineRule="auto"/>
        <w:rPr>
          <w:lang w:val="en-US"/>
        </w:rPr>
      </w:pPr>
      <w:r>
        <w:t>a</w:t>
      </w:r>
      <w:proofErr w:type="spellStart"/>
      <w:r w:rsidR="009C5BDE">
        <w:rPr>
          <w:lang w:val="en-US"/>
        </w:rPr>
        <w:t>ssess</w:t>
      </w:r>
      <w:proofErr w:type="spellEnd"/>
      <w:r>
        <w:rPr>
          <w:lang w:val="en-US"/>
        </w:rPr>
        <w:t xml:space="preserve"> the scope of ADN i.e. the question which </w:t>
      </w:r>
      <w:proofErr w:type="gramStart"/>
      <w:r>
        <w:rPr>
          <w:lang w:val="en-US"/>
        </w:rPr>
        <w:t>are the objects</w:t>
      </w:r>
      <w:proofErr w:type="gramEnd"/>
      <w:r>
        <w:rPr>
          <w:lang w:val="en-US"/>
        </w:rPr>
        <w:t xml:space="preserve"> to be protected by dangerous goods regulations</w:t>
      </w:r>
      <w:r w:rsidR="000E2376">
        <w:rPr>
          <w:lang w:val="en-US"/>
        </w:rPr>
        <w:t>,</w:t>
      </w:r>
    </w:p>
    <w:p w14:paraId="6AFE69D0" w14:textId="77777777" w:rsidR="000E2376" w:rsidRDefault="00524631" w:rsidP="000E2376">
      <w:pPr>
        <w:pStyle w:val="SingleTxtG"/>
        <w:numPr>
          <w:ilvl w:val="0"/>
          <w:numId w:val="36"/>
        </w:numPr>
        <w:spacing w:before="120" w:line="276" w:lineRule="auto"/>
        <w:rPr>
          <w:lang w:val="en-US"/>
        </w:rPr>
      </w:pPr>
      <w:r w:rsidRPr="00A47EDC">
        <w:rPr>
          <w:lang w:val="en-US"/>
        </w:rPr>
        <w:t>task the group to develop concrete proposal to amend the ADN based on the outcome of the discussion of this document</w:t>
      </w:r>
      <w:r w:rsidR="000E2376">
        <w:rPr>
          <w:lang w:val="en-US"/>
        </w:rPr>
        <w:t>,</w:t>
      </w:r>
    </w:p>
    <w:p w14:paraId="286B4AC0" w14:textId="6FD73FB2" w:rsidR="000E2376" w:rsidRDefault="000E2376" w:rsidP="000E2376">
      <w:pPr>
        <w:pStyle w:val="SingleTxtG"/>
        <w:numPr>
          <w:ilvl w:val="0"/>
          <w:numId w:val="36"/>
        </w:numPr>
        <w:spacing w:before="120" w:line="276" w:lineRule="auto"/>
        <w:rPr>
          <w:lang w:val="en-US"/>
        </w:rPr>
      </w:pPr>
      <w:r>
        <w:rPr>
          <w:lang w:val="en-US"/>
        </w:rPr>
        <w:t>include an annex with the list of regulations</w:t>
      </w:r>
      <w:r w:rsidR="00FD7B69">
        <w:rPr>
          <w:lang w:val="en-US"/>
        </w:rPr>
        <w:t>,</w:t>
      </w:r>
      <w:r>
        <w:rPr>
          <w:lang w:val="en-US"/>
        </w:rPr>
        <w:t xml:space="preserve"> </w:t>
      </w:r>
      <w:r w:rsidR="00FD7B69">
        <w:rPr>
          <w:lang w:val="en-US"/>
        </w:rPr>
        <w:t>other than AND,</w:t>
      </w:r>
      <w:r w:rsidR="00FD7B69" w:rsidRPr="00F11B71">
        <w:t xml:space="preserve"> on operational emissions during the carriage of dangerous goods on inland waterways</w:t>
      </w:r>
      <w:r>
        <w:rPr>
          <w:lang w:val="en-US"/>
        </w:rPr>
        <w:t>.</w:t>
      </w:r>
    </w:p>
    <w:p w14:paraId="2E02E0F6" w14:textId="404E4D4D" w:rsidR="00524631" w:rsidRPr="0068331C" w:rsidRDefault="0068331C" w:rsidP="0068331C">
      <w:pPr>
        <w:spacing w:before="240"/>
        <w:jc w:val="center"/>
        <w:rPr>
          <w:u w:val="single"/>
          <w:lang w:val="en-US"/>
        </w:rPr>
      </w:pPr>
      <w:r>
        <w:rPr>
          <w:u w:val="single"/>
          <w:lang w:val="en-US"/>
        </w:rPr>
        <w:tab/>
      </w:r>
      <w:r>
        <w:rPr>
          <w:u w:val="single"/>
          <w:lang w:val="en-US"/>
        </w:rPr>
        <w:tab/>
      </w:r>
      <w:r>
        <w:rPr>
          <w:u w:val="single"/>
          <w:lang w:val="en-US"/>
        </w:rPr>
        <w:tab/>
      </w:r>
      <w:bookmarkStart w:id="2" w:name="_GoBack"/>
      <w:bookmarkEnd w:id="2"/>
    </w:p>
    <w:bookmarkEnd w:id="1"/>
    <w:p w14:paraId="3F7D05F9" w14:textId="77777777" w:rsidR="00F0729A" w:rsidRDefault="00F0729A" w:rsidP="00F0729A">
      <w:pPr>
        <w:ind w:left="708"/>
        <w:rPr>
          <w:lang w:val="en-US"/>
        </w:rPr>
      </w:pPr>
    </w:p>
    <w:p w14:paraId="4F75C3A2" w14:textId="77777777" w:rsidR="00DE6E87" w:rsidRDefault="00DE6E87" w:rsidP="00F0729A">
      <w:pPr>
        <w:ind w:left="708"/>
        <w:rPr>
          <w:lang w:val="en-US"/>
        </w:rPr>
      </w:pPr>
    </w:p>
    <w:sectPr w:rsidR="00DE6E87" w:rsidSect="00AF6429">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F0BA" w14:textId="77777777" w:rsidR="001D539B" w:rsidRDefault="001D539B"/>
  </w:endnote>
  <w:endnote w:type="continuationSeparator" w:id="0">
    <w:p w14:paraId="18937305" w14:textId="77777777" w:rsidR="001D539B" w:rsidRDefault="001D539B"/>
  </w:endnote>
  <w:endnote w:type="continuationNotice" w:id="1">
    <w:p w14:paraId="66F4D029" w14:textId="77777777" w:rsidR="001D539B" w:rsidRDefault="001D5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244B" w14:textId="77777777" w:rsidR="00855558" w:rsidRPr="00FA35A6" w:rsidRDefault="00855558" w:rsidP="00FA35A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DE6E87">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4EC5" w14:textId="77777777" w:rsidR="00855558" w:rsidRPr="00FA35A6" w:rsidRDefault="00855558" w:rsidP="00FA35A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E6E87">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8AF9" w14:textId="77777777" w:rsidR="001D539B" w:rsidRPr="000B175B" w:rsidRDefault="001D539B" w:rsidP="000B175B">
      <w:pPr>
        <w:tabs>
          <w:tab w:val="right" w:pos="2155"/>
        </w:tabs>
        <w:spacing w:after="80"/>
        <w:ind w:left="680"/>
        <w:rPr>
          <w:u w:val="single"/>
        </w:rPr>
      </w:pPr>
      <w:r>
        <w:rPr>
          <w:u w:val="single"/>
        </w:rPr>
        <w:tab/>
      </w:r>
    </w:p>
  </w:footnote>
  <w:footnote w:type="continuationSeparator" w:id="0">
    <w:p w14:paraId="58A0D030" w14:textId="77777777" w:rsidR="001D539B" w:rsidRPr="00FC68B7" w:rsidRDefault="001D539B" w:rsidP="00FC68B7">
      <w:pPr>
        <w:tabs>
          <w:tab w:val="left" w:pos="2155"/>
        </w:tabs>
        <w:spacing w:after="80"/>
        <w:ind w:left="680"/>
        <w:rPr>
          <w:u w:val="single"/>
        </w:rPr>
      </w:pPr>
      <w:r>
        <w:rPr>
          <w:u w:val="single"/>
        </w:rPr>
        <w:tab/>
      </w:r>
    </w:p>
  </w:footnote>
  <w:footnote w:type="continuationNotice" w:id="1">
    <w:p w14:paraId="6EA3389F" w14:textId="77777777" w:rsidR="001D539B" w:rsidRDefault="001D5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C4BB" w14:textId="04AC602F" w:rsidR="00855558" w:rsidRPr="0068331C" w:rsidRDefault="0068331C" w:rsidP="00FA35A6">
    <w:pPr>
      <w:pStyle w:val="Header"/>
      <w:rPr>
        <w:lang w:val="fr-CH"/>
      </w:rPr>
    </w:pPr>
    <w:r>
      <w:rPr>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7F80" w14:textId="2E56502B" w:rsidR="00855558" w:rsidRPr="0068331C" w:rsidRDefault="0068331C" w:rsidP="00FA35A6">
    <w:pPr>
      <w:pStyle w:val="Heade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CCDE"/>
    <w:multiLevelType w:val="hybridMultilevel"/>
    <w:tmpl w:val="EC36A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26AB8F"/>
    <w:multiLevelType w:val="hybridMultilevel"/>
    <w:tmpl w:val="3FDDD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09605E"/>
    <w:multiLevelType w:val="hybridMultilevel"/>
    <w:tmpl w:val="8972856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7" w15:restartNumberingAfterBreak="0">
    <w:nsid w:val="12CB33DD"/>
    <w:multiLevelType w:val="hybridMultilevel"/>
    <w:tmpl w:val="CC4887CE"/>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8" w15:restartNumberingAfterBreak="0">
    <w:nsid w:val="14217427"/>
    <w:multiLevelType w:val="hybridMultilevel"/>
    <w:tmpl w:val="8C9E0DEE"/>
    <w:lvl w:ilvl="0" w:tplc="2FB47626">
      <w:start w:val="1"/>
      <w:numFmt w:val="decimal"/>
      <w:lvlText w:val="%1."/>
      <w:lvlJc w:val="left"/>
      <w:pPr>
        <w:ind w:left="720" w:hanging="360"/>
      </w:pPr>
      <w:rPr>
        <w:rFonts w:ascii="Times New Roman" w:hAnsi="Times New Roman"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B80307D"/>
    <w:multiLevelType w:val="hybridMultilevel"/>
    <w:tmpl w:val="A8F2F6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DF44884"/>
    <w:multiLevelType w:val="hybridMultilevel"/>
    <w:tmpl w:val="7D5821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8A01C4"/>
    <w:multiLevelType w:val="hybridMultilevel"/>
    <w:tmpl w:val="ED825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4C7553"/>
    <w:multiLevelType w:val="hybridMultilevel"/>
    <w:tmpl w:val="116E1A18"/>
    <w:lvl w:ilvl="0" w:tplc="B07615D0">
      <w:start w:val="1"/>
      <w:numFmt w:val="decimal"/>
      <w:lvlText w:val="%1."/>
      <w:lvlJc w:val="left"/>
      <w:pPr>
        <w:ind w:left="1710" w:hanging="576"/>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8"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29" w15:restartNumberingAfterBreak="0">
    <w:nsid w:val="4A6F390A"/>
    <w:multiLevelType w:val="hybridMultilevel"/>
    <w:tmpl w:val="ED2E8F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0DA6F15"/>
    <w:multiLevelType w:val="hybridMultilevel"/>
    <w:tmpl w:val="A9C697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19D378C"/>
    <w:multiLevelType w:val="hybridMultilevel"/>
    <w:tmpl w:val="853023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332FE"/>
    <w:multiLevelType w:val="hybridMultilevel"/>
    <w:tmpl w:val="126282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5"/>
  </w:num>
  <w:num w:numId="12">
    <w:abstractNumId w:val="23"/>
  </w:num>
  <w:num w:numId="13">
    <w:abstractNumId w:val="12"/>
  </w:num>
  <w:num w:numId="14">
    <w:abstractNumId w:val="20"/>
  </w:num>
  <w:num w:numId="15">
    <w:abstractNumId w:val="26"/>
  </w:num>
  <w:num w:numId="16">
    <w:abstractNumId w:val="21"/>
  </w:num>
  <w:num w:numId="17">
    <w:abstractNumId w:val="32"/>
  </w:num>
  <w:num w:numId="18">
    <w:abstractNumId w:val="34"/>
  </w:num>
  <w:num w:numId="19">
    <w:abstractNumId w:val="14"/>
  </w:num>
  <w:num w:numId="20">
    <w:abstractNumId w:val="14"/>
  </w:num>
  <w:num w:numId="21">
    <w:abstractNumId w:val="17"/>
  </w:num>
  <w:num w:numId="22">
    <w:abstractNumId w:val="28"/>
  </w:num>
  <w:num w:numId="23">
    <w:abstractNumId w:val="16"/>
  </w:num>
  <w:num w:numId="24">
    <w:abstractNumId w:val="13"/>
  </w:num>
  <w:num w:numId="25">
    <w:abstractNumId w:val="35"/>
  </w:num>
  <w:num w:numId="26">
    <w:abstractNumId w:val="19"/>
  </w:num>
  <w:num w:numId="27">
    <w:abstractNumId w:val="18"/>
  </w:num>
  <w:num w:numId="28">
    <w:abstractNumId w:val="22"/>
  </w:num>
  <w:num w:numId="29">
    <w:abstractNumId w:val="27"/>
  </w:num>
  <w:num w:numId="30">
    <w:abstractNumId w:val="33"/>
  </w:num>
  <w:num w:numId="31">
    <w:abstractNumId w:val="15"/>
  </w:num>
  <w:num w:numId="32">
    <w:abstractNumId w:val="30"/>
  </w:num>
  <w:num w:numId="33">
    <w:abstractNumId w:val="0"/>
  </w:num>
  <w:num w:numId="34">
    <w:abstractNumId w:val="1"/>
  </w:num>
  <w:num w:numId="35">
    <w:abstractNumId w:val="31"/>
  </w:num>
  <w:num w:numId="36">
    <w:abstractNumId w:val="29"/>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05"/>
    <w:rsid w:val="00002A7D"/>
    <w:rsid w:val="000038A8"/>
    <w:rsid w:val="00006790"/>
    <w:rsid w:val="00027624"/>
    <w:rsid w:val="00034BFB"/>
    <w:rsid w:val="000423EE"/>
    <w:rsid w:val="00050F6B"/>
    <w:rsid w:val="000678CD"/>
    <w:rsid w:val="00072C8C"/>
    <w:rsid w:val="00081CE0"/>
    <w:rsid w:val="00084D30"/>
    <w:rsid w:val="00090320"/>
    <w:rsid w:val="000931C0"/>
    <w:rsid w:val="0009732C"/>
    <w:rsid w:val="000A01F9"/>
    <w:rsid w:val="000A2E09"/>
    <w:rsid w:val="000A783A"/>
    <w:rsid w:val="000B0B19"/>
    <w:rsid w:val="000B175B"/>
    <w:rsid w:val="000B3A0F"/>
    <w:rsid w:val="000C6EBA"/>
    <w:rsid w:val="000E0415"/>
    <w:rsid w:val="000E2376"/>
    <w:rsid w:val="000E3566"/>
    <w:rsid w:val="000F209A"/>
    <w:rsid w:val="000F7715"/>
    <w:rsid w:val="00127D99"/>
    <w:rsid w:val="00135A88"/>
    <w:rsid w:val="001472C6"/>
    <w:rsid w:val="00152BE2"/>
    <w:rsid w:val="0015428A"/>
    <w:rsid w:val="00156B99"/>
    <w:rsid w:val="00166124"/>
    <w:rsid w:val="00173F65"/>
    <w:rsid w:val="00184DDA"/>
    <w:rsid w:val="001853D9"/>
    <w:rsid w:val="001900CD"/>
    <w:rsid w:val="001A0452"/>
    <w:rsid w:val="001B4B04"/>
    <w:rsid w:val="001B5875"/>
    <w:rsid w:val="001B7662"/>
    <w:rsid w:val="001C4B9C"/>
    <w:rsid w:val="001C6663"/>
    <w:rsid w:val="001C7895"/>
    <w:rsid w:val="001D26DF"/>
    <w:rsid w:val="001D539B"/>
    <w:rsid w:val="001F07A6"/>
    <w:rsid w:val="001F1599"/>
    <w:rsid w:val="001F19C4"/>
    <w:rsid w:val="001F7109"/>
    <w:rsid w:val="002043F0"/>
    <w:rsid w:val="00211E0B"/>
    <w:rsid w:val="00212DC8"/>
    <w:rsid w:val="00232575"/>
    <w:rsid w:val="00245149"/>
    <w:rsid w:val="00247258"/>
    <w:rsid w:val="00257CAC"/>
    <w:rsid w:val="00264441"/>
    <w:rsid w:val="0027237A"/>
    <w:rsid w:val="002868CA"/>
    <w:rsid w:val="002974E9"/>
    <w:rsid w:val="002A7F94"/>
    <w:rsid w:val="002B109A"/>
    <w:rsid w:val="002C6D45"/>
    <w:rsid w:val="002D6E53"/>
    <w:rsid w:val="002F046D"/>
    <w:rsid w:val="002F3023"/>
    <w:rsid w:val="00301764"/>
    <w:rsid w:val="003229D8"/>
    <w:rsid w:val="00332119"/>
    <w:rsid w:val="003368FA"/>
    <w:rsid w:val="00336C97"/>
    <w:rsid w:val="00337F88"/>
    <w:rsid w:val="00342432"/>
    <w:rsid w:val="003432D9"/>
    <w:rsid w:val="0035223F"/>
    <w:rsid w:val="00352D4B"/>
    <w:rsid w:val="0035638C"/>
    <w:rsid w:val="00372F38"/>
    <w:rsid w:val="003A46BB"/>
    <w:rsid w:val="003A4EC7"/>
    <w:rsid w:val="003A7295"/>
    <w:rsid w:val="003B1F60"/>
    <w:rsid w:val="003B6FCB"/>
    <w:rsid w:val="003C2CC4"/>
    <w:rsid w:val="003D471F"/>
    <w:rsid w:val="003D4B23"/>
    <w:rsid w:val="003E0CBB"/>
    <w:rsid w:val="003E278A"/>
    <w:rsid w:val="003E28BE"/>
    <w:rsid w:val="003F3D1B"/>
    <w:rsid w:val="00406390"/>
    <w:rsid w:val="00413520"/>
    <w:rsid w:val="004325CB"/>
    <w:rsid w:val="00432D24"/>
    <w:rsid w:val="00440461"/>
    <w:rsid w:val="00440A07"/>
    <w:rsid w:val="0044521A"/>
    <w:rsid w:val="00462880"/>
    <w:rsid w:val="00476F24"/>
    <w:rsid w:val="004C55B0"/>
    <w:rsid w:val="004D45CD"/>
    <w:rsid w:val="004F6BA0"/>
    <w:rsid w:val="004F710B"/>
    <w:rsid w:val="00503BEA"/>
    <w:rsid w:val="00524631"/>
    <w:rsid w:val="00533616"/>
    <w:rsid w:val="00535ABA"/>
    <w:rsid w:val="0053768B"/>
    <w:rsid w:val="005420F2"/>
    <w:rsid w:val="0054285C"/>
    <w:rsid w:val="00584173"/>
    <w:rsid w:val="00593B87"/>
    <w:rsid w:val="00595520"/>
    <w:rsid w:val="005977AC"/>
    <w:rsid w:val="005A078D"/>
    <w:rsid w:val="005A44B9"/>
    <w:rsid w:val="005B1BA0"/>
    <w:rsid w:val="005B3DB3"/>
    <w:rsid w:val="005D15CA"/>
    <w:rsid w:val="005D7969"/>
    <w:rsid w:val="005E436F"/>
    <w:rsid w:val="005F08DF"/>
    <w:rsid w:val="005F3066"/>
    <w:rsid w:val="005F3E61"/>
    <w:rsid w:val="00601D53"/>
    <w:rsid w:val="00604A1D"/>
    <w:rsid w:val="00604DDD"/>
    <w:rsid w:val="006115CC"/>
    <w:rsid w:val="00611FC4"/>
    <w:rsid w:val="006176FB"/>
    <w:rsid w:val="00630FCB"/>
    <w:rsid w:val="00640B26"/>
    <w:rsid w:val="0065766B"/>
    <w:rsid w:val="006770B2"/>
    <w:rsid w:val="0068331C"/>
    <w:rsid w:val="00686A48"/>
    <w:rsid w:val="006940E1"/>
    <w:rsid w:val="006A3C72"/>
    <w:rsid w:val="006A7392"/>
    <w:rsid w:val="006B03A1"/>
    <w:rsid w:val="006B440C"/>
    <w:rsid w:val="006B67D9"/>
    <w:rsid w:val="006C5535"/>
    <w:rsid w:val="006C7AA7"/>
    <w:rsid w:val="006D0589"/>
    <w:rsid w:val="006D2CAF"/>
    <w:rsid w:val="006D3718"/>
    <w:rsid w:val="006E564B"/>
    <w:rsid w:val="006E7154"/>
    <w:rsid w:val="007003CD"/>
    <w:rsid w:val="0070701E"/>
    <w:rsid w:val="0072632A"/>
    <w:rsid w:val="007358E8"/>
    <w:rsid w:val="00736ECE"/>
    <w:rsid w:val="0074533B"/>
    <w:rsid w:val="007643BC"/>
    <w:rsid w:val="00775C17"/>
    <w:rsid w:val="00780C68"/>
    <w:rsid w:val="007959FE"/>
    <w:rsid w:val="007A0CF1"/>
    <w:rsid w:val="007A478E"/>
    <w:rsid w:val="007B6BA5"/>
    <w:rsid w:val="007C3390"/>
    <w:rsid w:val="007C42D8"/>
    <w:rsid w:val="007C4F4B"/>
    <w:rsid w:val="007D7362"/>
    <w:rsid w:val="007E71F9"/>
    <w:rsid w:val="007F5CE2"/>
    <w:rsid w:val="007F6611"/>
    <w:rsid w:val="00800522"/>
    <w:rsid w:val="00810BAC"/>
    <w:rsid w:val="008175E9"/>
    <w:rsid w:val="008242D7"/>
    <w:rsid w:val="0082577B"/>
    <w:rsid w:val="008272DD"/>
    <w:rsid w:val="00842F92"/>
    <w:rsid w:val="00855558"/>
    <w:rsid w:val="00866893"/>
    <w:rsid w:val="00866F02"/>
    <w:rsid w:val="00867D18"/>
    <w:rsid w:val="00871F9A"/>
    <w:rsid w:val="00871FD5"/>
    <w:rsid w:val="00873467"/>
    <w:rsid w:val="0088172E"/>
    <w:rsid w:val="00881EFA"/>
    <w:rsid w:val="00885AAD"/>
    <w:rsid w:val="008879CB"/>
    <w:rsid w:val="008979B1"/>
    <w:rsid w:val="008A6B25"/>
    <w:rsid w:val="008A6C4F"/>
    <w:rsid w:val="008A77AE"/>
    <w:rsid w:val="008B389E"/>
    <w:rsid w:val="008C3108"/>
    <w:rsid w:val="008D045E"/>
    <w:rsid w:val="008D3F25"/>
    <w:rsid w:val="008D4D82"/>
    <w:rsid w:val="008E0E46"/>
    <w:rsid w:val="008E7116"/>
    <w:rsid w:val="008F143B"/>
    <w:rsid w:val="008F3882"/>
    <w:rsid w:val="008F4B7C"/>
    <w:rsid w:val="009049C3"/>
    <w:rsid w:val="00926E47"/>
    <w:rsid w:val="00947162"/>
    <w:rsid w:val="009610D0"/>
    <w:rsid w:val="0096375C"/>
    <w:rsid w:val="009662E6"/>
    <w:rsid w:val="0097095E"/>
    <w:rsid w:val="0098592B"/>
    <w:rsid w:val="00985B89"/>
    <w:rsid w:val="00985FC4"/>
    <w:rsid w:val="00990766"/>
    <w:rsid w:val="00991261"/>
    <w:rsid w:val="009925DA"/>
    <w:rsid w:val="009964C4"/>
    <w:rsid w:val="009A7B81"/>
    <w:rsid w:val="009C5BDE"/>
    <w:rsid w:val="009D01C0"/>
    <w:rsid w:val="009D6A08"/>
    <w:rsid w:val="009E0A16"/>
    <w:rsid w:val="009E6CB7"/>
    <w:rsid w:val="009E7970"/>
    <w:rsid w:val="009F2EAC"/>
    <w:rsid w:val="009F57E3"/>
    <w:rsid w:val="00A10F4F"/>
    <w:rsid w:val="00A11067"/>
    <w:rsid w:val="00A16389"/>
    <w:rsid w:val="00A1704A"/>
    <w:rsid w:val="00A425EB"/>
    <w:rsid w:val="00A458C4"/>
    <w:rsid w:val="00A47EDC"/>
    <w:rsid w:val="00A54439"/>
    <w:rsid w:val="00A558C3"/>
    <w:rsid w:val="00A72F22"/>
    <w:rsid w:val="00A733BC"/>
    <w:rsid w:val="00A748A6"/>
    <w:rsid w:val="00A76A69"/>
    <w:rsid w:val="00A879A4"/>
    <w:rsid w:val="00A960F2"/>
    <w:rsid w:val="00AA0FF8"/>
    <w:rsid w:val="00AC0F2C"/>
    <w:rsid w:val="00AC502A"/>
    <w:rsid w:val="00AF58C1"/>
    <w:rsid w:val="00AF6429"/>
    <w:rsid w:val="00B04A3F"/>
    <w:rsid w:val="00B06643"/>
    <w:rsid w:val="00B13505"/>
    <w:rsid w:val="00B15055"/>
    <w:rsid w:val="00B20551"/>
    <w:rsid w:val="00B25E74"/>
    <w:rsid w:val="00B30179"/>
    <w:rsid w:val="00B33FC7"/>
    <w:rsid w:val="00B37B15"/>
    <w:rsid w:val="00B45C02"/>
    <w:rsid w:val="00B51314"/>
    <w:rsid w:val="00B66DEF"/>
    <w:rsid w:val="00B70B63"/>
    <w:rsid w:val="00B72A1E"/>
    <w:rsid w:val="00B81E12"/>
    <w:rsid w:val="00BA339B"/>
    <w:rsid w:val="00BB23CC"/>
    <w:rsid w:val="00BB7761"/>
    <w:rsid w:val="00BC1E7E"/>
    <w:rsid w:val="00BC3E5E"/>
    <w:rsid w:val="00BC74E9"/>
    <w:rsid w:val="00BE36A9"/>
    <w:rsid w:val="00BE618E"/>
    <w:rsid w:val="00BE7BEC"/>
    <w:rsid w:val="00BF0A5A"/>
    <w:rsid w:val="00BF0E63"/>
    <w:rsid w:val="00BF12A3"/>
    <w:rsid w:val="00BF16D7"/>
    <w:rsid w:val="00BF2373"/>
    <w:rsid w:val="00BF4AA5"/>
    <w:rsid w:val="00C0294F"/>
    <w:rsid w:val="00C044E2"/>
    <w:rsid w:val="00C048CB"/>
    <w:rsid w:val="00C066F3"/>
    <w:rsid w:val="00C31FA5"/>
    <w:rsid w:val="00C4085D"/>
    <w:rsid w:val="00C408B7"/>
    <w:rsid w:val="00C411EB"/>
    <w:rsid w:val="00C463DD"/>
    <w:rsid w:val="00C5052C"/>
    <w:rsid w:val="00C745C3"/>
    <w:rsid w:val="00C978F5"/>
    <w:rsid w:val="00CA24A4"/>
    <w:rsid w:val="00CB348D"/>
    <w:rsid w:val="00CB3958"/>
    <w:rsid w:val="00CD46F5"/>
    <w:rsid w:val="00CE4A8F"/>
    <w:rsid w:val="00CE587E"/>
    <w:rsid w:val="00CE78F6"/>
    <w:rsid w:val="00CF071D"/>
    <w:rsid w:val="00CF6B4A"/>
    <w:rsid w:val="00D0123D"/>
    <w:rsid w:val="00D01955"/>
    <w:rsid w:val="00D15B04"/>
    <w:rsid w:val="00D2031B"/>
    <w:rsid w:val="00D24BE0"/>
    <w:rsid w:val="00D25FE2"/>
    <w:rsid w:val="00D368BE"/>
    <w:rsid w:val="00D37DA9"/>
    <w:rsid w:val="00D406A7"/>
    <w:rsid w:val="00D40765"/>
    <w:rsid w:val="00D43252"/>
    <w:rsid w:val="00D44D86"/>
    <w:rsid w:val="00D50B7D"/>
    <w:rsid w:val="00D52012"/>
    <w:rsid w:val="00D704E5"/>
    <w:rsid w:val="00D72727"/>
    <w:rsid w:val="00D80649"/>
    <w:rsid w:val="00D80C47"/>
    <w:rsid w:val="00D978C6"/>
    <w:rsid w:val="00DA0956"/>
    <w:rsid w:val="00DA357F"/>
    <w:rsid w:val="00DA3E12"/>
    <w:rsid w:val="00DC18AD"/>
    <w:rsid w:val="00DC44F4"/>
    <w:rsid w:val="00DE6E87"/>
    <w:rsid w:val="00DF7CAE"/>
    <w:rsid w:val="00E423C0"/>
    <w:rsid w:val="00E4756C"/>
    <w:rsid w:val="00E50B9C"/>
    <w:rsid w:val="00E57850"/>
    <w:rsid w:val="00E6414C"/>
    <w:rsid w:val="00E7260F"/>
    <w:rsid w:val="00E8484F"/>
    <w:rsid w:val="00E8702D"/>
    <w:rsid w:val="00E905F4"/>
    <w:rsid w:val="00E916A9"/>
    <w:rsid w:val="00E916DE"/>
    <w:rsid w:val="00E925AD"/>
    <w:rsid w:val="00E9433E"/>
    <w:rsid w:val="00E96630"/>
    <w:rsid w:val="00EA0DB7"/>
    <w:rsid w:val="00EA268C"/>
    <w:rsid w:val="00EA3176"/>
    <w:rsid w:val="00EA49EB"/>
    <w:rsid w:val="00ED18DC"/>
    <w:rsid w:val="00ED6201"/>
    <w:rsid w:val="00ED7A2A"/>
    <w:rsid w:val="00EF1D7F"/>
    <w:rsid w:val="00F0137E"/>
    <w:rsid w:val="00F0729A"/>
    <w:rsid w:val="00F21786"/>
    <w:rsid w:val="00F319CD"/>
    <w:rsid w:val="00F3742B"/>
    <w:rsid w:val="00F41FDB"/>
    <w:rsid w:val="00F50596"/>
    <w:rsid w:val="00F56D63"/>
    <w:rsid w:val="00F609A9"/>
    <w:rsid w:val="00F627CA"/>
    <w:rsid w:val="00F65BA7"/>
    <w:rsid w:val="00F80C99"/>
    <w:rsid w:val="00F867EC"/>
    <w:rsid w:val="00F91B2B"/>
    <w:rsid w:val="00F938AD"/>
    <w:rsid w:val="00FA35A6"/>
    <w:rsid w:val="00FC03CD"/>
    <w:rsid w:val="00FC0646"/>
    <w:rsid w:val="00FC68B7"/>
    <w:rsid w:val="00FD7B6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7E19F"/>
  <w15:docId w15:val="{EF0CBC58-4EB8-4866-AD1B-3D8FDA7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link w:val="FootnoteText"/>
    <w:rsid w:val="00FA35A6"/>
    <w:rPr>
      <w:sz w:val="18"/>
      <w:lang w:val="en-GB"/>
    </w:rPr>
  </w:style>
  <w:style w:type="paragraph" w:styleId="ListParagraph">
    <w:name w:val="List Paragraph"/>
    <w:basedOn w:val="Normal"/>
    <w:uiPriority w:val="34"/>
    <w:qFormat/>
    <w:rsid w:val="00FA35A6"/>
    <w:pPr>
      <w:ind w:left="720"/>
      <w:contextualSpacing/>
    </w:pPr>
    <w:rPr>
      <w:lang w:eastAsia="en-US"/>
    </w:rPr>
  </w:style>
  <w:style w:type="character" w:styleId="CommentReference">
    <w:name w:val="annotation reference"/>
    <w:basedOn w:val="DefaultParagraphFont"/>
    <w:uiPriority w:val="99"/>
    <w:semiHidden/>
    <w:unhideWhenUsed/>
    <w:rsid w:val="000C6EBA"/>
    <w:rPr>
      <w:sz w:val="16"/>
      <w:szCs w:val="16"/>
    </w:rPr>
  </w:style>
  <w:style w:type="paragraph" w:styleId="CommentText">
    <w:name w:val="annotation text"/>
    <w:basedOn w:val="Normal"/>
    <w:link w:val="CommentTextChar"/>
    <w:uiPriority w:val="99"/>
    <w:semiHidden/>
    <w:unhideWhenUsed/>
    <w:rsid w:val="000C6EBA"/>
    <w:pPr>
      <w:widowControl w:val="0"/>
      <w:suppressAutoHyphens w:val="0"/>
      <w:overflowPunct w:val="0"/>
      <w:autoSpaceDE w:val="0"/>
      <w:autoSpaceDN w:val="0"/>
      <w:adjustRightInd w:val="0"/>
      <w:spacing w:line="240" w:lineRule="auto"/>
      <w:ind w:left="1134" w:hanging="1134"/>
      <w:jc w:val="both"/>
      <w:textAlignment w:val="baseline"/>
    </w:pPr>
  </w:style>
  <w:style w:type="character" w:customStyle="1" w:styleId="CommentTextChar">
    <w:name w:val="Comment Text Char"/>
    <w:basedOn w:val="DefaultParagraphFont"/>
    <w:link w:val="CommentText"/>
    <w:uiPriority w:val="99"/>
    <w:semiHidden/>
    <w:rsid w:val="000C6EBA"/>
    <w:rPr>
      <w:lang w:val="en-GB"/>
    </w:rPr>
  </w:style>
  <w:style w:type="paragraph" w:styleId="CommentSubject">
    <w:name w:val="annotation subject"/>
    <w:basedOn w:val="CommentText"/>
    <w:next w:val="CommentText"/>
    <w:link w:val="CommentSubjectChar"/>
    <w:semiHidden/>
    <w:unhideWhenUsed/>
    <w:rsid w:val="00245149"/>
    <w:pPr>
      <w:widowControl/>
      <w:suppressAutoHyphens/>
      <w:overflowPunct/>
      <w:autoSpaceDE/>
      <w:autoSpaceDN/>
      <w:adjustRightInd/>
      <w:ind w:left="0" w:firstLine="0"/>
      <w:jc w:val="left"/>
      <w:textAlignment w:val="auto"/>
    </w:pPr>
    <w:rPr>
      <w:b/>
      <w:bCs/>
    </w:rPr>
  </w:style>
  <w:style w:type="character" w:customStyle="1" w:styleId="CommentSubjectChar">
    <w:name w:val="Comment Subject Char"/>
    <w:basedOn w:val="CommentTextChar"/>
    <w:link w:val="CommentSubject"/>
    <w:semiHidden/>
    <w:rsid w:val="002451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9318">
      <w:bodyDiv w:val="1"/>
      <w:marLeft w:val="0"/>
      <w:marRight w:val="0"/>
      <w:marTop w:val="0"/>
      <w:marBottom w:val="0"/>
      <w:divBdr>
        <w:top w:val="none" w:sz="0" w:space="0" w:color="auto"/>
        <w:left w:val="none" w:sz="0" w:space="0" w:color="auto"/>
        <w:bottom w:val="none" w:sz="0" w:space="0" w:color="auto"/>
        <w:right w:val="none" w:sz="0" w:space="0" w:color="auto"/>
      </w:divBdr>
    </w:div>
    <w:div w:id="769738897">
      <w:bodyDiv w:val="1"/>
      <w:marLeft w:val="0"/>
      <w:marRight w:val="0"/>
      <w:marTop w:val="0"/>
      <w:marBottom w:val="0"/>
      <w:divBdr>
        <w:top w:val="none" w:sz="0" w:space="0" w:color="auto"/>
        <w:left w:val="none" w:sz="0" w:space="0" w:color="auto"/>
        <w:bottom w:val="none" w:sz="0" w:space="0" w:color="auto"/>
        <w:right w:val="none" w:sz="0" w:space="0" w:color="auto"/>
      </w:divBdr>
    </w:div>
    <w:div w:id="836459741">
      <w:bodyDiv w:val="1"/>
      <w:marLeft w:val="0"/>
      <w:marRight w:val="0"/>
      <w:marTop w:val="0"/>
      <w:marBottom w:val="0"/>
      <w:divBdr>
        <w:top w:val="none" w:sz="0" w:space="0" w:color="auto"/>
        <w:left w:val="none" w:sz="0" w:space="0" w:color="auto"/>
        <w:bottom w:val="none" w:sz="0" w:space="0" w:color="auto"/>
        <w:right w:val="none" w:sz="0" w:space="0" w:color="auto"/>
      </w:divBdr>
    </w:div>
    <w:div w:id="984436849">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E547-8629-41ED-B515-5EF75021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19</TotalTime>
  <Pages>3</Pages>
  <Words>1246</Words>
  <Characters>7105</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ECE/TRANS/WP.15/AC.2/2020/11</vt:lpstr>
      <vt:lpstr>ECE/TRANS/WP.15/AC.2/2020/11</vt:lpstr>
      <vt:lpstr/>
    </vt:vector>
  </TitlesOfParts>
  <Company>CSD</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creator>Marie-Claude Collet</dc:creator>
  <cp:lastModifiedBy>Lucille Caillot</cp:lastModifiedBy>
  <cp:revision>8</cp:revision>
  <cp:lastPrinted>2019-11-14T10:02:00Z</cp:lastPrinted>
  <dcterms:created xsi:type="dcterms:W3CDTF">2020-01-10T08:34:00Z</dcterms:created>
  <dcterms:modified xsi:type="dcterms:W3CDTF">2020-01-10T10:11:00Z</dcterms:modified>
</cp:coreProperties>
</file>