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267DD29" w14:textId="77777777" w:rsidTr="00C97039">
        <w:trPr>
          <w:trHeight w:hRule="exact" w:val="851"/>
        </w:trPr>
        <w:tc>
          <w:tcPr>
            <w:tcW w:w="1276" w:type="dxa"/>
            <w:tcBorders>
              <w:bottom w:val="single" w:sz="4" w:space="0" w:color="auto"/>
            </w:tcBorders>
          </w:tcPr>
          <w:p w14:paraId="357D080E" w14:textId="77777777" w:rsidR="00F35BAF" w:rsidRPr="00DB58B5" w:rsidRDefault="00F35BAF" w:rsidP="007168C9"/>
        </w:tc>
        <w:tc>
          <w:tcPr>
            <w:tcW w:w="2268" w:type="dxa"/>
            <w:tcBorders>
              <w:bottom w:val="single" w:sz="4" w:space="0" w:color="auto"/>
            </w:tcBorders>
            <w:vAlign w:val="bottom"/>
          </w:tcPr>
          <w:p w14:paraId="18AADA1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D7DE931" w14:textId="77777777" w:rsidR="00F35BAF" w:rsidRPr="00DB58B5" w:rsidRDefault="007168C9" w:rsidP="007168C9">
            <w:pPr>
              <w:jc w:val="right"/>
            </w:pPr>
            <w:r w:rsidRPr="007168C9">
              <w:rPr>
                <w:sz w:val="40"/>
              </w:rPr>
              <w:t>ECE</w:t>
            </w:r>
            <w:r>
              <w:t>/TRANS/WP.29/GRPE/2020/5</w:t>
            </w:r>
          </w:p>
        </w:tc>
      </w:tr>
      <w:tr w:rsidR="00F35BAF" w:rsidRPr="00DB58B5" w14:paraId="762EA97A" w14:textId="77777777" w:rsidTr="00C97039">
        <w:trPr>
          <w:trHeight w:hRule="exact" w:val="2835"/>
        </w:trPr>
        <w:tc>
          <w:tcPr>
            <w:tcW w:w="1276" w:type="dxa"/>
            <w:tcBorders>
              <w:top w:val="single" w:sz="4" w:space="0" w:color="auto"/>
              <w:bottom w:val="single" w:sz="12" w:space="0" w:color="auto"/>
            </w:tcBorders>
          </w:tcPr>
          <w:p w14:paraId="359C3826" w14:textId="77777777" w:rsidR="00F35BAF" w:rsidRPr="00DB58B5" w:rsidRDefault="00F35BAF" w:rsidP="00C97039">
            <w:pPr>
              <w:spacing w:before="120"/>
              <w:jc w:val="center"/>
            </w:pPr>
            <w:r>
              <w:rPr>
                <w:noProof/>
                <w:lang w:eastAsia="fr-CH"/>
              </w:rPr>
              <w:drawing>
                <wp:inline distT="0" distB="0" distL="0" distR="0" wp14:anchorId="620CED35" wp14:editId="24F4F97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22E3D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68CA239" w14:textId="77777777" w:rsidR="00F35BAF" w:rsidRDefault="007168C9" w:rsidP="00C97039">
            <w:pPr>
              <w:spacing w:before="240"/>
            </w:pPr>
            <w:r>
              <w:t>Distr. générale</w:t>
            </w:r>
          </w:p>
          <w:p w14:paraId="3C385819" w14:textId="77777777" w:rsidR="007168C9" w:rsidRDefault="007168C9" w:rsidP="007168C9">
            <w:pPr>
              <w:spacing w:line="240" w:lineRule="exact"/>
            </w:pPr>
            <w:r>
              <w:t>31 octobre 2019</w:t>
            </w:r>
          </w:p>
          <w:p w14:paraId="5898866E" w14:textId="77777777" w:rsidR="007168C9" w:rsidRDefault="007168C9" w:rsidP="007168C9">
            <w:pPr>
              <w:spacing w:line="240" w:lineRule="exact"/>
            </w:pPr>
            <w:r>
              <w:t>Français</w:t>
            </w:r>
          </w:p>
          <w:p w14:paraId="6E6A1182" w14:textId="77777777" w:rsidR="007168C9" w:rsidRPr="00DB58B5" w:rsidRDefault="007168C9" w:rsidP="007168C9">
            <w:pPr>
              <w:spacing w:line="240" w:lineRule="exact"/>
            </w:pPr>
            <w:r>
              <w:t>Original : anglais</w:t>
            </w:r>
          </w:p>
        </w:tc>
      </w:tr>
    </w:tbl>
    <w:p w14:paraId="772893E5" w14:textId="77777777" w:rsidR="007F20FA" w:rsidRPr="000312C0" w:rsidRDefault="007F20FA" w:rsidP="007F20FA">
      <w:pPr>
        <w:spacing w:before="120"/>
        <w:rPr>
          <w:b/>
          <w:sz w:val="28"/>
          <w:szCs w:val="28"/>
        </w:rPr>
      </w:pPr>
      <w:r w:rsidRPr="000312C0">
        <w:rPr>
          <w:b/>
          <w:sz w:val="28"/>
          <w:szCs w:val="28"/>
        </w:rPr>
        <w:t>Commission économique pour l’Europe</w:t>
      </w:r>
    </w:p>
    <w:p w14:paraId="6ABEABA7" w14:textId="77777777" w:rsidR="007F20FA" w:rsidRDefault="007F20FA" w:rsidP="007F20FA">
      <w:pPr>
        <w:spacing w:before="120"/>
        <w:rPr>
          <w:sz w:val="28"/>
          <w:szCs w:val="28"/>
        </w:rPr>
      </w:pPr>
      <w:r w:rsidRPr="00685843">
        <w:rPr>
          <w:sz w:val="28"/>
          <w:szCs w:val="28"/>
        </w:rPr>
        <w:t>Comité des transports intérieurs</w:t>
      </w:r>
    </w:p>
    <w:p w14:paraId="2FCC226D" w14:textId="77777777" w:rsidR="00BC3C9D" w:rsidRPr="005B6116" w:rsidRDefault="00BC3C9D" w:rsidP="00BC3C9D">
      <w:pPr>
        <w:tabs>
          <w:tab w:val="left" w:pos="567"/>
          <w:tab w:val="left" w:pos="1134"/>
        </w:tabs>
        <w:kinsoku/>
        <w:overflowPunct/>
        <w:autoSpaceDE/>
        <w:autoSpaceDN/>
        <w:adjustRightInd/>
        <w:snapToGrid/>
        <w:spacing w:before="120"/>
        <w:rPr>
          <w:rFonts w:eastAsia="MS Mincho"/>
          <w:sz w:val="24"/>
          <w:szCs w:val="24"/>
          <w:lang w:eastAsia="fr-FR"/>
        </w:rPr>
      </w:pPr>
      <w:r w:rsidRPr="005B6116">
        <w:rPr>
          <w:rFonts w:eastAsia="MS Mincho"/>
          <w:b/>
          <w:bCs/>
          <w:sz w:val="24"/>
          <w:szCs w:val="24"/>
          <w:lang w:eastAsia="fr-FR"/>
        </w:rPr>
        <w:t xml:space="preserve">Forum mondial de l’harmonisation </w:t>
      </w:r>
      <w:r w:rsidRPr="005B6116">
        <w:rPr>
          <w:rFonts w:eastAsia="MS Mincho"/>
          <w:b/>
          <w:bCs/>
          <w:sz w:val="24"/>
          <w:szCs w:val="24"/>
          <w:lang w:eastAsia="fr-FR"/>
        </w:rPr>
        <w:br/>
      </w:r>
      <w:r w:rsidRPr="005B6116">
        <w:rPr>
          <w:rFonts w:eastAsia="MS Mincho"/>
          <w:b/>
          <w:bCs/>
          <w:sz w:val="24"/>
          <w:szCs w:val="24"/>
          <w:lang w:eastAsia="fr-FR"/>
        </w:rPr>
        <w:t>des Règlements concernant les véhicules</w:t>
      </w:r>
    </w:p>
    <w:p w14:paraId="455173A2" w14:textId="77777777" w:rsidR="00BC3C9D" w:rsidRPr="00F94AE7" w:rsidRDefault="00BC3C9D" w:rsidP="00BC3C9D">
      <w:pPr>
        <w:tabs>
          <w:tab w:val="left" w:pos="567"/>
          <w:tab w:val="left" w:pos="1134"/>
        </w:tabs>
        <w:kinsoku/>
        <w:overflowPunct/>
        <w:autoSpaceDE/>
        <w:autoSpaceDN/>
        <w:adjustRightInd/>
        <w:snapToGrid/>
        <w:spacing w:before="120" w:after="120"/>
        <w:rPr>
          <w:rFonts w:eastAsia="MS Mincho"/>
          <w:b/>
          <w:bCs/>
          <w:lang w:eastAsia="fr-FR"/>
        </w:rPr>
      </w:pPr>
      <w:r w:rsidRPr="00F94AE7">
        <w:rPr>
          <w:rFonts w:eastAsia="MS Mincho"/>
          <w:b/>
          <w:bCs/>
          <w:lang w:eastAsia="fr-FR"/>
        </w:rPr>
        <w:t>Groupe de travail de la pollution et de l</w:t>
      </w:r>
      <w:r>
        <w:rPr>
          <w:rFonts w:eastAsia="MS Mincho"/>
          <w:b/>
          <w:bCs/>
          <w:lang w:eastAsia="fr-FR"/>
        </w:rPr>
        <w:t>’</w:t>
      </w:r>
      <w:r w:rsidRPr="00F94AE7">
        <w:rPr>
          <w:rFonts w:eastAsia="MS Mincho"/>
          <w:b/>
          <w:bCs/>
          <w:lang w:eastAsia="fr-FR"/>
        </w:rPr>
        <w:t>énergie</w:t>
      </w:r>
    </w:p>
    <w:p w14:paraId="60CDE4FE" w14:textId="77777777" w:rsidR="00BC3C9D" w:rsidRPr="00F94AE7" w:rsidRDefault="00BC3C9D" w:rsidP="00BC3C9D">
      <w:pPr>
        <w:kinsoku/>
        <w:overflowPunct/>
        <w:autoSpaceDE/>
        <w:autoSpaceDN/>
        <w:adjustRightInd/>
        <w:snapToGrid/>
        <w:rPr>
          <w:rFonts w:eastAsia="MS Mincho"/>
          <w:b/>
          <w:lang w:eastAsia="fr-FR"/>
        </w:rPr>
      </w:pPr>
      <w:r>
        <w:rPr>
          <w:rFonts w:eastAsia="MS Mincho"/>
          <w:b/>
          <w:lang w:eastAsia="fr-FR"/>
        </w:rPr>
        <w:t xml:space="preserve">Quatre-vingtième </w:t>
      </w:r>
      <w:r w:rsidRPr="00F94AE7">
        <w:rPr>
          <w:rFonts w:eastAsia="MS Mincho"/>
          <w:b/>
          <w:lang w:eastAsia="fr-FR"/>
        </w:rPr>
        <w:t>session</w:t>
      </w:r>
    </w:p>
    <w:p w14:paraId="55D6C7A1" w14:textId="77777777" w:rsidR="00BC3C9D" w:rsidRPr="00F94AE7" w:rsidRDefault="00BC3C9D" w:rsidP="00BC3C9D">
      <w:pPr>
        <w:kinsoku/>
        <w:overflowPunct/>
        <w:autoSpaceDE/>
        <w:autoSpaceDN/>
        <w:adjustRightInd/>
        <w:snapToGrid/>
        <w:rPr>
          <w:rFonts w:eastAsia="Times New Roman"/>
          <w:lang w:eastAsia="fr-FR"/>
        </w:rPr>
      </w:pPr>
      <w:r w:rsidRPr="00F94AE7">
        <w:rPr>
          <w:rFonts w:eastAsia="MS Mincho"/>
          <w:lang w:eastAsia="fr-FR"/>
        </w:rPr>
        <w:t>Genève</w:t>
      </w:r>
      <w:r w:rsidRPr="00F94AE7">
        <w:rPr>
          <w:rFonts w:eastAsia="MS Mincho"/>
          <w:bCs/>
          <w:lang w:eastAsia="fr-FR"/>
        </w:rPr>
        <w:t>, 14-17 janvier 2020</w:t>
      </w:r>
    </w:p>
    <w:p w14:paraId="2BB53FC9" w14:textId="77777777" w:rsidR="00BC3C9D" w:rsidRPr="00F94AE7" w:rsidRDefault="00BC3C9D" w:rsidP="00BC3C9D">
      <w:pPr>
        <w:kinsoku/>
        <w:overflowPunct/>
        <w:autoSpaceDE/>
        <w:autoSpaceDN/>
        <w:adjustRightInd/>
        <w:snapToGrid/>
        <w:rPr>
          <w:rFonts w:eastAsia="Times New Roman"/>
          <w:lang w:eastAsia="fr-FR"/>
        </w:rPr>
      </w:pPr>
      <w:r>
        <w:rPr>
          <w:rFonts w:eastAsia="Times New Roman"/>
          <w:lang w:eastAsia="fr-FR"/>
        </w:rPr>
        <w:t xml:space="preserve">Point </w:t>
      </w:r>
      <w:r w:rsidRPr="00F94AE7">
        <w:rPr>
          <w:rFonts w:eastAsia="Times New Roman"/>
          <w:bCs/>
          <w:lang w:eastAsia="fr-FR"/>
        </w:rPr>
        <w:t>3 a) de l</w:t>
      </w:r>
      <w:r>
        <w:rPr>
          <w:rFonts w:eastAsia="Times New Roman"/>
          <w:bCs/>
          <w:lang w:eastAsia="fr-FR"/>
        </w:rPr>
        <w:t>’</w:t>
      </w:r>
      <w:r w:rsidRPr="00F94AE7">
        <w:rPr>
          <w:rFonts w:eastAsia="Times New Roman"/>
          <w:bCs/>
          <w:lang w:eastAsia="fr-FR"/>
        </w:rPr>
        <w:t xml:space="preserve">ordre du jour </w:t>
      </w:r>
      <w:r>
        <w:rPr>
          <w:rFonts w:eastAsia="Times New Roman"/>
          <w:bCs/>
          <w:lang w:eastAsia="fr-FR"/>
        </w:rPr>
        <w:t>proviso</w:t>
      </w:r>
      <w:r w:rsidRPr="00F94AE7">
        <w:rPr>
          <w:rFonts w:eastAsia="Times New Roman"/>
          <w:bCs/>
          <w:lang w:eastAsia="fr-FR"/>
        </w:rPr>
        <w:t xml:space="preserve">ire </w:t>
      </w:r>
    </w:p>
    <w:p w14:paraId="635CC2C1" w14:textId="77777777" w:rsidR="00BC3C9D" w:rsidRPr="00F94AE7" w:rsidRDefault="00BC3C9D" w:rsidP="00BC3C9D">
      <w:pPr>
        <w:kinsoku/>
        <w:overflowPunct/>
        <w:autoSpaceDE/>
        <w:autoSpaceDN/>
        <w:adjustRightInd/>
        <w:snapToGrid/>
        <w:rPr>
          <w:rFonts w:eastAsia="Times New Roman"/>
          <w:b/>
          <w:bCs/>
          <w:lang w:eastAsia="fr-FR"/>
        </w:rPr>
      </w:pPr>
      <w:r w:rsidRPr="001C6A8A">
        <w:rPr>
          <w:rFonts w:eastAsia="Times New Roman"/>
          <w:b/>
          <w:lang w:eastAsia="fr-FR"/>
        </w:rPr>
        <w:t xml:space="preserve">Véhicules légers </w:t>
      </w:r>
      <w:r w:rsidR="00761AB2">
        <w:rPr>
          <w:rFonts w:eastAsia="Times New Roman"/>
          <w:b/>
          <w:lang w:eastAsia="fr-FR"/>
        </w:rPr>
        <w:t>− </w:t>
      </w:r>
      <w:r w:rsidRPr="001C6A8A">
        <w:rPr>
          <w:rFonts w:eastAsia="Times New Roman"/>
          <w:b/>
          <w:lang w:eastAsia="fr-FR"/>
        </w:rPr>
        <w:t xml:space="preserve">Règlements </w:t>
      </w:r>
      <w:r w:rsidR="00B26344">
        <w:rPr>
          <w:rFonts w:eastAsia="Times New Roman"/>
          <w:b/>
          <w:lang w:eastAsia="fr-FR"/>
        </w:rPr>
        <w:t xml:space="preserve">ONU </w:t>
      </w:r>
      <w:r w:rsidR="00761AB2" w:rsidRPr="00761AB2">
        <w:rPr>
          <w:rFonts w:eastAsia="MS Mincho"/>
          <w:b/>
          <w:lang w:eastAsia="fr-FR"/>
        </w:rPr>
        <w:t>n</w:t>
      </w:r>
      <w:r w:rsidR="00761AB2" w:rsidRPr="00761AB2">
        <w:rPr>
          <w:rFonts w:eastAsia="MS Mincho"/>
          <w:b/>
          <w:vertAlign w:val="superscript"/>
          <w:lang w:eastAsia="fr-FR"/>
        </w:rPr>
        <w:t>o</w:t>
      </w:r>
      <w:r w:rsidR="00761AB2">
        <w:rPr>
          <w:rFonts w:eastAsia="Times New Roman"/>
          <w:b/>
          <w:lang w:eastAsia="fr-FR"/>
        </w:rPr>
        <w:t> </w:t>
      </w:r>
      <w:r w:rsidRPr="001C6A8A">
        <w:rPr>
          <w:rFonts w:eastAsia="Times New Roman"/>
          <w:b/>
          <w:lang w:eastAsia="fr-FR"/>
        </w:rPr>
        <w:t>68 (Mesure de la vitesse maximale</w:t>
      </w:r>
      <w:r w:rsidRPr="00F94AE7">
        <w:rPr>
          <w:rFonts w:eastAsia="Times New Roman"/>
          <w:b/>
          <w:lang w:eastAsia="fr-FR"/>
        </w:rPr>
        <w:t>,</w:t>
      </w:r>
      <w:r w:rsidRPr="001C6A8A">
        <w:rPr>
          <w:rFonts w:eastAsia="Times New Roman"/>
          <w:b/>
          <w:lang w:eastAsia="fr-FR"/>
        </w:rPr>
        <w:t xml:space="preserve"> </w:t>
      </w:r>
      <w:r w:rsidR="00B26344">
        <w:rPr>
          <w:rFonts w:eastAsia="Times New Roman"/>
          <w:b/>
          <w:lang w:eastAsia="fr-FR"/>
        </w:rPr>
        <w:br/>
      </w:r>
      <w:r w:rsidRPr="001C6A8A">
        <w:rPr>
          <w:rFonts w:eastAsia="Times New Roman"/>
          <w:b/>
          <w:lang w:eastAsia="fr-FR"/>
        </w:rPr>
        <w:t xml:space="preserve">y compris des véhicules électriques purs), </w:t>
      </w:r>
      <w:r w:rsidR="00761AB2" w:rsidRPr="00761AB2">
        <w:rPr>
          <w:rFonts w:eastAsia="MS Mincho"/>
          <w:b/>
          <w:lang w:eastAsia="fr-FR"/>
        </w:rPr>
        <w:t>n</w:t>
      </w:r>
      <w:r w:rsidR="00761AB2" w:rsidRPr="00761AB2">
        <w:rPr>
          <w:rFonts w:eastAsia="MS Mincho"/>
          <w:b/>
          <w:vertAlign w:val="superscript"/>
          <w:lang w:eastAsia="fr-FR"/>
        </w:rPr>
        <w:t>o</w:t>
      </w:r>
      <w:r w:rsidR="00761AB2">
        <w:rPr>
          <w:rFonts w:eastAsia="Times New Roman"/>
          <w:b/>
          <w:lang w:eastAsia="fr-FR"/>
        </w:rPr>
        <w:t> </w:t>
      </w:r>
      <w:r w:rsidRPr="001C6A8A">
        <w:rPr>
          <w:rFonts w:eastAsia="Times New Roman"/>
          <w:b/>
          <w:lang w:eastAsia="fr-FR"/>
        </w:rPr>
        <w:t xml:space="preserve">83 (Émissions des véhicules </w:t>
      </w:r>
      <w:r w:rsidRPr="00F94AE7">
        <w:rPr>
          <w:rFonts w:eastAsia="Times New Roman"/>
          <w:b/>
          <w:lang w:eastAsia="fr-FR"/>
        </w:rPr>
        <w:t>M</w:t>
      </w:r>
      <w:r w:rsidRPr="00F94AE7">
        <w:rPr>
          <w:rFonts w:eastAsia="Times New Roman"/>
          <w:b/>
          <w:vertAlign w:val="subscript"/>
          <w:lang w:eastAsia="fr-FR"/>
        </w:rPr>
        <w:t>1</w:t>
      </w:r>
      <w:r w:rsidRPr="00F94AE7">
        <w:rPr>
          <w:rFonts w:eastAsia="Times New Roman"/>
          <w:b/>
          <w:lang w:eastAsia="fr-FR"/>
        </w:rPr>
        <w:t xml:space="preserve"> </w:t>
      </w:r>
      <w:r>
        <w:rPr>
          <w:rFonts w:eastAsia="Times New Roman"/>
          <w:b/>
          <w:lang w:eastAsia="fr-FR"/>
        </w:rPr>
        <w:t>et</w:t>
      </w:r>
      <w:r w:rsidRPr="00F94AE7">
        <w:rPr>
          <w:rFonts w:eastAsia="Times New Roman"/>
          <w:b/>
          <w:lang w:eastAsia="fr-FR"/>
        </w:rPr>
        <w:t xml:space="preserve"> N</w:t>
      </w:r>
      <w:r w:rsidRPr="00F94AE7">
        <w:rPr>
          <w:rFonts w:eastAsia="Times New Roman"/>
          <w:b/>
          <w:vertAlign w:val="subscript"/>
          <w:lang w:eastAsia="fr-FR"/>
        </w:rPr>
        <w:t>1</w:t>
      </w:r>
      <w:r w:rsidRPr="00F94AE7">
        <w:rPr>
          <w:rFonts w:eastAsia="Times New Roman"/>
          <w:b/>
          <w:lang w:eastAsia="fr-FR"/>
        </w:rPr>
        <w:t xml:space="preserve">), </w:t>
      </w:r>
      <w:r w:rsidR="00CC27BD">
        <w:rPr>
          <w:rFonts w:eastAsia="Times New Roman"/>
          <w:b/>
          <w:lang w:eastAsia="fr-FR"/>
        </w:rPr>
        <w:br/>
      </w:r>
      <w:r w:rsidR="00761AB2" w:rsidRPr="00761AB2">
        <w:rPr>
          <w:rFonts w:eastAsia="MS Mincho"/>
          <w:b/>
          <w:lang w:eastAsia="fr-FR"/>
        </w:rPr>
        <w:t>n</w:t>
      </w:r>
      <w:r w:rsidR="00761AB2" w:rsidRPr="00761AB2">
        <w:rPr>
          <w:rFonts w:eastAsia="MS Mincho"/>
          <w:b/>
          <w:vertAlign w:val="superscript"/>
          <w:lang w:eastAsia="fr-FR"/>
        </w:rPr>
        <w:t>o</w:t>
      </w:r>
      <w:r w:rsidR="00761AB2">
        <w:rPr>
          <w:rFonts w:eastAsia="Times New Roman"/>
          <w:b/>
          <w:lang w:eastAsia="fr-FR"/>
        </w:rPr>
        <w:t> </w:t>
      </w:r>
      <w:r w:rsidRPr="001C6A8A">
        <w:rPr>
          <w:rFonts w:eastAsia="Times New Roman"/>
          <w:b/>
          <w:lang w:eastAsia="fr-FR"/>
        </w:rPr>
        <w:t>101 (Émissions de CO</w:t>
      </w:r>
      <w:r w:rsidRPr="00CC27BD">
        <w:rPr>
          <w:rFonts w:eastAsia="Times New Roman"/>
          <w:b/>
          <w:vertAlign w:val="subscript"/>
          <w:lang w:eastAsia="fr-FR"/>
        </w:rPr>
        <w:t>2</w:t>
      </w:r>
      <w:r w:rsidRPr="001C6A8A">
        <w:rPr>
          <w:rFonts w:eastAsia="Times New Roman"/>
          <w:b/>
          <w:lang w:eastAsia="fr-FR"/>
        </w:rPr>
        <w:t>/consommation</w:t>
      </w:r>
      <w:r>
        <w:rPr>
          <w:rFonts w:eastAsia="Times New Roman"/>
          <w:b/>
          <w:lang w:eastAsia="fr-FR"/>
        </w:rPr>
        <w:t xml:space="preserve"> de carburant</w:t>
      </w:r>
      <w:r w:rsidRPr="00F94AE7">
        <w:rPr>
          <w:rFonts w:eastAsia="Times New Roman"/>
          <w:b/>
          <w:lang w:eastAsia="fr-FR"/>
        </w:rPr>
        <w:t xml:space="preserve">) </w:t>
      </w:r>
      <w:r w:rsidR="00B26344">
        <w:rPr>
          <w:rFonts w:eastAsia="Times New Roman"/>
          <w:b/>
          <w:lang w:eastAsia="fr-FR"/>
        </w:rPr>
        <w:br/>
      </w:r>
      <w:r>
        <w:rPr>
          <w:rFonts w:eastAsia="Times New Roman"/>
          <w:b/>
          <w:lang w:eastAsia="fr-FR"/>
        </w:rPr>
        <w:t>et</w:t>
      </w:r>
      <w:r w:rsidRPr="00F94AE7">
        <w:rPr>
          <w:rFonts w:eastAsia="Times New Roman"/>
          <w:b/>
          <w:lang w:eastAsia="fr-FR"/>
        </w:rPr>
        <w:t xml:space="preserve"> </w:t>
      </w:r>
      <w:r w:rsidR="00761AB2" w:rsidRPr="00761AB2">
        <w:rPr>
          <w:rFonts w:eastAsia="MS Mincho"/>
          <w:b/>
          <w:lang w:eastAsia="fr-FR"/>
        </w:rPr>
        <w:t>n</w:t>
      </w:r>
      <w:r w:rsidR="00761AB2" w:rsidRPr="00761AB2">
        <w:rPr>
          <w:rFonts w:eastAsia="MS Mincho"/>
          <w:b/>
          <w:vertAlign w:val="superscript"/>
          <w:lang w:eastAsia="fr-FR"/>
        </w:rPr>
        <w:t>o</w:t>
      </w:r>
      <w:r w:rsidR="00761AB2">
        <w:rPr>
          <w:rFonts w:eastAsia="Times New Roman"/>
          <w:b/>
          <w:lang w:eastAsia="fr-FR"/>
        </w:rPr>
        <w:t> </w:t>
      </w:r>
      <w:r w:rsidRPr="001C6A8A">
        <w:rPr>
          <w:rFonts w:eastAsia="Times New Roman"/>
          <w:b/>
          <w:lang w:eastAsia="fr-FR"/>
        </w:rPr>
        <w:t>103 (Catalyseurs de remplacement)</w:t>
      </w:r>
    </w:p>
    <w:p w14:paraId="78A863EA" w14:textId="77777777" w:rsidR="00BC3C9D" w:rsidRPr="00F94AE7" w:rsidRDefault="00BC3C9D" w:rsidP="00BC3C9D">
      <w:pPr>
        <w:pStyle w:val="HChG"/>
        <w:rPr>
          <w:lang w:eastAsia="fr-FR"/>
        </w:rPr>
      </w:pPr>
      <w:r>
        <w:rPr>
          <w:lang w:eastAsia="fr-FR"/>
        </w:rPr>
        <w:tab/>
      </w:r>
      <w:r>
        <w:rPr>
          <w:lang w:eastAsia="fr-FR"/>
        </w:rPr>
        <w:tab/>
      </w:r>
      <w:r w:rsidRPr="00F94AE7">
        <w:rPr>
          <w:lang w:eastAsia="fr-FR"/>
        </w:rPr>
        <w:t>Propos</w:t>
      </w:r>
      <w:r w:rsidRPr="00D3038D">
        <w:rPr>
          <w:lang w:eastAsia="fr-FR"/>
        </w:rPr>
        <w:t>ition d</w:t>
      </w:r>
      <w:r>
        <w:rPr>
          <w:lang w:eastAsia="fr-FR"/>
        </w:rPr>
        <w:t>’</w:t>
      </w:r>
      <w:r w:rsidRPr="00D3038D">
        <w:rPr>
          <w:lang w:eastAsia="fr-FR"/>
        </w:rPr>
        <w:t xml:space="preserve">amendements aux séries </w:t>
      </w:r>
      <w:r w:rsidRPr="00F94AE7">
        <w:rPr>
          <w:lang w:eastAsia="fr-FR"/>
        </w:rPr>
        <w:t xml:space="preserve">06 </w:t>
      </w:r>
      <w:r w:rsidRPr="00D3038D">
        <w:rPr>
          <w:lang w:eastAsia="fr-FR"/>
        </w:rPr>
        <w:t xml:space="preserve">et </w:t>
      </w:r>
      <w:r w:rsidRPr="00F94AE7">
        <w:rPr>
          <w:color w:val="000000" w:themeColor="text1"/>
          <w:lang w:eastAsia="fr-FR"/>
        </w:rPr>
        <w:t xml:space="preserve">07 </w:t>
      </w:r>
      <w:r w:rsidRPr="00D3038D">
        <w:rPr>
          <w:color w:val="000000" w:themeColor="text1"/>
          <w:lang w:eastAsia="fr-FR"/>
        </w:rPr>
        <w:t>d</w:t>
      </w:r>
      <w:r>
        <w:rPr>
          <w:color w:val="000000" w:themeColor="text1"/>
          <w:lang w:eastAsia="fr-FR"/>
        </w:rPr>
        <w:t>’</w:t>
      </w:r>
      <w:r w:rsidRPr="00D3038D">
        <w:rPr>
          <w:color w:val="000000" w:themeColor="text1"/>
          <w:lang w:eastAsia="fr-FR"/>
        </w:rPr>
        <w:t xml:space="preserve">amendements au Règlement ONU </w:t>
      </w:r>
      <w:r w:rsidRPr="00BC3C9D">
        <w:rPr>
          <w:rFonts w:eastAsia="MS Mincho"/>
          <w:color w:val="000000" w:themeColor="text1"/>
          <w:lang w:eastAsia="fr-FR"/>
        </w:rPr>
        <w:t>n</w:t>
      </w:r>
      <w:r w:rsidRPr="00BC3C9D">
        <w:rPr>
          <w:rFonts w:eastAsia="MS Mincho"/>
          <w:color w:val="000000" w:themeColor="text1"/>
          <w:vertAlign w:val="superscript"/>
          <w:lang w:eastAsia="fr-FR"/>
        </w:rPr>
        <w:t>o</w:t>
      </w:r>
      <w:r w:rsidRPr="00BC3C9D">
        <w:rPr>
          <w:rFonts w:eastAsia="MS Mincho"/>
          <w:color w:val="000000" w:themeColor="text1"/>
          <w:lang w:eastAsia="fr-FR"/>
        </w:rPr>
        <w:t> </w:t>
      </w:r>
      <w:r w:rsidRPr="00F94AE7">
        <w:rPr>
          <w:color w:val="000000" w:themeColor="text1"/>
          <w:lang w:eastAsia="fr-FR"/>
        </w:rPr>
        <w:t xml:space="preserve">83 </w:t>
      </w:r>
      <w:r>
        <w:rPr>
          <w:color w:val="000000" w:themeColor="text1"/>
          <w:lang w:eastAsia="fr-FR"/>
        </w:rPr>
        <w:br/>
      </w:r>
      <w:r w:rsidRPr="00F94AE7">
        <w:rPr>
          <w:lang w:eastAsia="fr-FR"/>
        </w:rPr>
        <w:t>(</w:t>
      </w:r>
      <w:r w:rsidRPr="00D3038D">
        <w:rPr>
          <w:lang w:eastAsia="fr-FR"/>
        </w:rPr>
        <w:t>Émissions des véhicules</w:t>
      </w:r>
      <w:r>
        <w:rPr>
          <w:lang w:eastAsia="fr-FR"/>
        </w:rPr>
        <w:t xml:space="preserve"> </w:t>
      </w:r>
      <w:r w:rsidRPr="00D3038D">
        <w:rPr>
          <w:lang w:eastAsia="fr-FR"/>
        </w:rPr>
        <w:t>M</w:t>
      </w:r>
      <w:r w:rsidRPr="00D3038D">
        <w:rPr>
          <w:vertAlign w:val="subscript"/>
          <w:lang w:eastAsia="fr-FR"/>
        </w:rPr>
        <w:t>1</w:t>
      </w:r>
      <w:r w:rsidRPr="00D3038D">
        <w:rPr>
          <w:lang w:eastAsia="fr-FR"/>
        </w:rPr>
        <w:t xml:space="preserve"> et N</w:t>
      </w:r>
      <w:r w:rsidRPr="00D3038D">
        <w:rPr>
          <w:vertAlign w:val="subscript"/>
          <w:lang w:eastAsia="fr-FR"/>
        </w:rPr>
        <w:t>1</w:t>
      </w:r>
      <w:r w:rsidRPr="00F94AE7">
        <w:rPr>
          <w:lang w:eastAsia="fr-FR"/>
        </w:rPr>
        <w:t>)</w:t>
      </w:r>
    </w:p>
    <w:p w14:paraId="6F0E073C" w14:textId="77777777" w:rsidR="00BC3C9D" w:rsidRPr="00F94AE7" w:rsidRDefault="00BC3C9D" w:rsidP="00BC3C9D">
      <w:pPr>
        <w:pStyle w:val="H1G"/>
        <w:rPr>
          <w:lang w:eastAsia="fr-FR"/>
        </w:rPr>
      </w:pPr>
      <w:r w:rsidRPr="00F94AE7">
        <w:rPr>
          <w:lang w:eastAsia="fr-FR"/>
        </w:rPr>
        <w:tab/>
      </w:r>
      <w:r w:rsidRPr="00F94AE7">
        <w:rPr>
          <w:lang w:eastAsia="fr-FR"/>
        </w:rPr>
        <w:tab/>
      </w:r>
      <w:r w:rsidRPr="00562387">
        <w:rPr>
          <w:lang w:eastAsia="fr-FR"/>
        </w:rPr>
        <w:t>Communication de l</w:t>
      </w:r>
      <w:r>
        <w:rPr>
          <w:lang w:eastAsia="fr-FR"/>
        </w:rPr>
        <w:t>’</w:t>
      </w:r>
      <w:r w:rsidRPr="00F94AE7">
        <w:rPr>
          <w:lang w:eastAsia="fr-FR"/>
        </w:rPr>
        <w:t xml:space="preserve">expert </w:t>
      </w:r>
      <w:r w:rsidRPr="00562387">
        <w:rPr>
          <w:lang w:eastAsia="fr-FR"/>
        </w:rPr>
        <w:t>de l</w:t>
      </w:r>
      <w:r>
        <w:rPr>
          <w:lang w:eastAsia="fr-FR"/>
        </w:rPr>
        <w:t>’</w:t>
      </w:r>
      <w:r w:rsidRPr="00562387">
        <w:rPr>
          <w:lang w:eastAsia="fr-FR"/>
        </w:rPr>
        <w:t xml:space="preserve">Organisation internationale </w:t>
      </w:r>
      <w:r>
        <w:rPr>
          <w:lang w:eastAsia="fr-FR"/>
        </w:rPr>
        <w:br/>
      </w:r>
      <w:r w:rsidRPr="00562387">
        <w:rPr>
          <w:lang w:eastAsia="fr-FR"/>
        </w:rPr>
        <w:t>des constructeurs d</w:t>
      </w:r>
      <w:r>
        <w:rPr>
          <w:lang w:eastAsia="fr-FR"/>
        </w:rPr>
        <w:t>’</w:t>
      </w:r>
      <w:r w:rsidRPr="00562387">
        <w:rPr>
          <w:lang w:eastAsia="fr-FR"/>
        </w:rPr>
        <w:t>automobiles</w:t>
      </w:r>
      <w:r w:rsidR="00E17C70" w:rsidRPr="00E17C70">
        <w:rPr>
          <w:rStyle w:val="Appelnotedebasdep"/>
          <w:b w:val="0"/>
          <w:sz w:val="20"/>
          <w:vertAlign w:val="baseline"/>
          <w:lang w:eastAsia="fr-FR"/>
        </w:rPr>
        <w:footnoteReference w:customMarkFollows="1" w:id="2"/>
        <w:t>*</w:t>
      </w:r>
    </w:p>
    <w:p w14:paraId="08387320" w14:textId="77777777" w:rsidR="00BC3C9D" w:rsidRDefault="00BC3C9D" w:rsidP="00BC3C9D">
      <w:pPr>
        <w:pStyle w:val="SingleTxtG"/>
        <w:ind w:firstLine="567"/>
        <w:rPr>
          <w:szCs w:val="23"/>
          <w:lang w:eastAsia="fr-FR"/>
        </w:rPr>
      </w:pPr>
      <w:r w:rsidRPr="00562387">
        <w:rPr>
          <w:lang w:eastAsia="fr-FR"/>
        </w:rPr>
        <w:t xml:space="preserve">Le texte reproduit ci-après, </w:t>
      </w:r>
      <w:r>
        <w:rPr>
          <w:lang w:eastAsia="fr-FR"/>
        </w:rPr>
        <w:t xml:space="preserve">établi </w:t>
      </w:r>
      <w:r w:rsidRPr="00562387">
        <w:rPr>
          <w:lang w:eastAsia="fr-FR"/>
        </w:rPr>
        <w:t>par l</w:t>
      </w:r>
      <w:r>
        <w:rPr>
          <w:lang w:eastAsia="fr-FR"/>
        </w:rPr>
        <w:t>’</w:t>
      </w:r>
      <w:r w:rsidRPr="00562387">
        <w:rPr>
          <w:lang w:eastAsia="fr-FR"/>
        </w:rPr>
        <w:t>expert de l</w:t>
      </w:r>
      <w:r>
        <w:rPr>
          <w:lang w:eastAsia="fr-FR"/>
        </w:rPr>
        <w:t>’</w:t>
      </w:r>
      <w:r w:rsidRPr="00562387">
        <w:rPr>
          <w:lang w:eastAsia="fr-FR"/>
        </w:rPr>
        <w:t>Organisation internationale des constructeurs d</w:t>
      </w:r>
      <w:r>
        <w:rPr>
          <w:lang w:eastAsia="fr-FR"/>
        </w:rPr>
        <w:t>’</w:t>
      </w:r>
      <w:r w:rsidRPr="00562387">
        <w:rPr>
          <w:lang w:eastAsia="fr-FR"/>
        </w:rPr>
        <w:t xml:space="preserve">automobiles </w:t>
      </w:r>
      <w:r w:rsidRPr="00F94AE7">
        <w:rPr>
          <w:lang w:eastAsia="fr-FR"/>
        </w:rPr>
        <w:t>(OICA)</w:t>
      </w:r>
      <w:r w:rsidRPr="009C01E8">
        <w:rPr>
          <w:lang w:eastAsia="fr-FR"/>
        </w:rPr>
        <w:t>, propose d</w:t>
      </w:r>
      <w:r>
        <w:rPr>
          <w:lang w:eastAsia="fr-FR"/>
        </w:rPr>
        <w:t>’</w:t>
      </w:r>
      <w:r w:rsidRPr="009C01E8">
        <w:rPr>
          <w:lang w:eastAsia="fr-FR"/>
        </w:rPr>
        <w:t xml:space="preserve">introduire une nouvelle définition et </w:t>
      </w:r>
      <w:r>
        <w:rPr>
          <w:lang w:eastAsia="fr-FR"/>
        </w:rPr>
        <w:t xml:space="preserve">de préciser la notion du terme </w:t>
      </w:r>
      <w:r w:rsidR="00E17C70">
        <w:rPr>
          <w:bCs/>
          <w:lang w:eastAsia="fr-FR"/>
        </w:rPr>
        <w:t>« </w:t>
      </w:r>
      <w:r>
        <w:rPr>
          <w:bCs/>
          <w:lang w:eastAsia="fr-FR"/>
        </w:rPr>
        <w:t>m</w:t>
      </w:r>
      <w:r w:rsidRPr="009C01E8">
        <w:rPr>
          <w:bCs/>
          <w:lang w:eastAsia="fr-FR"/>
        </w:rPr>
        <w:t>ode permanent de défaillance au niveau des émissions</w:t>
      </w:r>
      <w:r w:rsidR="00E17C70">
        <w:rPr>
          <w:bCs/>
          <w:lang w:eastAsia="fr-FR"/>
        </w:rPr>
        <w:t> »</w:t>
      </w:r>
      <w:r w:rsidRPr="00F94AE7">
        <w:rPr>
          <w:szCs w:val="23"/>
          <w:lang w:eastAsia="fr-FR"/>
        </w:rPr>
        <w:t xml:space="preserve">. </w:t>
      </w:r>
      <w:r w:rsidRPr="009C01E8">
        <w:rPr>
          <w:szCs w:val="23"/>
          <w:lang w:eastAsia="fr-FR"/>
        </w:rPr>
        <w:t>Les modifications qu</w:t>
      </w:r>
      <w:r>
        <w:rPr>
          <w:szCs w:val="23"/>
          <w:lang w:eastAsia="fr-FR"/>
        </w:rPr>
        <w:t>’</w:t>
      </w:r>
      <w:r w:rsidRPr="009C01E8">
        <w:rPr>
          <w:szCs w:val="23"/>
          <w:lang w:eastAsia="fr-FR"/>
        </w:rPr>
        <w:t>il est proposé d</w:t>
      </w:r>
      <w:r>
        <w:rPr>
          <w:szCs w:val="23"/>
          <w:lang w:eastAsia="fr-FR"/>
        </w:rPr>
        <w:t>’</w:t>
      </w:r>
      <w:r w:rsidRPr="009C01E8">
        <w:rPr>
          <w:szCs w:val="23"/>
          <w:lang w:eastAsia="fr-FR"/>
        </w:rPr>
        <w:t>apporter au texte actuel du Règlement sont indiquées en caractères gras pour les ajouts et en caractères biffés pour les passages supprimés</w:t>
      </w:r>
      <w:r>
        <w:rPr>
          <w:szCs w:val="23"/>
          <w:lang w:eastAsia="fr-FR"/>
        </w:rPr>
        <w:t>.</w:t>
      </w:r>
      <w:r w:rsidRPr="009C01E8">
        <w:rPr>
          <w:szCs w:val="23"/>
          <w:lang w:eastAsia="fr-FR"/>
        </w:rPr>
        <w:t xml:space="preserve"> </w:t>
      </w:r>
    </w:p>
    <w:p w14:paraId="78A53C82" w14:textId="77777777" w:rsidR="00BC3C9D" w:rsidRPr="00F94AE7" w:rsidRDefault="00BC3C9D" w:rsidP="00B26344">
      <w:pPr>
        <w:pStyle w:val="HChG"/>
        <w:rPr>
          <w:lang w:eastAsia="fr-FR"/>
        </w:rPr>
      </w:pPr>
      <w:r w:rsidRPr="001A58FC">
        <w:rPr>
          <w:lang w:eastAsia="fr-FR"/>
        </w:rPr>
        <w:br w:type="page"/>
      </w:r>
      <w:r w:rsidR="00B26344">
        <w:rPr>
          <w:lang w:eastAsia="fr-FR"/>
        </w:rPr>
        <w:lastRenderedPageBreak/>
        <w:tab/>
      </w:r>
      <w:r w:rsidRPr="00F94AE7">
        <w:rPr>
          <w:lang w:eastAsia="fr-FR"/>
        </w:rPr>
        <w:t>I.</w:t>
      </w:r>
      <w:r w:rsidRPr="00F94AE7">
        <w:rPr>
          <w:lang w:eastAsia="fr-FR"/>
        </w:rPr>
        <w:tab/>
        <w:t>Propos</w:t>
      </w:r>
      <w:r w:rsidRPr="0022645D">
        <w:rPr>
          <w:lang w:eastAsia="fr-FR"/>
        </w:rPr>
        <w:t>ition</w:t>
      </w:r>
    </w:p>
    <w:p w14:paraId="760F35AB" w14:textId="77777777" w:rsidR="00BC3C9D" w:rsidRPr="00F94AE7" w:rsidRDefault="00BC3C9D" w:rsidP="009268EF">
      <w:pPr>
        <w:pStyle w:val="H1G"/>
        <w:rPr>
          <w:lang w:eastAsia="fr-FR"/>
        </w:rPr>
      </w:pPr>
      <w:r w:rsidRPr="00F94AE7">
        <w:rPr>
          <w:lang w:eastAsia="fr-FR"/>
        </w:rPr>
        <w:tab/>
        <w:t>A.</w:t>
      </w:r>
      <w:r w:rsidR="00B26344">
        <w:rPr>
          <w:lang w:eastAsia="fr-FR"/>
        </w:rPr>
        <w:tab/>
      </w:r>
      <w:r w:rsidRPr="00F94AE7">
        <w:rPr>
          <w:lang w:eastAsia="fr-FR"/>
        </w:rPr>
        <w:t>D</w:t>
      </w:r>
      <w:r w:rsidRPr="0022645D">
        <w:rPr>
          <w:lang w:eastAsia="fr-FR"/>
        </w:rPr>
        <w:t>é</w:t>
      </w:r>
      <w:r w:rsidRPr="00F94AE7">
        <w:rPr>
          <w:lang w:eastAsia="fr-FR"/>
        </w:rPr>
        <w:t xml:space="preserve">finition </w:t>
      </w:r>
      <w:r w:rsidRPr="0022645D">
        <w:rPr>
          <w:lang w:eastAsia="fr-FR"/>
        </w:rPr>
        <w:t xml:space="preserve">du terme </w:t>
      </w:r>
      <w:r w:rsidR="00B26344">
        <w:rPr>
          <w:lang w:eastAsia="fr-FR"/>
        </w:rPr>
        <w:t>« </w:t>
      </w:r>
      <w:r w:rsidRPr="00F94AE7">
        <w:rPr>
          <w:lang w:eastAsia="fr-FR"/>
        </w:rPr>
        <w:t>permanent</w:t>
      </w:r>
      <w:r w:rsidR="00B26344">
        <w:rPr>
          <w:lang w:eastAsia="fr-FR"/>
        </w:rPr>
        <w:t> »</w:t>
      </w:r>
    </w:p>
    <w:p w14:paraId="408AD76F" w14:textId="77777777" w:rsidR="00BC3C9D" w:rsidRPr="00F94AE7" w:rsidRDefault="00BC3C9D" w:rsidP="00B26344">
      <w:pPr>
        <w:pStyle w:val="SingleTxtG"/>
        <w:rPr>
          <w:lang w:eastAsia="de-DE"/>
        </w:rPr>
      </w:pPr>
      <w:r w:rsidRPr="00B26344">
        <w:rPr>
          <w:i/>
          <w:lang w:eastAsia="de-DE"/>
        </w:rPr>
        <w:t>Annexe 11, paragraphe 2.14</w:t>
      </w:r>
      <w:r w:rsidRPr="00F94AE7">
        <w:rPr>
          <w:lang w:eastAsia="de-DE"/>
        </w:rPr>
        <w:t xml:space="preserve">, </w:t>
      </w:r>
      <w:r w:rsidRPr="00F058FD">
        <w:rPr>
          <w:lang w:eastAsia="de-DE"/>
        </w:rPr>
        <w:t>modifier comme suit</w:t>
      </w:r>
      <w:r w:rsidR="00B26344">
        <w:rPr>
          <w:lang w:eastAsia="de-DE"/>
        </w:rPr>
        <w:t> </w:t>
      </w:r>
      <w:r w:rsidRPr="00F94AE7">
        <w:rPr>
          <w:lang w:eastAsia="de-DE"/>
        </w:rPr>
        <w:t>:</w:t>
      </w:r>
    </w:p>
    <w:p w14:paraId="29778FF9" w14:textId="77777777" w:rsidR="00BC3C9D" w:rsidRPr="00F058FD" w:rsidRDefault="00B26344" w:rsidP="00B26344">
      <w:pPr>
        <w:pStyle w:val="SingleTxtG"/>
        <w:ind w:left="2268" w:hanging="1134"/>
        <w:rPr>
          <w:lang w:val="fr-FR" w:eastAsia="de-DE"/>
        </w:rPr>
      </w:pPr>
      <w:r>
        <w:rPr>
          <w:lang w:eastAsia="de-DE"/>
        </w:rPr>
        <w:t>« </w:t>
      </w:r>
      <w:r w:rsidR="00BC3C9D" w:rsidRPr="00F94AE7">
        <w:rPr>
          <w:lang w:eastAsia="de-DE"/>
        </w:rPr>
        <w:t>2.14</w:t>
      </w:r>
      <w:r w:rsidR="00BC3C9D" w:rsidRPr="00F94AE7">
        <w:rPr>
          <w:lang w:eastAsia="de-DE"/>
        </w:rPr>
        <w:tab/>
      </w:r>
      <w:r w:rsidRPr="00B26344">
        <w:rPr>
          <w:lang w:eastAsia="de-DE"/>
        </w:rPr>
        <w:t>“</w:t>
      </w:r>
      <w:r w:rsidR="00BC3C9D" w:rsidRPr="00F058FD">
        <w:rPr>
          <w:lang w:eastAsia="de-DE"/>
        </w:rPr>
        <w:t>Mode permanent de défaillance au niveau des émissions</w:t>
      </w:r>
      <w:r w:rsidRPr="00B26344">
        <w:rPr>
          <w:lang w:eastAsia="de-DE"/>
        </w:rPr>
        <w:t>”</w:t>
      </w:r>
      <w:r w:rsidR="00BC3C9D" w:rsidRPr="00F058FD">
        <w:rPr>
          <w:lang w:val="fr-FR" w:eastAsia="de-DE"/>
        </w:rPr>
        <w:t>, un mode dans lequel le calculateur d</w:t>
      </w:r>
      <w:r w:rsidR="00BC3C9D">
        <w:rPr>
          <w:lang w:val="fr-FR" w:eastAsia="de-DE"/>
        </w:rPr>
        <w:t>’</w:t>
      </w:r>
      <w:r w:rsidR="00BC3C9D" w:rsidRPr="00F058FD">
        <w:rPr>
          <w:lang w:val="fr-FR" w:eastAsia="de-DE"/>
        </w:rPr>
        <w:t>injection passe en permanence à un état qui n</w:t>
      </w:r>
      <w:r w:rsidR="00BC3C9D">
        <w:rPr>
          <w:lang w:val="fr-FR" w:eastAsia="de-DE"/>
        </w:rPr>
        <w:t>’</w:t>
      </w:r>
      <w:r w:rsidR="00BC3C9D" w:rsidRPr="00F058FD">
        <w:rPr>
          <w:lang w:val="fr-FR" w:eastAsia="de-DE"/>
        </w:rPr>
        <w:t>exige pas d</w:t>
      </w:r>
      <w:r w:rsidR="00BC3C9D">
        <w:rPr>
          <w:lang w:val="fr-FR" w:eastAsia="de-DE"/>
        </w:rPr>
        <w:t>’</w:t>
      </w:r>
      <w:r w:rsidR="00BC3C9D" w:rsidRPr="00F058FD">
        <w:rPr>
          <w:lang w:val="fr-FR" w:eastAsia="de-DE"/>
        </w:rPr>
        <w:t>information d</w:t>
      </w:r>
      <w:r w:rsidR="00BC3C9D">
        <w:rPr>
          <w:lang w:val="fr-FR" w:eastAsia="de-DE"/>
        </w:rPr>
        <w:t>’</w:t>
      </w:r>
      <w:r w:rsidR="00BC3C9D" w:rsidRPr="00F058FD">
        <w:rPr>
          <w:lang w:val="fr-FR" w:eastAsia="de-DE"/>
        </w:rPr>
        <w:t>un composant ou d</w:t>
      </w:r>
      <w:r w:rsidR="00BC3C9D">
        <w:rPr>
          <w:lang w:val="fr-FR" w:eastAsia="de-DE"/>
        </w:rPr>
        <w:t>’</w:t>
      </w:r>
      <w:r w:rsidR="00BC3C9D" w:rsidRPr="00F058FD">
        <w:rPr>
          <w:lang w:val="fr-FR" w:eastAsia="de-DE"/>
        </w:rPr>
        <w:t>un système défaillant lorsque cette défaillance entraînerait un accroissement des émissions produites par le véhicule au-delà des limites indiquées au paragraphe 3.3.2 de la présente annexe</w:t>
      </w:r>
      <w:r w:rsidR="006B28B5">
        <w:rPr>
          <w:lang w:val="fr-FR" w:eastAsia="de-DE"/>
        </w:rPr>
        <w:t> </w:t>
      </w:r>
      <w:r w:rsidR="00BC3C9D" w:rsidRPr="00F058FD">
        <w:rPr>
          <w:lang w:val="fr-FR" w:eastAsia="de-DE"/>
        </w:rPr>
        <w:t>;</w:t>
      </w:r>
    </w:p>
    <w:p w14:paraId="6ADB0458" w14:textId="77777777" w:rsidR="00BC3C9D" w:rsidRPr="00F94AE7" w:rsidRDefault="00BC3C9D" w:rsidP="00B26344">
      <w:pPr>
        <w:pStyle w:val="SingleTxtG"/>
        <w:ind w:left="2268" w:hanging="1134"/>
        <w:rPr>
          <w:rFonts w:eastAsia="Times New Roman"/>
          <w:b/>
          <w:bCs/>
          <w:lang w:eastAsia="de-DE"/>
        </w:rPr>
      </w:pPr>
      <w:r w:rsidRPr="00F94AE7">
        <w:rPr>
          <w:rFonts w:eastAsia="Times New Roman"/>
          <w:b/>
          <w:bCs/>
          <w:lang w:eastAsia="de-DE"/>
        </w:rPr>
        <w:t>2.14.1</w:t>
      </w:r>
      <w:r w:rsidRPr="00F94AE7">
        <w:rPr>
          <w:rFonts w:eastAsia="Times New Roman"/>
          <w:b/>
          <w:bCs/>
          <w:lang w:eastAsia="de-DE"/>
        </w:rPr>
        <w:tab/>
      </w:r>
      <w:r w:rsidRPr="00C44E23">
        <w:rPr>
          <w:rFonts w:eastAsia="Times New Roman"/>
          <w:b/>
          <w:bCs/>
          <w:lang w:eastAsia="de-DE"/>
        </w:rPr>
        <w:t>Dans ce context</w:t>
      </w:r>
      <w:r>
        <w:rPr>
          <w:rFonts w:eastAsia="Times New Roman"/>
          <w:b/>
          <w:bCs/>
          <w:lang w:eastAsia="de-DE"/>
        </w:rPr>
        <w:t>e</w:t>
      </w:r>
      <w:r w:rsidRPr="00C44E23">
        <w:rPr>
          <w:rFonts w:eastAsia="Times New Roman"/>
          <w:b/>
          <w:bCs/>
          <w:lang w:eastAsia="de-DE"/>
        </w:rPr>
        <w:t>, p</w:t>
      </w:r>
      <w:r w:rsidRPr="00F94AE7">
        <w:rPr>
          <w:rFonts w:eastAsia="Times New Roman"/>
          <w:b/>
          <w:bCs/>
          <w:lang w:eastAsia="de-DE"/>
        </w:rPr>
        <w:t xml:space="preserve">ermanent </w:t>
      </w:r>
      <w:r w:rsidRPr="00C44E23">
        <w:rPr>
          <w:rFonts w:eastAsia="Times New Roman"/>
          <w:b/>
          <w:bCs/>
          <w:lang w:eastAsia="de-DE"/>
        </w:rPr>
        <w:t xml:space="preserve">signifie que </w:t>
      </w:r>
      <w:r>
        <w:rPr>
          <w:rFonts w:eastAsia="Times New Roman"/>
          <w:b/>
          <w:bCs/>
          <w:lang w:eastAsia="de-DE"/>
        </w:rPr>
        <w:t>le m</w:t>
      </w:r>
      <w:r w:rsidRPr="00C44E23">
        <w:rPr>
          <w:rFonts w:eastAsia="Times New Roman"/>
          <w:b/>
          <w:bCs/>
          <w:lang w:eastAsia="de-DE"/>
        </w:rPr>
        <w:t>ode de défaillance</w:t>
      </w:r>
      <w:r>
        <w:rPr>
          <w:rFonts w:eastAsia="Times New Roman"/>
          <w:b/>
          <w:bCs/>
          <w:lang w:eastAsia="de-DE"/>
        </w:rPr>
        <w:t xml:space="preserve"> n’est pas récupérable, c’est-à-dire que le diagnostic ou la stratégie de limitation qui a causé le m</w:t>
      </w:r>
      <w:r w:rsidRPr="00EC6D56">
        <w:rPr>
          <w:rFonts w:eastAsia="Times New Roman"/>
          <w:b/>
          <w:bCs/>
          <w:lang w:eastAsia="de-DE"/>
        </w:rPr>
        <w:t>ode de défaillance</w:t>
      </w:r>
      <w:r w:rsidRPr="00EC6D56">
        <w:t xml:space="preserve"> </w:t>
      </w:r>
      <w:r w:rsidRPr="00EC6D56">
        <w:rPr>
          <w:rFonts w:eastAsia="Times New Roman"/>
          <w:b/>
          <w:bCs/>
          <w:lang w:eastAsia="de-DE"/>
        </w:rPr>
        <w:t>au niveau des émissions</w:t>
      </w:r>
      <w:r>
        <w:rPr>
          <w:rFonts w:eastAsia="Times New Roman"/>
          <w:b/>
          <w:bCs/>
          <w:lang w:eastAsia="de-DE"/>
        </w:rPr>
        <w:t xml:space="preserve"> ne peut pas fonctionner dans le cycle d’essai suivant ni confirmer que les conditions qui ont causé la </w:t>
      </w:r>
      <w:r w:rsidRPr="000E611F">
        <w:rPr>
          <w:rFonts w:eastAsia="Times New Roman"/>
          <w:b/>
          <w:bCs/>
          <w:lang w:eastAsia="de-DE"/>
        </w:rPr>
        <w:t>défaillance au niveau des émissions</w:t>
      </w:r>
      <w:r>
        <w:rPr>
          <w:rFonts w:eastAsia="Times New Roman"/>
          <w:b/>
          <w:bCs/>
          <w:lang w:eastAsia="de-DE"/>
        </w:rPr>
        <w:t xml:space="preserve"> subsistent ou non. Tous les autres m</w:t>
      </w:r>
      <w:r w:rsidRPr="000E611F">
        <w:rPr>
          <w:rFonts w:eastAsia="Times New Roman"/>
          <w:b/>
          <w:bCs/>
          <w:lang w:eastAsia="de-DE"/>
        </w:rPr>
        <w:t>ode</w:t>
      </w:r>
      <w:r>
        <w:rPr>
          <w:rFonts w:eastAsia="Times New Roman"/>
          <w:b/>
          <w:bCs/>
          <w:lang w:eastAsia="de-DE"/>
        </w:rPr>
        <w:t xml:space="preserve">s </w:t>
      </w:r>
      <w:r w:rsidRPr="000E611F">
        <w:rPr>
          <w:rFonts w:eastAsia="Times New Roman"/>
          <w:b/>
          <w:bCs/>
          <w:lang w:eastAsia="de-DE"/>
        </w:rPr>
        <w:t>de défaillance</w:t>
      </w:r>
      <w:r>
        <w:rPr>
          <w:rFonts w:eastAsia="Times New Roman"/>
          <w:b/>
          <w:bCs/>
          <w:lang w:eastAsia="de-DE"/>
        </w:rPr>
        <w:t xml:space="preserve"> sont considérés comme n’étant pas permanents.</w:t>
      </w:r>
      <w:r w:rsidR="00B26344">
        <w:rPr>
          <w:rFonts w:eastAsia="Times New Roman"/>
          <w:b/>
          <w:lang w:eastAsia="de-DE"/>
        </w:rPr>
        <w:t> </w:t>
      </w:r>
      <w:r w:rsidR="00B26344" w:rsidRPr="00B26344">
        <w:rPr>
          <w:rFonts w:eastAsia="Times New Roman"/>
          <w:lang w:eastAsia="de-DE"/>
        </w:rPr>
        <w:t>»</w:t>
      </w:r>
      <w:r w:rsidRPr="00B26344">
        <w:rPr>
          <w:rFonts w:eastAsia="Times New Roman"/>
          <w:lang w:eastAsia="de-DE"/>
        </w:rPr>
        <w:t>.</w:t>
      </w:r>
    </w:p>
    <w:p w14:paraId="6F428958" w14:textId="77777777" w:rsidR="00BC3C9D" w:rsidRPr="00F94AE7" w:rsidRDefault="00BC3C9D" w:rsidP="00BC3C9D">
      <w:pPr>
        <w:kinsoku/>
        <w:overflowPunct/>
        <w:autoSpaceDE/>
        <w:autoSpaceDN/>
        <w:adjustRightInd/>
        <w:snapToGrid/>
        <w:spacing w:after="120"/>
        <w:ind w:left="1134" w:right="1134"/>
        <w:jc w:val="both"/>
        <w:rPr>
          <w:rFonts w:eastAsia="Times New Roman"/>
          <w:lang w:eastAsia="de-DE"/>
        </w:rPr>
      </w:pPr>
      <w:r w:rsidRPr="00496C6D">
        <w:rPr>
          <w:rFonts w:eastAsia="Times New Roman"/>
          <w:i/>
          <w:iCs/>
          <w:lang w:eastAsia="de-DE"/>
        </w:rPr>
        <w:t>Annexe</w:t>
      </w:r>
      <w:r w:rsidRPr="00F94AE7">
        <w:rPr>
          <w:rFonts w:eastAsia="Times New Roman"/>
          <w:i/>
          <w:iCs/>
          <w:lang w:eastAsia="de-DE"/>
        </w:rPr>
        <w:t xml:space="preserve"> 11</w:t>
      </w:r>
      <w:r w:rsidRPr="00B26344">
        <w:rPr>
          <w:rFonts w:eastAsia="Times New Roman"/>
          <w:iCs/>
          <w:lang w:eastAsia="de-DE"/>
        </w:rPr>
        <w:t>,</w:t>
      </w:r>
      <w:r w:rsidRPr="00F94AE7">
        <w:rPr>
          <w:rFonts w:eastAsia="Times New Roman"/>
          <w:lang w:eastAsia="de-DE"/>
        </w:rPr>
        <w:t xml:space="preserve"> a</w:t>
      </w:r>
      <w:r w:rsidRPr="00496C6D">
        <w:rPr>
          <w:rFonts w:eastAsia="Times New Roman"/>
          <w:lang w:eastAsia="de-DE"/>
        </w:rPr>
        <w:t>jouter un nouveau paragraphe</w:t>
      </w:r>
      <w:r w:rsidRPr="00F94AE7">
        <w:rPr>
          <w:rFonts w:eastAsia="Times New Roman"/>
          <w:lang w:eastAsia="de-DE"/>
        </w:rPr>
        <w:t xml:space="preserve"> 2.21</w:t>
      </w:r>
      <w:r w:rsidR="00B26344">
        <w:rPr>
          <w:rFonts w:eastAsia="Times New Roman"/>
          <w:lang w:eastAsia="de-DE"/>
        </w:rPr>
        <w:t> </w:t>
      </w:r>
      <w:r w:rsidRPr="00F94AE7">
        <w:rPr>
          <w:rFonts w:eastAsia="Times New Roman"/>
          <w:lang w:eastAsia="de-DE"/>
        </w:rPr>
        <w:t>:</w:t>
      </w:r>
    </w:p>
    <w:p w14:paraId="669BEC07" w14:textId="77777777" w:rsidR="00BC3C9D" w:rsidRPr="00F94AE7" w:rsidRDefault="00B26344" w:rsidP="00B26344">
      <w:pPr>
        <w:pStyle w:val="SingleTxtG"/>
        <w:ind w:left="2268" w:hanging="1134"/>
        <w:rPr>
          <w:rFonts w:eastAsia="Times New Roman"/>
          <w:b/>
          <w:lang w:eastAsia="fr-FR"/>
        </w:rPr>
      </w:pPr>
      <w:r w:rsidRPr="00B26344">
        <w:rPr>
          <w:rFonts w:eastAsia="Times New Roman"/>
          <w:lang w:eastAsia="de-DE"/>
        </w:rPr>
        <w:t>« </w:t>
      </w:r>
      <w:r w:rsidR="00BC3C9D" w:rsidRPr="00F94AE7">
        <w:rPr>
          <w:rFonts w:eastAsia="Times New Roman"/>
          <w:b/>
          <w:lang w:eastAsia="fr-FR"/>
        </w:rPr>
        <w:t>2.21</w:t>
      </w:r>
      <w:r w:rsidR="00BC3C9D" w:rsidRPr="00F94AE7">
        <w:rPr>
          <w:rFonts w:eastAsia="Times New Roman"/>
          <w:b/>
          <w:lang w:eastAsia="fr-FR"/>
        </w:rPr>
        <w:tab/>
      </w:r>
      <w:r w:rsidRPr="00B26344">
        <w:rPr>
          <w:rFonts w:eastAsia="Times New Roman"/>
          <w:b/>
          <w:lang w:eastAsia="de-DE"/>
        </w:rPr>
        <w:t>“</w:t>
      </w:r>
      <w:r w:rsidR="00BC3C9D" w:rsidRPr="000E611F">
        <w:rPr>
          <w:rFonts w:eastAsia="Times New Roman"/>
          <w:b/>
          <w:lang w:eastAsia="de-DE"/>
        </w:rPr>
        <w:t>Mode dégradé</w:t>
      </w:r>
      <w:r w:rsidRPr="00B26344">
        <w:rPr>
          <w:rFonts w:eastAsia="Times New Roman"/>
          <w:b/>
          <w:lang w:eastAsia="de-DE"/>
        </w:rPr>
        <w:t>”</w:t>
      </w:r>
      <w:r w:rsidR="00BC3C9D" w:rsidRPr="000E611F">
        <w:rPr>
          <w:rFonts w:eastAsia="Times New Roman"/>
          <w:b/>
          <w:lang w:eastAsia="de-DE"/>
        </w:rPr>
        <w:t>,</w:t>
      </w:r>
      <w:r w:rsidR="00BC3C9D" w:rsidRPr="00F94AE7">
        <w:rPr>
          <w:rFonts w:eastAsia="Times New Roman"/>
          <w:b/>
          <w:lang w:eastAsia="fr-FR"/>
        </w:rPr>
        <w:t xml:space="preserve"> </w:t>
      </w:r>
      <w:r w:rsidR="00BC3C9D" w:rsidRPr="000E611F">
        <w:rPr>
          <w:rFonts w:eastAsia="Times New Roman"/>
          <w:b/>
          <w:lang w:eastAsia="fr-FR"/>
        </w:rPr>
        <w:t>tout mode de défaillance</w:t>
      </w:r>
      <w:r w:rsidR="00BC3C9D">
        <w:rPr>
          <w:rFonts w:eastAsia="Times New Roman"/>
          <w:b/>
          <w:lang w:eastAsia="fr-FR"/>
        </w:rPr>
        <w:t xml:space="preserve"> autre que le m</w:t>
      </w:r>
      <w:r w:rsidR="00BC3C9D" w:rsidRPr="00B3055C">
        <w:rPr>
          <w:rFonts w:eastAsia="Times New Roman"/>
          <w:b/>
          <w:lang w:eastAsia="fr-FR"/>
        </w:rPr>
        <w:t>ode de défaillance au niveau des émissions</w:t>
      </w:r>
      <w:r w:rsidR="00BC3C9D">
        <w:rPr>
          <w:rFonts w:eastAsia="Times New Roman"/>
          <w:b/>
          <w:lang w:eastAsia="fr-FR"/>
        </w:rPr>
        <w:t>.</w:t>
      </w:r>
      <w:r w:rsidR="00C76B34">
        <w:rPr>
          <w:rFonts w:eastAsia="Times New Roman"/>
          <w:b/>
          <w:lang w:eastAsia="de-DE"/>
        </w:rPr>
        <w:t> </w:t>
      </w:r>
      <w:r w:rsidR="00C76B34" w:rsidRPr="00C76B34">
        <w:rPr>
          <w:rFonts w:eastAsia="Times New Roman"/>
          <w:lang w:eastAsia="de-DE"/>
        </w:rPr>
        <w:t>»</w:t>
      </w:r>
      <w:r w:rsidR="00BC3C9D" w:rsidRPr="00C76B34">
        <w:rPr>
          <w:rFonts w:eastAsia="Times New Roman"/>
          <w:lang w:eastAsia="de-DE"/>
        </w:rPr>
        <w:t>.</w:t>
      </w:r>
    </w:p>
    <w:p w14:paraId="06BABA83" w14:textId="77777777" w:rsidR="00BC3C9D" w:rsidRPr="00F94AE7" w:rsidRDefault="00BC3C9D" w:rsidP="00BC3C9D">
      <w:pPr>
        <w:kinsoku/>
        <w:overflowPunct/>
        <w:autoSpaceDE/>
        <w:autoSpaceDN/>
        <w:adjustRightInd/>
        <w:snapToGrid/>
        <w:spacing w:after="120"/>
        <w:ind w:left="1134" w:right="1134"/>
        <w:jc w:val="both"/>
        <w:rPr>
          <w:rFonts w:eastAsia="Times New Roman"/>
          <w:lang w:eastAsia="fr-FR"/>
        </w:rPr>
      </w:pPr>
      <w:r w:rsidRPr="00F058FD">
        <w:rPr>
          <w:rFonts w:eastAsia="Times New Roman"/>
          <w:i/>
          <w:iCs/>
          <w:lang w:eastAsia="de-DE"/>
        </w:rPr>
        <w:t>Annexe</w:t>
      </w:r>
      <w:r w:rsidRPr="00F94AE7">
        <w:rPr>
          <w:rFonts w:eastAsia="Times New Roman"/>
          <w:i/>
          <w:iCs/>
          <w:lang w:eastAsia="de-DE"/>
        </w:rPr>
        <w:t xml:space="preserve"> 11, </w:t>
      </w:r>
      <w:r w:rsidRPr="00F058FD">
        <w:rPr>
          <w:rFonts w:eastAsia="Times New Roman"/>
          <w:i/>
          <w:iCs/>
          <w:lang w:eastAsia="de-DE"/>
        </w:rPr>
        <w:t>paragraphe</w:t>
      </w:r>
      <w:r w:rsidRPr="00F94AE7">
        <w:rPr>
          <w:rFonts w:eastAsia="Times New Roman"/>
          <w:i/>
          <w:iCs/>
          <w:lang w:eastAsia="de-DE"/>
        </w:rPr>
        <w:t xml:space="preserve"> 3.5.1</w:t>
      </w:r>
      <w:r w:rsidRPr="00CC27BD">
        <w:rPr>
          <w:rFonts w:eastAsia="Times New Roman"/>
          <w:iCs/>
          <w:lang w:eastAsia="de-DE"/>
        </w:rPr>
        <w:t>,</w:t>
      </w:r>
      <w:r w:rsidRPr="00F94AE7">
        <w:rPr>
          <w:rFonts w:eastAsia="Times New Roman"/>
          <w:lang w:eastAsia="de-DE"/>
        </w:rPr>
        <w:t xml:space="preserve"> </w:t>
      </w:r>
      <w:r w:rsidRPr="00F058FD">
        <w:rPr>
          <w:rFonts w:eastAsia="Times New Roman"/>
          <w:lang w:eastAsia="de-DE"/>
        </w:rPr>
        <w:t>modifier comme suit</w:t>
      </w:r>
      <w:r w:rsidR="006B28B5">
        <w:rPr>
          <w:rFonts w:eastAsia="Times New Roman"/>
          <w:lang w:eastAsia="de-DE"/>
        </w:rPr>
        <w:t> </w:t>
      </w:r>
      <w:r w:rsidRPr="00F94AE7">
        <w:rPr>
          <w:rFonts w:eastAsia="Times New Roman"/>
          <w:lang w:eastAsia="de-DE"/>
        </w:rPr>
        <w:t>:</w:t>
      </w:r>
    </w:p>
    <w:p w14:paraId="4491F1A1" w14:textId="77777777" w:rsidR="00BC3C9D" w:rsidRPr="00F94AE7" w:rsidRDefault="00B26344" w:rsidP="00B26344">
      <w:pPr>
        <w:pStyle w:val="SingleTxtG"/>
        <w:ind w:left="2268" w:hanging="1134"/>
        <w:rPr>
          <w:rFonts w:eastAsia="Times New Roman"/>
          <w:lang w:eastAsia="de-DE"/>
        </w:rPr>
      </w:pPr>
      <w:r>
        <w:rPr>
          <w:rFonts w:eastAsia="Times New Roman"/>
          <w:lang w:eastAsia="de-DE"/>
        </w:rPr>
        <w:t>« </w:t>
      </w:r>
      <w:r w:rsidR="00BC3C9D" w:rsidRPr="00F94AE7">
        <w:rPr>
          <w:rFonts w:eastAsia="Times New Roman"/>
          <w:lang w:eastAsia="fr-FR"/>
        </w:rPr>
        <w:t>3.5.1</w:t>
      </w:r>
      <w:r w:rsidR="00BC3C9D" w:rsidRPr="00F94AE7">
        <w:rPr>
          <w:rFonts w:eastAsia="Times New Roman"/>
          <w:lang w:eastAsia="fr-FR"/>
        </w:rPr>
        <w:tab/>
      </w:r>
      <w:r w:rsidR="00BC3C9D" w:rsidRPr="00496C6D">
        <w:rPr>
          <w:rFonts w:eastAsia="Times New Roman"/>
          <w:lang w:eastAsia="fr-FR"/>
        </w:rPr>
        <w:t>Le système OBD comprend un témoin de défaillance (TD) que le conducteur du véhicule peut facilement repérer. Le TD n</w:t>
      </w:r>
      <w:r w:rsidR="00BC3C9D">
        <w:rPr>
          <w:rFonts w:eastAsia="Times New Roman"/>
          <w:lang w:eastAsia="fr-FR"/>
        </w:rPr>
        <w:t>’</w:t>
      </w:r>
      <w:r w:rsidR="00BC3C9D" w:rsidRPr="00496C6D">
        <w:rPr>
          <w:rFonts w:eastAsia="Times New Roman"/>
          <w:lang w:eastAsia="fr-FR"/>
        </w:rPr>
        <w:t>est utilisé à aucune autre fin, sauf comme signal de démarrage d</w:t>
      </w:r>
      <w:r w:rsidR="00BC3C9D">
        <w:rPr>
          <w:rFonts w:eastAsia="Times New Roman"/>
          <w:lang w:eastAsia="fr-FR"/>
        </w:rPr>
        <w:t>’</w:t>
      </w:r>
      <w:r w:rsidR="00BC3C9D" w:rsidRPr="00496C6D">
        <w:rPr>
          <w:rFonts w:eastAsia="Times New Roman"/>
          <w:lang w:eastAsia="fr-FR"/>
        </w:rPr>
        <w:t>urgence</w:t>
      </w:r>
      <w:r w:rsidR="00BC3C9D" w:rsidRPr="000E611F">
        <w:rPr>
          <w:rFonts w:eastAsia="Times New Roman"/>
          <w:b/>
          <w:lang w:eastAsia="fr-FR"/>
        </w:rPr>
        <w:t>, de mode de défaillance au niveau des émissions</w:t>
      </w:r>
      <w:r w:rsidR="00BC3C9D" w:rsidRPr="00496C6D">
        <w:rPr>
          <w:rFonts w:eastAsia="Times New Roman"/>
          <w:lang w:eastAsia="fr-FR"/>
        </w:rPr>
        <w:t xml:space="preserve"> ou de mode dégradé. Il doit être visible dans toutes les conditions d</w:t>
      </w:r>
      <w:r w:rsidR="00BC3C9D">
        <w:rPr>
          <w:rFonts w:eastAsia="Times New Roman"/>
          <w:lang w:eastAsia="fr-FR"/>
        </w:rPr>
        <w:t>’</w:t>
      </w:r>
      <w:r w:rsidR="00BC3C9D" w:rsidRPr="00496C6D">
        <w:rPr>
          <w:rFonts w:eastAsia="Times New Roman"/>
          <w:lang w:eastAsia="fr-FR"/>
        </w:rPr>
        <w:t>éclairage raisonnables. Lorsqu</w:t>
      </w:r>
      <w:r w:rsidR="00BC3C9D">
        <w:rPr>
          <w:rFonts w:eastAsia="Times New Roman"/>
          <w:lang w:eastAsia="fr-FR"/>
        </w:rPr>
        <w:t>’</w:t>
      </w:r>
      <w:r w:rsidR="00BC3C9D" w:rsidRPr="00496C6D">
        <w:rPr>
          <w:rFonts w:eastAsia="Times New Roman"/>
          <w:lang w:eastAsia="fr-FR"/>
        </w:rPr>
        <w:t>il est activé, il doit afficher un symbole conforme au modèle prévu par la norme ISO 2575. Un véhicule ne doit pas être équipé de plus d</w:t>
      </w:r>
      <w:r w:rsidR="00BC3C9D">
        <w:rPr>
          <w:rFonts w:eastAsia="Times New Roman"/>
          <w:lang w:eastAsia="fr-FR"/>
        </w:rPr>
        <w:t>’</w:t>
      </w:r>
      <w:r w:rsidR="00BC3C9D" w:rsidRPr="00496C6D">
        <w:rPr>
          <w:rFonts w:eastAsia="Times New Roman"/>
          <w:lang w:eastAsia="fr-FR"/>
        </w:rPr>
        <w:t>un TD d</w:t>
      </w:r>
      <w:r w:rsidR="00BC3C9D">
        <w:rPr>
          <w:rFonts w:eastAsia="Times New Roman"/>
          <w:lang w:eastAsia="fr-FR"/>
        </w:rPr>
        <w:t>’</w:t>
      </w:r>
      <w:r w:rsidR="00BC3C9D" w:rsidRPr="00496C6D">
        <w:rPr>
          <w:rFonts w:eastAsia="Times New Roman"/>
          <w:lang w:eastAsia="fr-FR"/>
        </w:rPr>
        <w:t>usage général pour les problèmes liés aux émissions. Des voyants lumineux distincts à des fins spécifiques (freins, ceinture de sécurité, pression d</w:t>
      </w:r>
      <w:r w:rsidR="00BC3C9D">
        <w:rPr>
          <w:rFonts w:eastAsia="Times New Roman"/>
          <w:lang w:eastAsia="fr-FR"/>
        </w:rPr>
        <w:t>’</w:t>
      </w:r>
      <w:r w:rsidR="00BC3C9D" w:rsidRPr="00496C6D">
        <w:rPr>
          <w:rFonts w:eastAsia="Times New Roman"/>
          <w:lang w:eastAsia="fr-FR"/>
        </w:rPr>
        <w:t>huile, etc.) sont autorisés. L</w:t>
      </w:r>
      <w:r w:rsidR="00BC3C9D">
        <w:rPr>
          <w:rFonts w:eastAsia="Times New Roman"/>
          <w:lang w:eastAsia="fr-FR"/>
        </w:rPr>
        <w:t>’</w:t>
      </w:r>
      <w:r w:rsidR="00BC3C9D" w:rsidRPr="00496C6D">
        <w:rPr>
          <w:rFonts w:eastAsia="Times New Roman"/>
          <w:lang w:eastAsia="fr-FR"/>
        </w:rPr>
        <w:t>utilisation de la couleur rouge est interdite pour le TD.</w:t>
      </w:r>
      <w:r>
        <w:rPr>
          <w:rFonts w:eastAsia="Times New Roman"/>
          <w:lang w:eastAsia="de-DE"/>
        </w:rPr>
        <w:t> »</w:t>
      </w:r>
      <w:r w:rsidR="00BC3C9D">
        <w:rPr>
          <w:rFonts w:eastAsia="Times New Roman"/>
          <w:lang w:eastAsia="de-DE"/>
        </w:rPr>
        <w:t>.</w:t>
      </w:r>
    </w:p>
    <w:p w14:paraId="2DEF969D" w14:textId="77777777" w:rsidR="00BC3C9D" w:rsidRPr="00F94AE7" w:rsidRDefault="00BC3C9D" w:rsidP="00C76B34">
      <w:pPr>
        <w:pStyle w:val="H1G"/>
        <w:rPr>
          <w:lang w:eastAsia="fr-FR"/>
        </w:rPr>
      </w:pPr>
      <w:r w:rsidRPr="00F94AE7">
        <w:rPr>
          <w:lang w:eastAsia="fr-FR"/>
        </w:rPr>
        <w:tab/>
        <w:t>B.</w:t>
      </w:r>
      <w:r w:rsidR="00C76B34">
        <w:rPr>
          <w:lang w:eastAsia="fr-FR"/>
        </w:rPr>
        <w:tab/>
      </w:r>
      <w:r w:rsidRPr="00F94AE7">
        <w:rPr>
          <w:lang w:eastAsia="fr-FR"/>
        </w:rPr>
        <w:t xml:space="preserve">Introduction </w:t>
      </w:r>
      <w:r w:rsidRPr="00B3055C">
        <w:rPr>
          <w:lang w:eastAsia="fr-FR"/>
        </w:rPr>
        <w:t>d</w:t>
      </w:r>
      <w:r>
        <w:rPr>
          <w:lang w:eastAsia="fr-FR"/>
        </w:rPr>
        <w:t>’</w:t>
      </w:r>
      <w:r w:rsidRPr="00B3055C">
        <w:rPr>
          <w:lang w:eastAsia="fr-FR"/>
        </w:rPr>
        <w:t xml:space="preserve">un dénominateur </w:t>
      </w:r>
      <w:r w:rsidRPr="00F94AE7">
        <w:rPr>
          <w:lang w:eastAsia="fr-FR"/>
        </w:rPr>
        <w:t>sp</w:t>
      </w:r>
      <w:r w:rsidRPr="00B3055C">
        <w:rPr>
          <w:lang w:eastAsia="fr-FR"/>
        </w:rPr>
        <w:t>é</w:t>
      </w:r>
      <w:r w:rsidRPr="00F94AE7">
        <w:rPr>
          <w:lang w:eastAsia="fr-FR"/>
        </w:rPr>
        <w:t>cial</w:t>
      </w:r>
    </w:p>
    <w:p w14:paraId="5B71D8CE" w14:textId="77777777" w:rsidR="00BC3C9D" w:rsidRPr="00F94AE7" w:rsidRDefault="00BC3C9D" w:rsidP="00C76B34">
      <w:pPr>
        <w:pStyle w:val="SingleTxtG"/>
        <w:rPr>
          <w:rFonts w:eastAsia="Times New Roman"/>
          <w:lang w:eastAsia="de-DE"/>
        </w:rPr>
      </w:pPr>
      <w:r w:rsidRPr="00F058FD">
        <w:rPr>
          <w:rFonts w:eastAsia="Times New Roman"/>
          <w:i/>
          <w:iCs/>
          <w:lang w:eastAsia="de-DE"/>
        </w:rPr>
        <w:t>Annexe</w:t>
      </w:r>
      <w:r w:rsidRPr="00F94AE7">
        <w:rPr>
          <w:rFonts w:eastAsia="Times New Roman"/>
          <w:i/>
          <w:iCs/>
          <w:lang w:eastAsia="de-DE"/>
        </w:rPr>
        <w:t xml:space="preserve"> 11, </w:t>
      </w:r>
      <w:r>
        <w:rPr>
          <w:rFonts w:eastAsia="Times New Roman"/>
          <w:i/>
          <w:iCs/>
          <w:lang w:eastAsia="de-DE"/>
        </w:rPr>
        <w:t xml:space="preserve">appendice 1, </w:t>
      </w:r>
      <w:r w:rsidRPr="00F058FD">
        <w:rPr>
          <w:rFonts w:eastAsia="Times New Roman"/>
          <w:i/>
          <w:iCs/>
          <w:lang w:eastAsia="de-DE"/>
        </w:rPr>
        <w:t>paragraphe</w:t>
      </w:r>
      <w:r w:rsidRPr="00F94AE7">
        <w:rPr>
          <w:rFonts w:eastAsia="Times New Roman"/>
          <w:i/>
          <w:iCs/>
          <w:lang w:eastAsia="de-DE"/>
        </w:rPr>
        <w:t xml:space="preserve"> 7.3.2</w:t>
      </w:r>
      <w:r w:rsidRPr="00F94AE7">
        <w:rPr>
          <w:rFonts w:eastAsia="Times New Roman"/>
          <w:lang w:eastAsia="de-DE"/>
        </w:rPr>
        <w:t xml:space="preserve">, </w:t>
      </w:r>
      <w:r w:rsidRPr="00F058FD">
        <w:rPr>
          <w:rFonts w:eastAsia="Times New Roman"/>
          <w:lang w:eastAsia="de-DE"/>
        </w:rPr>
        <w:t>modifier comme suit</w:t>
      </w:r>
      <w:r w:rsidR="00C76B34">
        <w:rPr>
          <w:rFonts w:eastAsia="Times New Roman"/>
          <w:lang w:eastAsia="de-DE"/>
        </w:rPr>
        <w:t> </w:t>
      </w:r>
      <w:r w:rsidRPr="00F94AE7">
        <w:rPr>
          <w:rFonts w:eastAsia="Times New Roman"/>
          <w:lang w:eastAsia="de-DE"/>
        </w:rPr>
        <w:t xml:space="preserve">: </w:t>
      </w:r>
    </w:p>
    <w:p w14:paraId="39973386" w14:textId="77777777" w:rsidR="00BC3C9D" w:rsidRPr="00F94AE7" w:rsidRDefault="00C76B34" w:rsidP="00B26344">
      <w:pPr>
        <w:pStyle w:val="SingleTxtG"/>
        <w:ind w:left="2268" w:hanging="1134"/>
        <w:rPr>
          <w:rFonts w:eastAsia="Times New Roman"/>
          <w:lang w:eastAsia="fr-FR"/>
        </w:rPr>
      </w:pPr>
      <w:r>
        <w:rPr>
          <w:rFonts w:eastAsia="Times New Roman"/>
          <w:lang w:eastAsia="de-DE"/>
        </w:rPr>
        <w:t>« </w:t>
      </w:r>
      <w:r w:rsidR="00BC3C9D" w:rsidRPr="00F94AE7">
        <w:rPr>
          <w:rFonts w:eastAsia="Times New Roman"/>
          <w:lang w:eastAsia="de-DE"/>
        </w:rPr>
        <w:t>7.3.2</w:t>
      </w:r>
      <w:r w:rsidR="00BC3C9D" w:rsidRPr="00B3055C">
        <w:rPr>
          <w:rFonts w:eastAsia="Times New Roman"/>
          <w:lang w:eastAsia="de-DE"/>
        </w:rPr>
        <w:tab/>
        <w:t>Outre les exigences visées au paragraphe 7.3.1 ci-dessus</w:t>
      </w:r>
      <w:r w:rsidR="006B28B5">
        <w:rPr>
          <w:rFonts w:eastAsia="Times New Roman"/>
          <w:lang w:eastAsia="de-DE"/>
        </w:rPr>
        <w:t> </w:t>
      </w:r>
      <w:r w:rsidR="00BC3C9D" w:rsidRPr="00F94AE7">
        <w:rPr>
          <w:rFonts w:eastAsia="Times New Roman"/>
          <w:lang w:eastAsia="fr-FR"/>
        </w:rPr>
        <w:t>:</w:t>
      </w:r>
    </w:p>
    <w:p w14:paraId="78A0699A" w14:textId="77777777" w:rsidR="00BC3C9D" w:rsidRPr="00B3055C" w:rsidRDefault="00BC3C9D" w:rsidP="00C76B34">
      <w:pPr>
        <w:pStyle w:val="SingleTxtG"/>
        <w:ind w:left="2835" w:hanging="567"/>
        <w:rPr>
          <w:lang w:val="fr-FR" w:eastAsia="en-GB"/>
        </w:rPr>
      </w:pPr>
      <w:r w:rsidRPr="00F94AE7">
        <w:rPr>
          <w:lang w:eastAsia="en-GB"/>
        </w:rPr>
        <w:t>a)</w:t>
      </w:r>
      <w:r w:rsidRPr="00F94AE7">
        <w:rPr>
          <w:lang w:eastAsia="en-GB"/>
        </w:rPr>
        <w:tab/>
      </w:r>
      <w:r w:rsidRPr="00B3055C">
        <w:rPr>
          <w:lang w:val="fr-FR" w:eastAsia="en-GB"/>
        </w:rPr>
        <w:t>Le(s) dénominateur(s) de la surveillance du système d</w:t>
      </w:r>
      <w:r>
        <w:rPr>
          <w:lang w:val="fr-FR" w:eastAsia="en-GB"/>
        </w:rPr>
        <w:t>’</w:t>
      </w:r>
      <w:r w:rsidRPr="00B3055C">
        <w:rPr>
          <w:lang w:val="fr-FR" w:eastAsia="en-GB"/>
        </w:rPr>
        <w:t>air secondaire doi(ven)t être incrémenté(s) si le système d</w:t>
      </w:r>
      <w:r>
        <w:rPr>
          <w:lang w:val="fr-FR" w:eastAsia="en-GB"/>
        </w:rPr>
        <w:t>’</w:t>
      </w:r>
      <w:r w:rsidRPr="00B3055C">
        <w:rPr>
          <w:lang w:val="fr-FR" w:eastAsia="en-GB"/>
        </w:rPr>
        <w:t>air secondaire est actif pendant au moins 10 s. Aux fins de déterminer la durée active, le système OBD peut ne pas inclure la durée du fonctionnement intrusif du système d</w:t>
      </w:r>
      <w:r>
        <w:rPr>
          <w:lang w:val="fr-FR" w:eastAsia="en-GB"/>
        </w:rPr>
        <w:t>’</w:t>
      </w:r>
      <w:r w:rsidRPr="00B3055C">
        <w:rPr>
          <w:lang w:val="fr-FR" w:eastAsia="en-GB"/>
        </w:rPr>
        <w:t>air secondaire aux seules fins de surveillance</w:t>
      </w:r>
      <w:r w:rsidR="008575D2">
        <w:rPr>
          <w:lang w:val="fr-FR" w:eastAsia="en-GB"/>
        </w:rPr>
        <w:t> </w:t>
      </w:r>
      <w:r w:rsidRPr="00B3055C">
        <w:rPr>
          <w:lang w:val="fr-FR" w:eastAsia="en-GB"/>
        </w:rPr>
        <w:t>;</w:t>
      </w:r>
    </w:p>
    <w:p w14:paraId="3D00358D" w14:textId="77777777" w:rsidR="00BC3C9D" w:rsidRPr="00B3055C" w:rsidRDefault="00BC3C9D" w:rsidP="00C76B34">
      <w:pPr>
        <w:pStyle w:val="SingleTxtG"/>
        <w:ind w:left="2835" w:hanging="567"/>
        <w:rPr>
          <w:rFonts w:eastAsia="Times New Roman"/>
          <w:lang w:val="fr-FR" w:eastAsia="en-GB"/>
        </w:rPr>
      </w:pPr>
      <w:r w:rsidRPr="00F94AE7">
        <w:rPr>
          <w:rFonts w:eastAsia="Times New Roman"/>
          <w:lang w:eastAsia="en-GB"/>
        </w:rPr>
        <w:t>b)</w:t>
      </w:r>
      <w:r w:rsidRPr="00F94AE7">
        <w:rPr>
          <w:rFonts w:eastAsia="Times New Roman"/>
          <w:lang w:eastAsia="en-GB"/>
        </w:rPr>
        <w:tab/>
      </w:r>
      <w:r w:rsidRPr="00B3055C">
        <w:rPr>
          <w:rFonts w:eastAsia="Times New Roman"/>
          <w:lang w:val="fr-FR" w:eastAsia="en-GB"/>
        </w:rPr>
        <w:t xml:space="preserve">Les dénominateurs des surveillances des systèmes opérant uniquement au cours du démarrage à froid doivent être incrémentés si le composant ou la stratégie est sur </w:t>
      </w:r>
      <w:r w:rsidR="006B28B5" w:rsidRPr="006B28B5">
        <w:rPr>
          <w:rFonts w:eastAsia="Times New Roman"/>
          <w:lang w:eastAsia="en-GB"/>
        </w:rPr>
        <w:t>“</w:t>
      </w:r>
      <w:r w:rsidRPr="00B3055C">
        <w:rPr>
          <w:rFonts w:eastAsia="Times New Roman"/>
          <w:lang w:val="fr-FR" w:eastAsia="en-GB"/>
        </w:rPr>
        <w:t>on</w:t>
      </w:r>
      <w:r w:rsidR="006B28B5" w:rsidRPr="006B28B5">
        <w:rPr>
          <w:rFonts w:eastAsia="Times New Roman"/>
          <w:lang w:eastAsia="en-GB"/>
        </w:rPr>
        <w:t>”</w:t>
      </w:r>
      <w:r w:rsidRPr="00B3055C">
        <w:rPr>
          <w:rFonts w:eastAsia="Times New Roman"/>
          <w:lang w:val="fr-FR" w:eastAsia="en-GB"/>
        </w:rPr>
        <w:t xml:space="preserve"> pendant au moins 10 s</w:t>
      </w:r>
      <w:r w:rsidR="008575D2">
        <w:rPr>
          <w:rFonts w:eastAsia="Times New Roman"/>
          <w:lang w:val="fr-FR" w:eastAsia="en-GB"/>
        </w:rPr>
        <w:t> </w:t>
      </w:r>
      <w:r w:rsidRPr="00B3055C">
        <w:rPr>
          <w:rFonts w:eastAsia="Times New Roman"/>
          <w:lang w:val="fr-FR" w:eastAsia="en-GB"/>
        </w:rPr>
        <w:t>;</w:t>
      </w:r>
    </w:p>
    <w:p w14:paraId="4C133EC2" w14:textId="77777777" w:rsidR="00BC3C9D" w:rsidRPr="00B3055C" w:rsidRDefault="00BC3C9D" w:rsidP="00C76B34">
      <w:pPr>
        <w:pStyle w:val="SingleTxtG"/>
        <w:ind w:left="2835" w:hanging="567"/>
        <w:rPr>
          <w:rFonts w:eastAsia="Times New Roman"/>
          <w:lang w:val="fr-FR" w:eastAsia="en-GB"/>
        </w:rPr>
      </w:pPr>
      <w:r w:rsidRPr="00F94AE7">
        <w:rPr>
          <w:rFonts w:eastAsia="Times New Roman"/>
          <w:lang w:eastAsia="en-GB"/>
        </w:rPr>
        <w:t>c)</w:t>
      </w:r>
      <w:r w:rsidRPr="00F94AE7">
        <w:rPr>
          <w:rFonts w:eastAsia="Times New Roman"/>
          <w:lang w:eastAsia="en-GB"/>
        </w:rPr>
        <w:tab/>
      </w:r>
      <w:r w:rsidRPr="00B3055C">
        <w:rPr>
          <w:rFonts w:eastAsia="Times New Roman"/>
          <w:lang w:val="fr-FR" w:eastAsia="en-GB"/>
        </w:rPr>
        <w:t xml:space="preserve">Le(s) dénominateur(s) des surveillances de la distribution à calage variable (VVT) et/ou systèmes de commande doi(ven)t être incrémenté(s) si le composant fonctionne (par exemple, position </w:t>
      </w:r>
      <w:r w:rsidR="006B28B5" w:rsidRPr="006B28B5">
        <w:rPr>
          <w:rFonts w:eastAsia="Times New Roman"/>
          <w:lang w:eastAsia="en-GB"/>
        </w:rPr>
        <w:t>“</w:t>
      </w:r>
      <w:r w:rsidRPr="00B3055C">
        <w:rPr>
          <w:rFonts w:eastAsia="Times New Roman"/>
          <w:lang w:val="fr-FR" w:eastAsia="en-GB"/>
        </w:rPr>
        <w:t>on</w:t>
      </w:r>
      <w:r w:rsidR="00DF6747" w:rsidRPr="006B28B5">
        <w:rPr>
          <w:rFonts w:eastAsia="Times New Roman"/>
          <w:lang w:eastAsia="en-GB"/>
        </w:rPr>
        <w:t>”</w:t>
      </w:r>
      <w:r w:rsidRPr="00B3055C">
        <w:rPr>
          <w:rFonts w:eastAsia="Times New Roman"/>
          <w:lang w:val="fr-FR" w:eastAsia="en-GB"/>
        </w:rPr>
        <w:t xml:space="preserve">, </w:t>
      </w:r>
      <w:r w:rsidR="006B28B5" w:rsidRPr="006B28B5">
        <w:rPr>
          <w:rFonts w:eastAsia="Times New Roman"/>
          <w:lang w:eastAsia="en-GB"/>
        </w:rPr>
        <w:t>“</w:t>
      </w:r>
      <w:r w:rsidRPr="00B3055C">
        <w:rPr>
          <w:rFonts w:eastAsia="Times New Roman"/>
          <w:lang w:val="fr-FR" w:eastAsia="en-GB"/>
        </w:rPr>
        <w:t>ouvert</w:t>
      </w:r>
      <w:r w:rsidR="006B28B5" w:rsidRPr="006B28B5">
        <w:rPr>
          <w:rFonts w:eastAsia="Times New Roman"/>
          <w:lang w:eastAsia="en-GB"/>
        </w:rPr>
        <w:t>”</w:t>
      </w:r>
      <w:r w:rsidRPr="00B3055C">
        <w:rPr>
          <w:rFonts w:eastAsia="Times New Roman"/>
          <w:lang w:val="fr-FR" w:eastAsia="en-GB"/>
        </w:rPr>
        <w:t xml:space="preserve">, </w:t>
      </w:r>
      <w:r w:rsidR="006B28B5" w:rsidRPr="006B28B5">
        <w:rPr>
          <w:rFonts w:eastAsia="Times New Roman"/>
          <w:lang w:eastAsia="en-GB"/>
        </w:rPr>
        <w:t>“</w:t>
      </w:r>
      <w:r w:rsidRPr="00B3055C">
        <w:rPr>
          <w:rFonts w:eastAsia="Times New Roman"/>
          <w:lang w:val="fr-FR" w:eastAsia="en-GB"/>
        </w:rPr>
        <w:t>fermé</w:t>
      </w:r>
      <w:r w:rsidR="006B28B5" w:rsidRPr="006B28B5">
        <w:rPr>
          <w:rFonts w:eastAsia="Times New Roman"/>
          <w:lang w:eastAsia="en-GB"/>
        </w:rPr>
        <w:t>”</w:t>
      </w:r>
      <w:r w:rsidRPr="00B3055C">
        <w:rPr>
          <w:rFonts w:eastAsia="Times New Roman"/>
          <w:lang w:val="fr-FR" w:eastAsia="en-GB"/>
        </w:rPr>
        <w:t xml:space="preserve">, </w:t>
      </w:r>
      <w:r w:rsidR="006B28B5" w:rsidRPr="006B28B5">
        <w:rPr>
          <w:rFonts w:eastAsia="Times New Roman"/>
          <w:lang w:eastAsia="en-GB"/>
        </w:rPr>
        <w:t>“</w:t>
      </w:r>
      <w:r w:rsidRPr="00B3055C">
        <w:rPr>
          <w:rFonts w:eastAsia="Times New Roman"/>
          <w:lang w:val="fr-FR" w:eastAsia="en-GB"/>
        </w:rPr>
        <w:t>verrouillé</w:t>
      </w:r>
      <w:r w:rsidR="006B28B5" w:rsidRPr="006B28B5">
        <w:rPr>
          <w:rFonts w:eastAsia="Times New Roman"/>
          <w:lang w:eastAsia="en-GB"/>
        </w:rPr>
        <w:t>”</w:t>
      </w:r>
      <w:r w:rsidRPr="00B3055C">
        <w:rPr>
          <w:rFonts w:eastAsia="Times New Roman"/>
          <w:lang w:val="fr-FR" w:eastAsia="en-GB"/>
        </w:rPr>
        <w:t>, etc.) à deux reprises ou plus au cours du cycle de conduite ou pendant au moins 10 s selon celui de ces deux événements qui se produit le premier</w:t>
      </w:r>
      <w:r w:rsidR="008575D2">
        <w:rPr>
          <w:rFonts w:eastAsia="Times New Roman"/>
          <w:lang w:val="fr-FR" w:eastAsia="en-GB"/>
        </w:rPr>
        <w:t> </w:t>
      </w:r>
      <w:r w:rsidRPr="00B3055C">
        <w:rPr>
          <w:rFonts w:eastAsia="Times New Roman"/>
          <w:lang w:val="fr-FR" w:eastAsia="en-GB"/>
        </w:rPr>
        <w:t>;</w:t>
      </w:r>
      <w:r w:rsidR="008575D2">
        <w:rPr>
          <w:rFonts w:eastAsia="Times New Roman"/>
          <w:lang w:val="fr-FR" w:eastAsia="en-GB"/>
        </w:rPr>
        <w:t xml:space="preserve"> </w:t>
      </w:r>
    </w:p>
    <w:p w14:paraId="195B7ED5" w14:textId="77777777" w:rsidR="00BC3C9D" w:rsidRPr="001A58FC" w:rsidRDefault="00BC3C9D" w:rsidP="00C76B34">
      <w:pPr>
        <w:pStyle w:val="SingleTxtG"/>
        <w:ind w:left="2835" w:hanging="567"/>
        <w:rPr>
          <w:rFonts w:eastAsia="Times New Roman"/>
          <w:lang w:eastAsia="en-GB"/>
        </w:rPr>
      </w:pPr>
      <w:r w:rsidRPr="001A58FC">
        <w:rPr>
          <w:rFonts w:eastAsia="Times New Roman"/>
          <w:lang w:eastAsia="en-GB"/>
        </w:rPr>
        <w:t>d)</w:t>
      </w:r>
      <w:r w:rsidRPr="001A58FC">
        <w:rPr>
          <w:rFonts w:eastAsia="Times New Roman"/>
          <w:lang w:eastAsia="en-GB"/>
        </w:rPr>
        <w:tab/>
        <w:t>Pour les surveillances ci-dessous, le ou les dénominateurs doi(ven)t être incrémenté(s) d</w:t>
      </w:r>
      <w:r>
        <w:rPr>
          <w:rFonts w:eastAsia="Times New Roman"/>
          <w:lang w:eastAsia="en-GB"/>
        </w:rPr>
        <w:t>’</w:t>
      </w:r>
      <w:r w:rsidRPr="001A58FC">
        <w:rPr>
          <w:rFonts w:eastAsia="Times New Roman"/>
          <w:lang w:eastAsia="en-GB"/>
        </w:rPr>
        <w:t>une unité si, outre le fait de satisfaire aux prescriptions du présent paragraphe au cours d</w:t>
      </w:r>
      <w:r>
        <w:rPr>
          <w:rFonts w:eastAsia="Times New Roman"/>
          <w:lang w:eastAsia="en-GB"/>
        </w:rPr>
        <w:t>’</w:t>
      </w:r>
      <w:r w:rsidRPr="001A58FC">
        <w:rPr>
          <w:rFonts w:eastAsia="Times New Roman"/>
          <w:lang w:eastAsia="en-GB"/>
        </w:rPr>
        <w:t>un cycle de conduite au moins, le véhicule a parcouru au moins 800 km cumulés depuis la dernière incrémentation du dénominateur</w:t>
      </w:r>
      <w:r w:rsidR="00E2001C">
        <w:rPr>
          <w:rFonts w:eastAsia="Times New Roman"/>
          <w:lang w:eastAsia="en-GB"/>
        </w:rPr>
        <w:t> </w:t>
      </w:r>
      <w:r w:rsidRPr="001A58FC">
        <w:rPr>
          <w:rFonts w:eastAsia="Times New Roman"/>
          <w:lang w:eastAsia="en-GB"/>
        </w:rPr>
        <w:t>:</w:t>
      </w:r>
    </w:p>
    <w:p w14:paraId="661D6980" w14:textId="77777777" w:rsidR="00BC3C9D" w:rsidRPr="00F94AE7" w:rsidRDefault="00BC3C9D" w:rsidP="00C76B34">
      <w:pPr>
        <w:pStyle w:val="SingleTxtG"/>
        <w:ind w:left="3402" w:hanging="567"/>
        <w:rPr>
          <w:rFonts w:eastAsia="Times New Roman"/>
          <w:lang w:eastAsia="fr-FR"/>
        </w:rPr>
      </w:pPr>
      <w:r w:rsidRPr="00F94AE7">
        <w:rPr>
          <w:rFonts w:eastAsia="Times New Roman"/>
          <w:bCs/>
          <w:lang w:eastAsia="en-GB"/>
        </w:rPr>
        <w:t>i)</w:t>
      </w:r>
      <w:r w:rsidRPr="00F94AE7">
        <w:rPr>
          <w:rFonts w:eastAsia="Times New Roman"/>
          <w:bCs/>
          <w:lang w:eastAsia="en-GB"/>
        </w:rPr>
        <w:tab/>
      </w:r>
      <w:r w:rsidRPr="00B3055C">
        <w:rPr>
          <w:rFonts w:eastAsia="Times New Roman"/>
          <w:bCs/>
          <w:lang w:eastAsia="en-GB"/>
        </w:rPr>
        <w:t>Catalyseur d</w:t>
      </w:r>
      <w:r>
        <w:rPr>
          <w:rFonts w:eastAsia="Times New Roman"/>
          <w:bCs/>
          <w:lang w:eastAsia="en-GB"/>
        </w:rPr>
        <w:t>’</w:t>
      </w:r>
      <w:r w:rsidRPr="00B3055C">
        <w:rPr>
          <w:rFonts w:eastAsia="Times New Roman"/>
          <w:bCs/>
          <w:lang w:eastAsia="en-GB"/>
        </w:rPr>
        <w:t>oxydation diesel</w:t>
      </w:r>
      <w:r w:rsidR="00E2001C">
        <w:rPr>
          <w:rFonts w:eastAsia="Times New Roman"/>
          <w:bCs/>
          <w:lang w:eastAsia="en-GB"/>
        </w:rPr>
        <w:t> </w:t>
      </w:r>
      <w:r w:rsidRPr="00F94AE7">
        <w:rPr>
          <w:rFonts w:eastAsia="Times New Roman"/>
          <w:lang w:eastAsia="fr-FR"/>
        </w:rPr>
        <w:t>;</w:t>
      </w:r>
    </w:p>
    <w:p w14:paraId="11652F37" w14:textId="77777777" w:rsidR="00BC3C9D" w:rsidRPr="00F94AE7" w:rsidRDefault="00BC3C9D" w:rsidP="00C76B34">
      <w:pPr>
        <w:pStyle w:val="SingleTxtG"/>
        <w:ind w:left="3402" w:hanging="567"/>
        <w:rPr>
          <w:rFonts w:eastAsia="Times New Roman"/>
          <w:bCs/>
          <w:lang w:eastAsia="en-GB"/>
        </w:rPr>
      </w:pPr>
      <w:r w:rsidRPr="00F94AE7">
        <w:rPr>
          <w:rFonts w:eastAsia="Times New Roman"/>
          <w:lang w:eastAsia="fr-FR"/>
        </w:rPr>
        <w:t>ii)</w:t>
      </w:r>
      <w:r w:rsidRPr="00F94AE7">
        <w:rPr>
          <w:rFonts w:eastAsia="Times New Roman"/>
          <w:lang w:eastAsia="fr-FR"/>
        </w:rPr>
        <w:tab/>
      </w:r>
      <w:r w:rsidRPr="00B3055C">
        <w:rPr>
          <w:rFonts w:eastAsia="Times New Roman"/>
          <w:lang w:eastAsia="fr-FR"/>
        </w:rPr>
        <w:t>Filtre à particules diesel</w:t>
      </w:r>
      <w:r w:rsidR="00E2001C">
        <w:rPr>
          <w:rFonts w:eastAsia="Times New Roman"/>
          <w:lang w:eastAsia="fr-FR"/>
        </w:rPr>
        <w:t> </w:t>
      </w:r>
      <w:r>
        <w:rPr>
          <w:rFonts w:eastAsia="Times New Roman"/>
          <w:lang w:eastAsia="fr-FR"/>
        </w:rPr>
        <w:t>;</w:t>
      </w:r>
    </w:p>
    <w:p w14:paraId="71D1110B" w14:textId="77777777" w:rsidR="00BC3C9D" w:rsidRPr="00B3055C" w:rsidRDefault="00BC3C9D" w:rsidP="00C76B34">
      <w:pPr>
        <w:pStyle w:val="SingleTxtG"/>
        <w:ind w:left="2835" w:hanging="567"/>
        <w:rPr>
          <w:rFonts w:eastAsia="Times New Roman"/>
          <w:lang w:val="fr-FR" w:eastAsia="fr-FR"/>
        </w:rPr>
      </w:pPr>
      <w:r w:rsidRPr="00F94AE7">
        <w:rPr>
          <w:rFonts w:eastAsia="Times New Roman"/>
          <w:lang w:eastAsia="fr-FR"/>
        </w:rPr>
        <w:t>e)</w:t>
      </w:r>
      <w:r w:rsidRPr="00F94AE7">
        <w:rPr>
          <w:rFonts w:eastAsia="Times New Roman"/>
          <w:lang w:eastAsia="fr-FR"/>
        </w:rPr>
        <w:tab/>
      </w:r>
      <w:r w:rsidRPr="00B3055C">
        <w:rPr>
          <w:rFonts w:eastAsia="Times New Roman"/>
          <w:lang w:val="fr-FR" w:eastAsia="fr-FR"/>
        </w:rPr>
        <w:t>Sans préjudice des prescriptions relatives à l</w:t>
      </w:r>
      <w:r>
        <w:rPr>
          <w:rFonts w:eastAsia="Times New Roman"/>
          <w:lang w:val="fr-FR" w:eastAsia="fr-FR"/>
        </w:rPr>
        <w:t>’</w:t>
      </w:r>
      <w:r w:rsidRPr="00B3055C">
        <w:rPr>
          <w:rFonts w:eastAsia="Times New Roman"/>
          <w:lang w:val="fr-FR" w:eastAsia="fr-FR"/>
        </w:rPr>
        <w:t>incrémentation des dénominateurs d</w:t>
      </w:r>
      <w:r>
        <w:rPr>
          <w:rFonts w:eastAsia="Times New Roman"/>
          <w:lang w:val="fr-FR" w:eastAsia="fr-FR"/>
        </w:rPr>
        <w:t>’</w:t>
      </w:r>
      <w:r w:rsidRPr="00B3055C">
        <w:rPr>
          <w:rFonts w:eastAsia="Times New Roman"/>
          <w:lang w:val="fr-FR" w:eastAsia="fr-FR"/>
        </w:rPr>
        <w:t>autres surveillances, les dénominateurs des surveillances ci-après doivent être incrémentés si, et seulement si, le cycle de conduite a débuté par un démarrage à froid</w:t>
      </w:r>
      <w:r w:rsidR="00E2001C">
        <w:rPr>
          <w:rFonts w:eastAsia="Times New Roman"/>
          <w:lang w:val="fr-FR" w:eastAsia="fr-FR"/>
        </w:rPr>
        <w:t> </w:t>
      </w:r>
      <w:r w:rsidRPr="00B3055C">
        <w:rPr>
          <w:rFonts w:eastAsia="Times New Roman"/>
          <w:lang w:val="fr-FR" w:eastAsia="fr-FR"/>
        </w:rPr>
        <w:t>:</w:t>
      </w:r>
    </w:p>
    <w:p w14:paraId="7C87B872" w14:textId="77777777" w:rsidR="00BC3C9D" w:rsidRPr="00F94AE7" w:rsidRDefault="00BC3C9D" w:rsidP="00C76B34">
      <w:pPr>
        <w:pStyle w:val="SingleTxtG"/>
        <w:ind w:left="3402" w:hanging="567"/>
        <w:rPr>
          <w:lang w:eastAsia="fr-FR"/>
        </w:rPr>
      </w:pPr>
      <w:r w:rsidRPr="00F94AE7">
        <w:rPr>
          <w:lang w:eastAsia="fr-FR"/>
        </w:rPr>
        <w:t>i)</w:t>
      </w:r>
      <w:r w:rsidRPr="00F94AE7">
        <w:rPr>
          <w:lang w:eastAsia="fr-FR"/>
        </w:rPr>
        <w:tab/>
      </w:r>
      <w:r w:rsidRPr="00B3055C">
        <w:rPr>
          <w:lang w:eastAsia="fr-FR"/>
        </w:rPr>
        <w:t>Capteurs de température des liquides (huile, liquide de refroidissement, carburant, réactif de RCS)</w:t>
      </w:r>
      <w:r w:rsidR="00E2001C">
        <w:rPr>
          <w:lang w:eastAsia="fr-FR"/>
        </w:rPr>
        <w:t> </w:t>
      </w:r>
      <w:r w:rsidRPr="00B3055C">
        <w:rPr>
          <w:lang w:eastAsia="fr-FR"/>
        </w:rPr>
        <w:t>;</w:t>
      </w:r>
    </w:p>
    <w:p w14:paraId="7DBBEB84" w14:textId="77777777" w:rsidR="00BC3C9D" w:rsidRPr="00F94AE7" w:rsidRDefault="00BC3C9D" w:rsidP="00C76B34">
      <w:pPr>
        <w:pStyle w:val="SingleTxtG"/>
        <w:ind w:left="3402" w:hanging="567"/>
        <w:rPr>
          <w:rFonts w:eastAsia="Times New Roman"/>
          <w:lang w:eastAsia="fr-FR"/>
        </w:rPr>
      </w:pPr>
      <w:r w:rsidRPr="00F94AE7">
        <w:rPr>
          <w:rFonts w:eastAsia="Times New Roman"/>
          <w:lang w:eastAsia="fr-FR"/>
        </w:rPr>
        <w:t>ii</w:t>
      </w:r>
      <w:r w:rsidR="003C0D12">
        <w:rPr>
          <w:rFonts w:eastAsia="Times New Roman"/>
          <w:lang w:eastAsia="fr-FR"/>
        </w:rPr>
        <w:t>)</w:t>
      </w:r>
      <w:r w:rsidRPr="00F94AE7">
        <w:rPr>
          <w:rFonts w:eastAsia="Times New Roman"/>
          <w:lang w:eastAsia="fr-FR"/>
        </w:rPr>
        <w:tab/>
      </w:r>
      <w:r w:rsidRPr="00B3055C">
        <w:rPr>
          <w:rFonts w:eastAsia="Times New Roman"/>
          <w:lang w:eastAsia="fr-FR"/>
        </w:rPr>
        <w:t>Capteurs de température d</w:t>
      </w:r>
      <w:r>
        <w:rPr>
          <w:rFonts w:eastAsia="Times New Roman"/>
          <w:lang w:eastAsia="fr-FR"/>
        </w:rPr>
        <w:t>’</w:t>
      </w:r>
      <w:r w:rsidRPr="00B3055C">
        <w:rPr>
          <w:rFonts w:eastAsia="Times New Roman"/>
          <w:lang w:eastAsia="fr-FR"/>
        </w:rPr>
        <w:t>air propre (air ambiant, air d</w:t>
      </w:r>
      <w:r>
        <w:rPr>
          <w:rFonts w:eastAsia="Times New Roman"/>
          <w:lang w:eastAsia="fr-FR"/>
        </w:rPr>
        <w:t>’</w:t>
      </w:r>
      <w:r w:rsidRPr="00B3055C">
        <w:rPr>
          <w:rFonts w:eastAsia="Times New Roman"/>
          <w:lang w:eastAsia="fr-FR"/>
        </w:rPr>
        <w:t>admission, air de suralimentation, collecteur d</w:t>
      </w:r>
      <w:r>
        <w:rPr>
          <w:rFonts w:eastAsia="Times New Roman"/>
          <w:lang w:eastAsia="fr-FR"/>
        </w:rPr>
        <w:t>’</w:t>
      </w:r>
      <w:r w:rsidRPr="00B3055C">
        <w:rPr>
          <w:rFonts w:eastAsia="Times New Roman"/>
          <w:lang w:eastAsia="fr-FR"/>
        </w:rPr>
        <w:t>admission)</w:t>
      </w:r>
      <w:r w:rsidR="00E2001C">
        <w:rPr>
          <w:rFonts w:eastAsia="Times New Roman"/>
          <w:lang w:eastAsia="fr-FR"/>
        </w:rPr>
        <w:t> </w:t>
      </w:r>
      <w:r w:rsidRPr="00B3055C">
        <w:rPr>
          <w:rFonts w:eastAsia="Times New Roman"/>
          <w:lang w:eastAsia="fr-FR"/>
        </w:rPr>
        <w:t>;</w:t>
      </w:r>
    </w:p>
    <w:p w14:paraId="2D471BC5" w14:textId="77777777" w:rsidR="00BC3C9D" w:rsidRPr="00F94AE7" w:rsidRDefault="00BC3C9D" w:rsidP="00C76B34">
      <w:pPr>
        <w:pStyle w:val="SingleTxtG"/>
        <w:ind w:left="3402" w:hanging="567"/>
        <w:rPr>
          <w:rFonts w:eastAsia="Times New Roman"/>
          <w:lang w:eastAsia="fr-FR"/>
        </w:rPr>
      </w:pPr>
      <w:r w:rsidRPr="00F94AE7">
        <w:rPr>
          <w:rFonts w:eastAsia="Times New Roman"/>
          <w:lang w:eastAsia="fr-FR"/>
        </w:rPr>
        <w:t>iii)</w:t>
      </w:r>
      <w:r w:rsidRPr="00F94AE7">
        <w:rPr>
          <w:rFonts w:eastAsia="Times New Roman"/>
          <w:lang w:eastAsia="fr-FR"/>
        </w:rPr>
        <w:tab/>
      </w:r>
      <w:r w:rsidRPr="00B3055C">
        <w:rPr>
          <w:rFonts w:eastAsia="Times New Roman"/>
          <w:lang w:eastAsia="fr-FR"/>
        </w:rPr>
        <w:t>Capteurs de température à l</w:t>
      </w:r>
      <w:r>
        <w:rPr>
          <w:rFonts w:eastAsia="Times New Roman"/>
          <w:lang w:eastAsia="fr-FR"/>
        </w:rPr>
        <w:t>’</w:t>
      </w:r>
      <w:r w:rsidRPr="00B3055C">
        <w:rPr>
          <w:rFonts w:eastAsia="Times New Roman"/>
          <w:lang w:eastAsia="fr-FR"/>
        </w:rPr>
        <w:t>échappement (recyclage/</w:t>
      </w:r>
      <w:r w:rsidR="00CC27BD">
        <w:rPr>
          <w:rFonts w:eastAsia="Times New Roman"/>
          <w:lang w:eastAsia="fr-FR"/>
        </w:rPr>
        <w:t xml:space="preserve"> </w:t>
      </w:r>
      <w:r w:rsidRPr="00B3055C">
        <w:rPr>
          <w:rFonts w:eastAsia="Times New Roman"/>
          <w:lang w:eastAsia="fr-FR"/>
        </w:rPr>
        <w:t>refroidissement des gaz d</w:t>
      </w:r>
      <w:r>
        <w:rPr>
          <w:rFonts w:eastAsia="Times New Roman"/>
          <w:lang w:eastAsia="fr-FR"/>
        </w:rPr>
        <w:t>’</w:t>
      </w:r>
      <w:r w:rsidRPr="00B3055C">
        <w:rPr>
          <w:rFonts w:eastAsia="Times New Roman"/>
          <w:lang w:eastAsia="fr-FR"/>
        </w:rPr>
        <w:t>échappement, turbocompression des gaz d</w:t>
      </w:r>
      <w:r>
        <w:rPr>
          <w:rFonts w:eastAsia="Times New Roman"/>
          <w:lang w:eastAsia="fr-FR"/>
        </w:rPr>
        <w:t>’</w:t>
      </w:r>
      <w:r w:rsidRPr="00B3055C">
        <w:rPr>
          <w:rFonts w:eastAsia="Times New Roman"/>
          <w:lang w:eastAsia="fr-FR"/>
        </w:rPr>
        <w:t>échappement, catalyseur)</w:t>
      </w:r>
      <w:r w:rsidR="00E2001C">
        <w:rPr>
          <w:rFonts w:eastAsia="Times New Roman"/>
          <w:lang w:eastAsia="fr-FR"/>
        </w:rPr>
        <w:t> </w:t>
      </w:r>
      <w:r w:rsidRPr="00B3055C">
        <w:rPr>
          <w:rFonts w:eastAsia="Times New Roman"/>
          <w:lang w:eastAsia="fr-FR"/>
        </w:rPr>
        <w:t>;</w:t>
      </w:r>
    </w:p>
    <w:p w14:paraId="1C010EF0" w14:textId="77777777" w:rsidR="00BC3C9D" w:rsidRPr="00F94AE7" w:rsidRDefault="00BC3C9D" w:rsidP="00C76B34">
      <w:pPr>
        <w:pStyle w:val="SingleTxtG"/>
        <w:ind w:left="2835" w:hanging="567"/>
        <w:rPr>
          <w:rFonts w:eastAsia="Times New Roman"/>
          <w:lang w:eastAsia="fr-FR"/>
        </w:rPr>
      </w:pPr>
      <w:r w:rsidRPr="00F94AE7">
        <w:rPr>
          <w:rFonts w:eastAsia="Times New Roman"/>
          <w:lang w:eastAsia="fr-FR"/>
        </w:rPr>
        <w:t>f)</w:t>
      </w:r>
      <w:r w:rsidRPr="00F94AE7">
        <w:rPr>
          <w:rFonts w:eastAsia="Times New Roman"/>
          <w:lang w:eastAsia="fr-FR"/>
        </w:rPr>
        <w:tab/>
      </w:r>
      <w:r w:rsidRPr="00B3055C">
        <w:rPr>
          <w:rFonts w:eastAsia="Times New Roman"/>
          <w:lang w:eastAsia="fr-FR"/>
        </w:rPr>
        <w:t>Les dénominateurs des surveillances du système de commande de la pression de suralimentation doivent être incrémentés si toutes les conditions suivantes sont réunies</w:t>
      </w:r>
      <w:r w:rsidR="00E2001C">
        <w:rPr>
          <w:rFonts w:eastAsia="Times New Roman"/>
          <w:lang w:eastAsia="fr-FR"/>
        </w:rPr>
        <w:t> </w:t>
      </w:r>
      <w:r w:rsidRPr="00F94AE7">
        <w:rPr>
          <w:rFonts w:eastAsia="Times New Roman"/>
          <w:lang w:eastAsia="fr-FR"/>
        </w:rPr>
        <w:t>:</w:t>
      </w:r>
    </w:p>
    <w:p w14:paraId="6FA6D3C4" w14:textId="77777777" w:rsidR="00BC3C9D" w:rsidRPr="00F94AE7" w:rsidRDefault="00BC3C9D" w:rsidP="00C76B34">
      <w:pPr>
        <w:pStyle w:val="SingleTxtG"/>
        <w:ind w:left="3402" w:hanging="567"/>
        <w:rPr>
          <w:rFonts w:eastAsia="Times New Roman"/>
          <w:lang w:eastAsia="fr-FR"/>
        </w:rPr>
      </w:pPr>
      <w:r w:rsidRPr="00F94AE7">
        <w:rPr>
          <w:rFonts w:eastAsia="Times New Roman"/>
          <w:lang w:eastAsia="fr-FR"/>
        </w:rPr>
        <w:t>i)</w:t>
      </w:r>
      <w:r w:rsidRPr="00F94AE7">
        <w:rPr>
          <w:rFonts w:eastAsia="Times New Roman"/>
          <w:lang w:eastAsia="fr-FR"/>
        </w:rPr>
        <w:tab/>
      </w:r>
      <w:r w:rsidRPr="00B3055C">
        <w:rPr>
          <w:rFonts w:eastAsia="Times New Roman"/>
          <w:lang w:eastAsia="fr-FR"/>
        </w:rPr>
        <w:t>Les conditions applicables au dénominateur général sont remplies</w:t>
      </w:r>
      <w:r w:rsidR="00E2001C">
        <w:rPr>
          <w:rFonts w:eastAsia="Times New Roman"/>
          <w:lang w:eastAsia="fr-FR"/>
        </w:rPr>
        <w:t> </w:t>
      </w:r>
      <w:r w:rsidRPr="00B3055C">
        <w:rPr>
          <w:rFonts w:eastAsia="Times New Roman"/>
          <w:lang w:eastAsia="fr-FR"/>
        </w:rPr>
        <w:t>;</w:t>
      </w:r>
    </w:p>
    <w:p w14:paraId="6E170A73" w14:textId="77777777" w:rsidR="00BC3C9D" w:rsidRPr="00F94AE7" w:rsidRDefault="00BC3C9D" w:rsidP="00C76B34">
      <w:pPr>
        <w:pStyle w:val="SingleTxtG"/>
        <w:ind w:left="3402" w:hanging="567"/>
        <w:rPr>
          <w:rFonts w:eastAsia="Times New Roman"/>
          <w:lang w:eastAsia="fr-FR"/>
        </w:rPr>
      </w:pPr>
      <w:r w:rsidRPr="00F94AE7">
        <w:rPr>
          <w:rFonts w:eastAsia="Times New Roman"/>
          <w:lang w:eastAsia="fr-FR"/>
        </w:rPr>
        <w:t>ii)</w:t>
      </w:r>
      <w:r w:rsidRPr="00F94AE7">
        <w:rPr>
          <w:rFonts w:eastAsia="Times New Roman"/>
          <w:lang w:eastAsia="fr-FR"/>
        </w:rPr>
        <w:tab/>
      </w:r>
      <w:r w:rsidRPr="00B3055C">
        <w:rPr>
          <w:rFonts w:eastAsia="Times New Roman"/>
          <w:lang w:eastAsia="fr-FR"/>
        </w:rPr>
        <w:t>Le système de commande de la pression de suralimentation est activé pendant au moins 15 s.</w:t>
      </w:r>
    </w:p>
    <w:p w14:paraId="04F8CE8C" w14:textId="77777777" w:rsidR="00BC3C9D" w:rsidRPr="00F94AE7" w:rsidRDefault="00BC3C9D" w:rsidP="00C76B34">
      <w:pPr>
        <w:pStyle w:val="SingleTxtG"/>
        <w:ind w:left="2835" w:hanging="567"/>
        <w:rPr>
          <w:rFonts w:eastAsia="Times New Roman"/>
          <w:b/>
          <w:bCs/>
          <w:lang w:eastAsia="en-GB"/>
        </w:rPr>
      </w:pPr>
      <w:r w:rsidRPr="00F94AE7">
        <w:rPr>
          <w:rFonts w:eastAsia="Times New Roman"/>
          <w:b/>
          <w:bCs/>
          <w:lang w:eastAsia="de-DE"/>
        </w:rPr>
        <w:t>g)</w:t>
      </w:r>
      <w:r w:rsidRPr="00F94AE7">
        <w:rPr>
          <w:rFonts w:eastAsia="Times New Roman"/>
          <w:b/>
          <w:bCs/>
          <w:lang w:eastAsia="de-DE"/>
        </w:rPr>
        <w:tab/>
      </w:r>
      <w:r w:rsidRPr="00F94AE7">
        <w:rPr>
          <w:rFonts w:eastAsia="Times New Roman"/>
          <w:b/>
          <w:bCs/>
          <w:lang w:eastAsia="de-DE"/>
        </w:rPr>
        <w:tab/>
      </w:r>
      <w:r w:rsidRPr="004014DF">
        <w:rPr>
          <w:rFonts w:eastAsia="Times New Roman"/>
          <w:b/>
          <w:bCs/>
          <w:lang w:eastAsia="de-DE"/>
        </w:rPr>
        <w:t xml:space="preserve">Le constructeur peut demander </w:t>
      </w:r>
      <w:r>
        <w:rPr>
          <w:rFonts w:eastAsia="Times New Roman"/>
          <w:b/>
          <w:bCs/>
          <w:lang w:eastAsia="de-DE"/>
        </w:rPr>
        <w:t>que d</w:t>
      </w:r>
      <w:r w:rsidRPr="004014DF">
        <w:rPr>
          <w:rFonts w:eastAsia="Times New Roman"/>
          <w:b/>
          <w:bCs/>
          <w:lang w:eastAsia="de-DE"/>
        </w:rPr>
        <w:t xml:space="preserve">es conditions </w:t>
      </w:r>
      <w:r>
        <w:rPr>
          <w:rFonts w:eastAsia="Times New Roman"/>
          <w:b/>
          <w:bCs/>
          <w:lang w:eastAsia="de-DE"/>
        </w:rPr>
        <w:t>spéciales s’</w:t>
      </w:r>
      <w:r w:rsidRPr="004014DF">
        <w:rPr>
          <w:rFonts w:eastAsia="Times New Roman"/>
          <w:b/>
          <w:bCs/>
          <w:lang w:eastAsia="de-DE"/>
        </w:rPr>
        <w:t>appli</w:t>
      </w:r>
      <w:r>
        <w:rPr>
          <w:rFonts w:eastAsia="Times New Roman"/>
          <w:b/>
          <w:bCs/>
          <w:lang w:eastAsia="de-DE"/>
        </w:rPr>
        <w:t xml:space="preserve">quent </w:t>
      </w:r>
      <w:r w:rsidRPr="004014DF">
        <w:rPr>
          <w:rFonts w:eastAsia="Times New Roman"/>
          <w:b/>
          <w:bCs/>
          <w:lang w:eastAsia="de-DE"/>
        </w:rPr>
        <w:t>au dénominateur</w:t>
      </w:r>
      <w:r>
        <w:rPr>
          <w:rFonts w:eastAsia="Times New Roman"/>
          <w:b/>
          <w:bCs/>
          <w:lang w:eastAsia="de-DE"/>
        </w:rPr>
        <w:t xml:space="preserve"> pour certains composants ou systèmes s’il peut démontrer à l’autorité d’homologation de type, </w:t>
      </w:r>
      <w:r w:rsidRPr="004014DF">
        <w:rPr>
          <w:rFonts w:eastAsia="Times New Roman"/>
          <w:b/>
          <w:bCs/>
          <w:lang w:eastAsia="de-DE"/>
        </w:rPr>
        <w:t xml:space="preserve">en présentant les données correspondantes </w:t>
      </w:r>
      <w:r>
        <w:rPr>
          <w:rFonts w:eastAsia="Times New Roman"/>
          <w:b/>
          <w:bCs/>
          <w:lang w:eastAsia="de-DE"/>
        </w:rPr>
        <w:t xml:space="preserve">et/ou une évaluation technique, que d’autres conditions sont nécessaires pour permettre une </w:t>
      </w:r>
      <w:r w:rsidRPr="007438EA">
        <w:rPr>
          <w:rFonts w:eastAsia="Times New Roman"/>
          <w:b/>
          <w:bCs/>
          <w:lang w:eastAsia="de-DE"/>
        </w:rPr>
        <w:t>détection fiable</w:t>
      </w:r>
      <w:r w:rsidRPr="007438EA">
        <w:rPr>
          <w:b/>
        </w:rPr>
        <w:t xml:space="preserve"> de</w:t>
      </w:r>
      <w:r>
        <w:rPr>
          <w:b/>
        </w:rPr>
        <w:t>s</w:t>
      </w:r>
      <w:r w:rsidRPr="007438EA">
        <w:rPr>
          <w:b/>
        </w:rPr>
        <w:t xml:space="preserve"> </w:t>
      </w:r>
      <w:r w:rsidRPr="007438EA">
        <w:rPr>
          <w:rFonts w:eastAsia="Times New Roman"/>
          <w:b/>
          <w:bCs/>
          <w:lang w:eastAsia="de-DE"/>
        </w:rPr>
        <w:t>dysfonctionnements</w:t>
      </w:r>
      <w:r>
        <w:rPr>
          <w:rFonts w:eastAsia="Times New Roman"/>
          <w:b/>
          <w:bCs/>
          <w:lang w:eastAsia="de-DE"/>
        </w:rPr>
        <w:t>. L’</w:t>
      </w:r>
      <w:r w:rsidRPr="00CD453B">
        <w:rPr>
          <w:rFonts w:eastAsia="Times New Roman"/>
          <w:b/>
          <w:bCs/>
          <w:lang w:eastAsia="de-DE"/>
        </w:rPr>
        <w:t>autorité d</w:t>
      </w:r>
      <w:r>
        <w:rPr>
          <w:rFonts w:eastAsia="Times New Roman"/>
          <w:b/>
          <w:bCs/>
          <w:lang w:eastAsia="de-DE"/>
        </w:rPr>
        <w:t>’</w:t>
      </w:r>
      <w:r w:rsidRPr="00CD453B">
        <w:rPr>
          <w:rFonts w:eastAsia="Times New Roman"/>
          <w:b/>
          <w:bCs/>
          <w:lang w:eastAsia="de-DE"/>
        </w:rPr>
        <w:t>homologation de type</w:t>
      </w:r>
      <w:r>
        <w:rPr>
          <w:rFonts w:eastAsia="Times New Roman"/>
          <w:b/>
          <w:bCs/>
          <w:lang w:eastAsia="de-DE"/>
        </w:rPr>
        <w:t xml:space="preserve"> ne doit approuver une telle demande que si le constructeur </w:t>
      </w:r>
      <w:r w:rsidRPr="00CD453B">
        <w:rPr>
          <w:rFonts w:eastAsia="Times New Roman"/>
          <w:b/>
          <w:bCs/>
          <w:lang w:eastAsia="de-DE"/>
        </w:rPr>
        <w:t>soumet</w:t>
      </w:r>
      <w:r w:rsidRPr="00CD453B">
        <w:t xml:space="preserve"> </w:t>
      </w:r>
      <w:r w:rsidRPr="00233503">
        <w:rPr>
          <w:b/>
        </w:rPr>
        <w:t>d</w:t>
      </w:r>
      <w:r w:rsidRPr="00CD453B">
        <w:rPr>
          <w:rFonts w:eastAsia="Times New Roman"/>
          <w:b/>
          <w:bCs/>
          <w:lang w:eastAsia="de-DE"/>
        </w:rPr>
        <w:t>es données et/ou une évaluation technique</w:t>
      </w:r>
      <w:r>
        <w:rPr>
          <w:rFonts w:eastAsia="Times New Roman"/>
          <w:b/>
          <w:bCs/>
          <w:lang w:eastAsia="de-DE"/>
        </w:rPr>
        <w:t xml:space="preserve"> confirmant la nécessité d’un dénominateur spécial</w:t>
      </w:r>
      <w:r w:rsidRPr="00F94AE7">
        <w:rPr>
          <w:rFonts w:eastAsia="Times New Roman"/>
          <w:b/>
          <w:bCs/>
          <w:lang w:eastAsia="de-DE"/>
        </w:rPr>
        <w:t>.</w:t>
      </w:r>
      <w:r w:rsidR="00E2001C" w:rsidRPr="00E2001C">
        <w:rPr>
          <w:rFonts w:eastAsia="Times New Roman"/>
          <w:bCs/>
          <w:lang w:eastAsia="en-GB"/>
        </w:rPr>
        <w:t> ».</w:t>
      </w:r>
    </w:p>
    <w:p w14:paraId="58189292" w14:textId="77777777" w:rsidR="00BC3C9D" w:rsidRPr="00BA3EAB" w:rsidRDefault="00BC3C9D" w:rsidP="00CC70AF">
      <w:pPr>
        <w:pStyle w:val="HChG"/>
        <w:rPr>
          <w:lang w:eastAsia="fr-FR"/>
        </w:rPr>
      </w:pPr>
      <w:r w:rsidRPr="00F94AE7">
        <w:rPr>
          <w:lang w:eastAsia="en-GB"/>
        </w:rPr>
        <w:br w:type="page"/>
      </w:r>
      <w:r w:rsidR="00CC70AF">
        <w:rPr>
          <w:lang w:eastAsia="en-GB"/>
        </w:rPr>
        <w:tab/>
      </w:r>
      <w:r w:rsidRPr="00BA3EAB">
        <w:rPr>
          <w:lang w:eastAsia="fr-FR"/>
        </w:rPr>
        <w:t>II.</w:t>
      </w:r>
      <w:r w:rsidRPr="00BA3EAB">
        <w:rPr>
          <w:lang w:eastAsia="fr-FR"/>
        </w:rPr>
        <w:tab/>
        <w:t>Justification</w:t>
      </w:r>
    </w:p>
    <w:p w14:paraId="41BBD058" w14:textId="77777777" w:rsidR="00BC3C9D" w:rsidRPr="00BA3EAB" w:rsidRDefault="00CC70AF" w:rsidP="00CC70AF">
      <w:pPr>
        <w:pStyle w:val="H1G"/>
        <w:rPr>
          <w:lang w:eastAsia="fr-FR"/>
        </w:rPr>
      </w:pPr>
      <w:r>
        <w:rPr>
          <w:lang w:eastAsia="fr-FR"/>
        </w:rPr>
        <w:tab/>
      </w:r>
      <w:r w:rsidR="00BC3C9D" w:rsidRPr="00BA3EAB">
        <w:rPr>
          <w:lang w:eastAsia="fr-FR"/>
        </w:rPr>
        <w:t>A.</w:t>
      </w:r>
      <w:r w:rsidR="00BC3C9D" w:rsidRPr="00BA3EAB">
        <w:rPr>
          <w:lang w:eastAsia="fr-FR"/>
        </w:rPr>
        <w:tab/>
        <w:t xml:space="preserve">Définition du terme </w:t>
      </w:r>
      <w:r>
        <w:rPr>
          <w:lang w:eastAsia="fr-FR"/>
        </w:rPr>
        <w:t>« </w:t>
      </w:r>
      <w:r w:rsidR="00BC3C9D" w:rsidRPr="00BA3EAB">
        <w:rPr>
          <w:lang w:eastAsia="fr-FR"/>
        </w:rPr>
        <w:t>permanent</w:t>
      </w:r>
      <w:r>
        <w:rPr>
          <w:lang w:eastAsia="fr-FR"/>
        </w:rPr>
        <w:t> »</w:t>
      </w:r>
    </w:p>
    <w:p w14:paraId="5D34899F" w14:textId="77777777" w:rsidR="00BC3C9D" w:rsidRPr="00F94AE7" w:rsidRDefault="00BC3C9D" w:rsidP="003C0D12">
      <w:pPr>
        <w:pStyle w:val="SingleTxtG"/>
        <w:ind w:left="1701" w:hanging="567"/>
        <w:rPr>
          <w:lang w:eastAsia="fr-FR"/>
        </w:rPr>
      </w:pPr>
      <w:r w:rsidRPr="00F94AE7">
        <w:rPr>
          <w:lang w:eastAsia="fr-FR"/>
        </w:rPr>
        <w:t>1.</w:t>
      </w:r>
      <w:r w:rsidRPr="00F94AE7">
        <w:rPr>
          <w:lang w:eastAsia="fr-FR"/>
        </w:rPr>
        <w:tab/>
      </w:r>
      <w:r w:rsidRPr="00CD453B">
        <w:rPr>
          <w:lang w:eastAsia="fr-FR"/>
        </w:rPr>
        <w:t xml:space="preserve">La présente proposition définit </w:t>
      </w:r>
      <w:r>
        <w:rPr>
          <w:lang w:eastAsia="fr-FR"/>
        </w:rPr>
        <w:t xml:space="preserve">l’expression </w:t>
      </w:r>
      <w:r w:rsidR="001D7498">
        <w:rPr>
          <w:lang w:eastAsia="fr-FR"/>
        </w:rPr>
        <w:t>« </w:t>
      </w:r>
      <w:r w:rsidRPr="00CD453B">
        <w:t>m</w:t>
      </w:r>
      <w:r w:rsidRPr="00CD453B">
        <w:rPr>
          <w:lang w:eastAsia="fr-FR"/>
        </w:rPr>
        <w:t>ode dégradé</w:t>
      </w:r>
      <w:r w:rsidR="001D7498">
        <w:rPr>
          <w:lang w:eastAsia="fr-FR"/>
        </w:rPr>
        <w:t> »</w:t>
      </w:r>
      <w:r w:rsidRPr="00F94AE7">
        <w:rPr>
          <w:lang w:eastAsia="fr-FR"/>
        </w:rPr>
        <w:t xml:space="preserve"> </w:t>
      </w:r>
      <w:r>
        <w:rPr>
          <w:lang w:eastAsia="fr-FR"/>
        </w:rPr>
        <w:t xml:space="preserve">et précise l’expression </w:t>
      </w:r>
      <w:r w:rsidR="001D7498">
        <w:rPr>
          <w:lang w:eastAsia="fr-FR"/>
        </w:rPr>
        <w:t>« </w:t>
      </w:r>
      <w:r>
        <w:rPr>
          <w:lang w:eastAsia="fr-FR"/>
        </w:rPr>
        <w:t>m</w:t>
      </w:r>
      <w:r w:rsidRPr="00CD453B">
        <w:rPr>
          <w:lang w:eastAsia="fr-FR"/>
        </w:rPr>
        <w:t>ode permanent de défaillance au niveau des émissions</w:t>
      </w:r>
      <w:r w:rsidR="001D7498">
        <w:rPr>
          <w:lang w:eastAsia="fr-FR"/>
        </w:rPr>
        <w:t> »</w:t>
      </w:r>
      <w:r w:rsidRPr="00F94AE7">
        <w:rPr>
          <w:lang w:eastAsia="fr-FR"/>
        </w:rPr>
        <w:t xml:space="preserve"> </w:t>
      </w:r>
      <w:r>
        <w:rPr>
          <w:lang w:eastAsia="fr-FR"/>
        </w:rPr>
        <w:t xml:space="preserve">dans le Règlement </w:t>
      </w:r>
      <w:r w:rsidR="001D7498">
        <w:rPr>
          <w:lang w:eastAsia="fr-FR"/>
        </w:rPr>
        <w:t xml:space="preserve">ONU </w:t>
      </w:r>
      <w:r w:rsidR="00CC70AF" w:rsidRPr="00CC70AF">
        <w:rPr>
          <w:rFonts w:eastAsia="MS Mincho"/>
          <w:lang w:eastAsia="fr-FR"/>
        </w:rPr>
        <w:t>n</w:t>
      </w:r>
      <w:r w:rsidR="00CC70AF" w:rsidRPr="00CC70AF">
        <w:rPr>
          <w:rFonts w:eastAsia="MS Mincho"/>
          <w:vertAlign w:val="superscript"/>
          <w:lang w:eastAsia="fr-FR"/>
        </w:rPr>
        <w:t>o</w:t>
      </w:r>
      <w:r w:rsidR="00CC70AF">
        <w:rPr>
          <w:lang w:eastAsia="fr-FR"/>
        </w:rPr>
        <w:t> </w:t>
      </w:r>
      <w:r w:rsidRPr="00F94AE7">
        <w:rPr>
          <w:lang w:eastAsia="fr-FR"/>
        </w:rPr>
        <w:t>83.</w:t>
      </w:r>
    </w:p>
    <w:p w14:paraId="439087CE" w14:textId="77777777" w:rsidR="00BC3C9D" w:rsidRPr="00A8780D" w:rsidRDefault="00BC3C9D" w:rsidP="003C0D12">
      <w:pPr>
        <w:pStyle w:val="SingleTxtG"/>
        <w:ind w:left="1701" w:hanging="567"/>
        <w:rPr>
          <w:rFonts w:eastAsia="Times New Roman" w:cs="Courier New"/>
        </w:rPr>
      </w:pPr>
      <w:r w:rsidRPr="00A8780D">
        <w:rPr>
          <w:rFonts w:eastAsia="Times New Roman" w:cs="Courier New"/>
        </w:rPr>
        <w:t>2.</w:t>
      </w:r>
      <w:r w:rsidRPr="00A8780D">
        <w:rPr>
          <w:rFonts w:eastAsia="Times New Roman" w:cs="Courier New"/>
        </w:rPr>
        <w:tab/>
      </w:r>
      <w:r w:rsidRPr="00A8780D">
        <w:rPr>
          <w:rFonts w:eastAsia="Times New Roman" w:cs="Courier New"/>
          <w:lang w:eastAsia="fr-FR"/>
        </w:rPr>
        <w:t xml:space="preserve">Le terme </w:t>
      </w:r>
      <w:r w:rsidR="001D7498">
        <w:rPr>
          <w:rFonts w:eastAsia="Times New Roman" w:cs="Courier New"/>
          <w:lang w:eastAsia="fr-FR"/>
        </w:rPr>
        <w:t>« </w:t>
      </w:r>
      <w:r w:rsidRPr="00F94AE7">
        <w:rPr>
          <w:rFonts w:eastAsia="Times New Roman" w:cs="Courier New"/>
          <w:lang w:eastAsia="fr-FR"/>
        </w:rPr>
        <w:t>permane</w:t>
      </w:r>
      <w:bookmarkStart w:id="0" w:name="_GoBack"/>
      <w:bookmarkEnd w:id="0"/>
      <w:r w:rsidRPr="00F94AE7">
        <w:rPr>
          <w:rFonts w:eastAsia="Times New Roman" w:cs="Courier New"/>
          <w:lang w:eastAsia="fr-FR"/>
        </w:rPr>
        <w:t>nt</w:t>
      </w:r>
      <w:r w:rsidR="001D7498">
        <w:rPr>
          <w:rFonts w:eastAsia="Times New Roman" w:cs="Courier New"/>
          <w:lang w:eastAsia="fr-FR"/>
        </w:rPr>
        <w:t> »</w:t>
      </w:r>
      <w:r w:rsidRPr="00F94AE7">
        <w:rPr>
          <w:rFonts w:eastAsia="Times New Roman" w:cs="Courier New"/>
          <w:lang w:eastAsia="fr-FR"/>
        </w:rPr>
        <w:t xml:space="preserve"> </w:t>
      </w:r>
      <w:r w:rsidRPr="00A8780D">
        <w:rPr>
          <w:rFonts w:eastAsia="Times New Roman" w:cs="Courier New"/>
          <w:lang w:eastAsia="fr-FR"/>
        </w:rPr>
        <w:t>n</w:t>
      </w:r>
      <w:r>
        <w:rPr>
          <w:rFonts w:eastAsia="Times New Roman" w:cs="Courier New"/>
          <w:lang w:eastAsia="fr-FR"/>
        </w:rPr>
        <w:t>’</w:t>
      </w:r>
      <w:r w:rsidRPr="00A8780D">
        <w:rPr>
          <w:rFonts w:eastAsia="Times New Roman" w:cs="Courier New"/>
          <w:lang w:eastAsia="fr-FR"/>
        </w:rPr>
        <w:t xml:space="preserve">est pas précisé davantage et laisse la porte ouverte à différentes interprétations. Une définition plus précise du terme </w:t>
      </w:r>
      <w:r w:rsidR="00C60D4E">
        <w:rPr>
          <w:rFonts w:eastAsia="Times New Roman" w:cs="Courier New"/>
        </w:rPr>
        <w:t>« </w:t>
      </w:r>
      <w:r w:rsidRPr="00F94AE7">
        <w:rPr>
          <w:rFonts w:eastAsia="Times New Roman" w:cs="Courier New"/>
        </w:rPr>
        <w:t>permanent</w:t>
      </w:r>
      <w:r w:rsidR="00C60D4E">
        <w:rPr>
          <w:rFonts w:eastAsia="Times New Roman" w:cs="Courier New"/>
        </w:rPr>
        <w:t> »</w:t>
      </w:r>
      <w:r w:rsidRPr="00F94AE7">
        <w:rPr>
          <w:rFonts w:eastAsia="Times New Roman" w:cs="Courier New"/>
        </w:rPr>
        <w:t xml:space="preserve"> </w:t>
      </w:r>
      <w:r w:rsidRPr="00A8780D">
        <w:rPr>
          <w:rFonts w:eastAsia="Times New Roman" w:cs="Courier New"/>
        </w:rPr>
        <w:t>dans le context</w:t>
      </w:r>
      <w:r>
        <w:rPr>
          <w:rFonts w:eastAsia="Times New Roman" w:cs="Courier New"/>
        </w:rPr>
        <w:t>e des m</w:t>
      </w:r>
      <w:r w:rsidRPr="00A8780D">
        <w:rPr>
          <w:rFonts w:eastAsia="Times New Roman" w:cs="Courier New"/>
        </w:rPr>
        <w:t>ode</w:t>
      </w:r>
      <w:r>
        <w:rPr>
          <w:rFonts w:eastAsia="Times New Roman" w:cs="Courier New"/>
        </w:rPr>
        <w:t>s</w:t>
      </w:r>
      <w:r w:rsidRPr="00A8780D">
        <w:rPr>
          <w:rFonts w:eastAsia="Times New Roman" w:cs="Courier New"/>
        </w:rPr>
        <w:t xml:space="preserve"> de défaillance au niveau des émissions</w:t>
      </w:r>
      <w:r>
        <w:rPr>
          <w:rFonts w:eastAsia="Times New Roman" w:cs="Courier New"/>
        </w:rPr>
        <w:t xml:space="preserve"> serait appréciée, pour rendre le Règlement plus compréhensible.</w:t>
      </w:r>
    </w:p>
    <w:p w14:paraId="1AB6CB05" w14:textId="77777777" w:rsidR="00BC3C9D" w:rsidRPr="00F94AE7" w:rsidRDefault="00BC3C9D" w:rsidP="003C0D12">
      <w:pPr>
        <w:pStyle w:val="SingleTxtG"/>
        <w:ind w:left="1701" w:hanging="567"/>
        <w:rPr>
          <w:rFonts w:eastAsia="Times New Roman" w:cs="Courier New"/>
          <w:lang w:eastAsia="fr-FR"/>
        </w:rPr>
      </w:pPr>
      <w:r w:rsidRPr="00F94AE7">
        <w:rPr>
          <w:rFonts w:eastAsia="Times New Roman" w:cs="Courier New"/>
          <w:lang w:eastAsia="fr-FR"/>
        </w:rPr>
        <w:t>3.</w:t>
      </w:r>
      <w:r w:rsidRPr="00F94AE7">
        <w:rPr>
          <w:rFonts w:eastAsia="Times New Roman" w:cs="Courier New"/>
          <w:lang w:eastAsia="fr-FR"/>
        </w:rPr>
        <w:tab/>
      </w:r>
      <w:r w:rsidRPr="002A33B1">
        <w:rPr>
          <w:rFonts w:eastAsia="Times New Roman" w:cs="Courier New"/>
          <w:lang w:eastAsia="fr-FR"/>
        </w:rPr>
        <w:t>L</w:t>
      </w:r>
      <w:r>
        <w:rPr>
          <w:rFonts w:eastAsia="Times New Roman" w:cs="Courier New"/>
          <w:lang w:eastAsia="fr-FR"/>
        </w:rPr>
        <w:t>’</w:t>
      </w:r>
      <w:r w:rsidRPr="002A33B1">
        <w:rPr>
          <w:rFonts w:eastAsia="Times New Roman" w:cs="Courier New"/>
          <w:lang w:eastAsia="fr-FR"/>
        </w:rPr>
        <w:t xml:space="preserve">activation du </w:t>
      </w:r>
      <w:r>
        <w:rPr>
          <w:rFonts w:eastAsia="Times New Roman" w:cs="Courier New"/>
          <w:lang w:eastAsia="fr-FR"/>
        </w:rPr>
        <w:t xml:space="preserve">TD </w:t>
      </w:r>
      <w:r w:rsidRPr="002A33B1">
        <w:rPr>
          <w:rFonts w:eastAsia="Times New Roman" w:cs="Courier New"/>
          <w:lang w:eastAsia="fr-FR"/>
        </w:rPr>
        <w:t>n</w:t>
      </w:r>
      <w:r>
        <w:rPr>
          <w:rFonts w:eastAsia="Times New Roman" w:cs="Courier New"/>
          <w:lang w:eastAsia="fr-FR"/>
        </w:rPr>
        <w:t>’</w:t>
      </w:r>
      <w:r w:rsidRPr="002A33B1">
        <w:rPr>
          <w:rFonts w:eastAsia="Times New Roman" w:cs="Courier New"/>
          <w:lang w:eastAsia="fr-FR"/>
        </w:rPr>
        <w:t>est nécessaire que lorsque les émissions dépassent les valeurs limites applicables au système OBD en raison du fait que le</w:t>
      </w:r>
      <w:r>
        <w:rPr>
          <w:rFonts w:eastAsia="Times New Roman" w:cs="Courier New"/>
          <w:lang w:eastAsia="fr-FR"/>
        </w:rPr>
        <w:t xml:space="preserve"> </w:t>
      </w:r>
      <w:r w:rsidR="00C60D4E">
        <w:rPr>
          <w:rFonts w:eastAsia="Times New Roman" w:cs="Courier New"/>
          <w:lang w:eastAsia="fr-FR"/>
        </w:rPr>
        <w:t>« </w:t>
      </w:r>
      <w:r>
        <w:rPr>
          <w:rFonts w:eastAsia="Times New Roman" w:cs="Courier New"/>
          <w:lang w:eastAsia="fr-FR"/>
        </w:rPr>
        <w:t>m</w:t>
      </w:r>
      <w:r w:rsidRPr="002A33B1">
        <w:rPr>
          <w:rFonts w:eastAsia="Times New Roman" w:cs="Courier New"/>
          <w:lang w:eastAsia="fr-FR"/>
        </w:rPr>
        <w:t>ode permanent de défaillance au niveau des émissions</w:t>
      </w:r>
      <w:r w:rsidR="00C60D4E">
        <w:rPr>
          <w:rFonts w:eastAsia="Times New Roman" w:cs="Courier New"/>
          <w:lang w:eastAsia="fr-FR"/>
        </w:rPr>
        <w:t> »</w:t>
      </w:r>
      <w:r w:rsidRPr="00F94AE7">
        <w:rPr>
          <w:rFonts w:eastAsia="Times New Roman" w:cs="Courier New"/>
          <w:lang w:eastAsia="fr-FR"/>
        </w:rPr>
        <w:t xml:space="preserve"> </w:t>
      </w:r>
      <w:r>
        <w:rPr>
          <w:rFonts w:eastAsia="Times New Roman" w:cs="Courier New"/>
          <w:lang w:eastAsia="fr-FR"/>
        </w:rPr>
        <w:t xml:space="preserve">est activé </w:t>
      </w:r>
      <w:r w:rsidRPr="00F94AE7">
        <w:rPr>
          <w:rFonts w:eastAsia="Times New Roman" w:cs="Courier New"/>
          <w:lang w:eastAsia="fr-FR"/>
        </w:rPr>
        <w:t>(</w:t>
      </w:r>
      <w:r w:rsidRPr="002A33B1">
        <w:rPr>
          <w:rFonts w:eastAsia="Times New Roman" w:cs="Courier New"/>
          <w:lang w:eastAsia="fr-FR"/>
        </w:rPr>
        <w:t>par</w:t>
      </w:r>
      <w:r w:rsidR="007C67B4">
        <w:rPr>
          <w:rFonts w:eastAsia="Times New Roman" w:cs="Courier New"/>
          <w:lang w:eastAsia="fr-FR"/>
        </w:rPr>
        <w:t>. </w:t>
      </w:r>
      <w:r w:rsidRPr="00F94AE7">
        <w:rPr>
          <w:rFonts w:eastAsia="Times New Roman" w:cs="Courier New"/>
          <w:lang w:eastAsia="fr-FR"/>
        </w:rPr>
        <w:t xml:space="preserve">3.5.2 </w:t>
      </w:r>
      <w:r w:rsidRPr="002A33B1">
        <w:rPr>
          <w:rFonts w:eastAsia="Times New Roman" w:cs="Courier New"/>
          <w:lang w:eastAsia="fr-FR"/>
        </w:rPr>
        <w:t xml:space="preserve">et </w:t>
      </w:r>
      <w:r w:rsidRPr="00F94AE7">
        <w:rPr>
          <w:rFonts w:eastAsia="Times New Roman" w:cs="Courier New"/>
          <w:lang w:eastAsia="fr-FR"/>
        </w:rPr>
        <w:t>2.14).</w:t>
      </w:r>
    </w:p>
    <w:p w14:paraId="719748D8" w14:textId="77777777" w:rsidR="00BC3C9D" w:rsidRPr="00F94AE7" w:rsidRDefault="00BC3C9D" w:rsidP="003C0D12">
      <w:pPr>
        <w:pStyle w:val="SingleTxtG"/>
        <w:ind w:left="1701" w:hanging="567"/>
        <w:rPr>
          <w:rFonts w:eastAsia="Times New Roman" w:cs="Courier New"/>
          <w:lang w:eastAsia="fr-FR"/>
        </w:rPr>
      </w:pPr>
      <w:r w:rsidRPr="00F94AE7">
        <w:rPr>
          <w:rFonts w:eastAsia="Times New Roman" w:cs="Courier New"/>
          <w:lang w:eastAsia="fr-FR"/>
        </w:rPr>
        <w:t>4.</w:t>
      </w:r>
      <w:r w:rsidRPr="00F94AE7">
        <w:rPr>
          <w:rFonts w:eastAsia="Times New Roman" w:cs="Courier New"/>
          <w:lang w:eastAsia="fr-FR"/>
        </w:rPr>
        <w:tab/>
      </w:r>
      <w:r w:rsidR="00C60D4E">
        <w:rPr>
          <w:rFonts w:eastAsia="Times New Roman" w:cs="Courier New"/>
          <w:lang w:eastAsia="fr-FR"/>
        </w:rPr>
        <w:t>« </w:t>
      </w:r>
      <w:r w:rsidRPr="00F94AE7">
        <w:rPr>
          <w:rFonts w:eastAsia="Times New Roman" w:cs="Courier New"/>
          <w:lang w:eastAsia="fr-FR"/>
        </w:rPr>
        <w:t>Permanent</w:t>
      </w:r>
      <w:r w:rsidR="00C60D4E">
        <w:rPr>
          <w:rFonts w:eastAsia="Times New Roman" w:cs="Courier New"/>
          <w:lang w:eastAsia="fr-FR"/>
        </w:rPr>
        <w:t> »</w:t>
      </w:r>
      <w:r w:rsidRPr="00F94AE7">
        <w:rPr>
          <w:rFonts w:eastAsia="Times New Roman" w:cs="Courier New"/>
          <w:lang w:eastAsia="fr-FR"/>
        </w:rPr>
        <w:t xml:space="preserve"> </w:t>
      </w:r>
      <w:r w:rsidRPr="002A33B1">
        <w:rPr>
          <w:rFonts w:eastAsia="Times New Roman" w:cs="Courier New"/>
          <w:lang w:eastAsia="fr-FR"/>
        </w:rPr>
        <w:t>peut être considéré comme non récupérable</w:t>
      </w:r>
      <w:r>
        <w:rPr>
          <w:rFonts w:eastAsia="Times New Roman" w:cs="Courier New"/>
          <w:lang w:eastAsia="fr-FR"/>
        </w:rPr>
        <w:t xml:space="preserve"> dans le cycle suivant, c’est-à-dire que le diagnostic</w:t>
      </w:r>
      <w:r w:rsidRPr="0046591D">
        <w:rPr>
          <w:rFonts w:eastAsia="Times New Roman" w:cs="Courier New"/>
          <w:lang w:eastAsia="fr-FR"/>
        </w:rPr>
        <w:t xml:space="preserve"> ou la stratégie de limitation qui a causé le mode de défaillance au niveau des émissions ne peut pas fonctionner dans le cycle d</w:t>
      </w:r>
      <w:r>
        <w:rPr>
          <w:rFonts w:eastAsia="Times New Roman" w:cs="Courier New"/>
          <w:lang w:eastAsia="fr-FR"/>
        </w:rPr>
        <w:t>’</w:t>
      </w:r>
      <w:r w:rsidRPr="0046591D">
        <w:rPr>
          <w:rFonts w:eastAsia="Times New Roman" w:cs="Courier New"/>
          <w:lang w:eastAsia="fr-FR"/>
        </w:rPr>
        <w:t xml:space="preserve">essai suivant ni confirmer que les conditions qui ont causé la défaillance au niveau des émissions subsistent ou non. </w:t>
      </w:r>
      <w:r>
        <w:rPr>
          <w:rFonts w:eastAsia="Times New Roman" w:cs="Courier New"/>
          <w:lang w:eastAsia="fr-FR"/>
        </w:rPr>
        <w:t xml:space="preserve">Un mode de défaillance temporaire, par exemple pour protéger un composant, est récupérable et ne doit donc pas être considéré comme permanent. </w:t>
      </w:r>
    </w:p>
    <w:p w14:paraId="53D271FD" w14:textId="77777777" w:rsidR="00BC3C9D" w:rsidRPr="0012426C" w:rsidRDefault="00BC3C9D" w:rsidP="003C0D12">
      <w:pPr>
        <w:pStyle w:val="SingleTxtG"/>
        <w:ind w:left="1701" w:hanging="567"/>
        <w:rPr>
          <w:rFonts w:eastAsia="Times New Roman" w:cs="Courier New"/>
          <w:lang w:eastAsia="fr-FR"/>
        </w:rPr>
      </w:pPr>
      <w:r w:rsidRPr="0012426C">
        <w:rPr>
          <w:rFonts w:eastAsia="Times New Roman" w:cs="Courier New"/>
          <w:lang w:eastAsia="fr-FR"/>
        </w:rPr>
        <w:t>5.</w:t>
      </w:r>
      <w:r w:rsidRPr="0012426C">
        <w:rPr>
          <w:rFonts w:eastAsia="Times New Roman" w:cs="Courier New"/>
          <w:lang w:eastAsia="fr-FR"/>
        </w:rPr>
        <w:tab/>
      </w:r>
      <w:r w:rsidR="00C60D4E">
        <w:rPr>
          <w:rFonts w:eastAsia="Times New Roman" w:cs="Courier New"/>
          <w:lang w:eastAsia="fr-FR"/>
        </w:rPr>
        <w:t>« </w:t>
      </w:r>
      <w:r w:rsidRPr="0012426C">
        <w:rPr>
          <w:rFonts w:eastAsia="Times New Roman" w:cs="Courier New"/>
          <w:lang w:eastAsia="fr-FR"/>
        </w:rPr>
        <w:t>Mode dégradé</w:t>
      </w:r>
      <w:r w:rsidR="00C60D4E">
        <w:rPr>
          <w:rFonts w:eastAsia="Times New Roman" w:cs="Courier New"/>
          <w:lang w:eastAsia="fr-FR"/>
        </w:rPr>
        <w:t> »</w:t>
      </w:r>
      <w:r w:rsidRPr="00F94AE7">
        <w:rPr>
          <w:rFonts w:eastAsia="Times New Roman" w:cs="Courier New"/>
          <w:lang w:eastAsia="fr-FR"/>
        </w:rPr>
        <w:t xml:space="preserve"> </w:t>
      </w:r>
      <w:r w:rsidRPr="0012426C">
        <w:rPr>
          <w:rFonts w:eastAsia="Times New Roman" w:cs="Courier New"/>
          <w:lang w:eastAsia="fr-FR"/>
        </w:rPr>
        <w:t>signifie tout mode de défaillance autre que le mode de défaillance au niveau des émissions</w:t>
      </w:r>
      <w:r w:rsidRPr="00F94AE7">
        <w:rPr>
          <w:rFonts w:eastAsia="Times New Roman" w:cs="Courier New"/>
          <w:lang w:eastAsia="fr-FR"/>
        </w:rPr>
        <w:t xml:space="preserve">. </w:t>
      </w:r>
      <w:r w:rsidRPr="0012426C">
        <w:rPr>
          <w:rFonts w:eastAsia="Times New Roman" w:cs="Courier New"/>
          <w:lang w:eastAsia="fr-FR"/>
        </w:rPr>
        <w:t>Un mode dégradé pourrait donc être une limitation de la vitesse d</w:t>
      </w:r>
      <w:r>
        <w:rPr>
          <w:rFonts w:eastAsia="Times New Roman" w:cs="Courier New"/>
          <w:lang w:eastAsia="fr-FR"/>
        </w:rPr>
        <w:t>u</w:t>
      </w:r>
      <w:r w:rsidRPr="0012426C">
        <w:rPr>
          <w:rFonts w:eastAsia="Times New Roman" w:cs="Courier New"/>
          <w:lang w:eastAsia="fr-FR"/>
        </w:rPr>
        <w:t xml:space="preserve"> véhicule ou </w:t>
      </w:r>
      <w:r>
        <w:rPr>
          <w:rFonts w:eastAsia="Times New Roman" w:cs="Courier New"/>
          <w:lang w:eastAsia="fr-FR"/>
        </w:rPr>
        <w:t xml:space="preserve">de la puissance motrice en raison de défaillances dans le contrôle de stabilité susceptibles d’avoir des répercussions au niveau de la sécurité. </w:t>
      </w:r>
    </w:p>
    <w:p w14:paraId="4B6BE9ED" w14:textId="77777777" w:rsidR="00BC3C9D" w:rsidRPr="00BA3EAB" w:rsidRDefault="00BC3C9D" w:rsidP="00BC3C9D">
      <w:pPr>
        <w:pStyle w:val="H1G"/>
        <w:rPr>
          <w:lang w:eastAsia="fr-FR"/>
        </w:rPr>
      </w:pPr>
      <w:r>
        <w:rPr>
          <w:lang w:eastAsia="fr-FR"/>
        </w:rPr>
        <w:tab/>
      </w:r>
      <w:r w:rsidRPr="00BA3EAB">
        <w:rPr>
          <w:lang w:eastAsia="fr-FR"/>
        </w:rPr>
        <w:t>B.</w:t>
      </w:r>
      <w:r>
        <w:rPr>
          <w:lang w:eastAsia="fr-FR"/>
        </w:rPr>
        <w:tab/>
      </w:r>
      <w:r w:rsidRPr="00BA3EAB">
        <w:rPr>
          <w:lang w:eastAsia="fr-FR"/>
        </w:rPr>
        <w:t>Introduction du dénominateur spécial</w:t>
      </w:r>
    </w:p>
    <w:p w14:paraId="05F9FBF9" w14:textId="77777777" w:rsidR="00BC3C9D" w:rsidRPr="001A58FC" w:rsidRDefault="00BC3C9D" w:rsidP="003C0D12">
      <w:pPr>
        <w:pStyle w:val="SingleTxtG"/>
        <w:ind w:left="1701" w:hanging="567"/>
        <w:rPr>
          <w:rFonts w:eastAsia="Times New Roman"/>
          <w:lang w:eastAsia="fr-FR"/>
        </w:rPr>
      </w:pPr>
      <w:r w:rsidRPr="001A58FC">
        <w:rPr>
          <w:rFonts w:eastAsia="Times New Roman"/>
          <w:lang w:eastAsia="fr-FR"/>
        </w:rPr>
        <w:t>6.</w:t>
      </w:r>
      <w:r w:rsidRPr="001A58FC">
        <w:rPr>
          <w:rFonts w:eastAsia="Times New Roman"/>
          <w:lang w:eastAsia="fr-FR"/>
        </w:rPr>
        <w:tab/>
        <w:t>Les définitions actuelles des dénominateurs spécifiques reposent sur des combinaisons de systèmes de traitement aval qui sont conçus comme un catalyseur trifonctionnel pour les véhicules à essence et des catalyseurs d</w:t>
      </w:r>
      <w:r>
        <w:rPr>
          <w:rFonts w:eastAsia="Times New Roman"/>
          <w:lang w:eastAsia="fr-FR"/>
        </w:rPr>
        <w:t>’</w:t>
      </w:r>
      <w:r w:rsidRPr="001A58FC">
        <w:rPr>
          <w:rFonts w:eastAsia="Times New Roman"/>
          <w:lang w:eastAsia="fr-FR"/>
        </w:rPr>
        <w:t>oxydation diesel (DOC), des filtres à particules diesel (DPF) et des systèmes de réduction catalytique sélective (RCS) ou les pièges à NO</w:t>
      </w:r>
      <w:r w:rsidRPr="001A58FC">
        <w:rPr>
          <w:rFonts w:eastAsia="Times New Roman"/>
          <w:vertAlign w:val="subscript"/>
          <w:lang w:eastAsia="fr-FR"/>
        </w:rPr>
        <w:t xml:space="preserve">x </w:t>
      </w:r>
      <w:r w:rsidRPr="001A58FC">
        <w:rPr>
          <w:rFonts w:eastAsia="Times New Roman"/>
          <w:lang w:eastAsia="fr-FR"/>
        </w:rPr>
        <w:t>pour les moteurs diesel.</w:t>
      </w:r>
    </w:p>
    <w:p w14:paraId="62442EE3" w14:textId="77777777" w:rsidR="00BC3C9D" w:rsidRPr="00F94AE7" w:rsidRDefault="00BC3C9D" w:rsidP="003C0D12">
      <w:pPr>
        <w:pStyle w:val="SingleTxtG"/>
        <w:ind w:left="1701" w:hanging="567"/>
        <w:rPr>
          <w:rFonts w:eastAsia="Times New Roman"/>
          <w:lang w:eastAsia="fr-FR"/>
        </w:rPr>
      </w:pPr>
      <w:r w:rsidRPr="00F94AE7">
        <w:rPr>
          <w:rFonts w:eastAsia="Times New Roman"/>
          <w:lang w:eastAsia="fr-FR"/>
        </w:rPr>
        <w:t>7.</w:t>
      </w:r>
      <w:r w:rsidRPr="00F94AE7">
        <w:rPr>
          <w:rFonts w:eastAsia="Times New Roman"/>
          <w:lang w:eastAsia="fr-FR"/>
        </w:rPr>
        <w:tab/>
      </w:r>
      <w:r w:rsidRPr="009E15B9">
        <w:rPr>
          <w:rFonts w:eastAsia="Times New Roman"/>
          <w:lang w:eastAsia="fr-FR"/>
        </w:rPr>
        <w:t>Les prescriptions à venir en matière d</w:t>
      </w:r>
      <w:r>
        <w:rPr>
          <w:rFonts w:eastAsia="Times New Roman"/>
          <w:lang w:eastAsia="fr-FR"/>
        </w:rPr>
        <w:t>’</w:t>
      </w:r>
      <w:r w:rsidRPr="009E15B9">
        <w:rPr>
          <w:rFonts w:eastAsia="Times New Roman"/>
          <w:lang w:eastAsia="fr-FR"/>
        </w:rPr>
        <w:t xml:space="preserve">émissions </w:t>
      </w:r>
      <w:r>
        <w:rPr>
          <w:rFonts w:eastAsia="Times New Roman"/>
          <w:lang w:eastAsia="fr-FR"/>
        </w:rPr>
        <w:t xml:space="preserve">amèneront </w:t>
      </w:r>
      <w:r w:rsidRPr="009E15B9">
        <w:rPr>
          <w:rFonts w:eastAsia="Times New Roman"/>
          <w:lang w:eastAsia="fr-FR"/>
        </w:rPr>
        <w:t xml:space="preserve">des composants de traitement aval </w:t>
      </w:r>
      <w:r>
        <w:rPr>
          <w:rFonts w:eastAsia="Times New Roman"/>
          <w:lang w:eastAsia="fr-FR"/>
        </w:rPr>
        <w:t>supplémentaires tels que des filtres à particules pour moteurs à essence ou de nouveaux modèles comportant plusieurs systèmes de RCS. De tels nouveaux systèmes ou combinaisons de catalyseurs pourraient nécessiter des conditions spécifiques pour permettre le contrôle des émissions, surtout lorsqu’ils sont conçus pour de telles conditions.</w:t>
      </w:r>
      <w:r w:rsidRPr="00F94AE7">
        <w:rPr>
          <w:rFonts w:eastAsia="Times New Roman"/>
          <w:lang w:eastAsia="fr-FR"/>
        </w:rPr>
        <w:t xml:space="preserve"> </w:t>
      </w:r>
    </w:p>
    <w:p w14:paraId="6CC7937A" w14:textId="77777777" w:rsidR="00F9573C" w:rsidRDefault="00BC3C9D" w:rsidP="003C0D12">
      <w:pPr>
        <w:pStyle w:val="SingleTxtG"/>
        <w:ind w:left="1701" w:hanging="567"/>
        <w:rPr>
          <w:rFonts w:eastAsia="Times New Roman"/>
          <w:lang w:eastAsia="fr-FR"/>
        </w:rPr>
      </w:pPr>
      <w:r>
        <w:rPr>
          <w:rFonts w:eastAsia="Times New Roman"/>
          <w:lang w:eastAsia="fr-FR"/>
        </w:rPr>
        <w:t>8.</w:t>
      </w:r>
      <w:r>
        <w:rPr>
          <w:rFonts w:eastAsia="Times New Roman"/>
          <w:lang w:eastAsia="fr-FR"/>
        </w:rPr>
        <w:tab/>
      </w:r>
      <w:r w:rsidRPr="001B4EEB">
        <w:rPr>
          <w:rFonts w:eastAsia="Times New Roman"/>
          <w:lang w:eastAsia="fr-FR"/>
        </w:rPr>
        <w:t>Dans le cas d</w:t>
      </w:r>
      <w:r>
        <w:rPr>
          <w:rFonts w:eastAsia="Times New Roman"/>
          <w:lang w:eastAsia="fr-FR"/>
        </w:rPr>
        <w:t>’</w:t>
      </w:r>
      <w:r w:rsidRPr="001B4EEB">
        <w:rPr>
          <w:rFonts w:eastAsia="Times New Roman"/>
          <w:lang w:eastAsia="fr-FR"/>
        </w:rPr>
        <w:t xml:space="preserve">un système de </w:t>
      </w:r>
      <w:r>
        <w:rPr>
          <w:rFonts w:eastAsia="Times New Roman"/>
          <w:lang w:eastAsia="fr-FR"/>
        </w:rPr>
        <w:t xml:space="preserve">RCS </w:t>
      </w:r>
      <w:r w:rsidRPr="001B4EEB">
        <w:rPr>
          <w:rFonts w:eastAsia="Times New Roman"/>
          <w:lang w:eastAsia="fr-FR"/>
        </w:rPr>
        <w:t>à deux briques, l</w:t>
      </w:r>
      <w:r>
        <w:rPr>
          <w:rFonts w:eastAsia="Times New Roman"/>
          <w:lang w:eastAsia="fr-FR"/>
        </w:rPr>
        <w:t>’</w:t>
      </w:r>
      <w:r w:rsidRPr="001B4EEB">
        <w:rPr>
          <w:rFonts w:eastAsia="Times New Roman"/>
          <w:lang w:eastAsia="fr-FR"/>
        </w:rPr>
        <w:t>une montée près du moteur et l</w:t>
      </w:r>
      <w:r>
        <w:rPr>
          <w:rFonts w:eastAsia="Times New Roman"/>
          <w:lang w:eastAsia="fr-FR"/>
        </w:rPr>
        <w:t>’</w:t>
      </w:r>
      <w:r w:rsidRPr="001B4EEB">
        <w:rPr>
          <w:rFonts w:eastAsia="Times New Roman"/>
          <w:lang w:eastAsia="fr-FR"/>
        </w:rPr>
        <w:t>autre plus en aval, le post-traitement des NO</w:t>
      </w:r>
      <w:r w:rsidRPr="001B4EEB">
        <w:rPr>
          <w:rFonts w:eastAsia="Times New Roman"/>
          <w:vertAlign w:val="subscript"/>
          <w:lang w:eastAsia="fr-FR"/>
        </w:rPr>
        <w:t>x</w:t>
      </w:r>
      <w:r w:rsidRPr="001B4EEB">
        <w:rPr>
          <w:rFonts w:eastAsia="Times New Roman"/>
          <w:lang w:eastAsia="fr-FR"/>
        </w:rPr>
        <w:t xml:space="preserve"> dépendrait des conditions de température. L</w:t>
      </w:r>
      <w:r>
        <w:rPr>
          <w:rFonts w:eastAsia="Times New Roman"/>
          <w:lang w:eastAsia="fr-FR"/>
        </w:rPr>
        <w:t>’</w:t>
      </w:r>
      <w:r w:rsidRPr="001B4EEB">
        <w:rPr>
          <w:rFonts w:eastAsia="Times New Roman"/>
          <w:lang w:eastAsia="fr-FR"/>
        </w:rPr>
        <w:t xml:space="preserve">utilisation du système de </w:t>
      </w:r>
      <w:r>
        <w:rPr>
          <w:rFonts w:eastAsia="Times New Roman"/>
          <w:lang w:eastAsia="fr-FR"/>
        </w:rPr>
        <w:t xml:space="preserve">RCS </w:t>
      </w:r>
      <w:r w:rsidRPr="001B4EEB">
        <w:rPr>
          <w:rFonts w:eastAsia="Times New Roman"/>
          <w:lang w:eastAsia="fr-FR"/>
        </w:rPr>
        <w:t>pour le post-traitement des NO</w:t>
      </w:r>
      <w:r w:rsidRPr="001B4EEB">
        <w:rPr>
          <w:rFonts w:eastAsia="Times New Roman"/>
          <w:vertAlign w:val="subscript"/>
          <w:lang w:eastAsia="fr-FR"/>
        </w:rPr>
        <w:t>x</w:t>
      </w:r>
      <w:r w:rsidRPr="001B4EEB">
        <w:rPr>
          <w:rFonts w:eastAsia="Times New Roman"/>
          <w:lang w:eastAsia="fr-FR"/>
        </w:rPr>
        <w:t xml:space="preserve"> se ferait essentiellement quand la charge du moteur est forte et donc aux conditions de température qui en résultent, par exemple pendant une phase de régénération</w:t>
      </w:r>
      <w:r>
        <w:rPr>
          <w:rFonts w:eastAsia="Times New Roman"/>
          <w:lang w:eastAsia="fr-FR"/>
        </w:rPr>
        <w:t>.</w:t>
      </w:r>
      <w:r w:rsidR="003C0D12">
        <w:rPr>
          <w:rFonts w:eastAsia="Times New Roman"/>
          <w:lang w:eastAsia="fr-FR"/>
        </w:rPr>
        <w:t xml:space="preserve"> </w:t>
      </w:r>
      <w:r>
        <w:rPr>
          <w:rFonts w:eastAsia="Times New Roman"/>
          <w:lang w:eastAsia="fr-FR"/>
        </w:rPr>
        <w:t>La capacité de conversion des NO</w:t>
      </w:r>
      <w:r w:rsidRPr="001A58FC">
        <w:rPr>
          <w:rFonts w:eastAsia="Times New Roman"/>
          <w:vertAlign w:val="subscript"/>
          <w:lang w:eastAsia="fr-FR"/>
        </w:rPr>
        <w:t>x</w:t>
      </w:r>
      <w:r>
        <w:rPr>
          <w:rFonts w:eastAsia="Times New Roman"/>
          <w:lang w:eastAsia="fr-FR"/>
        </w:rPr>
        <w:t xml:space="preserve"> ne pourrait donc être contrôlée que dans des conditions comparables.</w:t>
      </w:r>
    </w:p>
    <w:p w14:paraId="3F71A76E" w14:textId="77777777" w:rsidR="00BC3C9D" w:rsidRDefault="001D5EA1" w:rsidP="001D5EA1">
      <w:pPr>
        <w:pStyle w:val="SingleTxtG"/>
      </w:pPr>
      <w:r w:rsidRPr="00F94AE7">
        <w:rPr>
          <w:rFonts w:eastAsia="MS Mincho" w:cs="Courier New"/>
          <w:noProof/>
          <w:kern w:val="2"/>
          <w:szCs w:val="22"/>
          <w:lang w:eastAsia="fr-CH"/>
        </w:rPr>
        <w:drawing>
          <wp:inline distT="0" distB="0" distL="0" distR="0" wp14:anchorId="65127988" wp14:editId="10CD3E8F">
            <wp:extent cx="4651375" cy="21450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1375" cy="2145030"/>
                    </a:xfrm>
                    <a:prstGeom prst="rect">
                      <a:avLst/>
                    </a:prstGeom>
                    <a:noFill/>
                    <a:ln>
                      <a:noFill/>
                    </a:ln>
                  </pic:spPr>
                </pic:pic>
              </a:graphicData>
            </a:graphic>
          </wp:inline>
        </w:drawing>
      </w:r>
    </w:p>
    <w:p w14:paraId="06310766" w14:textId="77777777" w:rsidR="001D5EA1" w:rsidRDefault="003C0D12" w:rsidP="001D5EA1">
      <w:pPr>
        <w:pStyle w:val="SingleTxtG"/>
      </w:pPr>
      <w:r w:rsidRPr="00F94AE7">
        <w:rPr>
          <w:rFonts w:eastAsia="MS Mincho" w:cs="Courier New"/>
          <w:noProof/>
          <w:kern w:val="2"/>
          <w:szCs w:val="22"/>
          <w:lang w:eastAsia="fr-CH"/>
        </w:rPr>
        <w:drawing>
          <wp:inline distT="0" distB="0" distL="0" distR="0" wp14:anchorId="2CE5B9DC" wp14:editId="0417F276">
            <wp:extent cx="4643252" cy="2568328"/>
            <wp:effectExtent l="0" t="0" r="508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7661" cy="2587361"/>
                    </a:xfrm>
                    <a:prstGeom prst="rect">
                      <a:avLst/>
                    </a:prstGeom>
                    <a:noFill/>
                    <a:ln>
                      <a:noFill/>
                    </a:ln>
                  </pic:spPr>
                </pic:pic>
              </a:graphicData>
            </a:graphic>
          </wp:inline>
        </w:drawing>
      </w:r>
    </w:p>
    <w:p w14:paraId="21F57EC4" w14:textId="77777777" w:rsidR="003C0D12" w:rsidRPr="003C0D12" w:rsidRDefault="003C0D12" w:rsidP="003C0D12">
      <w:pPr>
        <w:pStyle w:val="SingleTxtG"/>
        <w:spacing w:before="240" w:after="0"/>
        <w:jc w:val="center"/>
        <w:rPr>
          <w:u w:val="single"/>
        </w:rPr>
      </w:pPr>
      <w:r>
        <w:rPr>
          <w:u w:val="single"/>
        </w:rPr>
        <w:tab/>
      </w:r>
      <w:r>
        <w:rPr>
          <w:u w:val="single"/>
        </w:rPr>
        <w:tab/>
      </w:r>
      <w:r>
        <w:rPr>
          <w:u w:val="single"/>
        </w:rPr>
        <w:tab/>
      </w:r>
    </w:p>
    <w:sectPr w:rsidR="003C0D12" w:rsidRPr="003C0D12" w:rsidSect="007168C9">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8F10C" w14:textId="77777777" w:rsidR="000C2FBC" w:rsidRDefault="000C2FBC" w:rsidP="00F95C08">
      <w:pPr>
        <w:spacing w:line="240" w:lineRule="auto"/>
      </w:pPr>
    </w:p>
  </w:endnote>
  <w:endnote w:type="continuationSeparator" w:id="0">
    <w:p w14:paraId="7DCE005B" w14:textId="77777777" w:rsidR="000C2FBC" w:rsidRPr="00AC3823" w:rsidRDefault="000C2FBC" w:rsidP="00AC3823">
      <w:pPr>
        <w:pStyle w:val="Pieddepage"/>
      </w:pPr>
    </w:p>
  </w:endnote>
  <w:endnote w:type="continuationNotice" w:id="1">
    <w:p w14:paraId="44E4F0D0" w14:textId="77777777" w:rsidR="000C2FBC" w:rsidRDefault="000C2F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9A8B" w14:textId="77777777" w:rsidR="007168C9" w:rsidRPr="007168C9" w:rsidRDefault="007168C9" w:rsidP="007168C9">
    <w:pPr>
      <w:pStyle w:val="Pieddepage"/>
      <w:tabs>
        <w:tab w:val="right" w:pos="9638"/>
      </w:tabs>
    </w:pPr>
    <w:r w:rsidRPr="007168C9">
      <w:rPr>
        <w:b/>
        <w:sz w:val="18"/>
      </w:rPr>
      <w:fldChar w:fldCharType="begin"/>
    </w:r>
    <w:r w:rsidRPr="007168C9">
      <w:rPr>
        <w:b/>
        <w:sz w:val="18"/>
      </w:rPr>
      <w:instrText xml:space="preserve"> PAGE  \* MERGEFORMAT </w:instrText>
    </w:r>
    <w:r w:rsidRPr="007168C9">
      <w:rPr>
        <w:b/>
        <w:sz w:val="18"/>
      </w:rPr>
      <w:fldChar w:fldCharType="separate"/>
    </w:r>
    <w:r w:rsidRPr="007168C9">
      <w:rPr>
        <w:b/>
        <w:noProof/>
        <w:sz w:val="18"/>
      </w:rPr>
      <w:t>2</w:t>
    </w:r>
    <w:r w:rsidRPr="007168C9">
      <w:rPr>
        <w:b/>
        <w:sz w:val="18"/>
      </w:rPr>
      <w:fldChar w:fldCharType="end"/>
    </w:r>
    <w:r>
      <w:rPr>
        <w:b/>
        <w:sz w:val="18"/>
      </w:rPr>
      <w:tab/>
    </w:r>
    <w:r>
      <w:t>GE.19-18897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A2292" w14:textId="77777777" w:rsidR="007168C9" w:rsidRPr="007168C9" w:rsidRDefault="007168C9" w:rsidP="007168C9">
    <w:pPr>
      <w:pStyle w:val="Pieddepage"/>
      <w:tabs>
        <w:tab w:val="right" w:pos="9638"/>
      </w:tabs>
      <w:rPr>
        <w:b/>
        <w:sz w:val="18"/>
      </w:rPr>
    </w:pPr>
    <w:r>
      <w:t>GE.19-18897</w:t>
    </w:r>
    <w:r>
      <w:tab/>
    </w:r>
    <w:r w:rsidRPr="007168C9">
      <w:rPr>
        <w:b/>
        <w:sz w:val="18"/>
      </w:rPr>
      <w:fldChar w:fldCharType="begin"/>
    </w:r>
    <w:r w:rsidRPr="007168C9">
      <w:rPr>
        <w:b/>
        <w:sz w:val="18"/>
      </w:rPr>
      <w:instrText xml:space="preserve"> PAGE  \* MERGEFORMAT </w:instrText>
    </w:r>
    <w:r w:rsidRPr="007168C9">
      <w:rPr>
        <w:b/>
        <w:sz w:val="18"/>
      </w:rPr>
      <w:fldChar w:fldCharType="separate"/>
    </w:r>
    <w:r w:rsidRPr="007168C9">
      <w:rPr>
        <w:b/>
        <w:noProof/>
        <w:sz w:val="18"/>
      </w:rPr>
      <w:t>3</w:t>
    </w:r>
    <w:r w:rsidRPr="007168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FF5B4" w14:textId="77777777" w:rsidR="007F20FA" w:rsidRPr="007168C9" w:rsidRDefault="007168C9" w:rsidP="007168C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15444DE" wp14:editId="58E2BF1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19-18897  (F)    051119    051119</w:t>
    </w:r>
    <w:r>
      <w:rPr>
        <w:sz w:val="20"/>
      </w:rPr>
      <w:br/>
    </w:r>
    <w:r w:rsidRPr="007168C9">
      <w:rPr>
        <w:rFonts w:ascii="C39T30Lfz" w:hAnsi="C39T30Lfz"/>
        <w:sz w:val="56"/>
      </w:rPr>
      <w:t></w:t>
    </w:r>
    <w:r w:rsidRPr="007168C9">
      <w:rPr>
        <w:rFonts w:ascii="C39T30Lfz" w:hAnsi="C39T30Lfz"/>
        <w:sz w:val="56"/>
      </w:rPr>
      <w:t></w:t>
    </w:r>
    <w:r w:rsidRPr="007168C9">
      <w:rPr>
        <w:rFonts w:ascii="C39T30Lfz" w:hAnsi="C39T30Lfz"/>
        <w:sz w:val="56"/>
      </w:rPr>
      <w:t></w:t>
    </w:r>
    <w:r w:rsidRPr="007168C9">
      <w:rPr>
        <w:rFonts w:ascii="C39T30Lfz" w:hAnsi="C39T30Lfz"/>
        <w:sz w:val="56"/>
      </w:rPr>
      <w:t></w:t>
    </w:r>
    <w:r w:rsidRPr="007168C9">
      <w:rPr>
        <w:rFonts w:ascii="C39T30Lfz" w:hAnsi="C39T30Lfz"/>
        <w:sz w:val="56"/>
      </w:rPr>
      <w:t></w:t>
    </w:r>
    <w:r w:rsidRPr="007168C9">
      <w:rPr>
        <w:rFonts w:ascii="C39T30Lfz" w:hAnsi="C39T30Lfz"/>
        <w:sz w:val="56"/>
      </w:rPr>
      <w:t></w:t>
    </w:r>
    <w:r w:rsidRPr="007168C9">
      <w:rPr>
        <w:rFonts w:ascii="C39T30Lfz" w:hAnsi="C39T30Lfz"/>
        <w:sz w:val="56"/>
      </w:rPr>
      <w:t></w:t>
    </w:r>
    <w:r w:rsidRPr="007168C9">
      <w:rPr>
        <w:rFonts w:ascii="C39T30Lfz" w:hAnsi="C39T30Lfz"/>
        <w:sz w:val="56"/>
      </w:rPr>
      <w:t></w:t>
    </w:r>
    <w:r w:rsidRPr="007168C9">
      <w:rPr>
        <w:rFonts w:ascii="C39T30Lfz" w:hAnsi="C39T30Lfz"/>
        <w:sz w:val="56"/>
      </w:rPr>
      <w:t></w:t>
    </w:r>
    <w:r>
      <w:rPr>
        <w:noProof/>
        <w:sz w:val="20"/>
      </w:rPr>
      <w:drawing>
        <wp:anchor distT="0" distB="0" distL="114300" distR="114300" simplePos="0" relativeHeight="251658240" behindDoc="0" locked="0" layoutInCell="1" allowOverlap="1" wp14:anchorId="07064BF5" wp14:editId="179C9AB9">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2020/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20/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C8A8C" w14:textId="77777777" w:rsidR="000C2FBC" w:rsidRPr="00AC3823" w:rsidRDefault="000C2FBC" w:rsidP="00AC3823">
      <w:pPr>
        <w:pStyle w:val="Pieddepage"/>
        <w:tabs>
          <w:tab w:val="right" w:pos="2155"/>
        </w:tabs>
        <w:spacing w:after="80" w:line="240" w:lineRule="atLeast"/>
        <w:ind w:left="680"/>
        <w:rPr>
          <w:u w:val="single"/>
        </w:rPr>
      </w:pPr>
      <w:r>
        <w:rPr>
          <w:u w:val="single"/>
        </w:rPr>
        <w:tab/>
      </w:r>
    </w:p>
  </w:footnote>
  <w:footnote w:type="continuationSeparator" w:id="0">
    <w:p w14:paraId="776ABD18" w14:textId="77777777" w:rsidR="000C2FBC" w:rsidRPr="00AC3823" w:rsidRDefault="000C2FBC" w:rsidP="00AC3823">
      <w:pPr>
        <w:pStyle w:val="Pieddepage"/>
        <w:tabs>
          <w:tab w:val="right" w:pos="2155"/>
        </w:tabs>
        <w:spacing w:after="80" w:line="240" w:lineRule="atLeast"/>
        <w:ind w:left="680"/>
        <w:rPr>
          <w:u w:val="single"/>
        </w:rPr>
      </w:pPr>
      <w:r>
        <w:rPr>
          <w:u w:val="single"/>
        </w:rPr>
        <w:tab/>
      </w:r>
    </w:p>
  </w:footnote>
  <w:footnote w:type="continuationNotice" w:id="1">
    <w:p w14:paraId="7A8EE782" w14:textId="77777777" w:rsidR="000C2FBC" w:rsidRPr="00AC3823" w:rsidRDefault="000C2FBC">
      <w:pPr>
        <w:spacing w:line="240" w:lineRule="auto"/>
        <w:rPr>
          <w:sz w:val="2"/>
          <w:szCs w:val="2"/>
        </w:rPr>
      </w:pPr>
    </w:p>
  </w:footnote>
  <w:footnote w:id="2">
    <w:p w14:paraId="6DE85ED5" w14:textId="77777777" w:rsidR="00E17C70" w:rsidRPr="00E17C70" w:rsidRDefault="00E17C70">
      <w:pPr>
        <w:pStyle w:val="Notedebasdepage"/>
      </w:pPr>
      <w:r>
        <w:rPr>
          <w:rStyle w:val="Appelnotedebasdep"/>
        </w:rPr>
        <w:tab/>
      </w:r>
      <w:r w:rsidRPr="00E17C70">
        <w:rPr>
          <w:rStyle w:val="Appelnotedebasdep"/>
          <w:sz w:val="20"/>
          <w:vertAlign w:val="baseline"/>
        </w:rPr>
        <w:t>*</w:t>
      </w:r>
      <w:r>
        <w:rPr>
          <w:rStyle w:val="Appelnotedebasdep"/>
          <w:sz w:val="20"/>
          <w:vertAlign w:val="baseline"/>
        </w:rPr>
        <w:tab/>
      </w:r>
      <w:r>
        <w:t xml:space="preserve">Conformément au programme de travail du Comité des transports intérieurs pour 2020 tel qu’il figure dans le </w:t>
      </w:r>
      <w:r w:rsidRPr="00562387">
        <w:t xml:space="preserve">projet de budget-programme </w:t>
      </w:r>
      <w:r>
        <w:t xml:space="preserve">pour 2020 </w:t>
      </w:r>
      <w:r w:rsidRPr="00562387">
        <w:rPr>
          <w:szCs w:val="18"/>
        </w:rPr>
        <w:t>(A/74/6 (part</w:t>
      </w:r>
      <w:r>
        <w:rPr>
          <w:szCs w:val="18"/>
        </w:rPr>
        <w:t>ie </w:t>
      </w:r>
      <w:r w:rsidRPr="00562387">
        <w:rPr>
          <w:szCs w:val="18"/>
        </w:rPr>
        <w:t>V</w:t>
      </w:r>
      <w:r>
        <w:rPr>
          <w:szCs w:val="18"/>
        </w:rPr>
        <w:t>,</w:t>
      </w:r>
      <w:r w:rsidRPr="00562387">
        <w:rPr>
          <w:szCs w:val="18"/>
        </w:rPr>
        <w:t xml:space="preserve"> sect. 20)</w:t>
      </w:r>
      <w:r w:rsidR="00CC27BD">
        <w:rPr>
          <w:szCs w:val="18"/>
        </w:rPr>
        <w:t>,</w:t>
      </w:r>
      <w:r w:rsidRPr="00562387">
        <w:rPr>
          <w:szCs w:val="18"/>
        </w:rPr>
        <w:t xml:space="preserve"> par 20.37), </w:t>
      </w:r>
      <w:r>
        <w:t xml:space="preserve">le Forum mondial a pour mission d’élaborer, d’harmoniser et de mettre à jour les Règlements </w:t>
      </w:r>
      <w:r w:rsidR="00B26344">
        <w:t xml:space="preserve">ONU </w:t>
      </w:r>
      <w:r>
        <w:t>en vue d’améliorer les caractéristiques fonctionnelles des véhicules.</w:t>
      </w:r>
      <w:r w:rsidRPr="00562387">
        <w:rPr>
          <w:szCs w:val="18"/>
        </w:rPr>
        <w:t xml:space="preserve"> Le présent document est soumis dans le cadre de ce mandat</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175B" w14:textId="0AB03A0E" w:rsidR="007168C9" w:rsidRPr="007168C9" w:rsidRDefault="007168C9">
    <w:pPr>
      <w:pStyle w:val="En-tte"/>
    </w:pPr>
    <w:fldSimple w:instr=" TITLE  \* MERGEFORMAT ">
      <w:r w:rsidR="0039186F">
        <w:t>ECE/TRANS/WP.29/GRPE/2020/5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BF70" w14:textId="67110AF3" w:rsidR="007168C9" w:rsidRPr="007168C9" w:rsidRDefault="007168C9" w:rsidP="007168C9">
    <w:pPr>
      <w:pStyle w:val="En-tte"/>
      <w:jc w:val="right"/>
    </w:pPr>
    <w:fldSimple w:instr=" TITLE  \* MERGEFORMAT ">
      <w:r w:rsidR="0039186F">
        <w:t>ECE/TRANS/WP.29/GRPE/2020/5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C2FBC"/>
    <w:rsid w:val="00017F94"/>
    <w:rsid w:val="00023842"/>
    <w:rsid w:val="000334F9"/>
    <w:rsid w:val="00045FEB"/>
    <w:rsid w:val="0007796D"/>
    <w:rsid w:val="000B7790"/>
    <w:rsid w:val="000C2FBC"/>
    <w:rsid w:val="00111F2F"/>
    <w:rsid w:val="0014365E"/>
    <w:rsid w:val="00143C66"/>
    <w:rsid w:val="00176178"/>
    <w:rsid w:val="001D5EA1"/>
    <w:rsid w:val="001D7498"/>
    <w:rsid w:val="001F525A"/>
    <w:rsid w:val="00223272"/>
    <w:rsid w:val="00233503"/>
    <w:rsid w:val="0024779E"/>
    <w:rsid w:val="00257168"/>
    <w:rsid w:val="002744B8"/>
    <w:rsid w:val="002832AC"/>
    <w:rsid w:val="002D7C93"/>
    <w:rsid w:val="00305801"/>
    <w:rsid w:val="003916DE"/>
    <w:rsid w:val="0039186F"/>
    <w:rsid w:val="003C0D12"/>
    <w:rsid w:val="00421996"/>
    <w:rsid w:val="00441C3B"/>
    <w:rsid w:val="00446FE5"/>
    <w:rsid w:val="00452396"/>
    <w:rsid w:val="004837D8"/>
    <w:rsid w:val="004E2EED"/>
    <w:rsid w:val="004E468C"/>
    <w:rsid w:val="005505B7"/>
    <w:rsid w:val="00573BE5"/>
    <w:rsid w:val="00586ED3"/>
    <w:rsid w:val="00596AA9"/>
    <w:rsid w:val="005B6116"/>
    <w:rsid w:val="006B28B5"/>
    <w:rsid w:val="0071601D"/>
    <w:rsid w:val="007168C9"/>
    <w:rsid w:val="00761AB2"/>
    <w:rsid w:val="007A62E6"/>
    <w:rsid w:val="007C67B4"/>
    <w:rsid w:val="007F20FA"/>
    <w:rsid w:val="0080684C"/>
    <w:rsid w:val="00851688"/>
    <w:rsid w:val="008575D2"/>
    <w:rsid w:val="00871C75"/>
    <w:rsid w:val="008776DC"/>
    <w:rsid w:val="009268EF"/>
    <w:rsid w:val="009446C0"/>
    <w:rsid w:val="009705C8"/>
    <w:rsid w:val="009C1CF4"/>
    <w:rsid w:val="009F6B74"/>
    <w:rsid w:val="00A3029F"/>
    <w:rsid w:val="00A30353"/>
    <w:rsid w:val="00AC3823"/>
    <w:rsid w:val="00AE323C"/>
    <w:rsid w:val="00AF0CB5"/>
    <w:rsid w:val="00B00181"/>
    <w:rsid w:val="00B00B0D"/>
    <w:rsid w:val="00B26344"/>
    <w:rsid w:val="00B45F2E"/>
    <w:rsid w:val="00B765F7"/>
    <w:rsid w:val="00BA0CA9"/>
    <w:rsid w:val="00BC3C9D"/>
    <w:rsid w:val="00C02897"/>
    <w:rsid w:val="00C60D4E"/>
    <w:rsid w:val="00C76B34"/>
    <w:rsid w:val="00C97039"/>
    <w:rsid w:val="00CC27BD"/>
    <w:rsid w:val="00CC70AF"/>
    <w:rsid w:val="00D3439C"/>
    <w:rsid w:val="00DB1831"/>
    <w:rsid w:val="00DD3BFD"/>
    <w:rsid w:val="00DF6678"/>
    <w:rsid w:val="00DF6747"/>
    <w:rsid w:val="00E0299A"/>
    <w:rsid w:val="00E17C70"/>
    <w:rsid w:val="00E2001C"/>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FF4654"/>
  <w15:docId w15:val="{E39F7806-2B84-4CBD-ADA4-7E1C7EFA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5</Pages>
  <Words>1149</Words>
  <Characters>8049</Characters>
  <Application>Microsoft Office Word</Application>
  <DocSecurity>0</DocSecurity>
  <Lines>670</Lines>
  <Paragraphs>367</Paragraphs>
  <ScaleCrop>false</ScaleCrop>
  <HeadingPairs>
    <vt:vector size="2" baseType="variant">
      <vt:variant>
        <vt:lpstr>Titre</vt:lpstr>
      </vt:variant>
      <vt:variant>
        <vt:i4>1</vt:i4>
      </vt:variant>
    </vt:vector>
  </HeadingPairs>
  <TitlesOfParts>
    <vt:vector size="1" baseType="lpstr">
      <vt:lpstr>ECE/TRANS/WP.29/GRPE/2020/5</vt:lpstr>
    </vt:vector>
  </TitlesOfParts>
  <Company>DCM</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ECE/TRANS/WP.29/GRPE/2020/5</dc:title>
  <dc:subject/>
  <dc:creator>Maud DARICHE</dc:creator>
  <cp:keywords/>
  <cp:lastModifiedBy>Maud Dariche</cp:lastModifiedBy>
  <cp:revision>3</cp:revision>
  <cp:lastPrinted>2019-11-05T11:41:00Z</cp:lastPrinted>
  <dcterms:created xsi:type="dcterms:W3CDTF">2019-11-05T11:41:00Z</dcterms:created>
  <dcterms:modified xsi:type="dcterms:W3CDTF">2019-11-05T11:42:00Z</dcterms:modified>
</cp:coreProperties>
</file>