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D209FC">
        <w:tc>
          <w:tcPr>
            <w:tcW w:w="4395" w:type="dxa"/>
          </w:tcPr>
          <w:p w:rsidR="006A522A" w:rsidRPr="00D209FC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D209FC">
              <w:rPr>
                <w:sz w:val="20"/>
                <w:szCs w:val="20"/>
                <w:lang w:val="en-GB"/>
              </w:rPr>
              <w:t>Sub</w:t>
            </w:r>
            <w:r w:rsidR="006A522A" w:rsidRPr="00D209FC">
              <w:rPr>
                <w:sz w:val="20"/>
                <w:szCs w:val="20"/>
                <w:lang w:val="en-GB"/>
              </w:rPr>
              <w:t xml:space="preserve">mitted by the </w:t>
            </w:r>
            <w:r w:rsidR="00FD10F2">
              <w:rPr>
                <w:sz w:val="20"/>
                <w:szCs w:val="20"/>
                <w:lang w:val="en-GB"/>
              </w:rPr>
              <w:t>Secretariat</w:t>
            </w:r>
          </w:p>
        </w:tc>
        <w:tc>
          <w:tcPr>
            <w:tcW w:w="4961" w:type="dxa"/>
          </w:tcPr>
          <w:p w:rsidR="006A522A" w:rsidRPr="00D209FC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D209FC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D209FC">
              <w:rPr>
                <w:sz w:val="20"/>
                <w:szCs w:val="20"/>
                <w:lang w:val="en-GB"/>
              </w:rPr>
              <w:t xml:space="preserve"> </w:t>
            </w:r>
            <w:r w:rsidRPr="00D209FC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D209FC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 w:rsidRPr="00D209FC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C7EB0" w:rsidRPr="00D209FC"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D209FC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D10F2">
              <w:rPr>
                <w:b/>
                <w:bCs/>
                <w:sz w:val="20"/>
                <w:szCs w:val="20"/>
                <w:lang w:val="en-GB"/>
              </w:rPr>
              <w:t>02</w:t>
            </w:r>
          </w:p>
          <w:p w:rsidR="006A522A" w:rsidRPr="00D209FC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D209FC">
              <w:rPr>
                <w:sz w:val="20"/>
                <w:szCs w:val="20"/>
                <w:lang w:val="en-GB"/>
              </w:rPr>
              <w:t>(</w:t>
            </w:r>
            <w:r w:rsidR="00262ADB" w:rsidRPr="00D209FC">
              <w:rPr>
                <w:sz w:val="20"/>
                <w:szCs w:val="20"/>
                <w:lang w:val="en-GB"/>
              </w:rPr>
              <w:t>1</w:t>
            </w:r>
            <w:r w:rsidR="00557BF6" w:rsidRPr="00D209FC">
              <w:rPr>
                <w:sz w:val="20"/>
                <w:szCs w:val="20"/>
                <w:lang w:val="en-GB"/>
              </w:rPr>
              <w:t>1</w:t>
            </w:r>
            <w:r w:rsidR="005C7EB0" w:rsidRPr="00D209FC">
              <w:rPr>
                <w:sz w:val="20"/>
                <w:szCs w:val="20"/>
                <w:lang w:val="en-GB"/>
              </w:rPr>
              <w:t>7</w:t>
            </w:r>
            <w:r w:rsidR="00233D81" w:rsidRPr="00D209FC">
              <w:rPr>
                <w:sz w:val="20"/>
                <w:szCs w:val="20"/>
                <w:lang w:val="en-GB"/>
              </w:rPr>
              <w:t>th</w:t>
            </w:r>
            <w:r w:rsidR="006A522A" w:rsidRPr="00D209FC">
              <w:rPr>
                <w:sz w:val="20"/>
                <w:szCs w:val="20"/>
                <w:lang w:val="en-GB"/>
              </w:rPr>
              <w:t xml:space="preserve"> GRSG, </w:t>
            </w:r>
            <w:r w:rsidR="005C7EB0" w:rsidRPr="00D209FC">
              <w:rPr>
                <w:sz w:val="20"/>
                <w:szCs w:val="20"/>
                <w:lang w:val="en-GB"/>
              </w:rPr>
              <w:t>8</w:t>
            </w:r>
            <w:r w:rsidR="00265267" w:rsidRPr="00D209FC">
              <w:rPr>
                <w:sz w:val="20"/>
                <w:szCs w:val="20"/>
                <w:lang w:val="en-GB"/>
              </w:rPr>
              <w:t>-</w:t>
            </w:r>
            <w:r w:rsidR="005C7EB0" w:rsidRPr="00D209FC">
              <w:rPr>
                <w:sz w:val="20"/>
                <w:szCs w:val="20"/>
                <w:lang w:val="en-GB"/>
              </w:rPr>
              <w:t>11</w:t>
            </w:r>
            <w:r w:rsidR="00233D81" w:rsidRPr="00D209FC">
              <w:rPr>
                <w:sz w:val="20"/>
                <w:szCs w:val="20"/>
                <w:lang w:val="en-GB"/>
              </w:rPr>
              <w:t xml:space="preserve"> </w:t>
            </w:r>
            <w:r w:rsidR="005C7EB0" w:rsidRPr="00D209FC">
              <w:rPr>
                <w:sz w:val="20"/>
                <w:szCs w:val="20"/>
                <w:lang w:val="en-GB"/>
              </w:rPr>
              <w:t xml:space="preserve">October </w:t>
            </w:r>
            <w:r w:rsidR="00233D81" w:rsidRPr="00D209FC">
              <w:rPr>
                <w:sz w:val="20"/>
                <w:szCs w:val="20"/>
                <w:lang w:val="en-GB"/>
              </w:rPr>
              <w:t>201</w:t>
            </w:r>
            <w:r w:rsidR="008645BD" w:rsidRPr="00D209FC">
              <w:rPr>
                <w:sz w:val="20"/>
                <w:szCs w:val="20"/>
                <w:lang w:val="en-GB"/>
              </w:rPr>
              <w:t>9</w:t>
            </w:r>
          </w:p>
          <w:p w:rsidR="006A522A" w:rsidRPr="00D209FC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D209FC">
              <w:rPr>
                <w:sz w:val="20"/>
                <w:szCs w:val="20"/>
                <w:lang w:val="en-GB"/>
              </w:rPr>
              <w:t xml:space="preserve">Agenda item </w:t>
            </w:r>
            <w:r w:rsidR="000356D8">
              <w:rPr>
                <w:sz w:val="20"/>
                <w:szCs w:val="20"/>
                <w:lang w:val="en-GB"/>
              </w:rPr>
              <w:t>16.</w:t>
            </w:r>
            <w:r w:rsidR="006A522A" w:rsidRPr="00D209FC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8645BD" w:rsidRPr="00D209FC" w:rsidRDefault="00C259A5" w:rsidP="006B1461">
      <w:pPr>
        <w:pStyle w:val="HChG"/>
        <w:ind w:left="0" w:right="-3" w:firstLine="0"/>
        <w:jc w:val="both"/>
      </w:pPr>
      <w:r w:rsidRPr="00D209FC">
        <w:tab/>
      </w:r>
      <w:r w:rsidR="00EE2C9E" w:rsidRPr="00D209FC">
        <w:t>Request for clarification of a possible inconsistency</w:t>
      </w:r>
      <w:r w:rsidR="00EE2C9E" w:rsidRPr="00D209FC">
        <w:t xml:space="preserve"> in UN Regulation No. 144</w:t>
      </w:r>
    </w:p>
    <w:p w:rsidR="00D209FC" w:rsidRPr="00D209FC" w:rsidRDefault="00B4052E" w:rsidP="00D209FC">
      <w:pPr>
        <w:ind w:right="85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</w:t>
      </w:r>
      <w:r w:rsidRPr="00D209FC">
        <w:rPr>
          <w:sz w:val="20"/>
          <w:szCs w:val="20"/>
          <w:lang w:val="en-GB"/>
        </w:rPr>
        <w:t>UN Regulation No. 144, addendum 143 (E/ECE/TRANS/505/Rev.3/Add.143)</w:t>
      </w:r>
      <w:r w:rsidR="00891167">
        <w:rPr>
          <w:sz w:val="20"/>
          <w:szCs w:val="20"/>
          <w:lang w:val="en-GB"/>
        </w:rPr>
        <w:t>,</w:t>
      </w:r>
      <w:bookmarkStart w:id="0" w:name="_GoBack"/>
      <w:bookmarkEnd w:id="0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there appears to be a discrepancy in the text regarding the verification of AECS power supply performance. Section 26.7.2. refers to situations when AECS is not equipped with a back-up power supply, however, subsection 26.7.2.3. refers to an existing AECS back-up power supply.</w:t>
      </w:r>
    </w:p>
    <w:p w:rsidR="00D209FC" w:rsidRPr="00D209FC" w:rsidRDefault="00D209FC" w:rsidP="00D209FC">
      <w:pPr>
        <w:ind w:right="851"/>
        <w:rPr>
          <w:sz w:val="20"/>
          <w:szCs w:val="20"/>
          <w:lang w:val="en-GB"/>
        </w:rPr>
      </w:pPr>
    </w:p>
    <w:p w:rsidR="00D209FC" w:rsidRPr="00D209FC" w:rsidRDefault="00D209FC" w:rsidP="00D209FC">
      <w:pPr>
        <w:ind w:right="85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B4052E">
        <w:rPr>
          <w:sz w:val="20"/>
          <w:szCs w:val="20"/>
          <w:lang w:val="en-GB"/>
        </w:rPr>
        <w:t>part</w:t>
      </w:r>
      <w:r>
        <w:rPr>
          <w:sz w:val="20"/>
          <w:szCs w:val="20"/>
          <w:lang w:val="en-GB"/>
        </w:rPr>
        <w:t xml:space="preserve"> in question from </w:t>
      </w:r>
      <w:r w:rsidRPr="00D209FC">
        <w:rPr>
          <w:sz w:val="20"/>
          <w:szCs w:val="20"/>
          <w:lang w:val="en-GB"/>
        </w:rPr>
        <w:t xml:space="preserve">UN Regulation No. 144, addendum 143 </w:t>
      </w:r>
      <w:r w:rsidR="00FD10F2">
        <w:rPr>
          <w:sz w:val="20"/>
          <w:szCs w:val="20"/>
          <w:lang w:val="en-GB"/>
        </w:rPr>
        <w:t xml:space="preserve">is </w:t>
      </w:r>
      <w:r>
        <w:rPr>
          <w:sz w:val="20"/>
          <w:szCs w:val="20"/>
          <w:lang w:val="en-GB"/>
        </w:rPr>
        <w:t>reproduced below</w:t>
      </w:r>
      <w:r w:rsidR="00B4052E">
        <w:rPr>
          <w:sz w:val="20"/>
          <w:szCs w:val="20"/>
          <w:lang w:val="en-GB"/>
        </w:rPr>
        <w:t>, with relevant parts highlig</w:t>
      </w:r>
      <w:r w:rsidR="00891167">
        <w:rPr>
          <w:sz w:val="20"/>
          <w:szCs w:val="20"/>
          <w:lang w:val="en-GB"/>
        </w:rPr>
        <w:t>h</w:t>
      </w:r>
      <w:r w:rsidR="00B4052E">
        <w:rPr>
          <w:sz w:val="20"/>
          <w:szCs w:val="20"/>
          <w:lang w:val="en-GB"/>
        </w:rPr>
        <w:t>ted</w:t>
      </w:r>
      <w:r>
        <w:rPr>
          <w:sz w:val="20"/>
          <w:szCs w:val="20"/>
          <w:lang w:val="en-GB"/>
        </w:rPr>
        <w:t>:</w:t>
      </w:r>
    </w:p>
    <w:p w:rsidR="00D209FC" w:rsidRPr="00D209FC" w:rsidRDefault="00D209FC" w:rsidP="00EE2C9E">
      <w:pPr>
        <w:ind w:left="709" w:right="851"/>
        <w:rPr>
          <w:sz w:val="20"/>
          <w:szCs w:val="20"/>
          <w:lang w:val="en-GB"/>
        </w:rPr>
      </w:pPr>
    </w:p>
    <w:p w:rsidR="00EE2C9E" w:rsidRPr="00D209FC" w:rsidRDefault="00D209FC" w:rsidP="00EE2C9E">
      <w:pPr>
        <w:ind w:left="709" w:right="851"/>
        <w:rPr>
          <w:sz w:val="20"/>
          <w:szCs w:val="20"/>
          <w:lang w:val="en-GB"/>
        </w:rPr>
      </w:pPr>
      <w:r w:rsidRPr="00D209FC">
        <w:rPr>
          <w:sz w:val="20"/>
          <w:szCs w:val="20"/>
          <w:lang w:val="en-GB"/>
        </w:rPr>
        <w:t>“</w:t>
      </w:r>
      <w:r w:rsidR="00EE2C9E" w:rsidRPr="00D209FC">
        <w:rPr>
          <w:sz w:val="20"/>
          <w:szCs w:val="20"/>
          <w:lang w:val="en-GB"/>
        </w:rPr>
        <w:t xml:space="preserve">26.7. </w:t>
      </w:r>
      <w:r w:rsidR="00EE2C9E" w:rsidRPr="00D209FC">
        <w:rPr>
          <w:sz w:val="20"/>
          <w:szCs w:val="20"/>
          <w:lang w:val="en-GB"/>
        </w:rPr>
        <w:tab/>
      </w:r>
      <w:r w:rsidR="00EE2C9E" w:rsidRPr="00D209FC">
        <w:rPr>
          <w:sz w:val="20"/>
          <w:szCs w:val="20"/>
          <w:lang w:val="en-GB"/>
        </w:rPr>
        <w:t>Verification of AECS power supply performance</w:t>
      </w:r>
    </w:p>
    <w:p w:rsidR="00EE2C9E" w:rsidRPr="00D209FC" w:rsidRDefault="00EE2C9E" w:rsidP="00EE2C9E">
      <w:pPr>
        <w:ind w:left="709" w:right="848"/>
        <w:rPr>
          <w:sz w:val="20"/>
          <w:szCs w:val="20"/>
          <w:lang w:val="en-GB"/>
        </w:rPr>
      </w:pPr>
    </w:p>
    <w:p w:rsidR="00EE2C9E" w:rsidRPr="00D209FC" w:rsidRDefault="00EE2C9E" w:rsidP="00EE2C9E">
      <w:pPr>
        <w:ind w:left="1701" w:right="848"/>
        <w:rPr>
          <w:sz w:val="20"/>
          <w:szCs w:val="20"/>
          <w:lang w:val="en-GB"/>
        </w:rPr>
      </w:pPr>
      <w:r w:rsidRPr="00D209FC">
        <w:rPr>
          <w:sz w:val="20"/>
          <w:szCs w:val="20"/>
          <w:lang w:val="en-GB"/>
        </w:rPr>
        <w:t>If the power supply performance is not covered by the AECD approval under</w:t>
      </w:r>
      <w:r w:rsidRPr="00D209FC">
        <w:rPr>
          <w:sz w:val="20"/>
          <w:szCs w:val="20"/>
          <w:lang w:val="en-GB"/>
        </w:rPr>
        <w:t xml:space="preserve"> </w:t>
      </w:r>
      <w:r w:rsidRPr="00D209FC">
        <w:rPr>
          <w:sz w:val="20"/>
          <w:szCs w:val="20"/>
          <w:lang w:val="en-GB"/>
        </w:rPr>
        <w:t xml:space="preserve">Part </w:t>
      </w:r>
      <w:proofErr w:type="spellStart"/>
      <w:r w:rsidRPr="00D209FC">
        <w:rPr>
          <w:sz w:val="20"/>
          <w:szCs w:val="20"/>
          <w:lang w:val="en-GB"/>
        </w:rPr>
        <w:t>Ib</w:t>
      </w:r>
      <w:proofErr w:type="spellEnd"/>
      <w:r w:rsidRPr="00D209FC">
        <w:rPr>
          <w:sz w:val="20"/>
          <w:szCs w:val="20"/>
          <w:lang w:val="en-GB"/>
        </w:rPr>
        <w:t xml:space="preserve"> of this Regulation, then the paragraphs below apply.</w:t>
      </w:r>
    </w:p>
    <w:p w:rsidR="00EE2C9E" w:rsidRPr="00D209FC" w:rsidRDefault="00EE2C9E" w:rsidP="00EE2C9E">
      <w:pPr>
        <w:ind w:left="709" w:right="848"/>
        <w:rPr>
          <w:sz w:val="20"/>
          <w:szCs w:val="20"/>
          <w:lang w:val="en-GB"/>
        </w:rPr>
      </w:pPr>
    </w:p>
    <w:p w:rsidR="00EE2C9E" w:rsidRPr="00D209FC" w:rsidRDefault="00EE2C9E" w:rsidP="00EE2C9E">
      <w:pPr>
        <w:ind w:left="709" w:right="848"/>
        <w:rPr>
          <w:sz w:val="20"/>
          <w:szCs w:val="20"/>
          <w:lang w:val="en-GB"/>
        </w:rPr>
      </w:pPr>
      <w:r w:rsidRPr="00D209FC">
        <w:rPr>
          <w:sz w:val="20"/>
          <w:szCs w:val="20"/>
          <w:lang w:val="en-GB"/>
        </w:rPr>
        <w:t>26.7.1.</w:t>
      </w:r>
      <w:r w:rsidRPr="00D209FC">
        <w:rPr>
          <w:sz w:val="20"/>
          <w:szCs w:val="20"/>
          <w:lang w:val="en-GB"/>
        </w:rPr>
        <w:tab/>
      </w:r>
      <w:r w:rsidRPr="00D209FC">
        <w:rPr>
          <w:sz w:val="20"/>
          <w:szCs w:val="20"/>
          <w:lang w:val="en-GB"/>
        </w:rPr>
        <w:t>AECS is equipped with a back-up power supply</w:t>
      </w:r>
    </w:p>
    <w:p w:rsidR="00EE2C9E" w:rsidRPr="00D209FC" w:rsidRDefault="00EE2C9E" w:rsidP="00EE2C9E">
      <w:pPr>
        <w:ind w:left="709" w:right="848"/>
        <w:rPr>
          <w:sz w:val="20"/>
          <w:szCs w:val="20"/>
          <w:lang w:val="en-GB"/>
        </w:rPr>
      </w:pPr>
    </w:p>
    <w:p w:rsidR="00EE2C9E" w:rsidRPr="00D209FC" w:rsidRDefault="00EE2C9E" w:rsidP="00EE2C9E">
      <w:pPr>
        <w:ind w:left="1701" w:right="848" w:hanging="992"/>
        <w:rPr>
          <w:sz w:val="20"/>
          <w:szCs w:val="20"/>
          <w:lang w:val="en-GB"/>
        </w:rPr>
      </w:pPr>
      <w:r w:rsidRPr="00D209FC">
        <w:rPr>
          <w:sz w:val="20"/>
          <w:szCs w:val="20"/>
          <w:lang w:val="en-GB"/>
        </w:rPr>
        <w:t xml:space="preserve">26.7.1.1. </w:t>
      </w:r>
      <w:r w:rsidRPr="00D209FC">
        <w:rPr>
          <w:sz w:val="20"/>
          <w:szCs w:val="20"/>
          <w:lang w:val="en-GB"/>
        </w:rPr>
        <w:tab/>
      </w:r>
      <w:r w:rsidRPr="00D209FC">
        <w:rPr>
          <w:sz w:val="20"/>
          <w:szCs w:val="20"/>
          <w:lang w:val="en-GB"/>
        </w:rPr>
        <w:tab/>
      </w:r>
      <w:r w:rsidRPr="00D209FC">
        <w:rPr>
          <w:sz w:val="20"/>
          <w:szCs w:val="20"/>
          <w:lang w:val="en-GB"/>
        </w:rPr>
        <w:t xml:space="preserve">Before the impact test under Regulations Nos. 94 and/or 95, whichever is relevant, the AECS shall be operable for a period of, first, not less than 5 minutes in voice communication mode followed by 60 minutes in call-back mode (idle mode, registered in </w:t>
      </w:r>
      <w:proofErr w:type="gramStart"/>
      <w:r w:rsidRPr="00D209FC">
        <w:rPr>
          <w:sz w:val="20"/>
          <w:szCs w:val="20"/>
          <w:lang w:val="en-GB"/>
        </w:rPr>
        <w:t>a the</w:t>
      </w:r>
      <w:proofErr w:type="gramEnd"/>
      <w:r w:rsidRPr="00D209FC">
        <w:rPr>
          <w:sz w:val="20"/>
          <w:szCs w:val="20"/>
          <w:lang w:val="en-GB"/>
        </w:rPr>
        <w:t xml:space="preserve"> network), and finally, not less than 5 minutes in voice communication mode. This can be demonstrated by real (actual) test or by calculation/simulation.</w:t>
      </w:r>
    </w:p>
    <w:p w:rsidR="00EE2C9E" w:rsidRPr="00D209FC" w:rsidRDefault="00EE2C9E" w:rsidP="00EE2C9E">
      <w:pPr>
        <w:ind w:left="709" w:right="848"/>
        <w:rPr>
          <w:sz w:val="20"/>
          <w:szCs w:val="20"/>
          <w:lang w:val="en-GB"/>
        </w:rPr>
      </w:pPr>
    </w:p>
    <w:p w:rsidR="00EE2C9E" w:rsidRPr="00D209FC" w:rsidRDefault="00EE2C9E" w:rsidP="00EE2C9E">
      <w:pPr>
        <w:ind w:left="1701" w:right="848"/>
        <w:rPr>
          <w:sz w:val="20"/>
          <w:szCs w:val="20"/>
          <w:lang w:val="en-GB"/>
        </w:rPr>
      </w:pPr>
      <w:r w:rsidRPr="00D209FC">
        <w:rPr>
          <w:sz w:val="20"/>
          <w:szCs w:val="20"/>
          <w:lang w:val="en-GB"/>
        </w:rPr>
        <w:t xml:space="preserve">This shall be demonstrated by the manufacturer in all expected post-crash power supply conditions of these impact tests (Regulations Nos. 94 and/or 95 whichever is relevant), </w:t>
      </w:r>
      <w:proofErr w:type="gramStart"/>
      <w:r w:rsidRPr="00D209FC">
        <w:rPr>
          <w:sz w:val="20"/>
          <w:szCs w:val="20"/>
          <w:lang w:val="en-GB"/>
        </w:rPr>
        <w:t>taking into account</w:t>
      </w:r>
      <w:proofErr w:type="gramEnd"/>
      <w:r w:rsidRPr="00D209FC">
        <w:rPr>
          <w:sz w:val="20"/>
          <w:szCs w:val="20"/>
          <w:lang w:val="en-GB"/>
        </w:rPr>
        <w:t xml:space="preserve"> the vehicle's power management strategy.</w:t>
      </w:r>
    </w:p>
    <w:p w:rsidR="00EE2C9E" w:rsidRPr="00D209FC" w:rsidRDefault="00EE2C9E" w:rsidP="00EE2C9E">
      <w:pPr>
        <w:ind w:left="709" w:right="848"/>
        <w:rPr>
          <w:sz w:val="20"/>
          <w:szCs w:val="20"/>
          <w:lang w:val="en-GB"/>
        </w:rPr>
      </w:pPr>
    </w:p>
    <w:p w:rsidR="00EE2C9E" w:rsidRPr="00D209FC" w:rsidRDefault="00EE2C9E" w:rsidP="00EE2C9E">
      <w:pPr>
        <w:ind w:left="1699" w:right="848" w:hanging="990"/>
        <w:rPr>
          <w:sz w:val="20"/>
          <w:szCs w:val="20"/>
          <w:lang w:val="en-GB"/>
        </w:rPr>
      </w:pPr>
      <w:r w:rsidRPr="00D209FC">
        <w:rPr>
          <w:sz w:val="20"/>
          <w:szCs w:val="20"/>
          <w:lang w:val="en-GB"/>
        </w:rPr>
        <w:t xml:space="preserve">26.7.1.2. </w:t>
      </w:r>
      <w:r w:rsidRPr="00D209FC">
        <w:rPr>
          <w:sz w:val="20"/>
          <w:szCs w:val="20"/>
          <w:lang w:val="en-GB"/>
        </w:rPr>
        <w:tab/>
      </w:r>
      <w:r w:rsidRPr="00D209FC">
        <w:rPr>
          <w:sz w:val="20"/>
          <w:szCs w:val="20"/>
          <w:lang w:val="en-GB"/>
        </w:rPr>
        <w:t>After the impact test under UN Regulations Nos. 94 and/or 95, whichever is relevant, the AECS back-up power supply shall be able to supply power to the AECS. This may be verified by one of the methods described in Annex 11 to this Regulation.</w:t>
      </w:r>
    </w:p>
    <w:p w:rsidR="00EE2C9E" w:rsidRPr="00D209FC" w:rsidRDefault="00EE2C9E" w:rsidP="00EE2C9E">
      <w:pPr>
        <w:ind w:left="709" w:right="848"/>
        <w:rPr>
          <w:sz w:val="20"/>
          <w:szCs w:val="20"/>
          <w:lang w:val="en-GB"/>
        </w:rPr>
      </w:pPr>
    </w:p>
    <w:p w:rsidR="00EE2C9E" w:rsidRPr="00D209FC" w:rsidRDefault="00EE2C9E" w:rsidP="00EE2C9E">
      <w:pPr>
        <w:ind w:left="709" w:right="848"/>
        <w:rPr>
          <w:sz w:val="20"/>
          <w:szCs w:val="20"/>
          <w:lang w:val="en-GB"/>
        </w:rPr>
      </w:pPr>
      <w:r w:rsidRPr="00B4052E">
        <w:rPr>
          <w:sz w:val="20"/>
          <w:szCs w:val="20"/>
          <w:highlight w:val="yellow"/>
          <w:lang w:val="en-GB"/>
        </w:rPr>
        <w:t xml:space="preserve">26.7.2. </w:t>
      </w:r>
      <w:r w:rsidRPr="00B4052E">
        <w:rPr>
          <w:sz w:val="20"/>
          <w:szCs w:val="20"/>
          <w:highlight w:val="yellow"/>
          <w:lang w:val="en-GB"/>
        </w:rPr>
        <w:tab/>
      </w:r>
      <w:r w:rsidRPr="00B4052E">
        <w:rPr>
          <w:sz w:val="20"/>
          <w:szCs w:val="20"/>
          <w:highlight w:val="yellow"/>
          <w:lang w:val="en-GB"/>
        </w:rPr>
        <w:t>AECS is not equipped with a back-up power supply</w:t>
      </w:r>
    </w:p>
    <w:p w:rsidR="00EE2C9E" w:rsidRPr="00D209FC" w:rsidRDefault="00EE2C9E" w:rsidP="00EE2C9E">
      <w:pPr>
        <w:ind w:left="709" w:right="848"/>
        <w:rPr>
          <w:sz w:val="20"/>
          <w:szCs w:val="20"/>
          <w:lang w:val="en-GB"/>
        </w:rPr>
      </w:pPr>
    </w:p>
    <w:p w:rsidR="00EE2C9E" w:rsidRPr="00D209FC" w:rsidRDefault="00EE2C9E" w:rsidP="00EE2C9E">
      <w:pPr>
        <w:ind w:left="1699" w:right="848" w:hanging="990"/>
        <w:rPr>
          <w:sz w:val="20"/>
          <w:szCs w:val="20"/>
          <w:lang w:val="en-GB"/>
        </w:rPr>
      </w:pPr>
      <w:r w:rsidRPr="00D209FC">
        <w:rPr>
          <w:sz w:val="20"/>
          <w:szCs w:val="20"/>
          <w:lang w:val="en-GB"/>
        </w:rPr>
        <w:t xml:space="preserve">26.7.2.1. </w:t>
      </w:r>
      <w:r w:rsidRPr="00D209FC">
        <w:rPr>
          <w:sz w:val="20"/>
          <w:szCs w:val="20"/>
          <w:lang w:val="en-GB"/>
        </w:rPr>
        <w:tab/>
      </w:r>
      <w:r w:rsidRPr="00D209FC">
        <w:rPr>
          <w:sz w:val="20"/>
          <w:szCs w:val="20"/>
          <w:lang w:val="en-GB"/>
        </w:rPr>
        <w:t>The absence of back-up power supply shall be clearly indicated in the information document of Annex 7 to this Regulation.</w:t>
      </w:r>
    </w:p>
    <w:p w:rsidR="00EE2C9E" w:rsidRPr="00D209FC" w:rsidRDefault="00EE2C9E" w:rsidP="00EE2C9E">
      <w:pPr>
        <w:ind w:left="709" w:right="848"/>
        <w:rPr>
          <w:sz w:val="20"/>
          <w:szCs w:val="20"/>
          <w:lang w:val="en-GB"/>
        </w:rPr>
      </w:pPr>
    </w:p>
    <w:p w:rsidR="00EE2C9E" w:rsidRPr="00D209FC" w:rsidRDefault="00EE2C9E" w:rsidP="00EE2C9E">
      <w:pPr>
        <w:pStyle w:val="Default"/>
        <w:ind w:left="1699" w:right="848" w:hanging="990"/>
        <w:rPr>
          <w:rFonts w:eastAsia="Times New Roman"/>
          <w:sz w:val="20"/>
          <w:szCs w:val="20"/>
          <w:lang w:val="en-GB" w:eastAsia="en-GB"/>
        </w:rPr>
      </w:pPr>
      <w:r w:rsidRPr="00D209FC">
        <w:rPr>
          <w:sz w:val="20"/>
          <w:szCs w:val="20"/>
          <w:lang w:val="en-GB"/>
        </w:rPr>
        <w:t xml:space="preserve">26.7.2.2. </w:t>
      </w:r>
      <w:r w:rsidRPr="00D209FC">
        <w:rPr>
          <w:sz w:val="20"/>
          <w:szCs w:val="20"/>
          <w:lang w:val="en-GB"/>
        </w:rPr>
        <w:tab/>
      </w:r>
      <w:r w:rsidRPr="00D209FC">
        <w:rPr>
          <w:sz w:val="20"/>
          <w:szCs w:val="20"/>
          <w:lang w:val="en-GB"/>
        </w:rPr>
        <w:t xml:space="preserve">Before the impact test under UN Regulations Nos. 94 and/or 95 whichever is relevant, the AECS shall be operable for a period of, first, not less than 5 minutes in voice communication mode followed by 60 minutes in call-back mode (idle mode, registered in </w:t>
      </w:r>
      <w:proofErr w:type="gramStart"/>
      <w:r w:rsidRPr="00D209FC">
        <w:rPr>
          <w:sz w:val="20"/>
          <w:szCs w:val="20"/>
          <w:lang w:val="en-GB"/>
        </w:rPr>
        <w:t>a the</w:t>
      </w:r>
      <w:proofErr w:type="gramEnd"/>
      <w:r w:rsidRPr="00D209FC">
        <w:rPr>
          <w:sz w:val="20"/>
          <w:szCs w:val="20"/>
          <w:lang w:val="en-GB"/>
        </w:rPr>
        <w:t xml:space="preserve"> network), and finally, not less than 5</w:t>
      </w:r>
      <w:r w:rsidRPr="00D209FC">
        <w:rPr>
          <w:rFonts w:eastAsia="Times New Roman"/>
          <w:sz w:val="20"/>
          <w:szCs w:val="20"/>
          <w:lang w:val="en-GB" w:eastAsia="en-GB"/>
        </w:rPr>
        <w:t xml:space="preserve">minutes in voice communication mode. This can be demonstrated by real (actual) test or by calculation/simulation. </w:t>
      </w:r>
    </w:p>
    <w:p w:rsidR="00EE2C9E" w:rsidRPr="00D209FC" w:rsidRDefault="00EE2C9E" w:rsidP="00EE2C9E">
      <w:pPr>
        <w:pStyle w:val="Default"/>
        <w:ind w:left="709" w:right="848"/>
        <w:rPr>
          <w:rFonts w:eastAsia="Times New Roman"/>
          <w:sz w:val="20"/>
          <w:szCs w:val="20"/>
          <w:lang w:val="en-GB" w:eastAsia="en-GB"/>
        </w:rPr>
      </w:pPr>
    </w:p>
    <w:p w:rsidR="00EE2C9E" w:rsidRPr="00D209FC" w:rsidRDefault="00EE2C9E" w:rsidP="00EE2C9E">
      <w:pPr>
        <w:suppressAutoHyphens w:val="0"/>
        <w:autoSpaceDE w:val="0"/>
        <w:autoSpaceDN w:val="0"/>
        <w:adjustRightInd w:val="0"/>
        <w:ind w:left="1701" w:right="848"/>
        <w:rPr>
          <w:color w:val="000000"/>
          <w:sz w:val="20"/>
          <w:szCs w:val="20"/>
          <w:lang w:val="en-GB" w:eastAsia="en-GB"/>
        </w:rPr>
      </w:pPr>
      <w:r w:rsidRPr="00EE2C9E">
        <w:rPr>
          <w:color w:val="000000"/>
          <w:sz w:val="20"/>
          <w:szCs w:val="20"/>
          <w:lang w:val="en-GB" w:eastAsia="en-GB"/>
        </w:rPr>
        <w:t xml:space="preserve">This shall be demonstrated by the manufacturer in all expected post-crash power supply conditions of these impact tests (UN Regulations Nos. 94 and/or 95), </w:t>
      </w:r>
      <w:proofErr w:type="gramStart"/>
      <w:r w:rsidRPr="00EE2C9E">
        <w:rPr>
          <w:color w:val="000000"/>
          <w:sz w:val="20"/>
          <w:szCs w:val="20"/>
          <w:lang w:val="en-GB" w:eastAsia="en-GB"/>
        </w:rPr>
        <w:t>taking into account</w:t>
      </w:r>
      <w:proofErr w:type="gramEnd"/>
      <w:r w:rsidRPr="00EE2C9E">
        <w:rPr>
          <w:color w:val="000000"/>
          <w:sz w:val="20"/>
          <w:szCs w:val="20"/>
          <w:lang w:val="en-GB" w:eastAsia="en-GB"/>
        </w:rPr>
        <w:t xml:space="preserve"> the vehicle's power management strategy. </w:t>
      </w:r>
    </w:p>
    <w:p w:rsidR="00EE2C9E" w:rsidRPr="00EE2C9E" w:rsidRDefault="00EE2C9E" w:rsidP="00EE2C9E">
      <w:pPr>
        <w:suppressAutoHyphens w:val="0"/>
        <w:autoSpaceDE w:val="0"/>
        <w:autoSpaceDN w:val="0"/>
        <w:adjustRightInd w:val="0"/>
        <w:ind w:left="709" w:right="848"/>
        <w:rPr>
          <w:color w:val="000000"/>
          <w:sz w:val="20"/>
          <w:szCs w:val="20"/>
          <w:lang w:val="en-GB" w:eastAsia="en-GB"/>
        </w:rPr>
      </w:pPr>
    </w:p>
    <w:p w:rsidR="001B02CA" w:rsidRPr="00D209FC" w:rsidRDefault="00EE2C9E" w:rsidP="00EE2C9E">
      <w:pPr>
        <w:ind w:left="1699" w:right="848" w:hanging="990"/>
        <w:rPr>
          <w:sz w:val="20"/>
          <w:szCs w:val="20"/>
          <w:lang w:val="en-GB"/>
        </w:rPr>
      </w:pPr>
      <w:r w:rsidRPr="00D209FC">
        <w:rPr>
          <w:color w:val="000000"/>
          <w:sz w:val="20"/>
          <w:szCs w:val="20"/>
          <w:lang w:val="en-GB" w:eastAsia="en-GB"/>
        </w:rPr>
        <w:t xml:space="preserve">26.7.2.3. </w:t>
      </w:r>
      <w:r w:rsidRPr="00D209FC">
        <w:rPr>
          <w:color w:val="000000"/>
          <w:sz w:val="20"/>
          <w:szCs w:val="20"/>
          <w:lang w:val="en-GB" w:eastAsia="en-GB"/>
        </w:rPr>
        <w:tab/>
      </w:r>
      <w:r w:rsidRPr="00D209FC">
        <w:rPr>
          <w:color w:val="000000"/>
          <w:sz w:val="20"/>
          <w:szCs w:val="20"/>
          <w:lang w:val="en-GB" w:eastAsia="en-GB"/>
        </w:rPr>
        <w:t xml:space="preserve">After the impact test under UN Regulations Nos. 94 and/or 95 whichever is relevant, </w:t>
      </w:r>
      <w:r w:rsidRPr="00B4052E">
        <w:rPr>
          <w:color w:val="000000"/>
          <w:sz w:val="20"/>
          <w:szCs w:val="20"/>
          <w:highlight w:val="yellow"/>
          <w:lang w:val="en-GB" w:eastAsia="en-GB"/>
        </w:rPr>
        <w:t>the AECS back-up power supply shall be able to supply power to the AECS</w:t>
      </w:r>
      <w:r w:rsidRPr="00D209FC">
        <w:rPr>
          <w:color w:val="000000"/>
          <w:sz w:val="20"/>
          <w:szCs w:val="20"/>
          <w:lang w:val="en-GB" w:eastAsia="en-GB"/>
        </w:rPr>
        <w:t>. This may be verified by one of the methods described in Annex 11 to this Regulation.</w:t>
      </w:r>
      <w:r w:rsidR="00D209FC" w:rsidRPr="00D209FC">
        <w:rPr>
          <w:color w:val="000000"/>
          <w:sz w:val="20"/>
          <w:szCs w:val="20"/>
          <w:lang w:val="en-GB" w:eastAsia="en-GB"/>
        </w:rPr>
        <w:t>”</w:t>
      </w:r>
    </w:p>
    <w:p w:rsidR="00B9263E" w:rsidRPr="00D209FC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D209FC">
        <w:rPr>
          <w:u w:val="single"/>
          <w:lang w:val="en-GB"/>
        </w:rPr>
        <w:tab/>
      </w:r>
      <w:r w:rsidRPr="00D209FC">
        <w:rPr>
          <w:u w:val="single"/>
          <w:lang w:val="en-GB"/>
        </w:rPr>
        <w:tab/>
      </w:r>
      <w:r w:rsidRPr="00D209FC">
        <w:rPr>
          <w:u w:val="single"/>
          <w:lang w:val="en-GB"/>
        </w:rPr>
        <w:tab/>
      </w:r>
    </w:p>
    <w:p w:rsidR="00967032" w:rsidRPr="00D209FC" w:rsidRDefault="00967032" w:rsidP="00B9263E">
      <w:pPr>
        <w:jc w:val="center"/>
        <w:rPr>
          <w:lang w:val="en-GB"/>
        </w:rPr>
      </w:pPr>
    </w:p>
    <w:sectPr w:rsidR="00967032" w:rsidRPr="00D209FC" w:rsidSect="00E5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FC" w:rsidRDefault="00046AFC">
      <w:r>
        <w:separator/>
      </w:r>
    </w:p>
  </w:endnote>
  <w:endnote w:type="continuationSeparator" w:id="0">
    <w:p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FC" w:rsidRDefault="00046AFC">
      <w:r>
        <w:separator/>
      </w:r>
    </w:p>
  </w:footnote>
  <w:footnote w:type="continuationSeparator" w:id="0">
    <w:p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56D8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1167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D5782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4052E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E7323"/>
    <w:rsid w:val="00CF0A51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9FC"/>
    <w:rsid w:val="00D20A40"/>
    <w:rsid w:val="00D22A70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D3089"/>
    <w:rsid w:val="00EE2C9E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0F2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50E1FAA"/>
  <w15:docId w15:val="{E167C88C-C965-4B55-BAB7-CF0A887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70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315B-333C-41C6-93EF-C4969CE7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Heini Amanda SALONEN</cp:lastModifiedBy>
  <cp:revision>5</cp:revision>
  <cp:lastPrinted>2019-09-11T15:26:00Z</cp:lastPrinted>
  <dcterms:created xsi:type="dcterms:W3CDTF">2019-09-24T08:42:00Z</dcterms:created>
  <dcterms:modified xsi:type="dcterms:W3CDTF">2019-09-24T11:54:00Z</dcterms:modified>
</cp:coreProperties>
</file>