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4318" w:rsidRPr="00C170F1" w14:paraId="7F703C30" w14:textId="77777777" w:rsidTr="007B203F">
        <w:trPr>
          <w:cantSplit/>
          <w:trHeight w:hRule="exact" w:val="851"/>
        </w:trPr>
        <w:tc>
          <w:tcPr>
            <w:tcW w:w="1276" w:type="dxa"/>
            <w:tcBorders>
              <w:bottom w:val="single" w:sz="4" w:space="0" w:color="auto"/>
            </w:tcBorders>
            <w:vAlign w:val="bottom"/>
          </w:tcPr>
          <w:p w14:paraId="74FBB465" w14:textId="77777777" w:rsidR="00134318" w:rsidRPr="00C170F1" w:rsidRDefault="00134318" w:rsidP="00134318">
            <w:pPr>
              <w:spacing w:after="80"/>
            </w:pPr>
          </w:p>
        </w:tc>
        <w:tc>
          <w:tcPr>
            <w:tcW w:w="2268" w:type="dxa"/>
            <w:tcBorders>
              <w:bottom w:val="single" w:sz="4" w:space="0" w:color="auto"/>
            </w:tcBorders>
            <w:vAlign w:val="bottom"/>
          </w:tcPr>
          <w:p w14:paraId="77446F4A" w14:textId="77777777" w:rsidR="00134318" w:rsidRPr="00C170F1" w:rsidRDefault="00134318" w:rsidP="00134318">
            <w:pPr>
              <w:spacing w:after="80" w:line="300" w:lineRule="exact"/>
              <w:rPr>
                <w:b/>
                <w:sz w:val="24"/>
                <w:szCs w:val="24"/>
              </w:rPr>
            </w:pPr>
            <w:r w:rsidRPr="00C170F1">
              <w:rPr>
                <w:sz w:val="28"/>
                <w:szCs w:val="28"/>
              </w:rPr>
              <w:t>United Nations</w:t>
            </w:r>
          </w:p>
        </w:tc>
        <w:tc>
          <w:tcPr>
            <w:tcW w:w="6095" w:type="dxa"/>
            <w:gridSpan w:val="2"/>
            <w:tcBorders>
              <w:bottom w:val="single" w:sz="4" w:space="0" w:color="auto"/>
            </w:tcBorders>
            <w:vAlign w:val="bottom"/>
          </w:tcPr>
          <w:p w14:paraId="176E599B" w14:textId="09EA45A7" w:rsidR="00134318" w:rsidRPr="00C170F1" w:rsidRDefault="00134318" w:rsidP="00134318">
            <w:pPr>
              <w:jc w:val="right"/>
            </w:pPr>
            <w:r w:rsidRPr="00C170F1">
              <w:rPr>
                <w:sz w:val="40"/>
              </w:rPr>
              <w:t>ECE</w:t>
            </w:r>
            <w:r w:rsidRPr="00C170F1">
              <w:t>/TRANS/</w:t>
            </w:r>
            <w:r w:rsidR="00091F3A" w:rsidRPr="00C170F1">
              <w:t>327</w:t>
            </w:r>
            <w:r w:rsidRPr="00C170F1">
              <w:t>/</w:t>
            </w:r>
            <w:r w:rsidR="00091F3A" w:rsidRPr="00C170F1">
              <w:t>Add.</w:t>
            </w:r>
            <w:r w:rsidRPr="00C170F1">
              <w:t>1</w:t>
            </w:r>
          </w:p>
        </w:tc>
      </w:tr>
      <w:tr w:rsidR="00134318" w:rsidRPr="00192777" w14:paraId="4BAACEF0" w14:textId="77777777" w:rsidTr="007B203F">
        <w:trPr>
          <w:cantSplit/>
          <w:trHeight w:hRule="exact" w:val="2835"/>
        </w:trPr>
        <w:tc>
          <w:tcPr>
            <w:tcW w:w="1276" w:type="dxa"/>
            <w:tcBorders>
              <w:top w:val="single" w:sz="4" w:space="0" w:color="auto"/>
              <w:bottom w:val="single" w:sz="12" w:space="0" w:color="auto"/>
            </w:tcBorders>
          </w:tcPr>
          <w:p w14:paraId="0FC1F613" w14:textId="77777777" w:rsidR="00134318" w:rsidRPr="00192777" w:rsidRDefault="00134318" w:rsidP="00134318">
            <w:pPr>
              <w:spacing w:before="120"/>
            </w:pPr>
            <w:r w:rsidRPr="00825B71">
              <w:rPr>
                <w:noProof/>
                <w:lang w:eastAsia="fr-CH"/>
              </w:rPr>
              <w:drawing>
                <wp:inline distT="0" distB="0" distL="0" distR="0" wp14:anchorId="72D1AB38" wp14:editId="70A281F8">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09FB77" w14:textId="77777777" w:rsidR="00134318" w:rsidRPr="00192777" w:rsidRDefault="00134318" w:rsidP="00134318">
            <w:pPr>
              <w:spacing w:before="120" w:line="420" w:lineRule="exact"/>
              <w:rPr>
                <w:sz w:val="40"/>
                <w:szCs w:val="40"/>
              </w:rPr>
            </w:pPr>
            <w:r w:rsidRPr="00192777">
              <w:rPr>
                <w:b/>
                <w:sz w:val="40"/>
                <w:szCs w:val="40"/>
              </w:rPr>
              <w:t>Economic and Social Council</w:t>
            </w:r>
          </w:p>
        </w:tc>
        <w:tc>
          <w:tcPr>
            <w:tcW w:w="2835" w:type="dxa"/>
            <w:tcBorders>
              <w:top w:val="single" w:sz="4" w:space="0" w:color="auto"/>
              <w:bottom w:val="single" w:sz="12" w:space="0" w:color="auto"/>
            </w:tcBorders>
          </w:tcPr>
          <w:p w14:paraId="5D00BF6C" w14:textId="77777777" w:rsidR="00134318" w:rsidRPr="00192777" w:rsidRDefault="00134318" w:rsidP="00134318">
            <w:pPr>
              <w:spacing w:before="240" w:line="240" w:lineRule="exact"/>
            </w:pPr>
            <w:r w:rsidRPr="00192777">
              <w:t>Distr.: General</w:t>
            </w:r>
          </w:p>
          <w:p w14:paraId="00BC7F1C" w14:textId="4644FA9F" w:rsidR="00134318" w:rsidRPr="00192777" w:rsidRDefault="00825B71" w:rsidP="00134318">
            <w:pPr>
              <w:spacing w:line="240" w:lineRule="exact"/>
            </w:pPr>
            <w:r>
              <w:t xml:space="preserve">6 </w:t>
            </w:r>
            <w:r w:rsidR="008E1070">
              <w:t>December</w:t>
            </w:r>
            <w:r w:rsidR="00134318" w:rsidRPr="00192777">
              <w:t xml:space="preserve"> 2022</w:t>
            </w:r>
          </w:p>
          <w:p w14:paraId="5A6505B9" w14:textId="77777777" w:rsidR="00134318" w:rsidRPr="00192777" w:rsidRDefault="00134318" w:rsidP="00134318">
            <w:pPr>
              <w:spacing w:line="240" w:lineRule="exact"/>
            </w:pPr>
          </w:p>
          <w:p w14:paraId="70997F05" w14:textId="77777777" w:rsidR="00134318" w:rsidRPr="00192777" w:rsidRDefault="00134318" w:rsidP="00134318">
            <w:pPr>
              <w:spacing w:line="240" w:lineRule="exact"/>
            </w:pPr>
            <w:r w:rsidRPr="00192777">
              <w:t>Original: English</w:t>
            </w:r>
          </w:p>
        </w:tc>
      </w:tr>
    </w:tbl>
    <w:p w14:paraId="689DA09B" w14:textId="77777777" w:rsidR="00777D43" w:rsidRPr="00192777" w:rsidRDefault="00777D43" w:rsidP="00777D43">
      <w:pPr>
        <w:spacing w:before="120"/>
        <w:rPr>
          <w:b/>
          <w:bCs/>
          <w:sz w:val="28"/>
          <w:szCs w:val="28"/>
        </w:rPr>
      </w:pPr>
      <w:r w:rsidRPr="00192777">
        <w:rPr>
          <w:b/>
          <w:bCs/>
          <w:sz w:val="28"/>
          <w:szCs w:val="28"/>
        </w:rPr>
        <w:t>Economic Commission for Europe</w:t>
      </w:r>
    </w:p>
    <w:p w14:paraId="02275BCA" w14:textId="77777777" w:rsidR="00777D43" w:rsidRPr="00192777" w:rsidRDefault="00777D43" w:rsidP="00777D43">
      <w:pPr>
        <w:spacing w:before="120"/>
        <w:rPr>
          <w:sz w:val="28"/>
          <w:szCs w:val="28"/>
        </w:rPr>
      </w:pPr>
      <w:r w:rsidRPr="00192777">
        <w:rPr>
          <w:sz w:val="28"/>
          <w:szCs w:val="28"/>
        </w:rPr>
        <w:t>Inland Transport Committee</w:t>
      </w:r>
    </w:p>
    <w:p w14:paraId="3AF90310" w14:textId="77777777" w:rsidR="00777D43" w:rsidRPr="00192777" w:rsidRDefault="00777D43" w:rsidP="00777D43">
      <w:pPr>
        <w:spacing w:before="120"/>
        <w:rPr>
          <w:b/>
          <w:bCs/>
        </w:rPr>
      </w:pPr>
      <w:r w:rsidRPr="00192777">
        <w:rPr>
          <w:b/>
          <w:bCs/>
        </w:rPr>
        <w:t>Eighty-fifth session</w:t>
      </w:r>
    </w:p>
    <w:p w14:paraId="7DF75CDF" w14:textId="2541500B" w:rsidR="00777D43" w:rsidRPr="00192777" w:rsidRDefault="00777D43" w:rsidP="00777D43">
      <w:pPr>
        <w:rPr>
          <w:b/>
          <w:bCs/>
        </w:rPr>
      </w:pPr>
      <w:r w:rsidRPr="00192777">
        <w:t>Geneva, 21-24 February 2023</w:t>
      </w:r>
      <w:r w:rsidRPr="00192777">
        <w:br/>
        <w:t>Item 1 of the provisional agenda</w:t>
      </w:r>
      <w:r w:rsidRPr="00192777">
        <w:br/>
      </w:r>
      <w:r w:rsidRPr="00192777">
        <w:rPr>
          <w:b/>
          <w:bCs/>
        </w:rPr>
        <w:t xml:space="preserve">Adoption of the </w:t>
      </w:r>
      <w:r w:rsidR="00F93E78">
        <w:rPr>
          <w:b/>
          <w:bCs/>
        </w:rPr>
        <w:t>A</w:t>
      </w:r>
      <w:r w:rsidRPr="00192777">
        <w:rPr>
          <w:b/>
          <w:bCs/>
        </w:rPr>
        <w:t>genda</w:t>
      </w:r>
    </w:p>
    <w:p w14:paraId="15B2C29D" w14:textId="0BF3280A" w:rsidR="00777D43" w:rsidRPr="00192777" w:rsidRDefault="00777D43" w:rsidP="00777D43">
      <w:pPr>
        <w:pStyle w:val="HChG"/>
      </w:pPr>
      <w:r w:rsidRPr="00192777">
        <w:tab/>
      </w:r>
      <w:r w:rsidRPr="00192777">
        <w:tab/>
      </w:r>
      <w:r w:rsidR="00515D98" w:rsidRPr="00192777">
        <w:t xml:space="preserve">Annotated </w:t>
      </w:r>
      <w:r w:rsidR="00EA2A95" w:rsidRPr="00192777">
        <w:t>Provisional Agenda for the Eighty-Fifth Session</w:t>
      </w:r>
      <w:r w:rsidR="007136E8" w:rsidRPr="005528CA">
        <w:rPr>
          <w:rStyle w:val="FootnoteReference"/>
          <w:sz w:val="20"/>
        </w:rPr>
        <w:footnoteReference w:customMarkFollows="1" w:id="2"/>
        <w:t>*</w:t>
      </w:r>
      <w:r w:rsidR="007136E8" w:rsidRPr="00DC1909">
        <w:rPr>
          <w:sz w:val="20"/>
          <w:vertAlign w:val="superscript"/>
        </w:rPr>
        <w:t>,</w:t>
      </w:r>
      <w:r w:rsidR="007136E8" w:rsidRPr="005528CA">
        <w:rPr>
          <w:rStyle w:val="FootnoteReference"/>
          <w:sz w:val="20"/>
        </w:rPr>
        <w:footnoteReference w:customMarkFollows="1" w:id="3"/>
        <w:t>**</w:t>
      </w:r>
    </w:p>
    <w:p w14:paraId="737CB644" w14:textId="1A468DB1" w:rsidR="00EE34C2" w:rsidRPr="00192777" w:rsidRDefault="00A8574D" w:rsidP="00A8574D">
      <w:pPr>
        <w:pStyle w:val="H1G"/>
      </w:pPr>
      <w:r w:rsidRPr="00192777">
        <w:rPr>
          <w:sz w:val="28"/>
        </w:rPr>
        <w:tab/>
      </w:r>
      <w:r w:rsidRPr="00192777">
        <w:rPr>
          <w:sz w:val="28"/>
        </w:rPr>
        <w:tab/>
      </w:r>
      <w:r w:rsidRPr="00192777">
        <w:t>Addendum</w:t>
      </w:r>
    </w:p>
    <w:p w14:paraId="05E0AE39" w14:textId="77777777" w:rsidR="00777D43" w:rsidRPr="00192777" w:rsidRDefault="00777D43" w:rsidP="00972D2C">
      <w:pPr>
        <w:pStyle w:val="SingleTxtG"/>
      </w:pPr>
      <w:r w:rsidRPr="00192777">
        <w:t xml:space="preserve">To be held at the Palais des Nations, Geneva starting at 10 a.m. on Tuesday, </w:t>
      </w:r>
      <w:r w:rsidRPr="00192777">
        <w:br/>
        <w:t>21 February 2023</w:t>
      </w:r>
    </w:p>
    <w:p w14:paraId="2EDE3645" w14:textId="18F93D8E" w:rsidR="00E74C15" w:rsidRPr="00192777" w:rsidRDefault="00E74C15" w:rsidP="00E74C15">
      <w:pPr>
        <w:pStyle w:val="H1G"/>
      </w:pPr>
      <w:r w:rsidRPr="00192777">
        <w:tab/>
        <w:t>1.</w:t>
      </w:r>
      <w:r w:rsidRPr="00192777">
        <w:tab/>
        <w:t xml:space="preserve">Adoption of the </w:t>
      </w:r>
      <w:r w:rsidR="00547B9C" w:rsidRPr="00192777">
        <w:t>Agenda</w:t>
      </w:r>
    </w:p>
    <w:p w14:paraId="7536183D" w14:textId="77777777" w:rsidR="00192EC6" w:rsidRPr="00192777" w:rsidRDefault="00192EC6" w:rsidP="00192EC6">
      <w:pPr>
        <w:spacing w:after="120"/>
        <w:ind w:left="1134" w:right="1134"/>
        <w:rPr>
          <w:b/>
          <w:bCs/>
        </w:rPr>
      </w:pPr>
      <w:r w:rsidRPr="00192777">
        <w:rPr>
          <w:b/>
          <w:bCs/>
        </w:rPr>
        <w:t>Documentation</w:t>
      </w:r>
    </w:p>
    <w:p w14:paraId="151F84CB" w14:textId="696AEE6A" w:rsidR="00192EC6" w:rsidRPr="00192777" w:rsidRDefault="00192EC6" w:rsidP="00972D2C">
      <w:pPr>
        <w:pStyle w:val="SingleTxtG"/>
      </w:pPr>
      <w:r w:rsidRPr="00192777">
        <w:t>ECE/TRANS/327 and Add.1</w:t>
      </w:r>
    </w:p>
    <w:p w14:paraId="66293FE9" w14:textId="049E2EA3" w:rsidR="00777D43" w:rsidRPr="00192777" w:rsidRDefault="00777D43" w:rsidP="00777D43">
      <w:pPr>
        <w:pStyle w:val="HChG"/>
      </w:pPr>
      <w:r w:rsidRPr="00192777">
        <w:tab/>
        <w:t>I.</w:t>
      </w:r>
      <w:r w:rsidRPr="00192777">
        <w:tab/>
        <w:t xml:space="preserve">High-level </w:t>
      </w:r>
      <w:r w:rsidR="00547B9C" w:rsidRPr="00192777">
        <w:t>Segment</w:t>
      </w:r>
    </w:p>
    <w:p w14:paraId="755166F2" w14:textId="6F3D6651" w:rsidR="00DF3FC8" w:rsidRPr="00192777" w:rsidRDefault="00A706C1" w:rsidP="00A706C1">
      <w:pPr>
        <w:pStyle w:val="H1G"/>
      </w:pPr>
      <w:r w:rsidRPr="00192777">
        <w:tab/>
      </w:r>
      <w:r w:rsidR="00777D43" w:rsidRPr="00192777">
        <w:t>2.</w:t>
      </w:r>
      <w:r w:rsidR="00777D43" w:rsidRPr="00192777">
        <w:tab/>
      </w:r>
      <w:r w:rsidR="007F3930" w:rsidRPr="00192777">
        <w:t xml:space="preserve">Actions of the </w:t>
      </w:r>
      <w:r w:rsidR="00547B9C" w:rsidRPr="00192777">
        <w:t xml:space="preserve">Inland Transport Sector </w:t>
      </w:r>
      <w:r w:rsidR="007F3930" w:rsidRPr="00192777">
        <w:t xml:space="preserve">to </w:t>
      </w:r>
      <w:r w:rsidR="00547B9C" w:rsidRPr="00192777">
        <w:t xml:space="preserve">Join </w:t>
      </w:r>
      <w:r w:rsidR="007F3930" w:rsidRPr="00192777">
        <w:t xml:space="preserve">the </w:t>
      </w:r>
      <w:r w:rsidR="00547B9C" w:rsidRPr="00192777">
        <w:t xml:space="preserve">Global Fight </w:t>
      </w:r>
      <w:r w:rsidR="00960474">
        <w:t>A</w:t>
      </w:r>
      <w:r w:rsidR="00960474" w:rsidRPr="00192777">
        <w:t xml:space="preserve">gainst </w:t>
      </w:r>
      <w:r w:rsidR="00547B9C" w:rsidRPr="00192777">
        <w:t xml:space="preserve">Climate Change </w:t>
      </w:r>
    </w:p>
    <w:p w14:paraId="5785C920" w14:textId="64633C4F" w:rsidR="00777D43" w:rsidRPr="00192777" w:rsidRDefault="00FB219B" w:rsidP="00972D2C">
      <w:pPr>
        <w:pStyle w:val="SingleTxtG"/>
      </w:pPr>
      <w:r w:rsidRPr="00192777">
        <w:t xml:space="preserve">Building on recommendations by the Inland Transport Committee (ITC) and Bureau debates, the general theme of the policy segment will be on </w:t>
      </w:r>
      <w:r w:rsidR="00583DDF" w:rsidRPr="00192777">
        <w:t>“A</w:t>
      </w:r>
      <w:r w:rsidR="002B5A80" w:rsidRPr="00192777">
        <w:t>ctions of the inland transport sector to join the global fight against climate change</w:t>
      </w:r>
      <w:r w:rsidR="0019367D" w:rsidRPr="00192777">
        <w:t>”</w:t>
      </w:r>
      <w:r w:rsidRPr="00192777">
        <w:t xml:space="preserve"> (ECE/TRANS/202</w:t>
      </w:r>
      <w:r w:rsidR="000C3CF4" w:rsidRPr="00192777">
        <w:t>3</w:t>
      </w:r>
      <w:r w:rsidRPr="00192777">
        <w:t xml:space="preserve">/1). This theme will provide an opportunity to reflect on the unique assets of the Committee, highlighting its value added and underlining its future potential in </w:t>
      </w:r>
      <w:r w:rsidR="00F85275" w:rsidRPr="00192777">
        <w:t xml:space="preserve">curbing greenhouse gas emissions trends from inland </w:t>
      </w:r>
      <w:r w:rsidR="00F85275" w:rsidRPr="00192777">
        <w:lastRenderedPageBreak/>
        <w:t xml:space="preserve">transport </w:t>
      </w:r>
      <w:r w:rsidR="00E80B8B" w:rsidRPr="00192777">
        <w:t xml:space="preserve">in </w:t>
      </w:r>
      <w:r w:rsidRPr="00192777">
        <w:t xml:space="preserve">a </w:t>
      </w:r>
      <w:r w:rsidR="00E80B8B" w:rsidRPr="00192777">
        <w:t xml:space="preserve">disaster-hit </w:t>
      </w:r>
      <w:r w:rsidRPr="00192777">
        <w:t xml:space="preserve">global economy due to the </w:t>
      </w:r>
      <w:r w:rsidR="00F85275" w:rsidRPr="00192777">
        <w:t xml:space="preserve">impacts of climate </w:t>
      </w:r>
      <w:r w:rsidR="00E80B8B" w:rsidRPr="00192777">
        <w:t xml:space="preserve">change </w:t>
      </w:r>
      <w:r w:rsidRPr="00192777">
        <w:t xml:space="preserve">regionally and globally. The high-level policy segment will consist of </w:t>
      </w:r>
      <w:r w:rsidR="002F2714" w:rsidRPr="00192777">
        <w:t>three</w:t>
      </w:r>
      <w:r w:rsidRPr="00192777">
        <w:t xml:space="preserve"> panels:</w:t>
      </w:r>
    </w:p>
    <w:p w14:paraId="2C218A33" w14:textId="4E0D7FD6" w:rsidR="002F2714" w:rsidRPr="00192777" w:rsidRDefault="002F2714" w:rsidP="00825B71">
      <w:pPr>
        <w:pStyle w:val="ListParagraph"/>
        <w:numPr>
          <w:ilvl w:val="0"/>
          <w:numId w:val="13"/>
        </w:numPr>
        <w:spacing w:after="120"/>
        <w:ind w:left="1134" w:right="1134" w:firstLine="567"/>
        <w:contextualSpacing w:val="0"/>
        <w:jc w:val="both"/>
      </w:pPr>
      <w:r w:rsidRPr="00192777">
        <w:t xml:space="preserve">Critical partnerships and leaving no-one behind in the climate battle: global challenges and winning formulas for net-zero leaders; </w:t>
      </w:r>
    </w:p>
    <w:p w14:paraId="1DBF81A6" w14:textId="5A874296" w:rsidR="002F2714" w:rsidRPr="00192777" w:rsidRDefault="002F2714" w:rsidP="00825B71">
      <w:pPr>
        <w:pStyle w:val="ListParagraph"/>
        <w:numPr>
          <w:ilvl w:val="0"/>
          <w:numId w:val="13"/>
        </w:numPr>
        <w:spacing w:after="120"/>
        <w:ind w:left="1134" w:right="1134" w:firstLine="567"/>
        <w:contextualSpacing w:val="0"/>
        <w:jc w:val="both"/>
      </w:pPr>
      <w:r w:rsidRPr="00192777">
        <w:t>Bridging regulators and innovators to bring to scale critical technologies supporting climate change mitigation actions</w:t>
      </w:r>
      <w:r w:rsidR="00754A12">
        <w:t>:</w:t>
      </w:r>
    </w:p>
    <w:p w14:paraId="0AA52B56" w14:textId="1FE99903" w:rsidR="002F2714" w:rsidRPr="00192777" w:rsidRDefault="002F2714" w:rsidP="00A91070">
      <w:pPr>
        <w:pStyle w:val="ListParagraph"/>
        <w:numPr>
          <w:ilvl w:val="0"/>
          <w:numId w:val="13"/>
        </w:numPr>
        <w:spacing w:after="120"/>
        <w:ind w:left="1134" w:right="1134" w:firstLine="567"/>
        <w:contextualSpacing w:val="0"/>
        <w:jc w:val="both"/>
      </w:pPr>
      <w:r w:rsidRPr="00192777">
        <w:t xml:space="preserve">A bet we can’t afford to </w:t>
      </w:r>
      <w:proofErr w:type="gramStart"/>
      <w:r w:rsidRPr="00192777">
        <w:t>lose:</w:t>
      </w:r>
      <w:proofErr w:type="gramEnd"/>
      <w:r w:rsidRPr="00192777">
        <w:t xml:space="preserve"> challenges and opportunities in the nexus of international financial and regulatory support for climate action</w:t>
      </w:r>
      <w:r w:rsidR="00754A12">
        <w:t>.</w:t>
      </w:r>
    </w:p>
    <w:p w14:paraId="55F160C3" w14:textId="76EE061C" w:rsidR="009545E3" w:rsidRPr="00192777" w:rsidRDefault="00BA17BD" w:rsidP="009545E3">
      <w:pPr>
        <w:spacing w:after="120"/>
        <w:ind w:left="1134" w:right="1134"/>
        <w:jc w:val="both"/>
      </w:pPr>
      <w:r w:rsidRPr="00192777">
        <w:t xml:space="preserve">The meeting will conclude with the announcement of the Ministerial </w:t>
      </w:r>
      <w:r w:rsidR="0019367D" w:rsidRPr="00192777">
        <w:t>Declaration</w:t>
      </w:r>
      <w:r w:rsidR="006F4AF6" w:rsidRPr="00192777">
        <w:t xml:space="preserve"> </w:t>
      </w:r>
      <w:r w:rsidRPr="00192777">
        <w:t>“Harnessing the full potential of inland transport solutions in the global fight against climate change” (ECE/TRANS/2023/2).</w:t>
      </w:r>
      <w:r w:rsidR="009545E3" w:rsidRPr="00192777">
        <w:t xml:space="preserve"> </w:t>
      </w:r>
    </w:p>
    <w:p w14:paraId="2819F2E8" w14:textId="61A468C1" w:rsidR="009545E3" w:rsidRPr="00192777" w:rsidRDefault="009545E3" w:rsidP="009545E3">
      <w:pPr>
        <w:spacing w:after="120"/>
        <w:ind w:left="1134" w:right="1134"/>
        <w:jc w:val="both"/>
      </w:pPr>
      <w:r w:rsidRPr="00192777">
        <w:t xml:space="preserve">The Committee’s attending Heads of Delegations of </w:t>
      </w:r>
      <w:r w:rsidR="00794F01" w:rsidRPr="00192777">
        <w:t xml:space="preserve">contracting parties </w:t>
      </w:r>
      <w:r w:rsidRPr="00192777">
        <w:t xml:space="preserve">are invited to endorse the Ministerial </w:t>
      </w:r>
      <w:r w:rsidR="0019367D" w:rsidRPr="00192777">
        <w:t>Declaration</w:t>
      </w:r>
      <w:r w:rsidRPr="00192777">
        <w:t>.</w:t>
      </w:r>
    </w:p>
    <w:p w14:paraId="06886E80" w14:textId="77777777" w:rsidR="009545E3" w:rsidRPr="00754A12" w:rsidRDefault="009545E3" w:rsidP="00DD0283">
      <w:pPr>
        <w:pStyle w:val="SingleTxtG"/>
        <w:rPr>
          <w:b/>
          <w:bCs/>
          <w:lang w:val="fr-FR"/>
        </w:rPr>
      </w:pPr>
      <w:r w:rsidRPr="00825B71">
        <w:rPr>
          <w:rFonts w:eastAsia="Times New Roman"/>
          <w:b/>
          <w:bCs/>
          <w:lang w:val="fr-FR"/>
        </w:rPr>
        <w:t>Documentation</w:t>
      </w:r>
    </w:p>
    <w:p w14:paraId="20F4446A" w14:textId="43EFBE20" w:rsidR="009545E3" w:rsidRPr="00825B71" w:rsidRDefault="009545E3" w:rsidP="00972D2C">
      <w:pPr>
        <w:pStyle w:val="SingleTxtG"/>
        <w:rPr>
          <w:lang w:val="fr-FR"/>
        </w:rPr>
      </w:pPr>
      <w:r w:rsidRPr="00825B71">
        <w:rPr>
          <w:lang w:val="fr-FR"/>
        </w:rPr>
        <w:t>ECE/TRANS/2023/1, ECE/TRANS/2023/2</w:t>
      </w:r>
    </w:p>
    <w:p w14:paraId="4281B7A7" w14:textId="42ABE0E3" w:rsidR="00777D43" w:rsidRPr="00192777" w:rsidRDefault="00777D43" w:rsidP="00777D43">
      <w:pPr>
        <w:pStyle w:val="HChG"/>
      </w:pPr>
      <w:r w:rsidRPr="00754A12">
        <w:rPr>
          <w:lang w:val="fr-FR"/>
        </w:rPr>
        <w:tab/>
      </w:r>
      <w:r w:rsidRPr="00192777">
        <w:t>II.</w:t>
      </w:r>
      <w:r w:rsidRPr="00192777">
        <w:tab/>
        <w:t>Thirteenth Meeting for Government Delegates only with the Participation of the Chairs of the Committee’s Subsidiary Bodies</w:t>
      </w:r>
    </w:p>
    <w:p w14:paraId="056F5225" w14:textId="735DA645" w:rsidR="00777D43" w:rsidRPr="00192777" w:rsidRDefault="00FA3FBD" w:rsidP="00FA3FBD">
      <w:pPr>
        <w:pStyle w:val="H1G"/>
      </w:pPr>
      <w:r w:rsidRPr="00192777">
        <w:tab/>
      </w:r>
      <w:r w:rsidR="00777D43" w:rsidRPr="00192777">
        <w:t>3.</w:t>
      </w:r>
      <w:r w:rsidR="00777D43" w:rsidRPr="00192777">
        <w:tab/>
        <w:t xml:space="preserve">Meeting on the </w:t>
      </w:r>
      <w:r w:rsidR="00192777" w:rsidRPr="00192777">
        <w:t xml:space="preserve">Implementation </w:t>
      </w:r>
      <w:r w:rsidR="007F2AE2" w:rsidRPr="00192777">
        <w:t>of</w:t>
      </w:r>
      <w:r w:rsidR="00777D43" w:rsidRPr="00192777">
        <w:t xml:space="preserve"> the Inland Transport Committee</w:t>
      </w:r>
      <w:r w:rsidR="00451858" w:rsidRPr="00192777">
        <w:t xml:space="preserve">’s revised Terms of Reference and </w:t>
      </w:r>
      <w:r w:rsidR="00441C0B" w:rsidRPr="00192777">
        <w:t>S</w:t>
      </w:r>
      <w:r w:rsidR="00777D43" w:rsidRPr="00192777">
        <w:t xml:space="preserve">trategy </w:t>
      </w:r>
      <w:r w:rsidR="00441C0B" w:rsidRPr="00192777">
        <w:t xml:space="preserve">until 2030 </w:t>
      </w:r>
      <w:r w:rsidR="00777D43" w:rsidRPr="00192777">
        <w:t>for Government Delegates only with the Participation of the Chairs of the Committee’s Subsidiary Bodies</w:t>
      </w:r>
    </w:p>
    <w:p w14:paraId="7837346F" w14:textId="34071496" w:rsidR="00FB087E" w:rsidRPr="00192777" w:rsidRDefault="00FB087E" w:rsidP="00FB087E">
      <w:pPr>
        <w:pStyle w:val="SingleTxtG"/>
        <w:rPr>
          <w:rFonts w:eastAsia="Times New Roman"/>
        </w:rPr>
      </w:pPr>
      <w:r w:rsidRPr="00192777">
        <w:rPr>
          <w:rFonts w:eastAsia="Times New Roman"/>
        </w:rPr>
        <w:t>The Committee is monitoring the progress made in</w:t>
      </w:r>
      <w:r w:rsidR="00754A12">
        <w:rPr>
          <w:rFonts w:eastAsia="Times New Roman"/>
        </w:rPr>
        <w:t xml:space="preserve"> the</w:t>
      </w:r>
      <w:r w:rsidRPr="00192777">
        <w:rPr>
          <w:rFonts w:eastAsia="Times New Roman"/>
        </w:rPr>
        <w:t xml:space="preserve"> implement</w:t>
      </w:r>
      <w:r w:rsidR="00754A12">
        <w:rPr>
          <w:rFonts w:eastAsia="Times New Roman"/>
        </w:rPr>
        <w:t xml:space="preserve">ation of </w:t>
      </w:r>
      <w:r w:rsidRPr="00192777">
        <w:rPr>
          <w:rFonts w:eastAsia="Times New Roman"/>
        </w:rPr>
        <w:t xml:space="preserve"> the Strategy until 2030. To this end, the Committee </w:t>
      </w:r>
      <w:r w:rsidRPr="00192777">
        <w:rPr>
          <w:rFonts w:eastAsia="Times New Roman"/>
          <w:b/>
          <w:bCs/>
        </w:rPr>
        <w:t>will be apprised</w:t>
      </w:r>
      <w:r w:rsidRPr="00192777">
        <w:rPr>
          <w:rFonts w:eastAsia="Times New Roman"/>
        </w:rPr>
        <w:t xml:space="preserve"> of  the status of implementation of </w:t>
      </w:r>
      <w:r w:rsidR="00754A12">
        <w:rPr>
          <w:rFonts w:eastAsia="Times New Roman"/>
        </w:rPr>
        <w:t>the</w:t>
      </w:r>
      <w:r w:rsidR="00754A12" w:rsidRPr="00192777">
        <w:rPr>
          <w:rFonts w:eastAsia="Times New Roman"/>
        </w:rPr>
        <w:t xml:space="preserve"> </w:t>
      </w:r>
      <w:r w:rsidRPr="00192777">
        <w:rPr>
          <w:rFonts w:eastAsia="Times New Roman"/>
        </w:rPr>
        <w:t xml:space="preserve">Strategy (ECE/TRANS/2023/3) based on the agreed implementation steps and presented with key issues arising from the implementation work. The Committee </w:t>
      </w:r>
      <w:r w:rsidRPr="00192777">
        <w:rPr>
          <w:rFonts w:eastAsia="Times New Roman"/>
          <w:b/>
          <w:bCs/>
        </w:rPr>
        <w:t>will be invited</w:t>
      </w:r>
      <w:r w:rsidRPr="00192777">
        <w:rPr>
          <w:rFonts w:eastAsia="Times New Roman"/>
        </w:rPr>
        <w:t xml:space="preserve"> to consider the progress achieved, </w:t>
      </w:r>
      <w:r w:rsidR="00707298">
        <w:rPr>
          <w:rFonts w:eastAsia="Times New Roman"/>
        </w:rPr>
        <w:t>particularly</w:t>
      </w:r>
      <w:r w:rsidRPr="00192777">
        <w:rPr>
          <w:rFonts w:eastAsia="Times New Roman"/>
        </w:rPr>
        <w:t xml:space="preserve"> </w:t>
      </w:r>
      <w:r w:rsidR="00707298">
        <w:rPr>
          <w:rFonts w:eastAsia="Times New Roman"/>
        </w:rPr>
        <w:t xml:space="preserve">the </w:t>
      </w:r>
      <w:r w:rsidRPr="00192777">
        <w:rPr>
          <w:rFonts w:eastAsia="Times New Roman"/>
        </w:rPr>
        <w:t xml:space="preserve">key issues presented, and, if deemed necessary, the Committee </w:t>
      </w:r>
      <w:r w:rsidRPr="00192777">
        <w:rPr>
          <w:rFonts w:eastAsia="Times New Roman"/>
          <w:b/>
          <w:bCs/>
        </w:rPr>
        <w:t>may formulate</w:t>
      </w:r>
      <w:r w:rsidRPr="00192777">
        <w:rPr>
          <w:rFonts w:eastAsia="Times New Roman"/>
        </w:rPr>
        <w:t xml:space="preserve"> additional implementation steps for further enhancing the Strategy’s implementation. </w:t>
      </w:r>
    </w:p>
    <w:p w14:paraId="78E38D31" w14:textId="376A6930" w:rsidR="00FB087E" w:rsidRPr="00192777" w:rsidRDefault="00FB087E" w:rsidP="00FB087E">
      <w:pPr>
        <w:pStyle w:val="SingleTxtG"/>
        <w:rPr>
          <w:rFonts w:eastAsia="Times New Roman"/>
        </w:rPr>
      </w:pPr>
      <w:r w:rsidRPr="00192777">
        <w:rPr>
          <w:rFonts w:eastAsia="Times New Roman"/>
        </w:rPr>
        <w:t xml:space="preserve">Following the approval of the Committee’s revised Terms of Reference and the entry into force of the Rules of Procedure on 16 February 2022, the Committee </w:t>
      </w:r>
      <w:r w:rsidRPr="00192777">
        <w:rPr>
          <w:rFonts w:eastAsia="Times New Roman"/>
          <w:b/>
          <w:bCs/>
        </w:rPr>
        <w:t>will receive a comprehensive update</w:t>
      </w:r>
      <w:r w:rsidRPr="00192777">
        <w:rPr>
          <w:rFonts w:eastAsia="Times New Roman"/>
        </w:rPr>
        <w:t xml:space="preserve"> on the status of the alignment of the Rules of Procedure of its subsidiary bodies </w:t>
      </w:r>
      <w:bookmarkStart w:id="1" w:name="_Hlk117240324"/>
      <w:r w:rsidRPr="00192777">
        <w:rPr>
          <w:rFonts w:eastAsia="Times New Roman"/>
        </w:rPr>
        <w:t>(ECE/TRANS/2023/4)</w:t>
      </w:r>
      <w:bookmarkEnd w:id="1"/>
      <w:r w:rsidRPr="00192777">
        <w:rPr>
          <w:rFonts w:eastAsia="Times New Roman"/>
        </w:rPr>
        <w:t xml:space="preserve">, in line with its decision at its eighty-second session (ECE/TRANS/294, </w:t>
      </w:r>
      <w:r w:rsidR="00707298">
        <w:rPr>
          <w:rFonts w:eastAsia="Times New Roman"/>
        </w:rPr>
        <w:t>paragraph</w:t>
      </w:r>
      <w:r w:rsidRPr="00192777">
        <w:rPr>
          <w:rFonts w:eastAsia="Times New Roman"/>
        </w:rPr>
        <w:t xml:space="preserve"> 18). Furthermore, the year 2023 marks the fourth cycle of reviews of Working Parties’ mandates by their parent sectoral committees, in line with the outcomes of the 2005 reform of the United Nations Economic Commission for Europe (ECE) and the ensuing guidelines for the establishment and functioning of working parties within ECE (ECE/EX/1). To support the Committee’s assessment and decisions on the review process in the course of 2023, ECE/TRANS/2023/4 will present a review and analysis of the Committee’s Working Parties’ terms of reference and rules of procedure.</w:t>
      </w:r>
      <w:r w:rsidR="004A63BF" w:rsidRPr="00192777">
        <w:rPr>
          <w:rFonts w:eastAsia="Times New Roman"/>
        </w:rPr>
        <w:t xml:space="preserve"> The Committee </w:t>
      </w:r>
      <w:r w:rsidR="004A63BF" w:rsidRPr="00192777">
        <w:rPr>
          <w:rFonts w:eastAsia="Times New Roman"/>
          <w:b/>
          <w:bCs/>
        </w:rPr>
        <w:t>may wish to consider</w:t>
      </w:r>
      <w:r w:rsidR="004A63BF" w:rsidRPr="00192777">
        <w:rPr>
          <w:rFonts w:eastAsia="Times New Roman"/>
        </w:rPr>
        <w:t xml:space="preserve"> </w:t>
      </w:r>
      <w:proofErr w:type="gramStart"/>
      <w:r w:rsidR="004A63BF" w:rsidRPr="00192777">
        <w:rPr>
          <w:rFonts w:eastAsia="Times New Roman"/>
        </w:rPr>
        <w:t>to encourage</w:t>
      </w:r>
      <w:proofErr w:type="gramEnd"/>
      <w:r w:rsidR="004A63BF" w:rsidRPr="00192777">
        <w:rPr>
          <w:rFonts w:eastAsia="Times New Roman"/>
        </w:rPr>
        <w:t xml:space="preserve"> its subsidiary bodies to align their </w:t>
      </w:r>
      <w:r w:rsidR="00707298">
        <w:rPr>
          <w:rFonts w:eastAsia="Times New Roman"/>
        </w:rPr>
        <w:t>Terms of Reference (TOR)</w:t>
      </w:r>
      <w:r w:rsidR="004A63BF" w:rsidRPr="00192777">
        <w:rPr>
          <w:rFonts w:eastAsia="Times New Roman"/>
        </w:rPr>
        <w:t xml:space="preserve"> with the revised TOR of ITC as approved by ECOSOC.</w:t>
      </w:r>
    </w:p>
    <w:p w14:paraId="2EB9DC28" w14:textId="36CC8AB6" w:rsidR="009602FA" w:rsidRPr="00192777" w:rsidRDefault="00FB087E" w:rsidP="00FB087E">
      <w:pPr>
        <w:pStyle w:val="SingleTxtG"/>
        <w:rPr>
          <w:rFonts w:eastAsia="Times New Roman"/>
        </w:rPr>
      </w:pPr>
      <w:r w:rsidRPr="00192777">
        <w:rPr>
          <w:rFonts w:eastAsia="Times New Roman"/>
        </w:rPr>
        <w:t xml:space="preserve">The Committee </w:t>
      </w:r>
      <w:r w:rsidRPr="00192777">
        <w:rPr>
          <w:rFonts w:eastAsia="Times New Roman"/>
          <w:b/>
          <w:bCs/>
        </w:rPr>
        <w:t>will invite</w:t>
      </w:r>
      <w:r w:rsidRPr="00192777">
        <w:rPr>
          <w:rFonts w:eastAsia="Times New Roman"/>
        </w:rPr>
        <w:t xml:space="preserve"> the Chairs of its Working Parties to take part in a dynamic dialogue on how best to integrate the key operative clauses of the </w:t>
      </w:r>
      <w:r w:rsidR="00D86DC4" w:rsidRPr="00192777">
        <w:rPr>
          <w:rFonts w:eastAsia="Times New Roman"/>
        </w:rPr>
        <w:t>M</w:t>
      </w:r>
      <w:r w:rsidRPr="00192777">
        <w:rPr>
          <w:rFonts w:eastAsia="Times New Roman"/>
        </w:rPr>
        <w:t>inisterial Declaration “Harnessing the full potential of inland transport solutions in the global fight against climate change” in the workstreams of relevant subsidiary bodies of the Committee.</w:t>
      </w:r>
    </w:p>
    <w:p w14:paraId="61FE6DBC" w14:textId="77777777" w:rsidR="00B14220" w:rsidRPr="00754A12" w:rsidRDefault="00B14220" w:rsidP="00B14220">
      <w:pPr>
        <w:spacing w:after="120"/>
        <w:ind w:left="1134" w:right="1134"/>
        <w:rPr>
          <w:b/>
          <w:bCs/>
          <w:lang w:val="fr-FR"/>
        </w:rPr>
      </w:pPr>
      <w:r w:rsidRPr="00754A12">
        <w:rPr>
          <w:b/>
          <w:bCs/>
          <w:lang w:val="fr-FR"/>
        </w:rPr>
        <w:t>Documentation</w:t>
      </w:r>
    </w:p>
    <w:p w14:paraId="5CAFDEAD" w14:textId="716C7343" w:rsidR="00B14220" w:rsidRPr="00825B71" w:rsidRDefault="00B14220" w:rsidP="00405265">
      <w:pPr>
        <w:pStyle w:val="SingleTxtG"/>
        <w:rPr>
          <w:rFonts w:eastAsia="Times New Roman"/>
          <w:lang w:val="fr-FR"/>
        </w:rPr>
      </w:pPr>
      <w:r w:rsidRPr="00825B71">
        <w:rPr>
          <w:rFonts w:eastAsia="Times New Roman"/>
          <w:lang w:val="fr-FR"/>
        </w:rPr>
        <w:t>ECE/TRANS/2023/3, ECE/TRANS/2023/4</w:t>
      </w:r>
    </w:p>
    <w:p w14:paraId="1AAF0C11" w14:textId="65AC8DEC" w:rsidR="00777D43" w:rsidRPr="00192777" w:rsidRDefault="00777D43" w:rsidP="00777D43">
      <w:pPr>
        <w:pStyle w:val="HChG"/>
      </w:pPr>
      <w:r w:rsidRPr="00754A12">
        <w:rPr>
          <w:lang w:val="fr-FR"/>
        </w:rPr>
        <w:lastRenderedPageBreak/>
        <w:tab/>
      </w:r>
      <w:r w:rsidRPr="00192777">
        <w:t>III.</w:t>
      </w:r>
      <w:r w:rsidRPr="00192777">
        <w:tab/>
        <w:t xml:space="preserve">Governance and Programmatic </w:t>
      </w:r>
      <w:r w:rsidR="00BD634C" w:rsidRPr="00192777">
        <w:t xml:space="preserve">Issues Requiring Decisions </w:t>
      </w:r>
      <w:r w:rsidRPr="00192777">
        <w:t>by the Committee</w:t>
      </w:r>
    </w:p>
    <w:p w14:paraId="486EAB9C" w14:textId="03BE5CF0" w:rsidR="00777D43" w:rsidRPr="00192777" w:rsidRDefault="006B6259" w:rsidP="00193F32">
      <w:pPr>
        <w:pStyle w:val="H1G"/>
      </w:pPr>
      <w:r w:rsidRPr="00192777">
        <w:tab/>
      </w:r>
      <w:r w:rsidR="00777D43" w:rsidRPr="00192777">
        <w:t>4.</w:t>
      </w:r>
      <w:r w:rsidR="00777D43" w:rsidRPr="00192777">
        <w:tab/>
        <w:t xml:space="preserve">Governance </w:t>
      </w:r>
      <w:r w:rsidR="00BD634C" w:rsidRPr="00192777">
        <w:t xml:space="preserve">Issues </w:t>
      </w:r>
      <w:r w:rsidR="00777D43" w:rsidRPr="00192777">
        <w:t xml:space="preserve">and </w:t>
      </w:r>
      <w:r w:rsidR="00547B9C" w:rsidRPr="00192777">
        <w:t xml:space="preserve">Other Matters Arising </w:t>
      </w:r>
      <w:r w:rsidR="00777D43" w:rsidRPr="00192777">
        <w:t xml:space="preserve">from the United Nations Economic Commission for Europe, the Economic and Social Council and other United Nations </w:t>
      </w:r>
      <w:r w:rsidR="00BD634C" w:rsidRPr="00192777">
        <w:t xml:space="preserve">Bodies </w:t>
      </w:r>
      <w:r w:rsidR="00777D43" w:rsidRPr="00192777">
        <w:t>and Conferences</w:t>
      </w:r>
    </w:p>
    <w:p w14:paraId="2FF5B4C9" w14:textId="77777777" w:rsidR="006454B3" w:rsidRPr="00192777" w:rsidRDefault="006454B3" w:rsidP="006454B3">
      <w:pPr>
        <w:pStyle w:val="SingleTxtG"/>
      </w:pPr>
      <w:r w:rsidRPr="00192777">
        <w:t xml:space="preserve">The Committee </w:t>
      </w:r>
      <w:r w:rsidRPr="00192777">
        <w:rPr>
          <w:b/>
          <w:bCs/>
        </w:rPr>
        <w:t>will be informed</w:t>
      </w:r>
      <w:r w:rsidRPr="00192777">
        <w:t xml:space="preserve"> by the secretariat about recent matters arising from the Economic and Social Council and other United Nations bodies and conferences of interest to the Committee.</w:t>
      </w:r>
    </w:p>
    <w:p w14:paraId="0025506D" w14:textId="77777777" w:rsidR="006454B3" w:rsidRPr="00192777" w:rsidRDefault="006454B3" w:rsidP="006454B3">
      <w:pPr>
        <w:pStyle w:val="SingleTxtG"/>
        <w:rPr>
          <w:lang w:eastAsia="en-US"/>
        </w:rPr>
      </w:pPr>
      <w:r w:rsidRPr="00192777">
        <w:rPr>
          <w:lang w:eastAsia="en-US"/>
        </w:rPr>
        <w:t xml:space="preserve">The Committee </w:t>
      </w:r>
      <w:r w:rsidRPr="00192777">
        <w:rPr>
          <w:b/>
          <w:bCs/>
          <w:lang w:eastAsia="en-US"/>
        </w:rPr>
        <w:t>will also be informed</w:t>
      </w:r>
      <w:r w:rsidRPr="00192777">
        <w:rPr>
          <w:lang w:eastAsia="en-US"/>
        </w:rPr>
        <w:t xml:space="preserve"> by the secretariat about recent matters arising from activities of the Commission of interest to the Committee, including about: </w:t>
      </w:r>
    </w:p>
    <w:p w14:paraId="328B0B10" w14:textId="656E9FC2" w:rsidR="006454B3" w:rsidRPr="00192777" w:rsidRDefault="006454B3" w:rsidP="006454B3">
      <w:pPr>
        <w:pStyle w:val="SingleTxtG"/>
        <w:ind w:firstLine="567"/>
        <w:rPr>
          <w:lang w:eastAsia="en-US"/>
        </w:rPr>
      </w:pPr>
      <w:r w:rsidRPr="00192777">
        <w:rPr>
          <w:lang w:eastAsia="en-US"/>
        </w:rPr>
        <w:t>(a)</w:t>
      </w:r>
      <w:r w:rsidRPr="00192777">
        <w:rPr>
          <w:lang w:eastAsia="en-US"/>
        </w:rPr>
        <w:tab/>
        <w:t>Commission-related decisions on strengthening the work of sectoral committees in the area of circular economy</w:t>
      </w:r>
      <w:r w:rsidR="0091168B" w:rsidRPr="00192777">
        <w:rPr>
          <w:lang w:eastAsia="en-US"/>
        </w:rPr>
        <w:t xml:space="preserve"> (ECE/TRANS/2023/</w:t>
      </w:r>
      <w:r w:rsidR="00D77547" w:rsidRPr="00192777">
        <w:rPr>
          <w:lang w:eastAsia="en-US"/>
        </w:rPr>
        <w:t>5</w:t>
      </w:r>
      <w:r w:rsidR="0091168B" w:rsidRPr="00192777">
        <w:rPr>
          <w:lang w:eastAsia="en-US"/>
        </w:rPr>
        <w:t>)</w:t>
      </w:r>
      <w:r w:rsidRPr="00192777">
        <w:rPr>
          <w:lang w:eastAsia="en-US"/>
        </w:rPr>
        <w:t>; and</w:t>
      </w:r>
    </w:p>
    <w:p w14:paraId="1B3437C3" w14:textId="77777777" w:rsidR="006454B3" w:rsidRPr="00192777" w:rsidRDefault="006454B3" w:rsidP="006454B3">
      <w:pPr>
        <w:pStyle w:val="SingleTxtG"/>
        <w:ind w:firstLine="567"/>
        <w:rPr>
          <w:lang w:eastAsia="en-US"/>
        </w:rPr>
      </w:pPr>
      <w:r w:rsidRPr="00192777">
        <w:rPr>
          <w:lang w:eastAsia="en-US"/>
        </w:rPr>
        <w:t>(b)</w:t>
      </w:r>
      <w:r w:rsidRPr="00192777">
        <w:rPr>
          <w:lang w:eastAsia="en-US"/>
        </w:rPr>
        <w:tab/>
        <w:t>Further development of ECE-wide nexus areas, i.e. intersectoral (</w:t>
      </w:r>
      <w:r w:rsidRPr="00192777">
        <w:t>horizontal</w:t>
      </w:r>
      <w:r w:rsidRPr="00192777">
        <w:rPr>
          <w:lang w:eastAsia="en-US"/>
        </w:rPr>
        <w:t xml:space="preserve">) coordination workstreams in ECE, as part of aligning the work of ECE to the Sustainable Development Goals. </w:t>
      </w:r>
    </w:p>
    <w:p w14:paraId="2C2C8537" w14:textId="08523932" w:rsidR="006454B3" w:rsidRPr="00192777" w:rsidRDefault="006454B3" w:rsidP="00255BC6">
      <w:pPr>
        <w:pStyle w:val="SingleTxtG"/>
        <w:rPr>
          <w:lang w:eastAsia="en-US"/>
        </w:rPr>
      </w:pPr>
      <w:r w:rsidRPr="00192777">
        <w:rPr>
          <w:lang w:eastAsia="en-US"/>
        </w:rPr>
        <w:t xml:space="preserve">The Committee </w:t>
      </w:r>
      <w:r w:rsidRPr="00192777">
        <w:rPr>
          <w:b/>
          <w:bCs/>
          <w:lang w:eastAsia="en-US"/>
        </w:rPr>
        <w:t>will be briefed</w:t>
      </w:r>
      <w:r w:rsidRPr="00192777">
        <w:rPr>
          <w:lang w:eastAsia="en-US"/>
        </w:rPr>
        <w:t xml:space="preserve"> about </w:t>
      </w:r>
      <w:r w:rsidR="00D4789B" w:rsidRPr="00192777">
        <w:rPr>
          <w:lang w:eastAsia="en-US"/>
        </w:rPr>
        <w:t xml:space="preserve">ITC </w:t>
      </w:r>
      <w:r w:rsidR="00320D47" w:rsidRPr="00192777">
        <w:rPr>
          <w:lang w:eastAsia="en-US"/>
        </w:rPr>
        <w:t>contributions to the upcoming seventi</w:t>
      </w:r>
      <w:r w:rsidR="00255BC6" w:rsidRPr="00192777">
        <w:rPr>
          <w:lang w:eastAsia="en-US"/>
        </w:rPr>
        <w:t xml:space="preserve">eth session of ECE and will be invited to consider </w:t>
      </w:r>
      <w:r w:rsidR="001A4CBD" w:rsidRPr="00192777">
        <w:rPr>
          <w:lang w:eastAsia="en-US"/>
        </w:rPr>
        <w:t xml:space="preserve">and adopt </w:t>
      </w:r>
      <w:r w:rsidR="00255BC6" w:rsidRPr="00192777">
        <w:rPr>
          <w:lang w:eastAsia="en-US"/>
        </w:rPr>
        <w:t xml:space="preserve">possible draft decisions </w:t>
      </w:r>
      <w:r w:rsidR="001A4CBD" w:rsidRPr="00192777">
        <w:rPr>
          <w:lang w:eastAsia="en-US"/>
        </w:rPr>
        <w:t xml:space="preserve">on transport, to be submitted for consideration at the </w:t>
      </w:r>
      <w:r w:rsidR="007E13AC" w:rsidRPr="00192777">
        <w:rPr>
          <w:lang w:eastAsia="en-US"/>
        </w:rPr>
        <w:t>ECE session (ECE/TRANS/2023/6)</w:t>
      </w:r>
      <w:r w:rsidR="00707298">
        <w:rPr>
          <w:lang w:eastAsia="en-US"/>
        </w:rPr>
        <w:t>.</w:t>
      </w:r>
      <w:r w:rsidR="00BD634C">
        <w:rPr>
          <w:lang w:eastAsia="en-US"/>
        </w:rPr>
        <w:t xml:space="preserve">  </w:t>
      </w:r>
    </w:p>
    <w:p w14:paraId="42FF6705" w14:textId="12B41E61" w:rsidR="006454B3" w:rsidRPr="00192777" w:rsidRDefault="006454B3" w:rsidP="006454B3">
      <w:pPr>
        <w:pStyle w:val="SingleTxtG"/>
        <w:rPr>
          <w:lang w:eastAsia="en-US"/>
        </w:rPr>
      </w:pPr>
      <w:r w:rsidRPr="00192777">
        <w:rPr>
          <w:lang w:eastAsia="en-US"/>
        </w:rPr>
        <w:t xml:space="preserve">The Committee </w:t>
      </w:r>
      <w:r w:rsidRPr="00192777">
        <w:rPr>
          <w:b/>
          <w:bCs/>
          <w:lang w:eastAsia="en-US"/>
        </w:rPr>
        <w:t>will be updated</w:t>
      </w:r>
      <w:r w:rsidRPr="00192777">
        <w:rPr>
          <w:lang w:eastAsia="en-US"/>
        </w:rPr>
        <w:t xml:space="preserve"> about the </w:t>
      </w:r>
      <w:r w:rsidR="007E13AC" w:rsidRPr="00192777">
        <w:rPr>
          <w:lang w:eastAsia="en-US"/>
        </w:rPr>
        <w:t xml:space="preserve">follow-up to the </w:t>
      </w:r>
      <w:r w:rsidRPr="00192777">
        <w:rPr>
          <w:lang w:eastAsia="en-US"/>
        </w:rPr>
        <w:t xml:space="preserve">launch in 2021 of the Global Plan for the Second Decade of Action for Road Safety, that was developed as mandated by United Nations General Assembly Resolution 74/299, with the direct involvement of ECE, alongside the other regional commissions and WHO. The Committee </w:t>
      </w:r>
      <w:r w:rsidRPr="00192777">
        <w:rPr>
          <w:b/>
          <w:bCs/>
          <w:lang w:eastAsia="en-US"/>
        </w:rPr>
        <w:t xml:space="preserve">will be </w:t>
      </w:r>
      <w:r w:rsidR="00F36B90" w:rsidRPr="00192777">
        <w:rPr>
          <w:b/>
          <w:bCs/>
          <w:lang w:eastAsia="en-US"/>
        </w:rPr>
        <w:t xml:space="preserve">invited to consider and approve </w:t>
      </w:r>
      <w:r w:rsidR="00414AC6" w:rsidRPr="00192777">
        <w:rPr>
          <w:lang w:eastAsia="en-US"/>
        </w:rPr>
        <w:t xml:space="preserve">the ECE Road Safety Action Plan 2023-2030 </w:t>
      </w:r>
      <w:r w:rsidR="00E356EC" w:rsidRPr="00192777">
        <w:rPr>
          <w:lang w:eastAsia="en-US"/>
        </w:rPr>
        <w:t xml:space="preserve">(ECE/TRANS/2023/7) </w:t>
      </w:r>
      <w:r w:rsidR="00414AC6" w:rsidRPr="00192777">
        <w:rPr>
          <w:lang w:eastAsia="en-US"/>
        </w:rPr>
        <w:t>that was developed</w:t>
      </w:r>
      <w:r w:rsidR="00E356EC" w:rsidRPr="00192777">
        <w:rPr>
          <w:lang w:eastAsia="en-US"/>
        </w:rPr>
        <w:t xml:space="preserve"> in </w:t>
      </w:r>
      <w:r w:rsidR="00F62075" w:rsidRPr="00192777">
        <w:rPr>
          <w:lang w:eastAsia="en-US"/>
        </w:rPr>
        <w:t xml:space="preserve">direct implementation of the </w:t>
      </w:r>
      <w:r w:rsidR="00E356EC" w:rsidRPr="00192777">
        <w:rPr>
          <w:lang w:eastAsia="en-US"/>
        </w:rPr>
        <w:t xml:space="preserve">Committee’s decision at its </w:t>
      </w:r>
      <w:r w:rsidR="009937BB">
        <w:rPr>
          <w:lang w:eastAsia="en-US"/>
        </w:rPr>
        <w:t xml:space="preserve">eighty-fourth </w:t>
      </w:r>
      <w:r w:rsidR="00E356EC" w:rsidRPr="00192777">
        <w:rPr>
          <w:lang w:eastAsia="en-US"/>
        </w:rPr>
        <w:t>plenary session</w:t>
      </w:r>
      <w:r w:rsidR="006C31A9" w:rsidRPr="00192777">
        <w:rPr>
          <w:lang w:eastAsia="en-US"/>
        </w:rPr>
        <w:t xml:space="preserve"> (ECE/TRANS/316, </w:t>
      </w:r>
      <w:r w:rsidR="00754A12">
        <w:rPr>
          <w:lang w:eastAsia="en-US"/>
        </w:rPr>
        <w:t>paragraph</w:t>
      </w:r>
      <w:r w:rsidR="006C31A9" w:rsidRPr="00192777">
        <w:rPr>
          <w:lang w:eastAsia="en-US"/>
        </w:rPr>
        <w:t xml:space="preserve"> 21)</w:t>
      </w:r>
      <w:r w:rsidRPr="00192777">
        <w:rPr>
          <w:lang w:eastAsia="en-US"/>
        </w:rPr>
        <w:t>.</w:t>
      </w:r>
    </w:p>
    <w:p w14:paraId="1CFCD2D6" w14:textId="30492F5E" w:rsidR="006454B3" w:rsidRPr="00192777" w:rsidRDefault="006454B3" w:rsidP="00A02B3C">
      <w:pPr>
        <w:pStyle w:val="SingleTxtG"/>
        <w:rPr>
          <w:lang w:eastAsia="en-US"/>
        </w:rPr>
      </w:pPr>
      <w:r w:rsidRPr="00192777">
        <w:rPr>
          <w:lang w:eastAsia="en-US"/>
        </w:rPr>
        <w:t xml:space="preserve">The Committee may wish to </w:t>
      </w:r>
      <w:r w:rsidRPr="00192777">
        <w:rPr>
          <w:b/>
          <w:lang w:eastAsia="en-US"/>
        </w:rPr>
        <w:t xml:space="preserve">give guidance to </w:t>
      </w:r>
      <w:r w:rsidRPr="00192777">
        <w:rPr>
          <w:lang w:eastAsia="en-US"/>
        </w:rPr>
        <w:t xml:space="preserve">its Chair on the key messages in the </w:t>
      </w:r>
      <w:r w:rsidR="009937BB" w:rsidRPr="00192777">
        <w:rPr>
          <w:lang w:eastAsia="en-US"/>
        </w:rPr>
        <w:t>report</w:t>
      </w:r>
      <w:r w:rsidR="009937BB">
        <w:rPr>
          <w:lang w:eastAsia="en-US"/>
        </w:rPr>
        <w:t xml:space="preserve"> which is</w:t>
      </w:r>
      <w:r w:rsidR="009937BB" w:rsidRPr="00192777">
        <w:rPr>
          <w:lang w:eastAsia="en-US"/>
        </w:rPr>
        <w:t xml:space="preserve"> to</w:t>
      </w:r>
      <w:r w:rsidRPr="00192777">
        <w:rPr>
          <w:lang w:eastAsia="en-US"/>
        </w:rPr>
        <w:t xml:space="preserve"> be prepared in consultation with the secretariat</w:t>
      </w:r>
      <w:r w:rsidR="009937BB">
        <w:rPr>
          <w:lang w:eastAsia="en-US"/>
        </w:rPr>
        <w:t xml:space="preserve"> and given </w:t>
      </w:r>
      <w:r w:rsidRPr="00192777">
        <w:rPr>
          <w:lang w:eastAsia="en-US"/>
        </w:rPr>
        <w:t>to the Executive Committee (EXCOM) at a future session.</w:t>
      </w:r>
    </w:p>
    <w:p w14:paraId="1C9B1E8F" w14:textId="7891F455" w:rsidR="000F4727" w:rsidRPr="00192777" w:rsidRDefault="000F4727" w:rsidP="00972D2C">
      <w:pPr>
        <w:pStyle w:val="SingleTxtG"/>
        <w:rPr>
          <w:lang w:eastAsia="en-US"/>
        </w:rPr>
      </w:pPr>
      <w:r w:rsidRPr="00192777">
        <w:rPr>
          <w:lang w:eastAsia="en-US"/>
        </w:rPr>
        <w:t xml:space="preserve">The Committee </w:t>
      </w:r>
      <w:r w:rsidRPr="00192777">
        <w:rPr>
          <w:b/>
          <w:bCs/>
          <w:lang w:eastAsia="en-US"/>
        </w:rPr>
        <w:t>may wish to note</w:t>
      </w:r>
      <w:r w:rsidRPr="00192777">
        <w:rPr>
          <w:lang w:eastAsia="en-US"/>
        </w:rPr>
        <w:t xml:space="preserve"> that, in light of the exceptional circumstances triggered by the COVID-19 pandemic, EXCOM adopted on 6 April 2020 Special Procedures during the COVID-19 period, authorizing decision-making for EXCOM under silence procedures during</w:t>
      </w:r>
      <w:r w:rsidR="009937BB">
        <w:rPr>
          <w:lang w:eastAsia="en-US"/>
        </w:rPr>
        <w:t xml:space="preserve"> the</w:t>
      </w:r>
      <w:r w:rsidRPr="00192777">
        <w:rPr>
          <w:lang w:eastAsia="en-US"/>
        </w:rPr>
        <w:t xml:space="preserve"> remote informal meetings replacing official meetings. The Committee may also </w:t>
      </w:r>
      <w:r w:rsidRPr="00192777">
        <w:rPr>
          <w:b/>
          <w:bCs/>
          <w:lang w:eastAsia="en-US"/>
        </w:rPr>
        <w:t>wish to note</w:t>
      </w:r>
      <w:r w:rsidRPr="00192777">
        <w:rPr>
          <w:lang w:eastAsia="en-US"/>
        </w:rPr>
        <w:t xml:space="preserve"> that on 5 October 2020, EXCOM adopted special procedures to take decisions in formal meetings with remote participation (ECE/EX/2020/L.12). In accordance with these EXCOM decisions, the Committee may wish to note that document ECE/TRANS/202</w:t>
      </w:r>
      <w:r w:rsidR="00772641" w:rsidRPr="00192777">
        <w:rPr>
          <w:lang w:eastAsia="en-US"/>
        </w:rPr>
        <w:t>3</w:t>
      </w:r>
      <w:r w:rsidRPr="00192777">
        <w:rPr>
          <w:lang w:eastAsia="en-US"/>
        </w:rPr>
        <w:t>/</w:t>
      </w:r>
      <w:r w:rsidR="00DC3440" w:rsidRPr="00192777">
        <w:rPr>
          <w:lang w:eastAsia="en-US"/>
        </w:rPr>
        <w:t>8</w:t>
      </w:r>
      <w:r w:rsidRPr="00192777">
        <w:rPr>
          <w:lang w:eastAsia="en-US"/>
        </w:rPr>
        <w:t>contains the decisions taken in 202</w:t>
      </w:r>
      <w:r w:rsidR="00DC3440" w:rsidRPr="00192777">
        <w:rPr>
          <w:lang w:eastAsia="en-US"/>
        </w:rPr>
        <w:t>2</w:t>
      </w:r>
      <w:r w:rsidRPr="00192777">
        <w:rPr>
          <w:lang w:eastAsia="en-US"/>
        </w:rPr>
        <w:t xml:space="preserve"> by ITC subsidiary bodies under silence procedures.</w:t>
      </w:r>
    </w:p>
    <w:p w14:paraId="2A312F4A" w14:textId="77777777" w:rsidR="006454B3" w:rsidRPr="00754A12" w:rsidRDefault="006454B3" w:rsidP="006454B3">
      <w:pPr>
        <w:pStyle w:val="SingleTxtG"/>
        <w:rPr>
          <w:b/>
          <w:lang w:val="fr-FR"/>
        </w:rPr>
      </w:pPr>
      <w:r w:rsidRPr="00754A12">
        <w:rPr>
          <w:b/>
          <w:lang w:val="fr-FR"/>
        </w:rPr>
        <w:t>Documentation</w:t>
      </w:r>
    </w:p>
    <w:p w14:paraId="4B471D6D" w14:textId="6DF09250" w:rsidR="006B6259" w:rsidRPr="00754A12" w:rsidRDefault="006454B3" w:rsidP="00972D2C">
      <w:pPr>
        <w:pStyle w:val="SingleTxtG"/>
        <w:rPr>
          <w:lang w:val="fr-FR"/>
        </w:rPr>
      </w:pPr>
      <w:r w:rsidRPr="00754A12">
        <w:rPr>
          <w:lang w:val="fr-FR"/>
        </w:rPr>
        <w:t>ECE/TRANS/202</w:t>
      </w:r>
      <w:r w:rsidR="00A02B3C" w:rsidRPr="00754A12">
        <w:rPr>
          <w:lang w:val="fr-FR"/>
        </w:rPr>
        <w:t>3</w:t>
      </w:r>
      <w:r w:rsidRPr="00754A12">
        <w:rPr>
          <w:lang w:val="fr-FR"/>
        </w:rPr>
        <w:t>/</w:t>
      </w:r>
      <w:r w:rsidR="00A02B3C" w:rsidRPr="00754A12">
        <w:rPr>
          <w:lang w:val="fr-FR"/>
        </w:rPr>
        <w:t>5</w:t>
      </w:r>
      <w:r w:rsidRPr="00754A12">
        <w:rPr>
          <w:lang w:val="fr-FR"/>
        </w:rPr>
        <w:t>, ECE/TRANS/202</w:t>
      </w:r>
      <w:r w:rsidR="00A02B3C" w:rsidRPr="00754A12">
        <w:rPr>
          <w:lang w:val="fr-FR"/>
        </w:rPr>
        <w:t>3</w:t>
      </w:r>
      <w:r w:rsidRPr="00754A12">
        <w:rPr>
          <w:lang w:val="fr-FR"/>
        </w:rPr>
        <w:t>/</w:t>
      </w:r>
      <w:r w:rsidR="00A02B3C" w:rsidRPr="00754A12">
        <w:rPr>
          <w:lang w:val="fr-FR"/>
        </w:rPr>
        <w:t>6, ECE/TRANS/2023/7</w:t>
      </w:r>
      <w:r w:rsidR="00DC3440" w:rsidRPr="00754A12">
        <w:rPr>
          <w:lang w:val="fr-FR"/>
        </w:rPr>
        <w:t>, ECE/TRANS/2023/8</w:t>
      </w:r>
    </w:p>
    <w:p w14:paraId="58BA6BCB" w14:textId="2F234FF3" w:rsidR="00777D43" w:rsidRPr="00192777" w:rsidRDefault="00262D73" w:rsidP="00262D73">
      <w:pPr>
        <w:pStyle w:val="H1G"/>
      </w:pPr>
      <w:r w:rsidRPr="00754A12">
        <w:rPr>
          <w:lang w:val="fr-FR"/>
        </w:rPr>
        <w:tab/>
      </w:r>
      <w:r w:rsidR="00777D43" w:rsidRPr="00192777">
        <w:t>5.</w:t>
      </w:r>
      <w:r w:rsidR="00777D43" w:rsidRPr="00192777">
        <w:tab/>
        <w:t xml:space="preserve">Governance </w:t>
      </w:r>
      <w:r w:rsidR="005729C5" w:rsidRPr="00192777">
        <w:t xml:space="preserve">Issues </w:t>
      </w:r>
      <w:r w:rsidR="00777D43" w:rsidRPr="00192777">
        <w:t xml:space="preserve">and </w:t>
      </w:r>
      <w:r w:rsidR="005729C5" w:rsidRPr="00192777">
        <w:t xml:space="preserve">Business Critical Decisions </w:t>
      </w:r>
      <w:r w:rsidR="00777D43" w:rsidRPr="00192777">
        <w:t xml:space="preserve">for the </w:t>
      </w:r>
      <w:bookmarkStart w:id="2" w:name="_Hlk89790130"/>
      <w:r w:rsidR="00777D43" w:rsidRPr="00192777">
        <w:t>Inland Transport Committee</w:t>
      </w:r>
      <w:bookmarkEnd w:id="2"/>
      <w:r w:rsidR="00777D43" w:rsidRPr="00192777">
        <w:t xml:space="preserve"> and its </w:t>
      </w:r>
      <w:r w:rsidR="005729C5" w:rsidRPr="00192777">
        <w:t>Subsidiary Bodies</w:t>
      </w:r>
    </w:p>
    <w:p w14:paraId="02C628B6" w14:textId="6A707389" w:rsidR="00777D43" w:rsidRPr="00192777" w:rsidRDefault="00777D43" w:rsidP="00D60D9D">
      <w:pPr>
        <w:spacing w:after="120"/>
        <w:ind w:right="1134" w:firstLine="567"/>
        <w:jc w:val="both"/>
        <w:rPr>
          <w:b/>
          <w:bCs/>
        </w:rPr>
      </w:pPr>
      <w:r w:rsidRPr="00192777">
        <w:rPr>
          <w:b/>
          <w:bCs/>
        </w:rPr>
        <w:t>(a)</w:t>
      </w:r>
      <w:r w:rsidRPr="00192777">
        <w:rPr>
          <w:b/>
          <w:bCs/>
        </w:rPr>
        <w:tab/>
        <w:t xml:space="preserve">Decisions on </w:t>
      </w:r>
      <w:r w:rsidR="005729C5" w:rsidRPr="00192777">
        <w:rPr>
          <w:b/>
          <w:bCs/>
        </w:rPr>
        <w:t xml:space="preserve">Subsidiary Bodies </w:t>
      </w:r>
      <w:r w:rsidRPr="00192777">
        <w:rPr>
          <w:b/>
          <w:bCs/>
        </w:rPr>
        <w:t xml:space="preserve">and on the </w:t>
      </w:r>
      <w:r w:rsidR="005729C5" w:rsidRPr="00192777">
        <w:rPr>
          <w:b/>
          <w:bCs/>
        </w:rPr>
        <w:t xml:space="preserve">Structure </w:t>
      </w:r>
      <w:r w:rsidRPr="00192777">
        <w:rPr>
          <w:b/>
          <w:bCs/>
        </w:rPr>
        <w:t>of the Committee</w:t>
      </w:r>
    </w:p>
    <w:p w14:paraId="24CF707E" w14:textId="77762E67" w:rsidR="00C80036" w:rsidRPr="00192777" w:rsidRDefault="00C80036" w:rsidP="00C80036">
      <w:pPr>
        <w:pStyle w:val="SingleTxtG"/>
      </w:pPr>
      <w:bookmarkStart w:id="3" w:name="_Hlk118181719"/>
      <w:r w:rsidRPr="00192777">
        <w:rPr>
          <w:rFonts w:eastAsia="Times New Roman"/>
        </w:rPr>
        <w:t xml:space="preserve">The Committee is </w:t>
      </w:r>
      <w:r w:rsidRPr="00192777">
        <w:rPr>
          <w:rFonts w:eastAsia="Times New Roman"/>
          <w:b/>
          <w:bCs/>
        </w:rPr>
        <w:t xml:space="preserve">invited to </w:t>
      </w:r>
      <w:r w:rsidR="00D67600" w:rsidRPr="00192777">
        <w:rPr>
          <w:rFonts w:eastAsia="Times New Roman"/>
          <w:b/>
          <w:bCs/>
        </w:rPr>
        <w:t xml:space="preserve">consider and </w:t>
      </w:r>
      <w:r w:rsidRPr="00192777">
        <w:rPr>
          <w:rFonts w:eastAsia="Times New Roman"/>
          <w:b/>
          <w:bCs/>
        </w:rPr>
        <w:t>adopt</w:t>
      </w:r>
      <w:r w:rsidRPr="00192777">
        <w:rPr>
          <w:rFonts w:eastAsia="Times New Roman"/>
        </w:rPr>
        <w:t xml:space="preserve"> the updated Terms of Reference for the Working Party on Rail Transport (SC.2) </w:t>
      </w:r>
      <w:r w:rsidRPr="00192777">
        <w:t>prepared by the Working Party, aligned to the</w:t>
      </w:r>
      <w:r w:rsidR="00D86DC4" w:rsidRPr="00192777">
        <w:t xml:space="preserve"> revised</w:t>
      </w:r>
      <w:r w:rsidRPr="00192777">
        <w:t xml:space="preserve"> ITC Terms of Reference, and at its request. The updated Terms of Reference are contained in </w:t>
      </w:r>
      <w:r w:rsidR="008F5AE9" w:rsidRPr="00192777">
        <w:t>annex</w:t>
      </w:r>
      <w:r w:rsidRPr="00192777">
        <w:t xml:space="preserve"> </w:t>
      </w:r>
      <w:r w:rsidR="004C1D79" w:rsidRPr="00192777">
        <w:t>I</w:t>
      </w:r>
      <w:r w:rsidRPr="00192777">
        <w:t xml:space="preserve"> to ECE/TRANS/2023/9.</w:t>
      </w:r>
    </w:p>
    <w:p w14:paraId="4AE308BA" w14:textId="56F1CED7" w:rsidR="00CA3DE1" w:rsidRPr="00192777" w:rsidRDefault="00CA3DE1" w:rsidP="00CA3DE1">
      <w:pPr>
        <w:pStyle w:val="SingleTxtG"/>
        <w:rPr>
          <w:rFonts w:eastAsia="Times New Roman"/>
        </w:rPr>
      </w:pPr>
      <w:r w:rsidRPr="00192777">
        <w:rPr>
          <w:rFonts w:eastAsia="Times New Roman"/>
        </w:rPr>
        <w:lastRenderedPageBreak/>
        <w:t xml:space="preserve">The Committee is </w:t>
      </w:r>
      <w:r w:rsidRPr="00192777">
        <w:rPr>
          <w:rFonts w:eastAsia="Times New Roman"/>
          <w:b/>
          <w:bCs/>
        </w:rPr>
        <w:t xml:space="preserve">invited to </w:t>
      </w:r>
      <w:r w:rsidR="00D67600" w:rsidRPr="00192777">
        <w:rPr>
          <w:rFonts w:eastAsia="Times New Roman"/>
          <w:b/>
          <w:bCs/>
        </w:rPr>
        <w:t xml:space="preserve">consider and </w:t>
      </w:r>
      <w:r w:rsidRPr="00192777">
        <w:rPr>
          <w:rFonts w:eastAsia="Times New Roman"/>
          <w:b/>
          <w:bCs/>
        </w:rPr>
        <w:t>adopt</w:t>
      </w:r>
      <w:r w:rsidRPr="00192777">
        <w:rPr>
          <w:rFonts w:eastAsia="Times New Roman"/>
        </w:rPr>
        <w:t xml:space="preserve"> the new Rules of Procedure for the Working Party on Rail Transport (SC.2) </w:t>
      </w:r>
      <w:r w:rsidRPr="00192777">
        <w:t xml:space="preserve">prepared by the Working Party and at its request. The new Rules of Procedure are contained in </w:t>
      </w:r>
      <w:r w:rsidR="008F5AE9" w:rsidRPr="00192777">
        <w:t>annex</w:t>
      </w:r>
      <w:r w:rsidRPr="00192777">
        <w:t xml:space="preserve"> </w:t>
      </w:r>
      <w:r w:rsidR="004C1D79" w:rsidRPr="00192777">
        <w:t>II</w:t>
      </w:r>
      <w:r w:rsidRPr="00192777">
        <w:t xml:space="preserve"> to ECE/TRANS/2023/9.</w:t>
      </w:r>
      <w:r w:rsidRPr="00192777">
        <w:rPr>
          <w:rFonts w:eastAsia="Times New Roman"/>
        </w:rPr>
        <w:t xml:space="preserve"> </w:t>
      </w:r>
    </w:p>
    <w:p w14:paraId="792D9D16" w14:textId="58520E0C" w:rsidR="00AB72F4" w:rsidRPr="00192777" w:rsidRDefault="00AB72F4" w:rsidP="00972D2C">
      <w:pPr>
        <w:pStyle w:val="SingleTxtG"/>
      </w:pPr>
      <w:r w:rsidRPr="00192777">
        <w:rPr>
          <w:rFonts w:eastAsia="Times New Roman"/>
        </w:rPr>
        <w:t xml:space="preserve">The Committee is </w:t>
      </w:r>
      <w:r w:rsidRPr="00192777">
        <w:rPr>
          <w:rFonts w:eastAsia="Times New Roman"/>
          <w:b/>
          <w:bCs/>
        </w:rPr>
        <w:t xml:space="preserve">invited to </w:t>
      </w:r>
      <w:r w:rsidR="00D67600" w:rsidRPr="00192777">
        <w:rPr>
          <w:rFonts w:eastAsia="Times New Roman"/>
          <w:b/>
          <w:bCs/>
        </w:rPr>
        <w:t xml:space="preserve">consider and </w:t>
      </w:r>
      <w:r w:rsidRPr="00192777">
        <w:rPr>
          <w:rFonts w:eastAsia="Times New Roman"/>
          <w:b/>
          <w:bCs/>
        </w:rPr>
        <w:t>adopt</w:t>
      </w:r>
      <w:r w:rsidRPr="00192777">
        <w:rPr>
          <w:rFonts w:eastAsia="Times New Roman"/>
        </w:rPr>
        <w:t xml:space="preserve"> the new Terms of Reference for the Revisions Committee of the Model Rules on the Permanent Identification of Railway Rolling Stock </w:t>
      </w:r>
      <w:r w:rsidRPr="00192777">
        <w:t>prepared by SC.2 and at its request</w:t>
      </w:r>
      <w:r w:rsidR="000C7E90">
        <w:t xml:space="preserve">, and </w:t>
      </w:r>
      <w:r w:rsidR="000C7E90" w:rsidRPr="00EF07B0">
        <w:rPr>
          <w:b/>
          <w:bCs/>
        </w:rPr>
        <w:t>recommend</w:t>
      </w:r>
      <w:r w:rsidR="000C7E90">
        <w:t xml:space="preserve"> to EXCOM for appr</w:t>
      </w:r>
      <w:r w:rsidR="00EF07B0">
        <w:t>oval</w:t>
      </w:r>
      <w:r w:rsidRPr="00192777">
        <w:t xml:space="preserve">. The Terms of Reference are contained in </w:t>
      </w:r>
      <w:r w:rsidR="008F5AE9" w:rsidRPr="00192777">
        <w:t>annex</w:t>
      </w:r>
      <w:r w:rsidRPr="00192777">
        <w:t xml:space="preserve"> </w:t>
      </w:r>
      <w:r w:rsidR="00116D06" w:rsidRPr="00192777">
        <w:t>III</w:t>
      </w:r>
      <w:r w:rsidRPr="00192777">
        <w:t xml:space="preserve"> to ECE/TRANS/2023/9.</w:t>
      </w:r>
    </w:p>
    <w:p w14:paraId="46EFBDDA" w14:textId="2C48C0A3" w:rsidR="0058162D" w:rsidRPr="00192777" w:rsidRDefault="0058162D" w:rsidP="00972D2C">
      <w:pPr>
        <w:pStyle w:val="SingleTxtG"/>
      </w:pPr>
      <w:r w:rsidRPr="00192777">
        <w:t xml:space="preserve">The Committee is </w:t>
      </w:r>
      <w:r w:rsidRPr="00192777">
        <w:rPr>
          <w:b/>
          <w:bCs/>
        </w:rPr>
        <w:t xml:space="preserve">invited to </w:t>
      </w:r>
      <w:r w:rsidR="00D67600" w:rsidRPr="00192777">
        <w:rPr>
          <w:b/>
          <w:bCs/>
        </w:rPr>
        <w:t xml:space="preserve">consider and </w:t>
      </w:r>
      <w:r w:rsidRPr="00192777">
        <w:rPr>
          <w:b/>
          <w:bCs/>
        </w:rPr>
        <w:t>adopt</w:t>
      </w:r>
      <w:r w:rsidRPr="00192777">
        <w:t xml:space="preserve"> the Rules of Procedure </w:t>
      </w:r>
      <w:bookmarkEnd w:id="3"/>
      <w:r w:rsidRPr="00192777">
        <w:t>of the Working Party on Inland Water Transport (SC.3)</w:t>
      </w:r>
      <w:r w:rsidR="001C7C22" w:rsidRPr="00192777">
        <w:t xml:space="preserve">, prepared by </w:t>
      </w:r>
      <w:r w:rsidRPr="00192777">
        <w:t>the Working Party</w:t>
      </w:r>
      <w:r w:rsidR="001C7C22" w:rsidRPr="00192777">
        <w:t xml:space="preserve"> and at its request</w:t>
      </w:r>
      <w:r w:rsidRPr="00192777">
        <w:t xml:space="preserve">. The new Rules of Procedure are contained in </w:t>
      </w:r>
      <w:r w:rsidR="008F5AE9" w:rsidRPr="00192777">
        <w:t xml:space="preserve">annex </w:t>
      </w:r>
      <w:r w:rsidR="008D6BAA" w:rsidRPr="00192777">
        <w:t>I</w:t>
      </w:r>
      <w:r w:rsidR="00116D06" w:rsidRPr="00192777">
        <w:t>V</w:t>
      </w:r>
      <w:r w:rsidR="008D6BAA" w:rsidRPr="00192777">
        <w:t xml:space="preserve"> </w:t>
      </w:r>
      <w:r w:rsidRPr="00192777">
        <w:t>to ECE/TRANS/2023/9.</w:t>
      </w:r>
    </w:p>
    <w:p w14:paraId="12118D54" w14:textId="6D3B0709" w:rsidR="0002052E" w:rsidRPr="00192777" w:rsidRDefault="0002052E" w:rsidP="00972D2C">
      <w:pPr>
        <w:pStyle w:val="SingleTxtG"/>
      </w:pPr>
      <w:r w:rsidRPr="00192777">
        <w:t xml:space="preserve">The Committee is </w:t>
      </w:r>
      <w:r w:rsidRPr="00192777">
        <w:rPr>
          <w:b/>
          <w:bCs/>
        </w:rPr>
        <w:t xml:space="preserve">invited to </w:t>
      </w:r>
      <w:r w:rsidR="00D67600" w:rsidRPr="00192777">
        <w:rPr>
          <w:b/>
          <w:bCs/>
        </w:rPr>
        <w:t xml:space="preserve">consider and </w:t>
      </w:r>
      <w:r w:rsidRPr="00192777">
        <w:rPr>
          <w:b/>
          <w:bCs/>
        </w:rPr>
        <w:t>adopt</w:t>
      </w:r>
      <w:r w:rsidRPr="00192777">
        <w:t xml:space="preserve"> the Rules of Procedure of the Joint Meeting of Experts on the Regulations annexed to the European Agreement concerning the International Carriage of Dangerous Goods by Inland Waterways</w:t>
      </w:r>
      <w:r w:rsidR="00045AED" w:rsidRPr="00192777">
        <w:t xml:space="preserve"> (ADN Safety Committee</w:t>
      </w:r>
      <w:r w:rsidR="00B16E21" w:rsidRPr="00192777">
        <w:t xml:space="preserve"> – WP.15/AC.2</w:t>
      </w:r>
      <w:r w:rsidR="00045AED" w:rsidRPr="00192777">
        <w:t>)</w:t>
      </w:r>
      <w:r w:rsidR="00B16E21" w:rsidRPr="00192777">
        <w:t xml:space="preserve">, prepared by the </w:t>
      </w:r>
      <w:r w:rsidR="00766FDB" w:rsidRPr="00192777">
        <w:t xml:space="preserve">ADN Safety Committee </w:t>
      </w:r>
      <w:r w:rsidR="00F02266" w:rsidRPr="00192777">
        <w:t xml:space="preserve">and </w:t>
      </w:r>
      <w:r w:rsidR="00766FDB" w:rsidRPr="00192777">
        <w:t>at its request.</w:t>
      </w:r>
      <w:r w:rsidR="00F02266" w:rsidRPr="00192777">
        <w:t xml:space="preserve"> The new Rules of Procedure are contained in </w:t>
      </w:r>
      <w:r w:rsidR="008F5AE9" w:rsidRPr="00192777">
        <w:t xml:space="preserve">annex </w:t>
      </w:r>
      <w:r w:rsidR="008D6BAA" w:rsidRPr="00192777">
        <w:t>V</w:t>
      </w:r>
      <w:r w:rsidR="00F02266" w:rsidRPr="00192777">
        <w:t xml:space="preserve"> to ECE/TRANS/2023/9.</w:t>
      </w:r>
    </w:p>
    <w:p w14:paraId="5892895A" w14:textId="14F76A76" w:rsidR="00262D73" w:rsidRPr="00192777" w:rsidRDefault="00262D73" w:rsidP="00972D2C">
      <w:pPr>
        <w:pStyle w:val="SingleTxtG"/>
      </w:pPr>
      <w:r w:rsidRPr="00192777">
        <w:t xml:space="preserve">The Committee is </w:t>
      </w:r>
      <w:r w:rsidRPr="00192777">
        <w:rPr>
          <w:b/>
          <w:bCs/>
        </w:rPr>
        <w:t xml:space="preserve">invited to </w:t>
      </w:r>
      <w:r w:rsidR="000E6EAC" w:rsidRPr="00192777">
        <w:rPr>
          <w:b/>
          <w:bCs/>
        </w:rPr>
        <w:t xml:space="preserve">consider and </w:t>
      </w:r>
      <w:r w:rsidRPr="00192777">
        <w:rPr>
          <w:b/>
          <w:bCs/>
        </w:rPr>
        <w:t>adopt</w:t>
      </w:r>
      <w:r w:rsidRPr="00192777">
        <w:t xml:space="preserve"> new Rules of Procedure for the Working Party on Intermodal Transport and Logistics (WP.24) </w:t>
      </w:r>
      <w:r w:rsidR="00D118BA" w:rsidRPr="00192777">
        <w:t xml:space="preserve">prepared by </w:t>
      </w:r>
      <w:r w:rsidRPr="00192777">
        <w:t>the Working Party</w:t>
      </w:r>
      <w:r w:rsidR="00873798" w:rsidRPr="00192777">
        <w:t xml:space="preserve"> and at its request</w:t>
      </w:r>
      <w:r w:rsidRPr="00192777">
        <w:t>.</w:t>
      </w:r>
      <w:r w:rsidR="00920491" w:rsidRPr="00192777">
        <w:t xml:space="preserve"> The new Rules of Procedure are contained in </w:t>
      </w:r>
      <w:r w:rsidR="008F5AE9" w:rsidRPr="00192777">
        <w:t>annex</w:t>
      </w:r>
      <w:r w:rsidR="00920491" w:rsidRPr="00192777">
        <w:t xml:space="preserve"> </w:t>
      </w:r>
      <w:r w:rsidR="00B61A90" w:rsidRPr="00192777">
        <w:t>V</w:t>
      </w:r>
      <w:r w:rsidR="00116D06" w:rsidRPr="00192777">
        <w:t>I</w:t>
      </w:r>
      <w:r w:rsidR="00B61A90" w:rsidRPr="00192777">
        <w:t xml:space="preserve"> </w:t>
      </w:r>
      <w:r w:rsidR="00920491" w:rsidRPr="00192777">
        <w:t>to ECE/TRANS/2023/9</w:t>
      </w:r>
      <w:r w:rsidR="00BB33B2" w:rsidRPr="00192777">
        <w:t>.</w:t>
      </w:r>
    </w:p>
    <w:p w14:paraId="3DDB04EC" w14:textId="02A6A6E1" w:rsidR="009068D3" w:rsidRPr="00192777" w:rsidRDefault="009068D3" w:rsidP="00972D2C">
      <w:pPr>
        <w:pStyle w:val="SingleTxtG"/>
      </w:pPr>
      <w:r w:rsidRPr="00192777">
        <w:t xml:space="preserve">The Committee is </w:t>
      </w:r>
      <w:r w:rsidRPr="00192777">
        <w:rPr>
          <w:b/>
          <w:bCs/>
        </w:rPr>
        <w:t xml:space="preserve">invited to </w:t>
      </w:r>
      <w:r w:rsidR="000E6EAC" w:rsidRPr="00192777">
        <w:rPr>
          <w:b/>
          <w:bCs/>
        </w:rPr>
        <w:t xml:space="preserve">consider </w:t>
      </w:r>
      <w:r w:rsidR="004F5574" w:rsidRPr="00192777">
        <w:rPr>
          <w:rFonts w:eastAsia="Times New Roman"/>
          <w:b/>
          <w:bCs/>
        </w:rPr>
        <w:t>extending</w:t>
      </w:r>
      <w:r w:rsidR="004F5574" w:rsidRPr="00192777">
        <w:t xml:space="preserve"> </w:t>
      </w:r>
      <w:r w:rsidR="00AA6D93" w:rsidRPr="00192777">
        <w:t xml:space="preserve">the mandate of </w:t>
      </w:r>
      <w:r w:rsidRPr="00192777">
        <w:t xml:space="preserve">the Group of Experts on drafting a new Legal Instrument on the </w:t>
      </w:r>
      <w:r w:rsidR="008F5AE9" w:rsidRPr="00192777">
        <w:t xml:space="preserve">use </w:t>
      </w:r>
      <w:r w:rsidRPr="00192777">
        <w:t xml:space="preserve">of Automated Vehicles in </w:t>
      </w:r>
      <w:r w:rsidR="00CA3734" w:rsidRPr="00192777">
        <w:t>t</w:t>
      </w:r>
      <w:r w:rsidRPr="00192777">
        <w:t>raffic (LIAV</w:t>
      </w:r>
      <w:r w:rsidR="00AA6D93" w:rsidRPr="00192777">
        <w:t xml:space="preserve">) </w:t>
      </w:r>
      <w:r w:rsidRPr="00192777">
        <w:t xml:space="preserve">for </w:t>
      </w:r>
      <w:r w:rsidR="00AA6D93" w:rsidRPr="00192777">
        <w:t xml:space="preserve">two </w:t>
      </w:r>
      <w:r w:rsidRPr="00192777">
        <w:t>additional years</w:t>
      </w:r>
      <w:r w:rsidR="005C53B8" w:rsidRPr="00192777">
        <w:t xml:space="preserve"> until </w:t>
      </w:r>
      <w:r w:rsidR="00B248BE" w:rsidRPr="00192777">
        <w:t>31 May 2025</w:t>
      </w:r>
      <w:r w:rsidR="00B26063" w:rsidRPr="00192777">
        <w:t>, as requested by</w:t>
      </w:r>
      <w:r w:rsidR="004F5574">
        <w:t xml:space="preserve"> the</w:t>
      </w:r>
      <w:r w:rsidR="00B26063" w:rsidRPr="00192777">
        <w:t xml:space="preserve"> </w:t>
      </w:r>
      <w:r w:rsidR="00B72922" w:rsidRPr="00B72922">
        <w:t>Global Forum for Road Traffic Safety</w:t>
      </w:r>
      <w:r w:rsidR="00B72922">
        <w:t xml:space="preserve"> (</w:t>
      </w:r>
      <w:r w:rsidR="00B26063" w:rsidRPr="00192777">
        <w:t>WP.</w:t>
      </w:r>
      <w:r w:rsidR="005F5F4A">
        <w:t>1)</w:t>
      </w:r>
      <w:r w:rsidR="00A62789">
        <w:t>.</w:t>
      </w:r>
    </w:p>
    <w:p w14:paraId="6BED1E0C" w14:textId="4E5CBB29" w:rsidR="00A62789" w:rsidRDefault="00F04969" w:rsidP="00972D2C">
      <w:pPr>
        <w:pStyle w:val="SingleTxtG"/>
        <w:keepNext/>
        <w:keepLines/>
        <w:rPr>
          <w:rFonts w:eastAsia="Times New Roman"/>
        </w:rPr>
      </w:pPr>
      <w:r w:rsidRPr="00192777">
        <w:rPr>
          <w:rFonts w:eastAsia="Times New Roman"/>
        </w:rPr>
        <w:t xml:space="preserve">The Committee is </w:t>
      </w:r>
      <w:r w:rsidR="009E1B9E" w:rsidRPr="00192777">
        <w:rPr>
          <w:rFonts w:eastAsia="Times New Roman"/>
          <w:b/>
          <w:bCs/>
        </w:rPr>
        <w:t>invited to</w:t>
      </w:r>
      <w:r w:rsidR="000E6EAC" w:rsidRPr="00192777">
        <w:rPr>
          <w:rFonts w:eastAsia="Times New Roman"/>
          <w:b/>
          <w:bCs/>
        </w:rPr>
        <w:t xml:space="preserve"> consider </w:t>
      </w:r>
      <w:r w:rsidR="00B72922" w:rsidRPr="00192777">
        <w:rPr>
          <w:rFonts w:eastAsia="Times New Roman"/>
          <w:b/>
          <w:bCs/>
        </w:rPr>
        <w:t>extending</w:t>
      </w:r>
      <w:r w:rsidR="009E1B9E" w:rsidRPr="00192777">
        <w:rPr>
          <w:rFonts w:eastAsia="Times New Roman"/>
        </w:rPr>
        <w:t xml:space="preserve"> the mandate of the Group of Experts on AETR until 30 June 2025</w:t>
      </w:r>
      <w:r w:rsidR="00B26063" w:rsidRPr="00192777">
        <w:rPr>
          <w:rFonts w:eastAsia="Times New Roman"/>
        </w:rPr>
        <w:t>, as requested by</w:t>
      </w:r>
      <w:r w:rsidR="004F5574">
        <w:rPr>
          <w:rFonts w:eastAsia="Times New Roman"/>
        </w:rPr>
        <w:t xml:space="preserve"> the</w:t>
      </w:r>
      <w:r w:rsidR="00B26063" w:rsidRPr="00192777">
        <w:rPr>
          <w:rFonts w:eastAsia="Times New Roman"/>
        </w:rPr>
        <w:t xml:space="preserve"> </w:t>
      </w:r>
      <w:r w:rsidR="00B72922" w:rsidRPr="00B72922">
        <w:rPr>
          <w:rFonts w:eastAsia="Times New Roman"/>
        </w:rPr>
        <w:t>Working Party on Road Transport (SC.1)</w:t>
      </w:r>
      <w:r w:rsidR="00A62789">
        <w:rPr>
          <w:rFonts w:eastAsia="Times New Roman"/>
        </w:rPr>
        <w:t>.</w:t>
      </w:r>
    </w:p>
    <w:p w14:paraId="2A22731A" w14:textId="0246A9CF" w:rsidR="005B22BB" w:rsidRPr="00192777" w:rsidRDefault="005B22BB" w:rsidP="00972D2C">
      <w:pPr>
        <w:pStyle w:val="SingleTxtG"/>
        <w:keepNext/>
        <w:keepLines/>
        <w:rPr>
          <w:b/>
        </w:rPr>
      </w:pPr>
      <w:r w:rsidRPr="00192777">
        <w:rPr>
          <w:b/>
        </w:rPr>
        <w:t>Documentation</w:t>
      </w:r>
    </w:p>
    <w:p w14:paraId="6025EDD8" w14:textId="1226604F" w:rsidR="005B22BB" w:rsidRPr="00192777" w:rsidRDefault="005B22BB" w:rsidP="00972D2C">
      <w:pPr>
        <w:pStyle w:val="SingleTxtG"/>
        <w:keepNext/>
        <w:keepLines/>
        <w:rPr>
          <w:rFonts w:eastAsia="Times New Roman"/>
        </w:rPr>
      </w:pPr>
      <w:r w:rsidRPr="00192777">
        <w:t>ECE/TRANS/2023/</w:t>
      </w:r>
      <w:r w:rsidR="00BB33B2" w:rsidRPr="00192777">
        <w:t>9</w:t>
      </w:r>
    </w:p>
    <w:p w14:paraId="0714790E" w14:textId="0D484A6F" w:rsidR="00777D43" w:rsidRPr="00192777" w:rsidRDefault="00777D43" w:rsidP="006B6259">
      <w:pPr>
        <w:spacing w:after="120"/>
        <w:ind w:right="1134" w:firstLine="567"/>
        <w:jc w:val="both"/>
        <w:rPr>
          <w:b/>
          <w:bCs/>
        </w:rPr>
      </w:pPr>
      <w:r w:rsidRPr="00192777">
        <w:rPr>
          <w:b/>
          <w:bCs/>
        </w:rPr>
        <w:t>(b)</w:t>
      </w:r>
      <w:r w:rsidRPr="00192777">
        <w:rPr>
          <w:b/>
          <w:bCs/>
        </w:rPr>
        <w:tab/>
        <w:t xml:space="preserve">Results of the </w:t>
      </w:r>
      <w:r w:rsidR="00EF19E3" w:rsidRPr="00192777">
        <w:rPr>
          <w:b/>
          <w:bCs/>
        </w:rPr>
        <w:t>M</w:t>
      </w:r>
      <w:r w:rsidR="00547B9C" w:rsidRPr="00192777">
        <w:rPr>
          <w:b/>
          <w:bCs/>
        </w:rPr>
        <w:t xml:space="preserve">eetings </w:t>
      </w:r>
      <w:r w:rsidRPr="00192777">
        <w:rPr>
          <w:b/>
          <w:bCs/>
        </w:rPr>
        <w:t>of the Bureau of the Inland Transport Committee</w:t>
      </w:r>
    </w:p>
    <w:p w14:paraId="3000FAD2" w14:textId="05E2D2A1" w:rsidR="005B66D0" w:rsidRPr="00192777" w:rsidRDefault="005B66D0" w:rsidP="005B66D0">
      <w:pPr>
        <w:pStyle w:val="SingleTxtG"/>
      </w:pPr>
      <w:r w:rsidRPr="00192777">
        <w:t xml:space="preserve">The Committee will </w:t>
      </w:r>
      <w:r w:rsidRPr="00192777">
        <w:rPr>
          <w:b/>
        </w:rPr>
        <w:t>consider</w:t>
      </w:r>
      <w:r w:rsidRPr="00192777">
        <w:t xml:space="preserve"> document ECE/TRANS/202</w:t>
      </w:r>
      <w:r w:rsidR="009D43C9" w:rsidRPr="00192777">
        <w:t>3</w:t>
      </w:r>
      <w:r w:rsidRPr="00192777">
        <w:t>/</w:t>
      </w:r>
      <w:r w:rsidR="009D43C9" w:rsidRPr="00192777">
        <w:t>10</w:t>
      </w:r>
      <w:r w:rsidRPr="00192777">
        <w:t xml:space="preserve">, containing the results of the </w:t>
      </w:r>
      <w:r w:rsidRPr="00192777">
        <w:rPr>
          <w:rFonts w:eastAsia="Times New Roman"/>
        </w:rPr>
        <w:t>meetings</w:t>
      </w:r>
      <w:r w:rsidRPr="00192777">
        <w:t xml:space="preserve"> held by the ITC Bureau in 202</w:t>
      </w:r>
      <w:r w:rsidR="0057214B" w:rsidRPr="00192777">
        <w:t>2</w:t>
      </w:r>
      <w:r w:rsidRPr="00192777">
        <w:t>. The Committee may wish to refer to the decisions of the Bureau under the relevant items of its agenda.</w:t>
      </w:r>
    </w:p>
    <w:p w14:paraId="30A308A1" w14:textId="77777777" w:rsidR="005B66D0" w:rsidRPr="00192777" w:rsidRDefault="005B66D0" w:rsidP="005B66D0">
      <w:pPr>
        <w:pStyle w:val="SingleTxtG"/>
        <w:rPr>
          <w:b/>
        </w:rPr>
      </w:pPr>
      <w:r w:rsidRPr="00192777">
        <w:rPr>
          <w:b/>
        </w:rPr>
        <w:t>Documentation</w:t>
      </w:r>
    </w:p>
    <w:p w14:paraId="45B9C97B" w14:textId="3714FCC5" w:rsidR="006B6259" w:rsidRPr="00192777" w:rsidRDefault="005B66D0" w:rsidP="00972D2C">
      <w:pPr>
        <w:pStyle w:val="SingleTxtG"/>
      </w:pPr>
      <w:r w:rsidRPr="00192777">
        <w:t>ECE/TRANS/2023/10</w:t>
      </w:r>
    </w:p>
    <w:p w14:paraId="3774C4A3" w14:textId="31087C27" w:rsidR="00777D43" w:rsidRPr="00192777" w:rsidRDefault="00C472F7" w:rsidP="00972D2C">
      <w:pPr>
        <w:pStyle w:val="H1G"/>
      </w:pPr>
      <w:r w:rsidRPr="00192777">
        <w:tab/>
      </w:r>
      <w:r w:rsidR="00777D43" w:rsidRPr="00192777">
        <w:t>6.</w:t>
      </w:r>
      <w:r w:rsidR="00777D43" w:rsidRPr="00192777">
        <w:tab/>
        <w:t xml:space="preserve">Programmatic </w:t>
      </w:r>
      <w:r w:rsidR="00EF19E3" w:rsidRPr="00192777">
        <w:t>Issues</w:t>
      </w:r>
    </w:p>
    <w:p w14:paraId="15A874AE" w14:textId="5CFC503E" w:rsidR="00777D43" w:rsidRPr="00192777" w:rsidRDefault="00A91070" w:rsidP="00A91070">
      <w:pPr>
        <w:pStyle w:val="H23G"/>
      </w:pPr>
      <w:r w:rsidRPr="00192777">
        <w:tab/>
      </w:r>
      <w:r w:rsidR="00777D43" w:rsidRPr="00192777">
        <w:t>(a)</w:t>
      </w:r>
      <w:r w:rsidR="00777D43" w:rsidRPr="00192777">
        <w:tab/>
        <w:t xml:space="preserve">Programme of Work for 2023 and </w:t>
      </w:r>
      <w:r w:rsidR="00EF19E3" w:rsidRPr="00192777">
        <w:t xml:space="preserve">Recommendations </w:t>
      </w:r>
      <w:r w:rsidR="00777D43" w:rsidRPr="00192777">
        <w:t xml:space="preserve">on </w:t>
      </w:r>
      <w:r w:rsidR="00EF19E3" w:rsidRPr="00192777">
        <w:t xml:space="preserve">Key Components </w:t>
      </w:r>
      <w:r w:rsidR="00777D43" w:rsidRPr="00192777">
        <w:t>of the Programme of Work for 2025</w:t>
      </w:r>
    </w:p>
    <w:p w14:paraId="0DA54800" w14:textId="2C49A916" w:rsidR="00175651" w:rsidRPr="00192777" w:rsidRDefault="00900E3F" w:rsidP="00972D2C">
      <w:pPr>
        <w:pStyle w:val="SingleTxtG"/>
        <w:rPr>
          <w:lang w:eastAsia="en-US"/>
        </w:rPr>
      </w:pPr>
      <w:r w:rsidRPr="00192777">
        <w:t>The</w:t>
      </w:r>
      <w:r w:rsidR="006A2A93" w:rsidRPr="00192777">
        <w:t xml:space="preserve"> draft programme of work </w:t>
      </w:r>
      <w:r w:rsidR="00175651" w:rsidRPr="00192777">
        <w:t xml:space="preserve">for 2023 is based on the programme plan of the subprogramme for 2023 which was adopted by </w:t>
      </w:r>
      <w:r w:rsidR="00B72922">
        <w:t>the seventy-seventh</w:t>
      </w:r>
      <w:r w:rsidR="00964474" w:rsidRPr="00192777">
        <w:t xml:space="preserve"> </w:t>
      </w:r>
      <w:r w:rsidR="00175651" w:rsidRPr="00192777">
        <w:t xml:space="preserve">session of the </w:t>
      </w:r>
      <w:r w:rsidR="00B72922">
        <w:t>United Nations</w:t>
      </w:r>
      <w:r w:rsidR="00B72922" w:rsidRPr="00192777">
        <w:t xml:space="preserve"> </w:t>
      </w:r>
      <w:r w:rsidR="00175651" w:rsidRPr="00192777">
        <w:t>General Assembly in December 202</w:t>
      </w:r>
      <w:r w:rsidR="00964474" w:rsidRPr="00192777">
        <w:t>2</w:t>
      </w:r>
      <w:r w:rsidR="00175651" w:rsidRPr="00192777">
        <w:t xml:space="preserve"> as part of the ECE proposed programme budget for 202</w:t>
      </w:r>
      <w:r w:rsidR="00964474" w:rsidRPr="00192777">
        <w:t>3</w:t>
      </w:r>
      <w:r w:rsidR="00175651" w:rsidRPr="00192777">
        <w:t xml:space="preserve">. </w:t>
      </w:r>
      <w:r w:rsidR="00175651" w:rsidRPr="00192777">
        <w:rPr>
          <w:lang w:eastAsia="en-US"/>
        </w:rPr>
        <w:t xml:space="preserve">The Committee is </w:t>
      </w:r>
      <w:r w:rsidR="00175651" w:rsidRPr="00192777">
        <w:rPr>
          <w:b/>
          <w:bCs/>
          <w:lang w:eastAsia="en-US"/>
        </w:rPr>
        <w:t xml:space="preserve">invited to </w:t>
      </w:r>
      <w:r w:rsidR="00057D86" w:rsidRPr="00192777">
        <w:rPr>
          <w:b/>
          <w:bCs/>
          <w:lang w:eastAsia="en-US"/>
        </w:rPr>
        <w:t xml:space="preserve">consider and </w:t>
      </w:r>
      <w:r w:rsidR="00175651" w:rsidRPr="00192777">
        <w:rPr>
          <w:b/>
          <w:bCs/>
          <w:lang w:eastAsia="en-US"/>
        </w:rPr>
        <w:t>adopt</w:t>
      </w:r>
      <w:r w:rsidR="00175651" w:rsidRPr="00192777">
        <w:rPr>
          <w:lang w:eastAsia="en-US"/>
        </w:rPr>
        <w:t xml:space="preserve"> the draft </w:t>
      </w:r>
      <w:r w:rsidRPr="00192777">
        <w:rPr>
          <w:lang w:eastAsia="en-US"/>
        </w:rPr>
        <w:t xml:space="preserve">programme of work </w:t>
      </w:r>
      <w:r w:rsidR="00175651" w:rsidRPr="00192777">
        <w:rPr>
          <w:lang w:eastAsia="en-US"/>
        </w:rPr>
        <w:t>of the Transport subprogramme for 202</w:t>
      </w:r>
      <w:r w:rsidR="00964474" w:rsidRPr="00192777">
        <w:rPr>
          <w:lang w:eastAsia="en-US"/>
        </w:rPr>
        <w:t>3</w:t>
      </w:r>
      <w:r w:rsidR="00175651" w:rsidRPr="00192777">
        <w:rPr>
          <w:lang w:eastAsia="en-US"/>
        </w:rPr>
        <w:t xml:space="preserve"> (ECE/TRANS/202</w:t>
      </w:r>
      <w:r w:rsidR="00964474" w:rsidRPr="00192777">
        <w:rPr>
          <w:lang w:eastAsia="en-US"/>
        </w:rPr>
        <w:t>3</w:t>
      </w:r>
      <w:r w:rsidR="00175651" w:rsidRPr="00192777">
        <w:rPr>
          <w:lang w:eastAsia="en-US"/>
        </w:rPr>
        <w:t>/</w:t>
      </w:r>
      <w:r w:rsidR="00964474" w:rsidRPr="00192777">
        <w:rPr>
          <w:lang w:eastAsia="en-US"/>
        </w:rPr>
        <w:t>11</w:t>
      </w:r>
      <w:r w:rsidR="00175651" w:rsidRPr="00192777">
        <w:rPr>
          <w:lang w:eastAsia="en-US"/>
        </w:rPr>
        <w:t xml:space="preserve">) and </w:t>
      </w:r>
      <w:r w:rsidR="00175651" w:rsidRPr="00192777">
        <w:rPr>
          <w:b/>
          <w:bCs/>
          <w:lang w:eastAsia="en-US"/>
        </w:rPr>
        <w:t>recommend</w:t>
      </w:r>
      <w:r w:rsidR="00175651" w:rsidRPr="00192777">
        <w:rPr>
          <w:lang w:eastAsia="en-US"/>
        </w:rPr>
        <w:t xml:space="preserve"> it to the Executive Committee for approval. </w:t>
      </w:r>
    </w:p>
    <w:p w14:paraId="18C7D423" w14:textId="530204F1" w:rsidR="00175651" w:rsidRPr="00192777" w:rsidRDefault="00175651" w:rsidP="00972D2C">
      <w:pPr>
        <w:pStyle w:val="SingleTxtG"/>
        <w:rPr>
          <w:lang w:eastAsia="en-US"/>
        </w:rPr>
      </w:pPr>
      <w:r w:rsidRPr="00192777">
        <w:rPr>
          <w:lang w:eastAsia="en-US"/>
        </w:rPr>
        <w:t xml:space="preserve">The Committee is also </w:t>
      </w:r>
      <w:r w:rsidRPr="00192777">
        <w:rPr>
          <w:b/>
          <w:bCs/>
          <w:lang w:eastAsia="en-US"/>
        </w:rPr>
        <w:t>invited to consider</w:t>
      </w:r>
      <w:r w:rsidRPr="00192777">
        <w:rPr>
          <w:lang w:eastAsia="en-US"/>
        </w:rPr>
        <w:t xml:space="preserve"> the “Outline of key components of the programme of work for 202</w:t>
      </w:r>
      <w:r w:rsidR="00342CE3" w:rsidRPr="00192777">
        <w:rPr>
          <w:lang w:eastAsia="en-US"/>
        </w:rPr>
        <w:t>5</w:t>
      </w:r>
      <w:r w:rsidRPr="00192777">
        <w:rPr>
          <w:lang w:eastAsia="en-US"/>
        </w:rPr>
        <w:t>” (Informal document No. 1), and provide recommendations on these components, as necessary.</w:t>
      </w:r>
      <w:r w:rsidRPr="00192777">
        <w:t xml:space="preserve"> </w:t>
      </w:r>
      <w:r w:rsidRPr="00192777">
        <w:rPr>
          <w:lang w:eastAsia="en-US"/>
        </w:rPr>
        <w:t>Those recommendations agreed by the Committee and included in its decisions will be reflected in the proposed programme plan of the Transport subprogramme for 202</w:t>
      </w:r>
      <w:r w:rsidR="00342CE3" w:rsidRPr="00192777">
        <w:rPr>
          <w:lang w:eastAsia="en-US"/>
        </w:rPr>
        <w:t>5</w:t>
      </w:r>
      <w:r w:rsidRPr="00192777">
        <w:rPr>
          <w:lang w:eastAsia="en-US"/>
        </w:rPr>
        <w:t>.</w:t>
      </w:r>
    </w:p>
    <w:p w14:paraId="4521F5AB" w14:textId="77777777" w:rsidR="00175651" w:rsidRPr="00B9125D" w:rsidRDefault="00175651" w:rsidP="00175651">
      <w:pPr>
        <w:spacing w:after="120"/>
        <w:ind w:left="1134" w:right="1134"/>
        <w:jc w:val="both"/>
        <w:rPr>
          <w:rFonts w:eastAsia="Times New Roman"/>
          <w:b/>
          <w:lang w:val="fr-CH" w:eastAsia="en-US"/>
        </w:rPr>
      </w:pPr>
      <w:r w:rsidRPr="00B9125D">
        <w:rPr>
          <w:rFonts w:eastAsia="Times New Roman"/>
          <w:b/>
          <w:lang w:val="fr-CH" w:eastAsia="en-US"/>
        </w:rPr>
        <w:t>Documentation</w:t>
      </w:r>
    </w:p>
    <w:p w14:paraId="32003B57" w14:textId="6940A667" w:rsidR="001B1AB8" w:rsidRPr="00B9125D" w:rsidRDefault="00175651" w:rsidP="00972D2C">
      <w:pPr>
        <w:pStyle w:val="SingleTxtG"/>
        <w:rPr>
          <w:lang w:val="fr-CH"/>
        </w:rPr>
      </w:pPr>
      <w:r w:rsidRPr="00B9125D">
        <w:rPr>
          <w:lang w:val="fr-CH" w:eastAsia="en-US"/>
        </w:rPr>
        <w:t>ECE/TRANS/202</w:t>
      </w:r>
      <w:r w:rsidR="00342CE3" w:rsidRPr="00B9125D">
        <w:rPr>
          <w:lang w:val="fr-CH" w:eastAsia="en-US"/>
        </w:rPr>
        <w:t>3</w:t>
      </w:r>
      <w:r w:rsidRPr="00B9125D">
        <w:rPr>
          <w:lang w:val="fr-CH" w:eastAsia="en-US"/>
        </w:rPr>
        <w:t>/</w:t>
      </w:r>
      <w:r w:rsidR="00E41C6E" w:rsidRPr="00B9125D">
        <w:rPr>
          <w:lang w:val="fr-CH" w:eastAsia="en-US"/>
        </w:rPr>
        <w:t>11</w:t>
      </w:r>
      <w:r w:rsidRPr="00B9125D">
        <w:rPr>
          <w:lang w:val="fr-CH" w:eastAsia="en-US"/>
        </w:rPr>
        <w:t>, Informal document No. 1</w:t>
      </w:r>
    </w:p>
    <w:p w14:paraId="7A90E8BC" w14:textId="75CB33CD" w:rsidR="00777D43" w:rsidRPr="00192777" w:rsidRDefault="00A91070" w:rsidP="00A91070">
      <w:pPr>
        <w:pStyle w:val="H23G"/>
      </w:pPr>
      <w:r w:rsidRPr="00B9125D">
        <w:rPr>
          <w:lang w:val="fr-CH"/>
        </w:rPr>
        <w:lastRenderedPageBreak/>
        <w:tab/>
      </w:r>
      <w:r w:rsidR="00777D43" w:rsidRPr="00192777">
        <w:t>(b)</w:t>
      </w:r>
      <w:r w:rsidR="00777D43" w:rsidRPr="00192777">
        <w:tab/>
        <w:t>Programme Plan for 2024</w:t>
      </w:r>
    </w:p>
    <w:p w14:paraId="27C744DF" w14:textId="6E46AE58" w:rsidR="00BC2F4C" w:rsidRPr="00192777" w:rsidRDefault="00BC2F4C" w:rsidP="00972D2C">
      <w:pPr>
        <w:pStyle w:val="SingleTxtG"/>
        <w:rPr>
          <w:lang w:eastAsia="en-US"/>
        </w:rPr>
      </w:pPr>
      <w:r w:rsidRPr="00192777">
        <w:rPr>
          <w:lang w:eastAsia="en-US"/>
        </w:rPr>
        <w:t xml:space="preserve">The Committee is invited to </w:t>
      </w:r>
      <w:r w:rsidRPr="00192777">
        <w:rPr>
          <w:b/>
          <w:bCs/>
          <w:lang w:eastAsia="en-US"/>
        </w:rPr>
        <w:t>review and comment</w:t>
      </w:r>
      <w:r w:rsidRPr="00192777">
        <w:rPr>
          <w:lang w:eastAsia="en-US"/>
        </w:rPr>
        <w:t xml:space="preserve"> on the draft Programme Plan for 2024 for the Transport subprogramme (ECE/TRANS/2023/12), as necessary.</w:t>
      </w:r>
    </w:p>
    <w:p w14:paraId="22A9F675" w14:textId="77777777" w:rsidR="00BC2F4C" w:rsidRPr="00192777" w:rsidRDefault="00BC2F4C" w:rsidP="00BC2F4C">
      <w:pPr>
        <w:spacing w:after="120"/>
        <w:ind w:left="1134" w:right="1134"/>
        <w:jc w:val="both"/>
        <w:rPr>
          <w:rFonts w:eastAsia="Times New Roman"/>
          <w:lang w:eastAsia="en-US"/>
        </w:rPr>
      </w:pPr>
      <w:r w:rsidRPr="00192777">
        <w:rPr>
          <w:rFonts w:eastAsia="Times New Roman"/>
          <w:b/>
          <w:lang w:eastAsia="en-US"/>
        </w:rPr>
        <w:t>Documentation</w:t>
      </w:r>
      <w:r w:rsidRPr="00192777">
        <w:rPr>
          <w:rFonts w:eastAsia="Times New Roman"/>
          <w:lang w:eastAsia="en-US"/>
        </w:rPr>
        <w:t xml:space="preserve"> </w:t>
      </w:r>
    </w:p>
    <w:p w14:paraId="3BAA4B78" w14:textId="35A15156" w:rsidR="001B1AB8" w:rsidRPr="00192777" w:rsidRDefault="00BC2F4C" w:rsidP="00972D2C">
      <w:pPr>
        <w:pStyle w:val="SingleTxtG"/>
      </w:pPr>
      <w:r w:rsidRPr="00192777">
        <w:rPr>
          <w:lang w:eastAsia="en-US"/>
        </w:rPr>
        <w:t>ECE/TRANS/2023/12</w:t>
      </w:r>
    </w:p>
    <w:p w14:paraId="243D76F9" w14:textId="416D8455" w:rsidR="00777D43" w:rsidRPr="00192777" w:rsidRDefault="00946ED4" w:rsidP="00A91070">
      <w:pPr>
        <w:pStyle w:val="H23G"/>
      </w:pPr>
      <w:r w:rsidRPr="00192777">
        <w:tab/>
      </w:r>
      <w:r w:rsidR="00777D43" w:rsidRPr="00192777">
        <w:t>(c)</w:t>
      </w:r>
      <w:r w:rsidR="00777D43" w:rsidRPr="00192777">
        <w:tab/>
        <w:t>List of Publications for 2024</w:t>
      </w:r>
    </w:p>
    <w:p w14:paraId="3650AD6B" w14:textId="168FF506" w:rsidR="00B03316" w:rsidRPr="00192777" w:rsidRDefault="00B03316" w:rsidP="00972D2C">
      <w:pPr>
        <w:pStyle w:val="SingleTxtG"/>
        <w:rPr>
          <w:lang w:eastAsia="en-US"/>
        </w:rPr>
      </w:pPr>
      <w:r w:rsidRPr="00192777">
        <w:rPr>
          <w:lang w:eastAsia="en-US"/>
        </w:rPr>
        <w:t xml:space="preserve">The secretariat will </w:t>
      </w:r>
      <w:r w:rsidRPr="00192777">
        <w:rPr>
          <w:b/>
          <w:bCs/>
          <w:lang w:eastAsia="en-US"/>
        </w:rPr>
        <w:t>inform</w:t>
      </w:r>
      <w:r w:rsidRPr="00192777">
        <w:rPr>
          <w:lang w:eastAsia="en-US"/>
        </w:rPr>
        <w:t xml:space="preserve"> the Committee about the publications programme for 2024. The Committee is </w:t>
      </w:r>
      <w:r w:rsidRPr="00192777">
        <w:rPr>
          <w:b/>
          <w:bCs/>
          <w:lang w:eastAsia="en-US"/>
        </w:rPr>
        <w:t>invited to consider, support and endorse</w:t>
      </w:r>
      <w:r w:rsidRPr="00192777">
        <w:rPr>
          <w:lang w:eastAsia="en-US"/>
        </w:rPr>
        <w:t xml:space="preserve"> the list of publications contained in ECE/TRANS/2023/13.</w:t>
      </w:r>
    </w:p>
    <w:p w14:paraId="5019AD19" w14:textId="77777777" w:rsidR="00B03316" w:rsidRPr="00192777" w:rsidRDefault="00B03316" w:rsidP="00972D2C">
      <w:pPr>
        <w:pStyle w:val="SingleTxtG"/>
        <w:rPr>
          <w:lang w:eastAsia="en-US"/>
        </w:rPr>
      </w:pPr>
      <w:r w:rsidRPr="00192777">
        <w:rPr>
          <w:lang w:eastAsia="en-US"/>
        </w:rPr>
        <w:t xml:space="preserve">The Committee may wish to </w:t>
      </w:r>
      <w:r w:rsidRPr="00192777">
        <w:rPr>
          <w:b/>
          <w:bCs/>
          <w:lang w:eastAsia="en-US"/>
        </w:rPr>
        <w:t>recommend</w:t>
      </w:r>
      <w:r w:rsidRPr="00192777">
        <w:rPr>
          <w:lang w:eastAsia="en-US"/>
        </w:rPr>
        <w:t xml:space="preserve"> that the relevant Working Parties take part in the preparation of these publications, if appropriate.</w:t>
      </w:r>
    </w:p>
    <w:p w14:paraId="04128003" w14:textId="77777777" w:rsidR="00B03316" w:rsidRPr="00192777" w:rsidRDefault="00B03316" w:rsidP="00B03316">
      <w:pPr>
        <w:spacing w:after="120"/>
        <w:ind w:left="1134" w:right="1134"/>
        <w:jc w:val="both"/>
        <w:rPr>
          <w:rFonts w:eastAsia="Times New Roman"/>
          <w:lang w:eastAsia="en-US"/>
        </w:rPr>
      </w:pPr>
      <w:r w:rsidRPr="00192777">
        <w:rPr>
          <w:rFonts w:eastAsia="Times New Roman"/>
          <w:b/>
          <w:bCs/>
          <w:lang w:eastAsia="en-US"/>
        </w:rPr>
        <w:t>Documentation</w:t>
      </w:r>
      <w:r w:rsidRPr="00192777">
        <w:rPr>
          <w:rFonts w:eastAsia="Times New Roman"/>
          <w:lang w:eastAsia="en-US"/>
        </w:rPr>
        <w:t xml:space="preserve"> </w:t>
      </w:r>
    </w:p>
    <w:p w14:paraId="0F72FE77" w14:textId="615AD637" w:rsidR="001B1AB8" w:rsidRPr="00192777" w:rsidRDefault="00B03316" w:rsidP="00972D2C">
      <w:pPr>
        <w:pStyle w:val="SingleTxtG"/>
      </w:pPr>
      <w:r w:rsidRPr="00192777">
        <w:rPr>
          <w:lang w:eastAsia="en-US"/>
        </w:rPr>
        <w:t>ECE/TRANS/202</w:t>
      </w:r>
      <w:r w:rsidR="00CD4BA4" w:rsidRPr="00192777">
        <w:rPr>
          <w:lang w:eastAsia="en-US"/>
        </w:rPr>
        <w:t>3</w:t>
      </w:r>
      <w:r w:rsidRPr="00192777">
        <w:rPr>
          <w:lang w:eastAsia="en-US"/>
        </w:rPr>
        <w:t>/13</w:t>
      </w:r>
    </w:p>
    <w:p w14:paraId="6509FFE7" w14:textId="5F2608E9" w:rsidR="00777D43" w:rsidRPr="00192777" w:rsidRDefault="00946ED4" w:rsidP="00A91070">
      <w:pPr>
        <w:pStyle w:val="H23G"/>
      </w:pPr>
      <w:r w:rsidRPr="00192777">
        <w:tab/>
      </w:r>
      <w:r w:rsidR="00777D43" w:rsidRPr="00192777">
        <w:t>(d)</w:t>
      </w:r>
      <w:r w:rsidR="00777D43" w:rsidRPr="00192777">
        <w:tab/>
        <w:t xml:space="preserve">Schedule of </w:t>
      </w:r>
      <w:r w:rsidR="00900E3F" w:rsidRPr="00192777">
        <w:t>Meetings</w:t>
      </w:r>
      <w:r w:rsidR="00777D43" w:rsidRPr="00192777">
        <w:t xml:space="preserve"> in 2023</w:t>
      </w:r>
    </w:p>
    <w:p w14:paraId="5DF3CFC1" w14:textId="32FE2716" w:rsidR="003E7A02" w:rsidRPr="00192777" w:rsidRDefault="003E7A02" w:rsidP="00972D2C">
      <w:pPr>
        <w:pStyle w:val="SingleTxtG"/>
        <w:rPr>
          <w:lang w:eastAsia="en-US"/>
        </w:rPr>
      </w:pPr>
      <w:r w:rsidRPr="00192777">
        <w:rPr>
          <w:lang w:eastAsia="en-US"/>
        </w:rPr>
        <w:t xml:space="preserve">A preliminary list of meetings has been circulated for </w:t>
      </w:r>
      <w:r w:rsidRPr="00192777">
        <w:rPr>
          <w:b/>
          <w:bCs/>
          <w:lang w:eastAsia="en-US"/>
        </w:rPr>
        <w:t>consideration</w:t>
      </w:r>
      <w:r w:rsidRPr="00192777">
        <w:rPr>
          <w:lang w:eastAsia="en-US"/>
        </w:rPr>
        <w:t xml:space="preserve"> and </w:t>
      </w:r>
      <w:r w:rsidRPr="00192777">
        <w:rPr>
          <w:b/>
          <w:bCs/>
          <w:lang w:eastAsia="en-US"/>
        </w:rPr>
        <w:t>adoption</w:t>
      </w:r>
      <w:r w:rsidRPr="00192777">
        <w:rPr>
          <w:lang w:eastAsia="en-US"/>
        </w:rPr>
        <w:t xml:space="preserve"> by the Committee, based on proposals from the Committee’s subsidiary bodies (ECE/TRANS/2023/1</w:t>
      </w:r>
      <w:r w:rsidR="00CD4BA4" w:rsidRPr="00192777">
        <w:rPr>
          <w:lang w:eastAsia="en-US"/>
        </w:rPr>
        <w:t>4</w:t>
      </w:r>
      <w:r w:rsidRPr="00192777">
        <w:rPr>
          <w:lang w:eastAsia="en-US"/>
        </w:rPr>
        <w:t>).</w:t>
      </w:r>
    </w:p>
    <w:p w14:paraId="6D7612A7" w14:textId="77777777" w:rsidR="003E7A02" w:rsidRPr="00192777" w:rsidRDefault="003E7A02" w:rsidP="003E7A02">
      <w:pPr>
        <w:spacing w:after="120"/>
        <w:ind w:left="1134" w:right="1134"/>
        <w:jc w:val="both"/>
        <w:rPr>
          <w:rFonts w:eastAsia="Times New Roman"/>
          <w:b/>
          <w:bCs/>
          <w:lang w:eastAsia="en-US"/>
        </w:rPr>
      </w:pPr>
      <w:r w:rsidRPr="00192777">
        <w:rPr>
          <w:rFonts w:eastAsia="Times New Roman"/>
          <w:b/>
          <w:bCs/>
          <w:lang w:eastAsia="en-US"/>
        </w:rPr>
        <w:t>Documentation</w:t>
      </w:r>
    </w:p>
    <w:p w14:paraId="5B9A6F83" w14:textId="0779E66B" w:rsidR="001B1AB8" w:rsidRPr="00192777" w:rsidRDefault="003E7A02" w:rsidP="00972D2C">
      <w:pPr>
        <w:pStyle w:val="SingleTxtG"/>
      </w:pPr>
      <w:r w:rsidRPr="00192777">
        <w:rPr>
          <w:lang w:eastAsia="en-US"/>
        </w:rPr>
        <w:t>ECE/TRANS/202</w:t>
      </w:r>
      <w:r w:rsidR="00CD4BA4" w:rsidRPr="00192777">
        <w:rPr>
          <w:lang w:eastAsia="en-US"/>
        </w:rPr>
        <w:t>3</w:t>
      </w:r>
      <w:r w:rsidRPr="00192777">
        <w:rPr>
          <w:lang w:eastAsia="en-US"/>
        </w:rPr>
        <w:t>/1</w:t>
      </w:r>
      <w:r w:rsidR="00CD4BA4" w:rsidRPr="00192777">
        <w:rPr>
          <w:lang w:eastAsia="en-US"/>
        </w:rPr>
        <w:t>4</w:t>
      </w:r>
    </w:p>
    <w:p w14:paraId="4BAB2BC4" w14:textId="77777777" w:rsidR="00777D43" w:rsidRPr="00192777" w:rsidRDefault="00777D43" w:rsidP="00777D43">
      <w:pPr>
        <w:pStyle w:val="HChG"/>
      </w:pPr>
      <w:r w:rsidRPr="00192777">
        <w:tab/>
        <w:t>IV.</w:t>
      </w:r>
      <w:r w:rsidRPr="00192777">
        <w:tab/>
        <w:t xml:space="preserve">Strategic Transport Policy and Regulatory Issues </w:t>
      </w:r>
    </w:p>
    <w:p w14:paraId="00BAD8CC" w14:textId="0AB637D1" w:rsidR="00777D43" w:rsidRPr="00192777" w:rsidRDefault="00CD4BA4" w:rsidP="00F348C6">
      <w:pPr>
        <w:pStyle w:val="H1G"/>
      </w:pPr>
      <w:r w:rsidRPr="00192777">
        <w:tab/>
      </w:r>
      <w:r w:rsidR="00777D43" w:rsidRPr="00192777">
        <w:t>7.</w:t>
      </w:r>
      <w:r w:rsidR="00777D43" w:rsidRPr="00192777">
        <w:tab/>
        <w:t xml:space="preserve">Strategic </w:t>
      </w:r>
      <w:r w:rsidR="00900E3F" w:rsidRPr="00192777">
        <w:t xml:space="preserve">Questions </w:t>
      </w:r>
      <w:r w:rsidR="00777D43" w:rsidRPr="00192777">
        <w:t xml:space="preserve">of a </w:t>
      </w:r>
      <w:r w:rsidR="00900E3F" w:rsidRPr="00192777">
        <w:t>Horizontal</w:t>
      </w:r>
      <w:r w:rsidR="00777D43" w:rsidRPr="00192777">
        <w:t xml:space="preserve"> and </w:t>
      </w:r>
      <w:r w:rsidR="00900E3F" w:rsidRPr="00192777">
        <w:t xml:space="preserve">Cross-Sectoral Policy </w:t>
      </w:r>
      <w:r w:rsidR="00777D43" w:rsidRPr="00192777">
        <w:t xml:space="preserve">or </w:t>
      </w:r>
      <w:r w:rsidR="00900E3F" w:rsidRPr="00192777">
        <w:t>Regulatory Nature</w:t>
      </w:r>
    </w:p>
    <w:p w14:paraId="1B1BAE61" w14:textId="1EE586E7" w:rsidR="00777D43" w:rsidRPr="00192777" w:rsidRDefault="00946ED4" w:rsidP="00A91070">
      <w:pPr>
        <w:pStyle w:val="H23G"/>
      </w:pPr>
      <w:r w:rsidRPr="00192777">
        <w:tab/>
      </w:r>
      <w:r w:rsidR="00777D43" w:rsidRPr="00192777">
        <w:t>(a)</w:t>
      </w:r>
      <w:r w:rsidR="00777D43" w:rsidRPr="00192777">
        <w:tab/>
        <w:t xml:space="preserve">Status of </w:t>
      </w:r>
      <w:r w:rsidR="00900E3F" w:rsidRPr="00192777">
        <w:t>Accession</w:t>
      </w:r>
      <w:r w:rsidR="00777D43" w:rsidRPr="00192777">
        <w:t xml:space="preserve"> to </w:t>
      </w:r>
      <w:r w:rsidR="00900E3F" w:rsidRPr="00192777">
        <w:t xml:space="preserve">International </w:t>
      </w:r>
      <w:r w:rsidR="00777D43" w:rsidRPr="00192777">
        <w:t xml:space="preserve">United Nations </w:t>
      </w:r>
      <w:r w:rsidR="00900E3F" w:rsidRPr="00192777">
        <w:t xml:space="preserve">Inland Transport Conventions </w:t>
      </w:r>
      <w:r w:rsidR="00777D43" w:rsidRPr="00192777">
        <w:t xml:space="preserve">and </w:t>
      </w:r>
      <w:r w:rsidR="00900E3F" w:rsidRPr="00192777">
        <w:t>Agreements</w:t>
      </w:r>
    </w:p>
    <w:p w14:paraId="6FE9FAF9" w14:textId="20E88DAE" w:rsidR="00BD5831" w:rsidRPr="00192777" w:rsidRDefault="00BD5831" w:rsidP="00972D2C">
      <w:pPr>
        <w:pStyle w:val="SingleTxtG"/>
      </w:pPr>
      <w:bookmarkStart w:id="4" w:name="_Hlk23071953"/>
      <w:r w:rsidRPr="00192777">
        <w:t xml:space="preserve">The Committee, in performing its role as the United Nations platform for sustainable inland transport, may wish </w:t>
      </w:r>
      <w:r w:rsidRPr="00192777">
        <w:rPr>
          <w:b/>
          <w:bCs/>
        </w:rPr>
        <w:t>to discuss</w:t>
      </w:r>
      <w:r w:rsidRPr="00192777">
        <w:t xml:space="preserve"> </w:t>
      </w:r>
      <w:r w:rsidRPr="00192777">
        <w:rPr>
          <w:b/>
        </w:rPr>
        <w:t>ways to strengthen</w:t>
      </w:r>
      <w:r w:rsidRPr="00192777">
        <w:t xml:space="preserve"> the regulatory governance of inland transport internationally, </w:t>
      </w:r>
      <w:bookmarkEnd w:id="4"/>
      <w:r w:rsidRPr="00192777">
        <w:t xml:space="preserve">in light of its strategic role in supporting the implementation of the Sustainable Development Goals until 2030. In this regard, the Committee may wish </w:t>
      </w:r>
      <w:r w:rsidRPr="00192777">
        <w:rPr>
          <w:b/>
          <w:bCs/>
        </w:rPr>
        <w:t xml:space="preserve">to emphasize </w:t>
      </w:r>
      <w:r w:rsidRPr="00192777">
        <w:t xml:space="preserve">the urgency of accelerating accessions to and implementation of the United Nations transport conventions and agreements under its purview </w:t>
      </w:r>
      <w:r w:rsidR="005F5F4A">
        <w:t>which</w:t>
      </w:r>
      <w:r w:rsidR="005F5F4A" w:rsidRPr="00192777">
        <w:t xml:space="preserve"> </w:t>
      </w:r>
      <w:r w:rsidRPr="00192777">
        <w:t xml:space="preserve">form the international regulatory framework. </w:t>
      </w:r>
    </w:p>
    <w:p w14:paraId="7E4E0536" w14:textId="77777777" w:rsidR="00BD5831" w:rsidRPr="00192777" w:rsidRDefault="00BD5831" w:rsidP="00972D2C">
      <w:pPr>
        <w:pStyle w:val="SingleTxtG"/>
      </w:pPr>
      <w:r w:rsidRPr="00192777">
        <w:t xml:space="preserve">The Committee may also wish to </w:t>
      </w:r>
      <w:r w:rsidRPr="00192777">
        <w:rPr>
          <w:b/>
        </w:rPr>
        <w:t>invite</w:t>
      </w:r>
      <w:r w:rsidRPr="00192777">
        <w:t xml:space="preserve"> countries, which have not yet done so, to accede to the United Nations conventions and other legal instruments in inland transport. The Committee may wish to </w:t>
      </w:r>
      <w:r w:rsidRPr="00192777">
        <w:rPr>
          <w:b/>
        </w:rPr>
        <w:t>decide</w:t>
      </w:r>
      <w:r w:rsidRPr="00192777">
        <w:t xml:space="preserve"> on concerted actions in support of accession to and implementation of United Nations transport conventions.</w:t>
      </w:r>
    </w:p>
    <w:p w14:paraId="122AD20B" w14:textId="3D8C017E" w:rsidR="00BD5831" w:rsidRPr="00192777" w:rsidRDefault="00BD5831" w:rsidP="00972D2C">
      <w:pPr>
        <w:pStyle w:val="SingleTxtG"/>
      </w:pPr>
      <w:r w:rsidRPr="00192777">
        <w:t xml:space="preserve">When considering these issues, the Committee may wish to </w:t>
      </w:r>
      <w:r w:rsidRPr="00192777">
        <w:rPr>
          <w:b/>
        </w:rPr>
        <w:t>take note</w:t>
      </w:r>
      <w:r w:rsidRPr="00192777">
        <w:t xml:space="preserve"> of ECE/TRANS/202</w:t>
      </w:r>
      <w:r w:rsidR="00227863" w:rsidRPr="00192777">
        <w:t>3</w:t>
      </w:r>
      <w:r w:rsidRPr="00192777">
        <w:t>/1</w:t>
      </w:r>
      <w:r w:rsidR="00227863" w:rsidRPr="00192777">
        <w:t>5</w:t>
      </w:r>
      <w:r w:rsidRPr="00192777">
        <w:t xml:space="preserve"> on the status of accessions to United Nations legal instruments on inland transport administered by the Committee and its subsidiary bodies as of December 202</w:t>
      </w:r>
      <w:r w:rsidR="00227863" w:rsidRPr="00192777">
        <w:t>2</w:t>
      </w:r>
      <w:r w:rsidRPr="00192777">
        <w:t xml:space="preserve">. </w:t>
      </w:r>
    </w:p>
    <w:p w14:paraId="0FC8B95B" w14:textId="77777777" w:rsidR="00BD5831" w:rsidRPr="00192777" w:rsidRDefault="00BD5831" w:rsidP="00BD5831">
      <w:pPr>
        <w:spacing w:after="120"/>
        <w:ind w:left="1134" w:right="1134"/>
        <w:jc w:val="both"/>
        <w:rPr>
          <w:rFonts w:eastAsia="Times New Roman"/>
          <w:b/>
          <w:color w:val="000000" w:themeColor="text1"/>
        </w:rPr>
      </w:pPr>
      <w:r w:rsidRPr="00192777">
        <w:rPr>
          <w:rFonts w:eastAsia="Times New Roman"/>
          <w:b/>
          <w:color w:val="000000" w:themeColor="text1"/>
        </w:rPr>
        <w:t>Documentation</w:t>
      </w:r>
    </w:p>
    <w:p w14:paraId="63B91477" w14:textId="2653C2E6" w:rsidR="005F6204" w:rsidRPr="00192777" w:rsidRDefault="00BD5831" w:rsidP="00227863">
      <w:pPr>
        <w:spacing w:after="120"/>
        <w:ind w:left="567" w:right="1134" w:firstLine="567"/>
        <w:jc w:val="both"/>
      </w:pPr>
      <w:r w:rsidRPr="00192777">
        <w:rPr>
          <w:rFonts w:eastAsia="Times New Roman"/>
          <w:color w:val="000000" w:themeColor="text1"/>
        </w:rPr>
        <w:t>ECE/TRANS/202</w:t>
      </w:r>
      <w:r w:rsidR="00227863" w:rsidRPr="00192777">
        <w:rPr>
          <w:rFonts w:eastAsia="Times New Roman"/>
          <w:color w:val="000000" w:themeColor="text1"/>
        </w:rPr>
        <w:t>3</w:t>
      </w:r>
      <w:r w:rsidRPr="00192777">
        <w:rPr>
          <w:rFonts w:eastAsia="Times New Roman"/>
          <w:color w:val="000000" w:themeColor="text1"/>
        </w:rPr>
        <w:t>/1</w:t>
      </w:r>
      <w:r w:rsidR="00227863" w:rsidRPr="00192777">
        <w:rPr>
          <w:rFonts w:eastAsia="Times New Roman"/>
          <w:color w:val="000000" w:themeColor="text1"/>
        </w:rPr>
        <w:t>5</w:t>
      </w:r>
    </w:p>
    <w:p w14:paraId="0FFD6F6C" w14:textId="4427D9EF" w:rsidR="00777D43" w:rsidRPr="00192777" w:rsidRDefault="00946ED4" w:rsidP="00A91070">
      <w:pPr>
        <w:pStyle w:val="H23G"/>
      </w:pPr>
      <w:r w:rsidRPr="00192777">
        <w:lastRenderedPageBreak/>
        <w:tab/>
      </w:r>
      <w:r w:rsidR="00777D43" w:rsidRPr="00192777">
        <w:t>(b)</w:t>
      </w:r>
      <w:r w:rsidR="00777D43" w:rsidRPr="00192777">
        <w:tab/>
        <w:t xml:space="preserve">Implementation of the </w:t>
      </w:r>
      <w:r w:rsidR="0009218F" w:rsidRPr="00192777">
        <w:t xml:space="preserve">International </w:t>
      </w:r>
      <w:r w:rsidR="00777D43" w:rsidRPr="00192777">
        <w:t xml:space="preserve">United Nations </w:t>
      </w:r>
      <w:r w:rsidR="0009218F" w:rsidRPr="00192777">
        <w:t xml:space="preserve">Inland Transport Conventions </w:t>
      </w:r>
      <w:r w:rsidR="00777D43" w:rsidRPr="00192777">
        <w:t xml:space="preserve">and </w:t>
      </w:r>
      <w:r w:rsidR="0009218F" w:rsidRPr="00192777">
        <w:t xml:space="preserve">Agreements (Statements </w:t>
      </w:r>
      <w:r w:rsidR="00777D43" w:rsidRPr="00192777">
        <w:t xml:space="preserve">by </w:t>
      </w:r>
      <w:r w:rsidR="0009218F" w:rsidRPr="00192777">
        <w:t>Delegates)</w:t>
      </w:r>
    </w:p>
    <w:p w14:paraId="35F817A9" w14:textId="3287BEDD" w:rsidR="00D76DD3" w:rsidRPr="00192777" w:rsidRDefault="00D76DD3" w:rsidP="002070A9">
      <w:pPr>
        <w:pStyle w:val="SingleTxtG"/>
      </w:pPr>
      <w:r w:rsidRPr="00192777">
        <w:t xml:space="preserve">Representatives of United Nations Member States which are contracting parties to United Nations inland transport conventions and agreements will have the opportunity to share national and regional experiences, including challenges and special needs, in their efforts to implement </w:t>
      </w:r>
      <w:r w:rsidR="005F5F4A">
        <w:t xml:space="preserve">the </w:t>
      </w:r>
      <w:r w:rsidRPr="00192777">
        <w:t xml:space="preserve">conventions to which they have acceded. </w:t>
      </w:r>
    </w:p>
    <w:p w14:paraId="09B091FA" w14:textId="73C99339" w:rsidR="00D76DD3" w:rsidRPr="00192777" w:rsidRDefault="00D76DD3" w:rsidP="002070A9">
      <w:pPr>
        <w:pStyle w:val="SingleTxtG"/>
      </w:pPr>
      <w:r w:rsidRPr="00192777">
        <w:t xml:space="preserve">The Committee </w:t>
      </w:r>
      <w:r w:rsidRPr="00192777">
        <w:rPr>
          <w:b/>
          <w:bCs/>
        </w:rPr>
        <w:t>may wish to take into consideration</w:t>
      </w:r>
      <w:r w:rsidRPr="00192777">
        <w:t xml:space="preserve"> ECE/TRANS/202</w:t>
      </w:r>
      <w:r w:rsidR="00FB05C9" w:rsidRPr="00192777">
        <w:t>3</w:t>
      </w:r>
      <w:r w:rsidRPr="00192777">
        <w:t>/1</w:t>
      </w:r>
      <w:r w:rsidR="00FB05C9" w:rsidRPr="00192777">
        <w:t>6</w:t>
      </w:r>
      <w:r w:rsidRPr="00192777">
        <w:t xml:space="preserve"> that contains an </w:t>
      </w:r>
      <w:r w:rsidR="002A4D3A" w:rsidRPr="00192777">
        <w:t xml:space="preserve">overview </w:t>
      </w:r>
      <w:r w:rsidR="00D96F2A" w:rsidRPr="00192777">
        <w:t xml:space="preserve">of monitoring of implementation </w:t>
      </w:r>
      <w:r w:rsidR="00993C47" w:rsidRPr="00192777">
        <w:t xml:space="preserve">issues and dynamics as well as of </w:t>
      </w:r>
      <w:r w:rsidRPr="00192777">
        <w:t>regional accession trends and dynamics in relation to key clusters of United Nations inland transport conventions and agreements.</w:t>
      </w:r>
    </w:p>
    <w:p w14:paraId="55DCE6A8" w14:textId="77777777" w:rsidR="00D76DD3" w:rsidRPr="00192777" w:rsidRDefault="00D76DD3" w:rsidP="00D76DD3">
      <w:pPr>
        <w:spacing w:after="120"/>
        <w:ind w:left="1134" w:right="1134"/>
        <w:jc w:val="both"/>
        <w:rPr>
          <w:rFonts w:eastAsia="Times New Roman"/>
        </w:rPr>
      </w:pPr>
      <w:r w:rsidRPr="00192777">
        <w:rPr>
          <w:rFonts w:eastAsia="Times New Roman"/>
        </w:rPr>
        <w:t>The Committee</w:t>
      </w:r>
      <w:r w:rsidRPr="00192777">
        <w:rPr>
          <w:rFonts w:eastAsia="Times New Roman"/>
          <w:color w:val="000000" w:themeColor="text1"/>
        </w:rPr>
        <w:t xml:space="preserve">, mindful that improving implementation worldwide is a core element of the ITC Strategy and its vision in the run-up to 2030, </w:t>
      </w:r>
      <w:r w:rsidRPr="00192777">
        <w:rPr>
          <w:rFonts w:eastAsia="Times New Roman"/>
        </w:rPr>
        <w:t xml:space="preserve">is invited to </w:t>
      </w:r>
      <w:r w:rsidRPr="00192777">
        <w:rPr>
          <w:rFonts w:eastAsia="Times New Roman"/>
          <w:b/>
          <w:bCs/>
        </w:rPr>
        <w:t>take note</w:t>
      </w:r>
      <w:r w:rsidRPr="00192777">
        <w:rPr>
          <w:rFonts w:eastAsia="Times New Roman"/>
        </w:rPr>
        <w:t xml:space="preserve"> of this information and may wish to </w:t>
      </w:r>
      <w:r w:rsidRPr="00192777">
        <w:rPr>
          <w:rFonts w:eastAsia="Times New Roman"/>
          <w:b/>
          <w:bCs/>
        </w:rPr>
        <w:t>provide guidance to the secretariat</w:t>
      </w:r>
      <w:r w:rsidRPr="00192777">
        <w:rPr>
          <w:rFonts w:eastAsia="Times New Roman"/>
        </w:rPr>
        <w:t xml:space="preserve"> on ways to strengthen accession to and the implementation of these legal instruments.</w:t>
      </w:r>
    </w:p>
    <w:p w14:paraId="168995C6" w14:textId="77777777" w:rsidR="00D76DD3" w:rsidRPr="00192777" w:rsidRDefault="00D76DD3" w:rsidP="00D76DD3">
      <w:pPr>
        <w:spacing w:after="120"/>
        <w:ind w:left="1134" w:right="1134"/>
        <w:jc w:val="both"/>
        <w:rPr>
          <w:rFonts w:eastAsia="Times New Roman"/>
          <w:b/>
          <w:color w:val="000000" w:themeColor="text1"/>
        </w:rPr>
      </w:pPr>
      <w:r w:rsidRPr="00192777">
        <w:rPr>
          <w:rFonts w:eastAsia="Times New Roman"/>
          <w:b/>
          <w:color w:val="000000" w:themeColor="text1"/>
        </w:rPr>
        <w:t>Documentation</w:t>
      </w:r>
    </w:p>
    <w:p w14:paraId="461D015D" w14:textId="46C1B66A" w:rsidR="005F6204" w:rsidRPr="00192777" w:rsidRDefault="00D76DD3" w:rsidP="002070A9">
      <w:pPr>
        <w:pStyle w:val="SingleTxtG"/>
      </w:pPr>
      <w:r w:rsidRPr="00192777">
        <w:t>ECE/TRANS/202</w:t>
      </w:r>
      <w:r w:rsidR="00CA04BC" w:rsidRPr="00192777">
        <w:t>3</w:t>
      </w:r>
      <w:r w:rsidRPr="00192777">
        <w:t>/1</w:t>
      </w:r>
      <w:r w:rsidR="00295CAF" w:rsidRPr="00192777">
        <w:t>6</w:t>
      </w:r>
    </w:p>
    <w:p w14:paraId="62A77A44" w14:textId="470951C4" w:rsidR="006E2EA7" w:rsidRPr="00192777" w:rsidRDefault="00946ED4" w:rsidP="00A91070">
      <w:pPr>
        <w:pStyle w:val="H23G"/>
      </w:pPr>
      <w:r w:rsidRPr="00192777">
        <w:tab/>
      </w:r>
      <w:r w:rsidR="00777D43" w:rsidRPr="00192777">
        <w:t>(c)</w:t>
      </w:r>
      <w:r w:rsidR="00777D43" w:rsidRPr="00192777">
        <w:tab/>
        <w:t xml:space="preserve">Challenges and </w:t>
      </w:r>
      <w:r w:rsidR="00960474">
        <w:t>E</w:t>
      </w:r>
      <w:r w:rsidR="00960474" w:rsidRPr="00192777">
        <w:t xml:space="preserve">merging </w:t>
      </w:r>
      <w:r w:rsidR="00960474">
        <w:t>T</w:t>
      </w:r>
      <w:r w:rsidR="00960474" w:rsidRPr="00192777">
        <w:t xml:space="preserve">rends </w:t>
      </w:r>
      <w:r w:rsidR="00777D43" w:rsidRPr="00192777">
        <w:t xml:space="preserve">of </w:t>
      </w:r>
      <w:r w:rsidR="00960474">
        <w:t>I</w:t>
      </w:r>
      <w:r w:rsidR="00960474" w:rsidRPr="00192777">
        <w:t xml:space="preserve">nland </w:t>
      </w:r>
      <w:r w:rsidR="00960474">
        <w:t>T</w:t>
      </w:r>
      <w:r w:rsidR="00960474" w:rsidRPr="00192777">
        <w:t>ransport</w:t>
      </w:r>
    </w:p>
    <w:p w14:paraId="08A83959" w14:textId="3FE0B473" w:rsidR="00777D43" w:rsidRPr="00192777" w:rsidRDefault="00A91070" w:rsidP="00A91070">
      <w:pPr>
        <w:pStyle w:val="H4G"/>
      </w:pPr>
      <w:r w:rsidRPr="00192777">
        <w:tab/>
      </w:r>
      <w:r w:rsidR="00C71069" w:rsidRPr="00192777">
        <w:t>(</w:t>
      </w:r>
      <w:proofErr w:type="spellStart"/>
      <w:r w:rsidR="00C71069" w:rsidRPr="00192777">
        <w:t>i</w:t>
      </w:r>
      <w:proofErr w:type="spellEnd"/>
      <w:r w:rsidR="00C71069" w:rsidRPr="00192777">
        <w:t>)</w:t>
      </w:r>
      <w:r w:rsidR="00C71069" w:rsidRPr="00192777">
        <w:tab/>
        <w:t>I</w:t>
      </w:r>
      <w:r w:rsidR="00777D43" w:rsidRPr="00192777">
        <w:t>n different regions (statements by delegates)</w:t>
      </w:r>
    </w:p>
    <w:p w14:paraId="1B9B5AF5" w14:textId="77777777" w:rsidR="00CA04BC" w:rsidRPr="00192777" w:rsidRDefault="00CA04BC" w:rsidP="002070A9">
      <w:pPr>
        <w:pStyle w:val="SingleTxtG"/>
      </w:pPr>
      <w:r w:rsidRPr="00192777">
        <w:t xml:space="preserve">Representatives of United Nations Member States that are contracting parties to United Nations inland transport conventions and agreements will have the opportunity to share challenges and emerging trends of inland transport in their respective regions. </w:t>
      </w:r>
    </w:p>
    <w:p w14:paraId="31FD24DF" w14:textId="671F0A91" w:rsidR="00CA04BC" w:rsidRPr="00192777" w:rsidRDefault="00CA04BC" w:rsidP="002070A9">
      <w:pPr>
        <w:pStyle w:val="SingleTxtG"/>
      </w:pPr>
      <w:r w:rsidRPr="00192777">
        <w:t xml:space="preserve">The Committee </w:t>
      </w:r>
      <w:r w:rsidRPr="00192777">
        <w:rPr>
          <w:b/>
          <w:bCs/>
        </w:rPr>
        <w:t>may wish to take into consideration</w:t>
      </w:r>
      <w:r w:rsidRPr="00192777">
        <w:t xml:space="preserve"> ECE/TRANS/2023/1</w:t>
      </w:r>
      <w:r w:rsidR="00CB09D5" w:rsidRPr="00192777">
        <w:t>7</w:t>
      </w:r>
      <w:r w:rsidRPr="00192777">
        <w:t xml:space="preserve"> which contains a review of challenges and emerging trends on inland transport in different regions. This year’s thematic focus is on </w:t>
      </w:r>
      <w:r w:rsidR="00F2776A" w:rsidRPr="00192777">
        <w:t>post-</w:t>
      </w:r>
      <w:r w:rsidRPr="00192777">
        <w:t>COVID-19 recovery efforts and challenges.</w:t>
      </w:r>
    </w:p>
    <w:p w14:paraId="577C5DDF" w14:textId="77777777" w:rsidR="00CA04BC" w:rsidRPr="00192777" w:rsidRDefault="00CA04BC" w:rsidP="002070A9">
      <w:pPr>
        <w:pStyle w:val="SingleTxtG"/>
      </w:pPr>
      <w:r w:rsidRPr="00192777">
        <w:t xml:space="preserve">The Committee, in performing its role as the United Nations platform for sustainable inland transport, is invited to </w:t>
      </w:r>
      <w:r w:rsidRPr="00192777">
        <w:rPr>
          <w:b/>
          <w:bCs/>
        </w:rPr>
        <w:t>take note</w:t>
      </w:r>
      <w:r w:rsidRPr="00192777">
        <w:t xml:space="preserve"> of this information and may wish to </w:t>
      </w:r>
      <w:r w:rsidRPr="00192777">
        <w:rPr>
          <w:b/>
          <w:bCs/>
        </w:rPr>
        <w:t>provide guidance to the secretariat</w:t>
      </w:r>
      <w:r w:rsidRPr="00192777">
        <w:t xml:space="preserve"> </w:t>
      </w:r>
      <w:r w:rsidRPr="00192777">
        <w:rPr>
          <w:b/>
          <w:bCs/>
        </w:rPr>
        <w:t>and its subsidiary bodies</w:t>
      </w:r>
      <w:r w:rsidRPr="00192777">
        <w:t xml:space="preserve"> on ways to integrate these experiences in their work, in order to strengthen its relevance and impact.</w:t>
      </w:r>
    </w:p>
    <w:p w14:paraId="592A0C33" w14:textId="77777777" w:rsidR="00CA04BC" w:rsidRPr="00192777" w:rsidRDefault="00CA04BC" w:rsidP="00CA04BC">
      <w:pPr>
        <w:spacing w:after="120"/>
        <w:ind w:left="1134" w:right="1134"/>
        <w:jc w:val="both"/>
        <w:rPr>
          <w:rFonts w:eastAsia="Times New Roman"/>
          <w:b/>
          <w:color w:val="000000" w:themeColor="text1"/>
        </w:rPr>
      </w:pPr>
      <w:r w:rsidRPr="00192777">
        <w:rPr>
          <w:rFonts w:eastAsia="Times New Roman"/>
          <w:b/>
          <w:color w:val="000000" w:themeColor="text1"/>
        </w:rPr>
        <w:t>Documentation</w:t>
      </w:r>
    </w:p>
    <w:p w14:paraId="2C924FA0" w14:textId="04124078" w:rsidR="00CD3D8F" w:rsidRPr="00192777" w:rsidRDefault="00CA04BC" w:rsidP="002070A9">
      <w:pPr>
        <w:pStyle w:val="SingleTxtG"/>
      </w:pPr>
      <w:r w:rsidRPr="00192777">
        <w:t>ECE/TRANS/202</w:t>
      </w:r>
      <w:r w:rsidR="00F2776A" w:rsidRPr="00192777">
        <w:t>3</w:t>
      </w:r>
      <w:r w:rsidRPr="00192777">
        <w:t>/1</w:t>
      </w:r>
      <w:r w:rsidR="00CB09D5" w:rsidRPr="00192777">
        <w:t>7</w:t>
      </w:r>
    </w:p>
    <w:p w14:paraId="68A35AA8" w14:textId="6FECA040" w:rsidR="00C71069" w:rsidRPr="00192777" w:rsidRDefault="002070A9" w:rsidP="002070A9">
      <w:pPr>
        <w:pStyle w:val="H4G"/>
      </w:pPr>
      <w:r w:rsidRPr="00192777">
        <w:tab/>
      </w:r>
      <w:r w:rsidR="00C71069" w:rsidRPr="00192777">
        <w:t>(ii)</w:t>
      </w:r>
      <w:r w:rsidR="00C71069" w:rsidRPr="00192777">
        <w:tab/>
      </w:r>
      <w:r w:rsidR="009B43B4" w:rsidRPr="00192777">
        <w:t xml:space="preserve">In </w:t>
      </w:r>
      <w:r w:rsidR="00F15EAE" w:rsidRPr="00192777">
        <w:t xml:space="preserve">the </w:t>
      </w:r>
      <w:r w:rsidR="009B43B4" w:rsidRPr="00192777">
        <w:t xml:space="preserve">special </w:t>
      </w:r>
      <w:r w:rsidR="00F15EAE" w:rsidRPr="00192777">
        <w:t xml:space="preserve">situation of the </w:t>
      </w:r>
      <w:r w:rsidR="009B43B4" w:rsidRPr="00192777">
        <w:t>war</w:t>
      </w:r>
      <w:r w:rsidR="00F15EAE" w:rsidRPr="00192777">
        <w:t xml:space="preserve"> against </w:t>
      </w:r>
      <w:r w:rsidR="009B43B4" w:rsidRPr="00192777">
        <w:t>Ukraine</w:t>
      </w:r>
      <w:r w:rsidR="00F15EAE" w:rsidRPr="00192777">
        <w:t>: impact on transport connectivity</w:t>
      </w:r>
    </w:p>
    <w:p w14:paraId="2BF3921A" w14:textId="69B72621" w:rsidR="00CC73D8" w:rsidRPr="00192777" w:rsidRDefault="000B75B1" w:rsidP="00CC73D8">
      <w:pPr>
        <w:spacing w:after="120"/>
        <w:ind w:left="1134" w:right="1134"/>
        <w:jc w:val="both"/>
        <w:rPr>
          <w:rFonts w:eastAsia="Times New Roman"/>
        </w:rPr>
      </w:pPr>
      <w:r w:rsidRPr="00192777">
        <w:rPr>
          <w:rFonts w:eastAsia="Times New Roman"/>
        </w:rPr>
        <w:t>The Committee</w:t>
      </w:r>
      <w:r w:rsidR="00CC73D8" w:rsidRPr="00192777">
        <w:rPr>
          <w:rFonts w:eastAsia="Times New Roman"/>
        </w:rPr>
        <w:t xml:space="preserve"> </w:t>
      </w:r>
      <w:r w:rsidR="00CC73D8" w:rsidRPr="00192777">
        <w:rPr>
          <w:rFonts w:eastAsia="Times New Roman"/>
          <w:b/>
          <w:bCs/>
        </w:rPr>
        <w:t>may wish to consider</w:t>
      </w:r>
      <w:r w:rsidR="004D1036" w:rsidRPr="00192777">
        <w:rPr>
          <w:rFonts w:eastAsia="Times New Roman"/>
          <w:b/>
          <w:bCs/>
        </w:rPr>
        <w:t xml:space="preserve"> the document</w:t>
      </w:r>
      <w:r w:rsidR="00CC73D8" w:rsidRPr="00192777">
        <w:rPr>
          <w:rFonts w:eastAsia="Times New Roman"/>
        </w:rPr>
        <w:t xml:space="preserve"> ECE/TRANS/2023/1</w:t>
      </w:r>
      <w:r w:rsidRPr="00192777">
        <w:rPr>
          <w:rFonts w:eastAsia="Times New Roman"/>
        </w:rPr>
        <w:t>8</w:t>
      </w:r>
      <w:r w:rsidR="00CC73D8" w:rsidRPr="00192777">
        <w:rPr>
          <w:rFonts w:eastAsia="Times New Roman"/>
        </w:rPr>
        <w:t xml:space="preserve"> which contains a</w:t>
      </w:r>
      <w:r w:rsidR="00AC5176" w:rsidRPr="00192777">
        <w:rPr>
          <w:rFonts w:eastAsia="Times New Roman"/>
        </w:rPr>
        <w:t xml:space="preserve">n overview of the Sustainable Transport Division’s technical assistance project </w:t>
      </w:r>
      <w:r w:rsidR="00794DC4" w:rsidRPr="00192777">
        <w:rPr>
          <w:rFonts w:eastAsia="Times New Roman"/>
        </w:rPr>
        <w:t xml:space="preserve">in </w:t>
      </w:r>
      <w:r w:rsidR="00AC5176" w:rsidRPr="00192777">
        <w:rPr>
          <w:rFonts w:eastAsia="Times New Roman"/>
        </w:rPr>
        <w:t>Ukraine for its connectivity to neighbouring countries</w:t>
      </w:r>
      <w:r w:rsidR="00CC73D8" w:rsidRPr="00192777">
        <w:rPr>
          <w:rFonts w:eastAsia="Times New Roman"/>
        </w:rPr>
        <w:t>.</w:t>
      </w:r>
    </w:p>
    <w:p w14:paraId="3D20C907" w14:textId="77777777" w:rsidR="00CC73D8" w:rsidRPr="00192777" w:rsidRDefault="00CC73D8" w:rsidP="00CC73D8">
      <w:pPr>
        <w:spacing w:after="120"/>
        <w:ind w:left="1134" w:right="1134"/>
        <w:jc w:val="both"/>
        <w:rPr>
          <w:rFonts w:eastAsia="Times New Roman"/>
          <w:b/>
        </w:rPr>
      </w:pPr>
      <w:r w:rsidRPr="00192777">
        <w:rPr>
          <w:rFonts w:eastAsia="Times New Roman"/>
          <w:b/>
        </w:rPr>
        <w:t>Documentation</w:t>
      </w:r>
    </w:p>
    <w:p w14:paraId="5F423D42" w14:textId="63CC9881" w:rsidR="003C2881" w:rsidRPr="008600F6" w:rsidRDefault="00CC73D8" w:rsidP="002070A9">
      <w:pPr>
        <w:pStyle w:val="SingleTxtG"/>
      </w:pPr>
      <w:r w:rsidRPr="00192777">
        <w:t>ECE/TRANS/202</w:t>
      </w:r>
      <w:r w:rsidR="00794DC4" w:rsidRPr="00192777">
        <w:t>3</w:t>
      </w:r>
      <w:r w:rsidRPr="00192777">
        <w:t>/1</w:t>
      </w:r>
      <w:r w:rsidR="00794DC4" w:rsidRPr="00192777">
        <w:t>8</w:t>
      </w:r>
    </w:p>
    <w:p w14:paraId="38ACC284" w14:textId="51A000B2" w:rsidR="00777D43" w:rsidRPr="00192777" w:rsidRDefault="00794DC4" w:rsidP="00A91070">
      <w:pPr>
        <w:pStyle w:val="H23G"/>
      </w:pPr>
      <w:r w:rsidRPr="00192777">
        <w:tab/>
      </w:r>
      <w:r w:rsidR="00777D43" w:rsidRPr="00192777">
        <w:t>(d)</w:t>
      </w:r>
      <w:r w:rsidR="00777D43" w:rsidRPr="00192777">
        <w:tab/>
      </w:r>
      <w:bookmarkStart w:id="5" w:name="_Hlk117497635"/>
      <w:r w:rsidR="00777D43" w:rsidRPr="00192777">
        <w:t xml:space="preserve">Information and </w:t>
      </w:r>
      <w:r w:rsidR="00960474">
        <w:t>C</w:t>
      </w:r>
      <w:r w:rsidR="00960474" w:rsidRPr="00192777">
        <w:t xml:space="preserve">omputerization </w:t>
      </w:r>
      <w:bookmarkEnd w:id="5"/>
      <w:r w:rsidR="00960474">
        <w:t>T</w:t>
      </w:r>
      <w:r w:rsidR="00960474" w:rsidRPr="00192777">
        <w:t>echnologies</w:t>
      </w:r>
      <w:r w:rsidR="00777D43" w:rsidRPr="00192777">
        <w:t>, and Intelligent Transport Systems</w:t>
      </w:r>
    </w:p>
    <w:p w14:paraId="7CCBAE0D" w14:textId="717946F7" w:rsidR="009A25D0" w:rsidRPr="00192777" w:rsidRDefault="009A25D0" w:rsidP="00361840">
      <w:pPr>
        <w:pStyle w:val="SingleTxtG"/>
        <w:rPr>
          <w:lang w:eastAsia="en-US"/>
        </w:rPr>
      </w:pPr>
      <w:r w:rsidRPr="00192777">
        <w:rPr>
          <w:lang w:eastAsia="en-US"/>
        </w:rPr>
        <w:t xml:space="preserve">The Committee may wish to </w:t>
      </w:r>
      <w:r w:rsidRPr="00192777">
        <w:rPr>
          <w:b/>
          <w:bCs/>
          <w:lang w:eastAsia="en-US"/>
        </w:rPr>
        <w:t>recall</w:t>
      </w:r>
      <w:r w:rsidRPr="00192777">
        <w:rPr>
          <w:lang w:eastAsia="en-US"/>
        </w:rPr>
        <w:t xml:space="preserve"> the </w:t>
      </w:r>
      <w:bookmarkStart w:id="6" w:name="_Hlk89704342"/>
      <w:r w:rsidRPr="00192777">
        <w:rPr>
          <w:lang w:eastAsia="en-US"/>
        </w:rPr>
        <w:t xml:space="preserve">Revised ITS Roadmap 2021-2025 </w:t>
      </w:r>
      <w:bookmarkEnd w:id="6"/>
      <w:r w:rsidRPr="00192777">
        <w:rPr>
          <w:lang w:eastAsia="en-US"/>
        </w:rPr>
        <w:t xml:space="preserve">that had been adopted at its eighty-third session and </w:t>
      </w:r>
      <w:r w:rsidRPr="00192777">
        <w:rPr>
          <w:b/>
          <w:bCs/>
          <w:lang w:eastAsia="en-US"/>
        </w:rPr>
        <w:t>note</w:t>
      </w:r>
      <w:r w:rsidRPr="00192777">
        <w:rPr>
          <w:lang w:eastAsia="en-US"/>
        </w:rPr>
        <w:t xml:space="preserve"> activities by all its </w:t>
      </w:r>
      <w:r w:rsidRPr="00192777">
        <w:t>subsidiary</w:t>
      </w:r>
      <w:r w:rsidRPr="00192777">
        <w:rPr>
          <w:lang w:eastAsia="en-US"/>
        </w:rPr>
        <w:t xml:space="preserve"> bodies towards its implementation </w:t>
      </w:r>
      <w:r w:rsidRPr="00192777">
        <w:rPr>
          <w:rFonts w:asciiTheme="majorBidi" w:hAnsiTheme="majorBidi" w:cstheme="majorBidi"/>
          <w:lang w:eastAsia="en-US"/>
        </w:rPr>
        <w:t>(ECE/TRANS/2023/19)</w:t>
      </w:r>
      <w:r w:rsidRPr="00192777">
        <w:rPr>
          <w:lang w:eastAsia="en-US"/>
        </w:rPr>
        <w:t xml:space="preserve">. Furthermore, the Committee </w:t>
      </w:r>
      <w:r w:rsidR="00AD2E07">
        <w:rPr>
          <w:lang w:eastAsia="en-US"/>
        </w:rPr>
        <w:t>will be reported to about</w:t>
      </w:r>
      <w:r w:rsidRPr="00192777">
        <w:rPr>
          <w:lang w:eastAsia="en-US"/>
        </w:rPr>
        <w:t xml:space="preserve"> the activities of the </w:t>
      </w:r>
      <w:r w:rsidRPr="00192777">
        <w:rPr>
          <w:rFonts w:asciiTheme="majorBidi" w:hAnsiTheme="majorBidi" w:cstheme="majorBidi"/>
          <w:lang w:eastAsia="en-US"/>
        </w:rPr>
        <w:t>Informal Working Group on Intelligent Transport Systems (ITS)</w:t>
      </w:r>
      <w:r w:rsidRPr="00192777">
        <w:rPr>
          <w:lang w:eastAsia="en-US"/>
        </w:rPr>
        <w:t>.</w:t>
      </w:r>
      <w:r w:rsidR="001C758D" w:rsidRPr="00192777">
        <w:rPr>
          <w:lang w:eastAsia="en-US"/>
        </w:rPr>
        <w:t xml:space="preserve"> The Committee </w:t>
      </w:r>
      <w:r w:rsidR="001C758D" w:rsidRPr="00192777">
        <w:rPr>
          <w:b/>
          <w:bCs/>
          <w:lang w:eastAsia="en-US"/>
        </w:rPr>
        <w:t xml:space="preserve">will also be </w:t>
      </w:r>
      <w:r w:rsidR="00B52E98" w:rsidRPr="00192777">
        <w:rPr>
          <w:b/>
          <w:bCs/>
          <w:lang w:eastAsia="en-US"/>
        </w:rPr>
        <w:t>reported</w:t>
      </w:r>
      <w:r w:rsidR="001C758D" w:rsidRPr="00192777">
        <w:rPr>
          <w:lang w:eastAsia="en-US"/>
        </w:rPr>
        <w:t xml:space="preserve"> about </w:t>
      </w:r>
      <w:r w:rsidR="002E4486" w:rsidRPr="00192777">
        <w:rPr>
          <w:lang w:eastAsia="en-US"/>
        </w:rPr>
        <w:t xml:space="preserve">the activities of the Committee’s subsidiary bodies on information and computerization technologies </w:t>
      </w:r>
      <w:r w:rsidR="002E4486" w:rsidRPr="00192777">
        <w:rPr>
          <w:rFonts w:asciiTheme="majorBidi" w:hAnsiTheme="majorBidi" w:cstheme="majorBidi"/>
          <w:lang w:eastAsia="en-US"/>
        </w:rPr>
        <w:t>(ECE/TRANS/2023/20).</w:t>
      </w:r>
    </w:p>
    <w:p w14:paraId="2CE132BE" w14:textId="34AD1CCB" w:rsidR="009A25D0" w:rsidRPr="00192777" w:rsidRDefault="009A25D0" w:rsidP="00361840">
      <w:pPr>
        <w:pStyle w:val="SingleTxtG"/>
        <w:rPr>
          <w:lang w:eastAsia="en-US"/>
        </w:rPr>
      </w:pPr>
      <w:r w:rsidRPr="00192777">
        <w:rPr>
          <w:lang w:eastAsia="en-US"/>
        </w:rPr>
        <w:t xml:space="preserve">The Committee is invited to </w:t>
      </w:r>
      <w:r w:rsidRPr="00192777">
        <w:rPr>
          <w:b/>
          <w:lang w:eastAsia="en-US"/>
        </w:rPr>
        <w:t xml:space="preserve">encourage </w:t>
      </w:r>
      <w:r w:rsidRPr="00192777">
        <w:rPr>
          <w:lang w:eastAsia="en-US"/>
        </w:rPr>
        <w:t xml:space="preserve">continuation of the work of, </w:t>
      </w:r>
      <w:r w:rsidR="0008265C" w:rsidRPr="00B72922">
        <w:rPr>
          <w:rFonts w:eastAsia="Times New Roman"/>
        </w:rPr>
        <w:t>Working Party on Road Transport (SC.1</w:t>
      </w:r>
      <w:r w:rsidR="0008265C">
        <w:rPr>
          <w:rFonts w:eastAsia="Times New Roman"/>
        </w:rPr>
        <w:t>)</w:t>
      </w:r>
      <w:r w:rsidR="00CE08B9" w:rsidRPr="00192777">
        <w:rPr>
          <w:lang w:eastAsia="en-US"/>
        </w:rPr>
        <w:t xml:space="preserve">on smart roads, </w:t>
      </w:r>
      <w:r w:rsidR="0008265C" w:rsidRPr="0008265C">
        <w:rPr>
          <w:lang w:eastAsia="en-US"/>
        </w:rPr>
        <w:t>Working Party on Inland Water Transport (SC.3)</w:t>
      </w:r>
      <w:r w:rsidRPr="00192777">
        <w:rPr>
          <w:lang w:eastAsia="en-US"/>
        </w:rPr>
        <w:t xml:space="preserve"> on smart shipping, River Information Services, and innovative technologies in the recently adopted</w:t>
      </w:r>
      <w:r w:rsidRPr="00192777">
        <w:t xml:space="preserve"> </w:t>
      </w:r>
      <w:r w:rsidRPr="00192777">
        <w:rPr>
          <w:lang w:eastAsia="en-US"/>
        </w:rPr>
        <w:t xml:space="preserve">European Code for Signs and Signals on Inland Waterways (SIGNI); of </w:t>
      </w:r>
      <w:r w:rsidR="0008265C" w:rsidRPr="0008265C">
        <w:rPr>
          <w:lang w:eastAsia="en-US"/>
        </w:rPr>
        <w:t>Global Forum for Road Traffic Safety</w:t>
      </w:r>
      <w:r w:rsidR="0008265C">
        <w:rPr>
          <w:lang w:eastAsia="en-US"/>
        </w:rPr>
        <w:t xml:space="preserve"> (WP.1)</w:t>
      </w:r>
      <w:r w:rsidRPr="00192777">
        <w:rPr>
          <w:lang w:eastAsia="en-US"/>
        </w:rPr>
        <w:t xml:space="preserve">on the conditions of use of automated vehicles in traffic; of </w:t>
      </w:r>
      <w:r w:rsidRPr="00192777">
        <w:rPr>
          <w:lang w:eastAsia="en-US"/>
        </w:rPr>
        <w:lastRenderedPageBreak/>
        <w:t xml:space="preserve">WP.15 on telematics for the transport of </w:t>
      </w:r>
      <w:r w:rsidRPr="00192777">
        <w:t>dangerous</w:t>
      </w:r>
      <w:r w:rsidRPr="00192777">
        <w:rPr>
          <w:lang w:eastAsia="en-US"/>
        </w:rPr>
        <w:t xml:space="preserve"> goods; of </w:t>
      </w:r>
      <w:r w:rsidR="0008265C" w:rsidRPr="0008265C">
        <w:rPr>
          <w:lang w:eastAsia="en-US"/>
        </w:rPr>
        <w:t>World Forum for Harmonization of Vehicle Regulations (WP.29)</w:t>
      </w:r>
      <w:r w:rsidRPr="00192777">
        <w:rPr>
          <w:lang w:eastAsia="en-US"/>
        </w:rPr>
        <w:t xml:space="preserve">on the implementation of the framework document on the safety of automated vehicles; of </w:t>
      </w:r>
      <w:r w:rsidR="0008265C">
        <w:rPr>
          <w:lang w:eastAsia="en-US"/>
        </w:rPr>
        <w:t xml:space="preserve">the </w:t>
      </w:r>
      <w:r w:rsidR="0008265C" w:rsidRPr="0008265C">
        <w:rPr>
          <w:lang w:eastAsia="en-US"/>
        </w:rPr>
        <w:t xml:space="preserve">Working Party on Automated/Autonomous and Connected Vehicles </w:t>
      </w:r>
      <w:r w:rsidR="0008265C">
        <w:rPr>
          <w:lang w:eastAsia="en-US"/>
        </w:rPr>
        <w:t>(</w:t>
      </w:r>
      <w:r w:rsidRPr="00192777">
        <w:rPr>
          <w:lang w:eastAsia="en-US"/>
        </w:rPr>
        <w:t>WP.29/GRVA</w:t>
      </w:r>
      <w:r w:rsidR="0008265C">
        <w:rPr>
          <w:lang w:eastAsia="en-US"/>
        </w:rPr>
        <w:t>)</w:t>
      </w:r>
      <w:r w:rsidRPr="00192777">
        <w:rPr>
          <w:lang w:eastAsia="en-US"/>
        </w:rPr>
        <w:t xml:space="preserve"> on regulating autonomous/automated and connected vehicles (incl. Artificial Intelligence); as fostering regulatory and other activities in these areas would ensure the benefits that ITS could provide in terms of safety, environmental protection, energy efficiency and traffic management.</w:t>
      </w:r>
      <w:r w:rsidRPr="00192777">
        <w:rPr>
          <w:vertAlign w:val="superscript"/>
          <w:lang w:eastAsia="en-US"/>
        </w:rPr>
        <w:footnoteReference w:id="4"/>
      </w:r>
      <w:r w:rsidR="0008265C">
        <w:rPr>
          <w:lang w:eastAsia="en-US"/>
        </w:rPr>
        <w:t xml:space="preserve"> </w:t>
      </w:r>
    </w:p>
    <w:p w14:paraId="2A644E3D" w14:textId="65019F54" w:rsidR="008F5161" w:rsidRPr="00192777" w:rsidRDefault="00FC105E" w:rsidP="00361840">
      <w:pPr>
        <w:pStyle w:val="SingleTxtG"/>
        <w:rPr>
          <w:lang w:eastAsia="en-US"/>
        </w:rPr>
      </w:pPr>
      <w:r w:rsidRPr="00192777">
        <w:rPr>
          <w:lang w:eastAsia="en-US"/>
        </w:rPr>
        <w:t>Furthermore,</w:t>
      </w:r>
      <w:r w:rsidR="008F5161" w:rsidRPr="00192777">
        <w:rPr>
          <w:lang w:eastAsia="en-US"/>
        </w:rPr>
        <w:t xml:space="preserve"> the Committee is invited to </w:t>
      </w:r>
      <w:r w:rsidR="008F5161" w:rsidRPr="00192777">
        <w:rPr>
          <w:b/>
          <w:bCs/>
          <w:lang w:eastAsia="en-US"/>
        </w:rPr>
        <w:t>encourage</w:t>
      </w:r>
      <w:r w:rsidR="008F5161" w:rsidRPr="00192777">
        <w:rPr>
          <w:lang w:eastAsia="en-US"/>
        </w:rPr>
        <w:t xml:space="preserve"> continuation of the work of SC.1 on </w:t>
      </w:r>
      <w:r w:rsidRPr="00192777">
        <w:rPr>
          <w:lang w:eastAsia="en-US"/>
        </w:rPr>
        <w:t xml:space="preserve">the operationalization of </w:t>
      </w:r>
      <w:proofErr w:type="spellStart"/>
      <w:r w:rsidR="008F5161" w:rsidRPr="00192777">
        <w:rPr>
          <w:lang w:eastAsia="en-US"/>
        </w:rPr>
        <w:t>eCMR</w:t>
      </w:r>
      <w:proofErr w:type="spellEnd"/>
      <w:r w:rsidR="00AD1709" w:rsidRPr="00192777">
        <w:rPr>
          <w:lang w:eastAsia="en-US"/>
        </w:rPr>
        <w:t xml:space="preserve"> ensuring inclusion of all stakeholders and regions</w:t>
      </w:r>
      <w:r w:rsidR="004371B9" w:rsidRPr="00192777">
        <w:rPr>
          <w:lang w:eastAsia="en-US"/>
        </w:rPr>
        <w:t>;</w:t>
      </w:r>
      <w:r w:rsidRPr="00192777">
        <w:rPr>
          <w:lang w:eastAsia="en-US"/>
        </w:rPr>
        <w:t xml:space="preserve"> </w:t>
      </w:r>
      <w:r w:rsidR="004371B9" w:rsidRPr="00192777">
        <w:rPr>
          <w:lang w:eastAsia="en-US"/>
        </w:rPr>
        <w:t xml:space="preserve">of </w:t>
      </w:r>
      <w:r w:rsidR="0008265C">
        <w:rPr>
          <w:lang w:eastAsia="en-US"/>
        </w:rPr>
        <w:t xml:space="preserve"> </w:t>
      </w:r>
      <w:r w:rsidR="0008265C" w:rsidRPr="0008265C">
        <w:rPr>
          <w:lang w:eastAsia="en-US"/>
        </w:rPr>
        <w:t xml:space="preserve">Working Party on Customs Questions affecting Transport </w:t>
      </w:r>
      <w:r w:rsidR="0008265C">
        <w:rPr>
          <w:lang w:eastAsia="en-US"/>
        </w:rPr>
        <w:t>(</w:t>
      </w:r>
      <w:r w:rsidR="004371B9" w:rsidRPr="00192777">
        <w:rPr>
          <w:lang w:eastAsia="en-US"/>
        </w:rPr>
        <w:t>WP.30</w:t>
      </w:r>
      <w:r w:rsidR="0008265C">
        <w:rPr>
          <w:lang w:eastAsia="en-US"/>
        </w:rPr>
        <w:t>)</w:t>
      </w:r>
      <w:r w:rsidR="004371B9" w:rsidRPr="00192777">
        <w:rPr>
          <w:lang w:eastAsia="en-US"/>
        </w:rPr>
        <w:t xml:space="preserve"> / </w:t>
      </w:r>
      <w:r w:rsidR="0008265C" w:rsidRPr="0008265C">
        <w:rPr>
          <w:lang w:eastAsia="en-US"/>
        </w:rPr>
        <w:t>TIR Administrative Committee</w:t>
      </w:r>
      <w:r w:rsidR="0008265C">
        <w:rPr>
          <w:lang w:eastAsia="en-US"/>
        </w:rPr>
        <w:t xml:space="preserve"> (</w:t>
      </w:r>
      <w:r w:rsidR="004371B9" w:rsidRPr="00192777">
        <w:rPr>
          <w:lang w:eastAsia="en-US"/>
        </w:rPr>
        <w:t>AC.2</w:t>
      </w:r>
      <w:r w:rsidR="0008265C">
        <w:rPr>
          <w:lang w:eastAsia="en-US"/>
        </w:rPr>
        <w:t>)</w:t>
      </w:r>
      <w:r w:rsidR="004371B9" w:rsidRPr="00192777">
        <w:rPr>
          <w:lang w:eastAsia="en-US"/>
        </w:rPr>
        <w:t xml:space="preserve"> on </w:t>
      </w:r>
      <w:proofErr w:type="spellStart"/>
      <w:r w:rsidR="004371B9" w:rsidRPr="00192777">
        <w:rPr>
          <w:lang w:eastAsia="en-US"/>
        </w:rPr>
        <w:t>eTIR</w:t>
      </w:r>
      <w:proofErr w:type="spellEnd"/>
      <w:r w:rsidR="004371B9" w:rsidRPr="00192777">
        <w:rPr>
          <w:lang w:eastAsia="en-US"/>
        </w:rPr>
        <w:t xml:space="preserve"> international system and interconnection with national customs systems</w:t>
      </w:r>
      <w:r w:rsidR="00E80AD6" w:rsidRPr="00192777">
        <w:rPr>
          <w:lang w:eastAsia="en-US"/>
        </w:rPr>
        <w:t xml:space="preserve">; of WP.30 on digitalizing the </w:t>
      </w:r>
      <w:r w:rsidR="008633FD" w:rsidRPr="00192777">
        <w:rPr>
          <w:lang w:eastAsia="en-US"/>
        </w:rPr>
        <w:t>1954 (private) and 1956 (commercial) temporary importation conventions</w:t>
      </w:r>
      <w:r w:rsidR="004371B9" w:rsidRPr="00192777">
        <w:rPr>
          <w:lang w:eastAsia="en-US"/>
        </w:rPr>
        <w:t xml:space="preserve"> </w:t>
      </w:r>
      <w:r w:rsidR="008F5161" w:rsidRPr="00192777">
        <w:rPr>
          <w:lang w:eastAsia="en-US"/>
        </w:rPr>
        <w:t xml:space="preserve"> </w:t>
      </w:r>
      <w:r w:rsidR="008633FD" w:rsidRPr="00192777">
        <w:rPr>
          <w:lang w:eastAsia="en-US"/>
        </w:rPr>
        <w:t>and the carnet de passage (</w:t>
      </w:r>
      <w:proofErr w:type="spellStart"/>
      <w:r w:rsidR="008633FD" w:rsidRPr="00192777">
        <w:rPr>
          <w:lang w:eastAsia="en-US"/>
        </w:rPr>
        <w:t>eCPD</w:t>
      </w:r>
      <w:proofErr w:type="spellEnd"/>
      <w:r w:rsidR="008633FD" w:rsidRPr="00192777">
        <w:rPr>
          <w:lang w:eastAsia="en-US"/>
        </w:rPr>
        <w:t xml:space="preserve">); </w:t>
      </w:r>
      <w:r w:rsidR="00BA4485" w:rsidRPr="00192777">
        <w:rPr>
          <w:lang w:eastAsia="en-US"/>
        </w:rPr>
        <w:t>of TIREXB/WP.30 on the international TIR data bank</w:t>
      </w:r>
      <w:r w:rsidR="009D0B8D" w:rsidRPr="00192777">
        <w:rPr>
          <w:lang w:eastAsia="en-US"/>
        </w:rPr>
        <w:t xml:space="preserve"> (ITDB)</w:t>
      </w:r>
      <w:r w:rsidR="00BB7E37" w:rsidRPr="00192777">
        <w:rPr>
          <w:lang w:eastAsia="en-US"/>
        </w:rPr>
        <w:t xml:space="preserve">, the </w:t>
      </w:r>
      <w:proofErr w:type="spellStart"/>
      <w:r w:rsidR="00BB7E37" w:rsidRPr="00192777">
        <w:rPr>
          <w:lang w:eastAsia="en-US"/>
        </w:rPr>
        <w:t>eTIR</w:t>
      </w:r>
      <w:proofErr w:type="spellEnd"/>
      <w:r w:rsidR="00BB7E37" w:rsidRPr="00192777">
        <w:rPr>
          <w:lang w:eastAsia="en-US"/>
        </w:rPr>
        <w:t xml:space="preserve"> (web) portal for holders</w:t>
      </w:r>
      <w:r w:rsidR="00BA4485" w:rsidRPr="00192777">
        <w:rPr>
          <w:lang w:eastAsia="en-US"/>
        </w:rPr>
        <w:t xml:space="preserve"> and its mobile applications for </w:t>
      </w:r>
      <w:r w:rsidR="009D0B8D" w:rsidRPr="00192777">
        <w:rPr>
          <w:lang w:eastAsia="en-US"/>
        </w:rPr>
        <w:t xml:space="preserve">customs officers and TIR Carnet holders; </w:t>
      </w:r>
      <w:r w:rsidR="008633FD" w:rsidRPr="00192777">
        <w:rPr>
          <w:lang w:eastAsia="en-US"/>
        </w:rPr>
        <w:t xml:space="preserve">of </w:t>
      </w:r>
      <w:r w:rsidR="00621068" w:rsidRPr="00192777">
        <w:rPr>
          <w:lang w:eastAsia="en-US"/>
        </w:rPr>
        <w:t xml:space="preserve">WP.30 on the observatory on </w:t>
      </w:r>
      <w:r w:rsidR="001723C8" w:rsidRPr="00192777">
        <w:rPr>
          <w:lang w:eastAsia="en-US"/>
        </w:rPr>
        <w:t>border crossing s status due to COVID 19</w:t>
      </w:r>
      <w:r w:rsidR="0078026B" w:rsidRPr="00192777">
        <w:rPr>
          <w:lang w:eastAsia="en-US"/>
        </w:rPr>
        <w:t xml:space="preserve">; of </w:t>
      </w:r>
      <w:r w:rsidR="0094260A" w:rsidRPr="0094260A">
        <w:rPr>
          <w:lang w:eastAsia="en-US"/>
        </w:rPr>
        <w:t>Working Party on Transport Trends and Economics</w:t>
      </w:r>
      <w:r w:rsidR="0094260A">
        <w:rPr>
          <w:lang w:eastAsia="en-US"/>
        </w:rPr>
        <w:t xml:space="preserve"> (</w:t>
      </w:r>
      <w:r w:rsidR="0078026B" w:rsidRPr="00192777">
        <w:rPr>
          <w:lang w:eastAsia="en-US"/>
        </w:rPr>
        <w:t>WP.5</w:t>
      </w:r>
      <w:r w:rsidR="0094260A">
        <w:rPr>
          <w:lang w:eastAsia="en-US"/>
        </w:rPr>
        <w:t>)</w:t>
      </w:r>
      <w:r w:rsidR="0078026B" w:rsidRPr="00192777">
        <w:rPr>
          <w:lang w:eastAsia="en-US"/>
        </w:rPr>
        <w:t xml:space="preserve"> </w:t>
      </w:r>
      <w:r w:rsidR="00C22EDA" w:rsidRPr="00192777">
        <w:rPr>
          <w:lang w:eastAsia="en-US"/>
        </w:rPr>
        <w:t xml:space="preserve">on the </w:t>
      </w:r>
      <w:r w:rsidR="00486C45" w:rsidRPr="00192777">
        <w:rPr>
          <w:lang w:eastAsia="en-US"/>
        </w:rPr>
        <w:t xml:space="preserve">international transport infrastructure </w:t>
      </w:r>
      <w:r w:rsidR="009F20F6" w:rsidRPr="00192777">
        <w:rPr>
          <w:lang w:eastAsia="en-US"/>
        </w:rPr>
        <w:t xml:space="preserve">observatory </w:t>
      </w:r>
      <w:r w:rsidR="00DF43EE" w:rsidRPr="00192777">
        <w:rPr>
          <w:lang w:eastAsia="en-US"/>
        </w:rPr>
        <w:t>developed on a GIS platform including work</w:t>
      </w:r>
      <w:r w:rsidR="00D26F50" w:rsidRPr="00192777">
        <w:rPr>
          <w:lang w:eastAsia="en-US"/>
        </w:rPr>
        <w:t xml:space="preserve"> and data</w:t>
      </w:r>
      <w:r w:rsidR="00DF43EE" w:rsidRPr="00192777">
        <w:rPr>
          <w:lang w:eastAsia="en-US"/>
        </w:rPr>
        <w:t xml:space="preserve"> </w:t>
      </w:r>
      <w:r w:rsidR="00D42DBD" w:rsidRPr="00192777">
        <w:rPr>
          <w:lang w:eastAsia="en-US"/>
        </w:rPr>
        <w:t xml:space="preserve">on climate changes impact and adaptation </w:t>
      </w:r>
      <w:r w:rsidR="00D26F50" w:rsidRPr="00192777">
        <w:rPr>
          <w:lang w:eastAsia="en-US"/>
        </w:rPr>
        <w:t xml:space="preserve">on transport networks; of WP.5 on the </w:t>
      </w:r>
      <w:r w:rsidR="005E01B8" w:rsidRPr="00192777">
        <w:rPr>
          <w:lang w:eastAsia="en-US"/>
        </w:rPr>
        <w:t xml:space="preserve">Sustainable Inland Transport Connectivity Indicators </w:t>
      </w:r>
      <w:r w:rsidR="007C5ED8" w:rsidRPr="00192777">
        <w:rPr>
          <w:lang w:eastAsia="en-US"/>
        </w:rPr>
        <w:t xml:space="preserve">(SITCIN) </w:t>
      </w:r>
      <w:r w:rsidR="005E01B8" w:rsidRPr="00192777">
        <w:rPr>
          <w:lang w:eastAsia="en-US"/>
        </w:rPr>
        <w:t>tool</w:t>
      </w:r>
      <w:r w:rsidR="00B878AC" w:rsidRPr="00192777">
        <w:rPr>
          <w:lang w:eastAsia="en-US"/>
        </w:rPr>
        <w:t xml:space="preserve"> </w:t>
      </w:r>
      <w:r w:rsidR="007C5ED8" w:rsidRPr="00192777">
        <w:rPr>
          <w:lang w:eastAsia="en-US"/>
        </w:rPr>
        <w:t xml:space="preserve">as concrete applications and tools </w:t>
      </w:r>
      <w:r w:rsidR="007B0826" w:rsidRPr="00192777">
        <w:rPr>
          <w:lang w:eastAsia="en-US"/>
        </w:rPr>
        <w:t>based on</w:t>
      </w:r>
      <w:r w:rsidR="00BB29ED" w:rsidRPr="00192777">
        <w:rPr>
          <w:lang w:eastAsia="en-US"/>
        </w:rPr>
        <w:t xml:space="preserve"> information and com</w:t>
      </w:r>
      <w:r w:rsidR="007B0826" w:rsidRPr="00192777">
        <w:rPr>
          <w:lang w:eastAsia="en-US"/>
        </w:rPr>
        <w:t xml:space="preserve">puterization technologies </w:t>
      </w:r>
      <w:r w:rsidR="007C5ED8" w:rsidRPr="00192777">
        <w:rPr>
          <w:lang w:eastAsia="en-US"/>
        </w:rPr>
        <w:t xml:space="preserve">that </w:t>
      </w:r>
      <w:r w:rsidR="007B0826" w:rsidRPr="00192777">
        <w:rPr>
          <w:lang w:eastAsia="en-US"/>
        </w:rPr>
        <w:t xml:space="preserve"> </w:t>
      </w:r>
      <w:r w:rsidR="00FB69A9" w:rsidRPr="00192777">
        <w:rPr>
          <w:lang w:eastAsia="en-US"/>
        </w:rPr>
        <w:t xml:space="preserve">ensure </w:t>
      </w:r>
      <w:r w:rsidR="007B0826" w:rsidRPr="00192777">
        <w:rPr>
          <w:lang w:eastAsia="en-US"/>
        </w:rPr>
        <w:t xml:space="preserve">the implementation of </w:t>
      </w:r>
      <w:r w:rsidR="00B501C3" w:rsidRPr="00192777">
        <w:rPr>
          <w:lang w:eastAsia="en-US"/>
        </w:rPr>
        <w:t>ITC</w:t>
      </w:r>
      <w:r w:rsidR="007B0826" w:rsidRPr="00192777">
        <w:rPr>
          <w:lang w:eastAsia="en-US"/>
        </w:rPr>
        <w:t xml:space="preserve"> strategy until 2030 and </w:t>
      </w:r>
      <w:r w:rsidR="00B501C3" w:rsidRPr="00192777">
        <w:rPr>
          <w:lang w:eastAsia="en-US"/>
        </w:rPr>
        <w:t xml:space="preserve">specifically </w:t>
      </w:r>
      <w:r w:rsidR="007B0826" w:rsidRPr="00192777">
        <w:rPr>
          <w:lang w:eastAsia="en-US"/>
        </w:rPr>
        <w:t xml:space="preserve">its </w:t>
      </w:r>
      <w:r w:rsidR="00357F2F" w:rsidRPr="00192777">
        <w:rPr>
          <w:lang w:eastAsia="en-US"/>
        </w:rPr>
        <w:t xml:space="preserve">second </w:t>
      </w:r>
      <w:r w:rsidR="007B0826" w:rsidRPr="00192777">
        <w:rPr>
          <w:lang w:eastAsia="en-US"/>
        </w:rPr>
        <w:t xml:space="preserve">pillar </w:t>
      </w:r>
      <w:r w:rsidR="00357F2F" w:rsidRPr="00192777">
        <w:rPr>
          <w:lang w:eastAsia="en-US"/>
        </w:rPr>
        <w:t>on new technologies and innovations</w:t>
      </w:r>
      <w:r w:rsidR="009D0B8D" w:rsidRPr="00192777">
        <w:rPr>
          <w:lang w:eastAsia="en-US"/>
        </w:rPr>
        <w:t>.</w:t>
      </w:r>
    </w:p>
    <w:p w14:paraId="5F05CE92" w14:textId="18D0338B" w:rsidR="00623167" w:rsidRPr="00192777" w:rsidRDefault="00623167" w:rsidP="00361840">
      <w:pPr>
        <w:pStyle w:val="SingleTxtG"/>
      </w:pPr>
      <w:r w:rsidRPr="00192777">
        <w:t xml:space="preserve">The Committee </w:t>
      </w:r>
      <w:r w:rsidRPr="00192777">
        <w:rPr>
          <w:b/>
          <w:bCs/>
        </w:rPr>
        <w:t xml:space="preserve">may wish to note </w:t>
      </w:r>
      <w:r w:rsidRPr="00192777">
        <w:t xml:space="preserve">that, in line with the ministerial resolution on enhancing resilient inland transport connectivity in emergency situations adopted at the eighty-fourth session, the Working Party on the Transport of Dangerous Goods has again encouraged the contracting parties to ADR to use telematics in the transport of dangerous goods. It was recalled that guidelines for the application of subsection 5.4.0.2 of RID/ADR/ADN on electronic data interchange had been published on the ECE and </w:t>
      </w:r>
      <w:r w:rsidR="0094260A" w:rsidRPr="0094260A">
        <w:t xml:space="preserve">Intergovernmental Organisation for International Carriage by Rail </w:t>
      </w:r>
      <w:r w:rsidR="0094260A">
        <w:t>(</w:t>
      </w:r>
      <w:r w:rsidRPr="00192777">
        <w:t>OTIF</w:t>
      </w:r>
      <w:r w:rsidR="0094260A">
        <w:t>)</w:t>
      </w:r>
      <w:r w:rsidRPr="00192777">
        <w:t xml:space="preserve"> websites to facilitate their use on a voluntary and consistent basis. At its Spring 2022 session, the Joint Meeting of the RID Committee of Experts and the Working Party on the Transport of Dangerous Goods agreed to insert in the agenda of its future sessions a specific item on this subject to ensure a regular exchange of views on the guidelines, data model and exchange mechanism developed by the informal working group on telematics.</w:t>
      </w:r>
    </w:p>
    <w:p w14:paraId="56646CFA" w14:textId="77777777" w:rsidR="009A25D0" w:rsidRPr="00754A12" w:rsidRDefault="009A25D0" w:rsidP="00623167">
      <w:pPr>
        <w:spacing w:after="120"/>
        <w:ind w:left="567" w:right="1134" w:firstLine="567"/>
        <w:jc w:val="both"/>
        <w:rPr>
          <w:b/>
          <w:color w:val="000000" w:themeColor="text1"/>
          <w:lang w:val="fr-FR" w:eastAsia="en-US"/>
        </w:rPr>
      </w:pPr>
      <w:r w:rsidRPr="00754A12">
        <w:rPr>
          <w:b/>
          <w:color w:val="000000" w:themeColor="text1"/>
          <w:lang w:val="fr-FR" w:eastAsia="en-US"/>
        </w:rPr>
        <w:t>Documentation</w:t>
      </w:r>
    </w:p>
    <w:p w14:paraId="65B5975F" w14:textId="51C94BE7" w:rsidR="009A25D0" w:rsidRPr="00754A12" w:rsidRDefault="009A25D0" w:rsidP="00361840">
      <w:pPr>
        <w:pStyle w:val="SingleTxtG"/>
        <w:rPr>
          <w:lang w:val="fr-FR"/>
        </w:rPr>
      </w:pPr>
      <w:r w:rsidRPr="00754A12">
        <w:rPr>
          <w:lang w:val="fr-FR" w:eastAsia="en-US"/>
        </w:rPr>
        <w:t>ECE/TRANS/2023/19</w:t>
      </w:r>
      <w:r w:rsidR="002E4486" w:rsidRPr="00754A12">
        <w:rPr>
          <w:lang w:val="fr-FR" w:eastAsia="en-US"/>
        </w:rPr>
        <w:t xml:space="preserve">, </w:t>
      </w:r>
      <w:r w:rsidR="002E4486" w:rsidRPr="00754A12">
        <w:rPr>
          <w:rFonts w:asciiTheme="majorBidi" w:hAnsiTheme="majorBidi" w:cstheme="majorBidi"/>
          <w:lang w:val="fr-FR" w:eastAsia="en-US"/>
        </w:rPr>
        <w:t>ECE/TRANS/2023/20</w:t>
      </w:r>
    </w:p>
    <w:p w14:paraId="56AF2678" w14:textId="14BDB292" w:rsidR="00777D43" w:rsidRPr="00192777" w:rsidRDefault="00BE2E2B" w:rsidP="00A91070">
      <w:pPr>
        <w:pStyle w:val="H23G"/>
      </w:pPr>
      <w:r w:rsidRPr="00754A12">
        <w:rPr>
          <w:lang w:val="fr-FR"/>
        </w:rPr>
        <w:tab/>
      </w:r>
      <w:r w:rsidR="00777D43" w:rsidRPr="00192777">
        <w:t>(e)</w:t>
      </w:r>
      <w:r w:rsidR="00777D43" w:rsidRPr="00192777">
        <w:tab/>
        <w:t xml:space="preserve">Environment, </w:t>
      </w:r>
      <w:r w:rsidR="00960474">
        <w:t>C</w:t>
      </w:r>
      <w:r w:rsidR="00960474" w:rsidRPr="00192777">
        <w:t xml:space="preserve">limate </w:t>
      </w:r>
      <w:r w:rsidR="00960474">
        <w:t>C</w:t>
      </w:r>
      <w:r w:rsidR="00960474" w:rsidRPr="00192777">
        <w:t xml:space="preserve">hange </w:t>
      </w:r>
      <w:r w:rsidR="00777D43" w:rsidRPr="00192777">
        <w:t xml:space="preserve">and </w:t>
      </w:r>
      <w:r w:rsidR="00960474">
        <w:t>T</w:t>
      </w:r>
      <w:r w:rsidR="00960474" w:rsidRPr="00192777">
        <w:t>ransport</w:t>
      </w:r>
      <w:r w:rsidR="00777D43" w:rsidRPr="00192777">
        <w:t>:</w:t>
      </w:r>
    </w:p>
    <w:p w14:paraId="1863A9F4" w14:textId="0681D67A" w:rsidR="00777D43" w:rsidRPr="00192777" w:rsidRDefault="00A91070" w:rsidP="00A91070">
      <w:pPr>
        <w:pStyle w:val="H4G"/>
      </w:pPr>
      <w:r w:rsidRPr="00192777">
        <w:tab/>
      </w:r>
      <w:r w:rsidR="00777D43" w:rsidRPr="00192777">
        <w:t>(</w:t>
      </w:r>
      <w:proofErr w:type="spellStart"/>
      <w:r w:rsidR="00777D43" w:rsidRPr="00192777">
        <w:t>i</w:t>
      </w:r>
      <w:proofErr w:type="spellEnd"/>
      <w:r w:rsidR="00777D43" w:rsidRPr="00192777">
        <w:t>)</w:t>
      </w:r>
      <w:r w:rsidR="00777D43" w:rsidRPr="00192777">
        <w:tab/>
        <w:t>Inland Transport Committee follow-up to the 2030 Agenda</w:t>
      </w:r>
    </w:p>
    <w:p w14:paraId="4D128128" w14:textId="479B29FA" w:rsidR="00147AC9" w:rsidRPr="00192777" w:rsidRDefault="00147AC9" w:rsidP="00361840">
      <w:pPr>
        <w:pStyle w:val="SingleTxtG"/>
        <w:rPr>
          <w:lang w:eastAsia="en-US"/>
        </w:rPr>
      </w:pPr>
      <w:r w:rsidRPr="00192777">
        <w:rPr>
          <w:lang w:eastAsia="en-US"/>
        </w:rPr>
        <w:t xml:space="preserve">The Committee will be </w:t>
      </w:r>
      <w:r w:rsidRPr="00192777">
        <w:rPr>
          <w:b/>
          <w:lang w:eastAsia="en-US"/>
        </w:rPr>
        <w:t>informed</w:t>
      </w:r>
      <w:r w:rsidRPr="00192777">
        <w:rPr>
          <w:lang w:eastAsia="en-US"/>
        </w:rPr>
        <w:t xml:space="preserve"> about progress in implementing the Sustainable Development Goals, despite the impacts of the pandemic and major global processes/initiatives to track progress, including the targets and indicators of the Sustainable Development Goals (</w:t>
      </w:r>
      <w:r w:rsidRPr="00192777">
        <w:t xml:space="preserve">Informal document No. </w:t>
      </w:r>
      <w:r w:rsidR="003C03C5" w:rsidRPr="00192777">
        <w:t>2</w:t>
      </w:r>
      <w:r w:rsidRPr="00192777">
        <w:t>)</w:t>
      </w:r>
      <w:r w:rsidRPr="00192777">
        <w:rPr>
          <w:lang w:eastAsia="en-US"/>
        </w:rPr>
        <w:t xml:space="preserve">. The Committee is invited to </w:t>
      </w:r>
      <w:r w:rsidRPr="00192777">
        <w:rPr>
          <w:b/>
          <w:lang w:eastAsia="en-US"/>
        </w:rPr>
        <w:t>consider</w:t>
      </w:r>
      <w:r w:rsidRPr="00192777">
        <w:rPr>
          <w:lang w:eastAsia="en-US"/>
        </w:rPr>
        <w:t xml:space="preserve"> ways to strengthen its possible role and contribution within the Sustainable Development Goals framework in the period until 2030. </w:t>
      </w:r>
    </w:p>
    <w:p w14:paraId="59F1C9E6" w14:textId="77777777" w:rsidR="00147AC9" w:rsidRPr="00192777" w:rsidRDefault="00147AC9" w:rsidP="00361840">
      <w:pPr>
        <w:pStyle w:val="SingleTxtG"/>
        <w:rPr>
          <w:lang w:eastAsia="en-US"/>
        </w:rPr>
      </w:pPr>
      <w:r w:rsidRPr="00192777">
        <w:rPr>
          <w:lang w:eastAsia="en-US"/>
        </w:rPr>
        <w:t>The Committee may wish to note that the secretariat conducted a mapping of the Sustainable Development Goals most relevant to the work of the ECOSOC Committee of Experts on the Transport of Dangerous Goods and on the Globally Harmonized System of Classification and Labelling of Chemicals and its two sub-committees. The document prepared by the secretariat was considered at the December 2021 sessions of the sub-committees and a summary has been recently made available on the website.</w:t>
      </w:r>
      <w:r w:rsidRPr="00192777">
        <w:rPr>
          <w:sz w:val="18"/>
          <w:vertAlign w:val="superscript"/>
          <w:lang w:eastAsia="en-US"/>
        </w:rPr>
        <w:footnoteReference w:id="5"/>
      </w:r>
      <w:r w:rsidRPr="00192777">
        <w:rPr>
          <w:lang w:eastAsia="en-US"/>
        </w:rPr>
        <w:t xml:space="preserve"> Experts have been invited to </w:t>
      </w:r>
      <w:r w:rsidRPr="00192777">
        <w:rPr>
          <w:lang w:eastAsia="en-US"/>
        </w:rPr>
        <w:lastRenderedPageBreak/>
        <w:t xml:space="preserve">identify the Sustainable Development Goals addressed by their proposals when submitting them for consideration by the sub-committees. </w:t>
      </w:r>
    </w:p>
    <w:p w14:paraId="1BC16D82" w14:textId="0BB1A7E5" w:rsidR="00147AC9" w:rsidRPr="00192777" w:rsidRDefault="00147AC9" w:rsidP="00361840">
      <w:pPr>
        <w:pStyle w:val="SingleTxtG"/>
        <w:rPr>
          <w:lang w:eastAsia="en-US"/>
        </w:rPr>
      </w:pPr>
      <w:r w:rsidRPr="00192777">
        <w:t>At its September 2022 session, the Joint Meeting of the RID Committee of Experts and the Working Party on the Transport of Dangerous Goods agreed to insert a new item on its agenda on</w:t>
      </w:r>
      <w:r w:rsidR="0094260A">
        <w:t xml:space="preserve"> the</w:t>
      </w:r>
      <w:r w:rsidRPr="00192777">
        <w:t xml:space="preserve"> implementation of Agenda 2030 and invited delegations to identify the sustainable development goals addressed by their proposals. It also agreed to further discuss at its spring 2023 session the main sustainable development goals applicable to its work.</w:t>
      </w:r>
    </w:p>
    <w:p w14:paraId="6692D603" w14:textId="77777777" w:rsidR="00147AC9" w:rsidRPr="00192777" w:rsidRDefault="00147AC9" w:rsidP="00147AC9">
      <w:pPr>
        <w:spacing w:after="120"/>
        <w:ind w:left="1134" w:right="1134"/>
        <w:jc w:val="both"/>
        <w:rPr>
          <w:rFonts w:eastAsia="Times New Roman"/>
          <w:b/>
        </w:rPr>
      </w:pPr>
      <w:r w:rsidRPr="00192777">
        <w:rPr>
          <w:rFonts w:eastAsia="Times New Roman"/>
          <w:b/>
        </w:rPr>
        <w:t>Documentation</w:t>
      </w:r>
    </w:p>
    <w:p w14:paraId="18E4AB08" w14:textId="66FF141A" w:rsidR="007006DA" w:rsidRPr="00192777" w:rsidRDefault="00147AC9" w:rsidP="00361840">
      <w:pPr>
        <w:pStyle w:val="SingleTxtG"/>
      </w:pPr>
      <w:r w:rsidRPr="00192777">
        <w:t xml:space="preserve">Informal document No. </w:t>
      </w:r>
      <w:r w:rsidR="003C03C5" w:rsidRPr="00192777">
        <w:t>2</w:t>
      </w:r>
    </w:p>
    <w:p w14:paraId="427BBFBF" w14:textId="3E0DB72D" w:rsidR="00777D43" w:rsidRPr="00192777" w:rsidRDefault="00A91070" w:rsidP="00A91070">
      <w:pPr>
        <w:pStyle w:val="H4G"/>
      </w:pPr>
      <w:r w:rsidRPr="00192777">
        <w:tab/>
      </w:r>
      <w:r w:rsidR="00777D43" w:rsidRPr="00192777">
        <w:t>(ii)</w:t>
      </w:r>
      <w:r w:rsidR="00777D43" w:rsidRPr="00192777">
        <w:tab/>
        <w:t xml:space="preserve">Inland Transport Committee acting on climate change </w:t>
      </w:r>
      <w:r w:rsidR="00BA5549" w:rsidRPr="00192777">
        <w:t>adaptation and</w:t>
      </w:r>
      <w:r w:rsidR="003A610E" w:rsidRPr="00192777">
        <w:t xml:space="preserve"> </w:t>
      </w:r>
      <w:r w:rsidR="00777D43" w:rsidRPr="00192777">
        <w:t>mitigation</w:t>
      </w:r>
    </w:p>
    <w:p w14:paraId="5B84F4E1" w14:textId="0660110B" w:rsidR="00F01F3D" w:rsidRPr="00192777" w:rsidRDefault="00A91DF9" w:rsidP="00361840">
      <w:pPr>
        <w:pStyle w:val="SingleTxtG"/>
        <w:rPr>
          <w:b/>
          <w:bCs/>
          <w:lang w:eastAsia="en-US"/>
        </w:rPr>
      </w:pPr>
      <w:r w:rsidRPr="00192777">
        <w:rPr>
          <w:lang w:eastAsia="en-US"/>
        </w:rPr>
        <w:t>The Committee</w:t>
      </w:r>
      <w:r w:rsidR="00116B29" w:rsidRPr="00192777">
        <w:rPr>
          <w:lang w:eastAsia="en-US"/>
        </w:rPr>
        <w:t>,</w:t>
      </w:r>
      <w:r w:rsidRPr="00192777">
        <w:rPr>
          <w:lang w:eastAsia="en-US"/>
        </w:rPr>
        <w:t xml:space="preserve"> recognizing t</w:t>
      </w:r>
      <w:r w:rsidR="003D0509" w:rsidRPr="00192777">
        <w:rPr>
          <w:lang w:eastAsia="en-US"/>
        </w:rPr>
        <w:t>he worsening situation globally due to the increasing frequency and severity of impacts from climate change</w:t>
      </w:r>
      <w:r w:rsidRPr="00192777">
        <w:rPr>
          <w:lang w:eastAsia="en-US"/>
        </w:rPr>
        <w:t xml:space="preserve"> that </w:t>
      </w:r>
      <w:r w:rsidR="003D0509" w:rsidRPr="00192777">
        <w:rPr>
          <w:lang w:eastAsia="en-US"/>
        </w:rPr>
        <w:t xml:space="preserve">creates increased demands and opportunities for inland transport, the main </w:t>
      </w:r>
      <w:r w:rsidR="00000F1F" w:rsidRPr="00192777">
        <w:rPr>
          <w:lang w:eastAsia="en-US"/>
        </w:rPr>
        <w:t xml:space="preserve">transport </w:t>
      </w:r>
      <w:r w:rsidR="003D0509" w:rsidRPr="00192777">
        <w:rPr>
          <w:lang w:eastAsia="en-US"/>
        </w:rPr>
        <w:t>contributor to CO</w:t>
      </w:r>
      <w:r w:rsidR="003D0509" w:rsidRPr="00192777">
        <w:rPr>
          <w:vertAlign w:val="subscript"/>
          <w:lang w:eastAsia="en-US"/>
        </w:rPr>
        <w:t>2</w:t>
      </w:r>
      <w:r w:rsidR="003D0509" w:rsidRPr="00192777">
        <w:rPr>
          <w:lang w:eastAsia="en-US"/>
        </w:rPr>
        <w:t xml:space="preserve"> emissions, to become part of the solutions’ mix</w:t>
      </w:r>
      <w:r w:rsidR="00000F1F" w:rsidRPr="00192777">
        <w:rPr>
          <w:lang w:eastAsia="en-US"/>
        </w:rPr>
        <w:t xml:space="preserve">, </w:t>
      </w:r>
      <w:r w:rsidR="00AD5BC2" w:rsidRPr="00192777">
        <w:rPr>
          <w:lang w:eastAsia="en-US"/>
        </w:rPr>
        <w:t>invited its Working Parties to submit to the secretariat their ongoing contributions, future plans and suggestions in support of climate change mitigation  and requested the secretariat</w:t>
      </w:r>
      <w:r w:rsidR="00116B29" w:rsidRPr="00192777">
        <w:rPr>
          <w:lang w:eastAsia="en-US"/>
        </w:rPr>
        <w:t>,</w:t>
      </w:r>
      <w:r w:rsidR="00AD5BC2" w:rsidRPr="00192777">
        <w:rPr>
          <w:lang w:eastAsia="en-US"/>
        </w:rPr>
        <w:t xml:space="preserve"> </w:t>
      </w:r>
      <w:r w:rsidR="00116B29" w:rsidRPr="00192777">
        <w:rPr>
          <w:lang w:eastAsia="en-US"/>
        </w:rPr>
        <w:t xml:space="preserve">in consultation with the Bureau, to prepare a comprehensive paper with these activities and action-oriented options for the Committee and Working Parties  for  consideration at the Committee’s eighty-fifth plenary session </w:t>
      </w:r>
      <w:r w:rsidR="00BC3668" w:rsidRPr="00192777">
        <w:rPr>
          <w:lang w:eastAsia="en-US"/>
        </w:rPr>
        <w:t>(ECE/TRANS/316</w:t>
      </w:r>
      <w:r w:rsidR="00116B29" w:rsidRPr="00192777">
        <w:rPr>
          <w:lang w:eastAsia="en-US"/>
        </w:rPr>
        <w:t xml:space="preserve">, para </w:t>
      </w:r>
      <w:r w:rsidR="00D64201" w:rsidRPr="00192777">
        <w:rPr>
          <w:lang w:eastAsia="en-US"/>
        </w:rPr>
        <w:t>51</w:t>
      </w:r>
      <w:r w:rsidR="00E7408D" w:rsidRPr="00192777">
        <w:rPr>
          <w:lang w:eastAsia="en-US"/>
        </w:rPr>
        <w:t>(c)</w:t>
      </w:r>
      <w:r w:rsidR="00D64201" w:rsidRPr="00192777">
        <w:rPr>
          <w:lang w:eastAsia="en-US"/>
        </w:rPr>
        <w:t xml:space="preserve"> and (d)</w:t>
      </w:r>
      <w:r w:rsidR="00E7408D" w:rsidRPr="00192777">
        <w:rPr>
          <w:lang w:eastAsia="en-US"/>
        </w:rPr>
        <w:t>)</w:t>
      </w:r>
      <w:r w:rsidR="003D0509" w:rsidRPr="00192777">
        <w:rPr>
          <w:lang w:eastAsia="en-US"/>
        </w:rPr>
        <w:t xml:space="preserve">. The Committee </w:t>
      </w:r>
      <w:r w:rsidR="003D0509" w:rsidRPr="00192777">
        <w:rPr>
          <w:b/>
          <w:bCs/>
          <w:lang w:eastAsia="en-US"/>
        </w:rPr>
        <w:t>may wish to consider</w:t>
      </w:r>
      <w:r w:rsidR="003D0509" w:rsidRPr="00192777">
        <w:rPr>
          <w:lang w:eastAsia="en-US"/>
        </w:rPr>
        <w:t xml:space="preserve"> ECE/TRANS/202</w:t>
      </w:r>
      <w:r w:rsidR="00E7408D" w:rsidRPr="00192777">
        <w:rPr>
          <w:lang w:eastAsia="en-US"/>
        </w:rPr>
        <w:t>3</w:t>
      </w:r>
      <w:r w:rsidR="003D0509" w:rsidRPr="00192777">
        <w:rPr>
          <w:lang w:eastAsia="en-US"/>
        </w:rPr>
        <w:t>/</w:t>
      </w:r>
      <w:r w:rsidR="004C3A81" w:rsidRPr="00192777">
        <w:rPr>
          <w:lang w:eastAsia="en-US"/>
        </w:rPr>
        <w:t xml:space="preserve">21 </w:t>
      </w:r>
      <w:r w:rsidR="003D0509" w:rsidRPr="00192777">
        <w:rPr>
          <w:lang w:eastAsia="en-US"/>
        </w:rPr>
        <w:t xml:space="preserve">which </w:t>
      </w:r>
      <w:r w:rsidR="004C3A81" w:rsidRPr="00192777">
        <w:rPr>
          <w:lang w:eastAsia="en-US"/>
        </w:rPr>
        <w:t xml:space="preserve">has been </w:t>
      </w:r>
      <w:r w:rsidR="00716470" w:rsidRPr="00192777">
        <w:rPr>
          <w:lang w:eastAsia="en-US"/>
        </w:rPr>
        <w:t>prepared in direct implementation of this mandate</w:t>
      </w:r>
      <w:r w:rsidR="003D0509" w:rsidRPr="00192777">
        <w:rPr>
          <w:lang w:eastAsia="en-US"/>
        </w:rPr>
        <w:t xml:space="preserve">. The Committee </w:t>
      </w:r>
      <w:r w:rsidR="003D0509" w:rsidRPr="00192777">
        <w:rPr>
          <w:b/>
          <w:bCs/>
          <w:lang w:eastAsia="en-US"/>
        </w:rPr>
        <w:t>may then wish to discuss and suggest the way forward</w:t>
      </w:r>
      <w:r w:rsidR="00716470" w:rsidRPr="00192777">
        <w:rPr>
          <w:lang w:eastAsia="en-US"/>
        </w:rPr>
        <w:t xml:space="preserve"> on possible ways to strengthen </w:t>
      </w:r>
      <w:r w:rsidR="00716470" w:rsidRPr="00192777">
        <w:t>the</w:t>
      </w:r>
      <w:r w:rsidR="00716470" w:rsidRPr="00192777">
        <w:rPr>
          <w:lang w:eastAsia="en-US"/>
        </w:rPr>
        <w:t xml:space="preserve"> role and contribution of the Committee on this critical matter that is addressed horizontally by several of the Committee’s subsidiaries, as well as the Committee itself</w:t>
      </w:r>
      <w:r w:rsidR="00D3770A" w:rsidRPr="00192777">
        <w:rPr>
          <w:lang w:eastAsia="en-US"/>
        </w:rPr>
        <w:t>.</w:t>
      </w:r>
    </w:p>
    <w:p w14:paraId="6FB3AE9F" w14:textId="0CAA4AA3" w:rsidR="00BE2E2B" w:rsidRPr="00192777" w:rsidRDefault="00BE2E2B" w:rsidP="00361840">
      <w:pPr>
        <w:pStyle w:val="SingleTxtG"/>
        <w:rPr>
          <w:lang w:eastAsia="en-US"/>
        </w:rPr>
      </w:pPr>
      <w:r w:rsidRPr="00192777">
        <w:rPr>
          <w:lang w:eastAsia="en-US"/>
        </w:rPr>
        <w:t xml:space="preserve">The Committee is invited to note the work on climate change, in particular the For </w:t>
      </w:r>
      <w:r w:rsidRPr="00192777">
        <w:t>Future</w:t>
      </w:r>
      <w:r w:rsidRPr="00192777">
        <w:rPr>
          <w:lang w:eastAsia="en-US"/>
        </w:rPr>
        <w:t xml:space="preserve"> Inland Transport Systems (</w:t>
      </w:r>
      <w:proofErr w:type="spellStart"/>
      <w:r w:rsidRPr="00192777">
        <w:rPr>
          <w:lang w:eastAsia="en-US"/>
        </w:rPr>
        <w:t>ForFITS</w:t>
      </w:r>
      <w:proofErr w:type="spellEnd"/>
      <w:r w:rsidRPr="00192777">
        <w:rPr>
          <w:lang w:eastAsia="en-US"/>
        </w:rPr>
        <w:t>) Tool</w:t>
      </w:r>
      <w:r w:rsidRPr="00192777">
        <w:rPr>
          <w:sz w:val="18"/>
          <w:vertAlign w:val="superscript"/>
          <w:lang w:eastAsia="en-US"/>
        </w:rPr>
        <w:footnoteReference w:id="6"/>
      </w:r>
      <w:r w:rsidRPr="00192777">
        <w:rPr>
          <w:lang w:eastAsia="en-US"/>
        </w:rPr>
        <w:t xml:space="preserve"> in the activities to support governments to mitigate the negative impacts of transport on the environment and about </w:t>
      </w:r>
      <w:r w:rsidRPr="00192777">
        <w:t xml:space="preserve">the implementation status of </w:t>
      </w:r>
      <w:proofErr w:type="spellStart"/>
      <w:r w:rsidRPr="00192777">
        <w:t>ForFITS</w:t>
      </w:r>
      <w:proofErr w:type="spellEnd"/>
      <w:r w:rsidRPr="00192777">
        <w:t xml:space="preserve"> over the last </w:t>
      </w:r>
      <w:r w:rsidR="0094260A">
        <w:t xml:space="preserve">several </w:t>
      </w:r>
      <w:r w:rsidRPr="00192777">
        <w:t>years</w:t>
      </w:r>
      <w:r w:rsidRPr="00192777">
        <w:rPr>
          <w:lang w:eastAsia="en-US"/>
        </w:rPr>
        <w:t xml:space="preserve"> (Informal document No. </w:t>
      </w:r>
      <w:r w:rsidR="003C03C5" w:rsidRPr="00192777">
        <w:rPr>
          <w:lang w:eastAsia="en-US"/>
        </w:rPr>
        <w:t>3</w:t>
      </w:r>
      <w:r w:rsidRPr="00192777">
        <w:rPr>
          <w:lang w:eastAsia="en-US"/>
        </w:rPr>
        <w:t>).</w:t>
      </w:r>
    </w:p>
    <w:p w14:paraId="5B46B3EB" w14:textId="04796104" w:rsidR="00D478F4" w:rsidRPr="00192777" w:rsidRDefault="00D478F4" w:rsidP="00361840">
      <w:pPr>
        <w:pStyle w:val="SingleTxtG"/>
      </w:pPr>
      <w:r w:rsidRPr="00192777">
        <w:t xml:space="preserve">The Committee </w:t>
      </w:r>
      <w:r w:rsidR="00AD2E07">
        <w:rPr>
          <w:b/>
          <w:bCs/>
        </w:rPr>
        <w:t>will be reported to about</w:t>
      </w:r>
      <w:r w:rsidRPr="00192777">
        <w:t xml:space="preserve"> progress in the work of the Group of Experts on assessment of climate change impacts and adaptation for inland transport</w:t>
      </w:r>
      <w:r w:rsidR="004F5C9A" w:rsidRPr="00192777">
        <w:t xml:space="preserve"> which was initiated in 2010</w:t>
      </w:r>
      <w:r w:rsidR="000735EA" w:rsidRPr="00192777">
        <w:t xml:space="preserve"> and especially </w:t>
      </w:r>
      <w:r w:rsidR="006C2E92" w:rsidRPr="00192777">
        <w:t xml:space="preserve">on </w:t>
      </w:r>
      <w:r w:rsidR="00265BBE" w:rsidRPr="00192777">
        <w:t>its</w:t>
      </w:r>
      <w:r w:rsidR="006C2E92" w:rsidRPr="00192777">
        <w:t xml:space="preserve"> </w:t>
      </w:r>
      <w:r w:rsidR="00E52BDF" w:rsidRPr="00192777">
        <w:t xml:space="preserve">GIS </w:t>
      </w:r>
      <w:r w:rsidR="006C2E92" w:rsidRPr="00192777">
        <w:t xml:space="preserve">application developed based on data </w:t>
      </w:r>
      <w:r w:rsidR="00D55D3C" w:rsidRPr="00192777">
        <w:t>generated</w:t>
      </w:r>
      <w:r w:rsidR="006C2E92" w:rsidRPr="00192777">
        <w:t xml:space="preserve"> in cooperation with </w:t>
      </w:r>
      <w:r w:rsidR="00E52BDF" w:rsidRPr="00192777">
        <w:t xml:space="preserve">World Meteorological Organization that brings together </w:t>
      </w:r>
      <w:r w:rsidR="00265BBE" w:rsidRPr="00192777">
        <w:t xml:space="preserve">forecasts for </w:t>
      </w:r>
      <w:r w:rsidR="007C2BA9" w:rsidRPr="00192777">
        <w:t xml:space="preserve">the </w:t>
      </w:r>
      <w:r w:rsidR="00265BBE" w:rsidRPr="00192777">
        <w:t xml:space="preserve">different climatic factors and </w:t>
      </w:r>
      <w:r w:rsidR="00D55D3C" w:rsidRPr="00192777">
        <w:t xml:space="preserve">the </w:t>
      </w:r>
      <w:r w:rsidR="00265BBE" w:rsidRPr="00192777">
        <w:t>transport networks</w:t>
      </w:r>
      <w:r w:rsidR="007C2BA9" w:rsidRPr="00192777">
        <w:t xml:space="preserve"> with the objective to identify </w:t>
      </w:r>
      <w:r w:rsidR="00217CDE" w:rsidRPr="00192777">
        <w:t>possible impacts to transport infrastructure and discuss adaptation measures</w:t>
      </w:r>
      <w:r w:rsidR="00265BBE" w:rsidRPr="00192777">
        <w:t xml:space="preserve">. </w:t>
      </w:r>
    </w:p>
    <w:p w14:paraId="7FD762B6" w14:textId="77777777" w:rsidR="00F01F3D" w:rsidRPr="00B9125D" w:rsidRDefault="00F01F3D" w:rsidP="00F01F3D">
      <w:pPr>
        <w:spacing w:after="120"/>
        <w:ind w:left="1134" w:right="1134"/>
        <w:jc w:val="both"/>
        <w:rPr>
          <w:rFonts w:eastAsia="Times New Roman"/>
          <w:b/>
          <w:lang w:val="fr-CH"/>
        </w:rPr>
      </w:pPr>
      <w:r w:rsidRPr="00B9125D">
        <w:rPr>
          <w:rFonts w:eastAsia="Times New Roman"/>
          <w:b/>
          <w:lang w:val="fr-CH"/>
        </w:rPr>
        <w:t>Documentation</w:t>
      </w:r>
    </w:p>
    <w:p w14:paraId="14FE6E3A" w14:textId="0934C399" w:rsidR="00F01F3D" w:rsidRPr="00B9125D" w:rsidRDefault="00856E30" w:rsidP="00361840">
      <w:pPr>
        <w:pStyle w:val="SingleTxtG"/>
        <w:rPr>
          <w:lang w:val="fr-CH"/>
        </w:rPr>
      </w:pPr>
      <w:r w:rsidRPr="00B9125D">
        <w:rPr>
          <w:color w:val="000000" w:themeColor="text1"/>
          <w:lang w:val="fr-CH" w:eastAsia="en-US"/>
        </w:rPr>
        <w:t xml:space="preserve">ECE/TRANS/2023/21, </w:t>
      </w:r>
      <w:r w:rsidR="00F01F3D" w:rsidRPr="00B9125D">
        <w:rPr>
          <w:lang w:val="fr-CH"/>
        </w:rPr>
        <w:t xml:space="preserve">Informal document No. </w:t>
      </w:r>
      <w:r w:rsidR="003C03C5" w:rsidRPr="00B9125D">
        <w:rPr>
          <w:lang w:val="fr-CH"/>
        </w:rPr>
        <w:t>3</w:t>
      </w:r>
    </w:p>
    <w:p w14:paraId="04FB2D73" w14:textId="054E457E" w:rsidR="00DC3D40" w:rsidRPr="00192777" w:rsidRDefault="00A91070" w:rsidP="00A91070">
      <w:pPr>
        <w:pStyle w:val="H4G"/>
      </w:pPr>
      <w:r w:rsidRPr="00B9125D">
        <w:rPr>
          <w:lang w:val="fr-CH"/>
        </w:rPr>
        <w:tab/>
      </w:r>
      <w:r w:rsidR="00777D43" w:rsidRPr="00192777">
        <w:t>(iii)</w:t>
      </w:r>
      <w:r w:rsidR="00777D43" w:rsidRPr="00192777">
        <w:tab/>
      </w:r>
      <w:r w:rsidR="00997F1A" w:rsidRPr="00192777">
        <w:t xml:space="preserve">Green transport and </w:t>
      </w:r>
      <w:r w:rsidR="00DC3D40" w:rsidRPr="00192777">
        <w:t>the environment</w:t>
      </w:r>
    </w:p>
    <w:p w14:paraId="1BF2E139" w14:textId="60BBE06F" w:rsidR="007006DA" w:rsidRPr="00192777" w:rsidRDefault="002A3F23" w:rsidP="002A3F23">
      <w:pPr>
        <w:pStyle w:val="SingleTxtG"/>
      </w:pPr>
      <w:r w:rsidRPr="00192777">
        <w:t xml:space="preserve">The Committee will be </w:t>
      </w:r>
      <w:r w:rsidRPr="00192777">
        <w:rPr>
          <w:b/>
          <w:bCs/>
        </w:rPr>
        <w:t>informed</w:t>
      </w:r>
      <w:r w:rsidRPr="00192777">
        <w:t xml:space="preserve"> about progress in relation to work on green </w:t>
      </w:r>
      <w:r w:rsidRPr="00192777">
        <w:rPr>
          <w:rFonts w:eastAsia="Times New Roman"/>
        </w:rPr>
        <w:t>transport</w:t>
      </w:r>
      <w:r w:rsidRPr="00192777">
        <w:t xml:space="preserve"> across the Sustainable Transport Division, particularly in relation to implementing the ITC Strategy.</w:t>
      </w:r>
    </w:p>
    <w:p w14:paraId="2F3A6669" w14:textId="26CCA055" w:rsidR="00777D43" w:rsidRPr="00192777" w:rsidRDefault="00A91070" w:rsidP="00A91070">
      <w:pPr>
        <w:pStyle w:val="H4G"/>
      </w:pPr>
      <w:r w:rsidRPr="00192777">
        <w:tab/>
      </w:r>
      <w:r w:rsidR="00DC3D40" w:rsidRPr="00192777">
        <w:t>(iv)</w:t>
      </w:r>
      <w:r w:rsidR="00DC3D40" w:rsidRPr="00192777">
        <w:tab/>
      </w:r>
      <w:r w:rsidR="00777D43" w:rsidRPr="00192777">
        <w:t>Transport, Health and Environment Pan-European Programme</w:t>
      </w:r>
    </w:p>
    <w:p w14:paraId="2E9E7CA0" w14:textId="599E4C7D" w:rsidR="00D270D1" w:rsidRPr="00192777" w:rsidRDefault="00D270D1" w:rsidP="00D270D1">
      <w:pPr>
        <w:pStyle w:val="SingleTxtG"/>
        <w:rPr>
          <w:rFonts w:eastAsia="Times New Roman"/>
        </w:rPr>
      </w:pPr>
      <w:r w:rsidRPr="00192777">
        <w:rPr>
          <w:rFonts w:eastAsia="Times New Roman"/>
        </w:rPr>
        <w:t xml:space="preserve">The Committee </w:t>
      </w:r>
      <w:r w:rsidRPr="00192777">
        <w:rPr>
          <w:rFonts w:eastAsia="Times New Roman"/>
          <w:b/>
          <w:bCs/>
        </w:rPr>
        <w:t>may wish to take note</w:t>
      </w:r>
      <w:r w:rsidRPr="00192777">
        <w:rPr>
          <w:rFonts w:eastAsia="Times New Roman"/>
        </w:rPr>
        <w:t xml:space="preserve"> of the report of THE PEP Steering Committee on its twentieth session (17-19 October 2022, </w:t>
      </w:r>
      <w:r w:rsidR="0009218F" w:rsidRPr="00192777">
        <w:rPr>
          <w:rFonts w:eastAsia="Times New Roman"/>
        </w:rPr>
        <w:t>online</w:t>
      </w:r>
      <w:r w:rsidRPr="00192777">
        <w:rPr>
          <w:rFonts w:eastAsia="Times New Roman"/>
        </w:rPr>
        <w:t>) (ECE/AC.21/SC/2022/2).</w:t>
      </w:r>
    </w:p>
    <w:p w14:paraId="111FD51A" w14:textId="77777777" w:rsidR="00D270D1" w:rsidRPr="00192777" w:rsidRDefault="00D270D1" w:rsidP="00D270D1">
      <w:pPr>
        <w:pStyle w:val="SingleTxtG"/>
        <w:rPr>
          <w:rFonts w:eastAsia="Times New Roman"/>
        </w:rPr>
      </w:pPr>
      <w:r w:rsidRPr="00192777">
        <w:rPr>
          <w:rFonts w:eastAsia="Times New Roman"/>
        </w:rPr>
        <w:t xml:space="preserve">The Committee </w:t>
      </w:r>
      <w:r w:rsidRPr="00192777">
        <w:rPr>
          <w:rFonts w:eastAsia="Times New Roman"/>
          <w:b/>
          <w:bCs/>
        </w:rPr>
        <w:t>may wish to be informed</w:t>
      </w:r>
      <w:r w:rsidRPr="00192777">
        <w:rPr>
          <w:rFonts w:eastAsia="Times New Roman"/>
        </w:rPr>
        <w:t> about the implementation of the outcomes of the fifth High-level Meeting on Transport, Health and Environment in particular on the Vienna Declaration adopted at the High-level Meeting including its annexes. The Committee may also wish to be informed about progress on the development of a strategy for THE PEP and considerations on the development of a dedicated THE PEP legal instrument.</w:t>
      </w:r>
    </w:p>
    <w:p w14:paraId="3B0E1D64" w14:textId="40E97343" w:rsidR="007006DA" w:rsidRPr="00192777" w:rsidRDefault="00D270D1" w:rsidP="00856E30">
      <w:pPr>
        <w:pStyle w:val="SingleTxtG"/>
      </w:pPr>
      <w:r w:rsidRPr="00192777">
        <w:rPr>
          <w:rFonts w:eastAsia="Times New Roman"/>
        </w:rPr>
        <w:lastRenderedPageBreak/>
        <w:t xml:space="preserve">The Committee </w:t>
      </w:r>
      <w:r w:rsidRPr="00192777">
        <w:rPr>
          <w:rFonts w:eastAsia="Times New Roman"/>
          <w:b/>
          <w:bCs/>
        </w:rPr>
        <w:t>is invited to consider taking actions</w:t>
      </w:r>
      <w:r w:rsidRPr="00192777">
        <w:rPr>
          <w:rFonts w:eastAsia="Times New Roman"/>
        </w:rPr>
        <w:t> towards strengthening the presence of the transport sector in THE PEP, in particular, by designating national focal points as well as supporting the successful outcome of the Fifth High-level Meeting.</w:t>
      </w:r>
    </w:p>
    <w:p w14:paraId="6E77966B" w14:textId="274E1FEE" w:rsidR="00777D43" w:rsidRPr="00192777" w:rsidRDefault="00A46541" w:rsidP="00A91070">
      <w:pPr>
        <w:pStyle w:val="H23G"/>
      </w:pPr>
      <w:r w:rsidRPr="00192777">
        <w:tab/>
      </w:r>
      <w:r w:rsidR="00777D43" w:rsidRPr="00192777">
        <w:t>(f)</w:t>
      </w:r>
      <w:r w:rsidR="00777D43" w:rsidRPr="00192777">
        <w:tab/>
        <w:t xml:space="preserve">Inland </w:t>
      </w:r>
      <w:r w:rsidR="0009218F" w:rsidRPr="00192777">
        <w:t>Transport Security</w:t>
      </w:r>
    </w:p>
    <w:p w14:paraId="2620DC92" w14:textId="3F8B80B7" w:rsidR="008512D7" w:rsidRPr="00192777" w:rsidRDefault="00105B23" w:rsidP="00105B23">
      <w:pPr>
        <w:pStyle w:val="SingleTxtG"/>
        <w:rPr>
          <w:rFonts w:eastAsia="Times New Roman"/>
        </w:rPr>
      </w:pPr>
      <w:r w:rsidRPr="00192777">
        <w:rPr>
          <w:rFonts w:eastAsia="Times New Roman"/>
        </w:rPr>
        <w:t xml:space="preserve">The Committee </w:t>
      </w:r>
      <w:r w:rsidRPr="00192777">
        <w:rPr>
          <w:rFonts w:eastAsia="Times New Roman"/>
          <w:b/>
          <w:bCs/>
        </w:rPr>
        <w:t>will be briefed</w:t>
      </w:r>
      <w:r w:rsidRPr="00192777">
        <w:rPr>
          <w:rFonts w:eastAsia="Times New Roman"/>
        </w:rPr>
        <w:t xml:space="preserve"> on the results of a Round Table on Protection of transport infrastructure at the stages of design, construction, and operation held in the framework of </w:t>
      </w:r>
      <w:r w:rsidR="00C32DFD" w:rsidRPr="00192777">
        <w:rPr>
          <w:rFonts w:eastAsia="Times New Roman"/>
        </w:rPr>
        <w:t xml:space="preserve">the Working Party on Transport Trends and Economics (WP.5) </w:t>
      </w:r>
      <w:r w:rsidRPr="00192777">
        <w:rPr>
          <w:rFonts w:eastAsia="Times New Roman"/>
        </w:rPr>
        <w:t>on 7 September 2022.</w:t>
      </w:r>
    </w:p>
    <w:p w14:paraId="7CD283A0" w14:textId="45CF6DFA" w:rsidR="00777D43" w:rsidRPr="00192777" w:rsidRDefault="00A46541" w:rsidP="00A91070">
      <w:pPr>
        <w:pStyle w:val="H23G"/>
      </w:pPr>
      <w:r w:rsidRPr="00192777">
        <w:tab/>
      </w:r>
      <w:r w:rsidR="00777D43" w:rsidRPr="00192777">
        <w:t>(g)</w:t>
      </w:r>
      <w:r w:rsidR="00777D43" w:rsidRPr="00192777">
        <w:tab/>
        <w:t xml:space="preserve">Analytical </w:t>
      </w:r>
      <w:r w:rsidR="0009218F" w:rsidRPr="00192777">
        <w:t xml:space="preserve">Work </w:t>
      </w:r>
      <w:r w:rsidR="00777D43" w:rsidRPr="00192777">
        <w:t xml:space="preserve">on </w:t>
      </w:r>
      <w:r w:rsidR="0009218F" w:rsidRPr="00192777">
        <w:t>Transpor</w:t>
      </w:r>
      <w:r w:rsidR="00777D43" w:rsidRPr="00192777">
        <w:t>t</w:t>
      </w:r>
    </w:p>
    <w:p w14:paraId="154159D3" w14:textId="6E328D90" w:rsidR="00192107" w:rsidRPr="00192777" w:rsidRDefault="00192107" w:rsidP="00192107">
      <w:pPr>
        <w:pStyle w:val="SingleTxtG"/>
        <w:rPr>
          <w:rFonts w:eastAsia="Times New Roman"/>
        </w:rPr>
      </w:pPr>
      <w:r w:rsidRPr="00192777">
        <w:rPr>
          <w:rFonts w:eastAsia="Times New Roman"/>
        </w:rPr>
        <w:t xml:space="preserve">The Committee </w:t>
      </w:r>
      <w:r w:rsidR="00AD2E07">
        <w:rPr>
          <w:rFonts w:eastAsia="Times New Roman"/>
          <w:b/>
          <w:bCs/>
        </w:rPr>
        <w:t>will be reported to about</w:t>
      </w:r>
      <w:r w:rsidRPr="00192777">
        <w:rPr>
          <w:rFonts w:eastAsia="Times New Roman"/>
        </w:rPr>
        <w:t xml:space="preserve"> the analytical work of</w:t>
      </w:r>
      <w:r w:rsidR="00C32DFD">
        <w:rPr>
          <w:rFonts w:eastAsia="Times New Roman"/>
        </w:rPr>
        <w:t xml:space="preserve"> </w:t>
      </w:r>
      <w:r w:rsidR="00C32DFD" w:rsidRPr="00192777">
        <w:rPr>
          <w:rFonts w:eastAsia="Times New Roman"/>
        </w:rPr>
        <w:t xml:space="preserve">WP.5 </w:t>
      </w:r>
      <w:r w:rsidR="00C32DFD">
        <w:rPr>
          <w:rFonts w:eastAsia="Times New Roman"/>
        </w:rPr>
        <w:t>in</w:t>
      </w:r>
      <w:r w:rsidRPr="00192777">
        <w:rPr>
          <w:rFonts w:eastAsia="Times New Roman"/>
        </w:rPr>
        <w:t xml:space="preserve"> 2022 (</w:t>
      </w:r>
      <w:r w:rsidR="0067163F" w:rsidRPr="00192777">
        <w:t>ECE/</w:t>
      </w:r>
      <w:r w:rsidR="0067163F" w:rsidRPr="00192777">
        <w:rPr>
          <w:rFonts w:eastAsia="Times New Roman"/>
        </w:rPr>
        <w:t>TRANS</w:t>
      </w:r>
      <w:r w:rsidR="0067163F" w:rsidRPr="00192777">
        <w:t>/2023/2</w:t>
      </w:r>
      <w:r w:rsidR="003A0171" w:rsidRPr="00192777">
        <w:t>2</w:t>
      </w:r>
      <w:r w:rsidRPr="00192777">
        <w:rPr>
          <w:rFonts w:eastAsia="Times New Roman"/>
        </w:rPr>
        <w:t xml:space="preserve">). WP.5 serves as a think tank for ITC, it leads policy discussions on subjects of a horizontal nature that are relevant for ECE member States, the Committee, and its subsidiary bodies, and for the legal and regulatory framework of inland transport. </w:t>
      </w:r>
    </w:p>
    <w:p w14:paraId="071FB8F7" w14:textId="77777777" w:rsidR="00192107" w:rsidRPr="00192777" w:rsidRDefault="00192107" w:rsidP="00192107">
      <w:pPr>
        <w:pStyle w:val="SingleTxtG"/>
        <w:rPr>
          <w:rFonts w:eastAsia="Times New Roman"/>
        </w:rPr>
      </w:pPr>
      <w:r w:rsidRPr="00192777">
        <w:rPr>
          <w:rFonts w:eastAsia="Times New Roman"/>
        </w:rPr>
        <w:t xml:space="preserve">Among other analytical outputs, the Committee </w:t>
      </w:r>
      <w:r w:rsidRPr="00192777">
        <w:rPr>
          <w:rFonts w:eastAsia="Times New Roman"/>
          <w:b/>
          <w:bCs/>
        </w:rPr>
        <w:t>will be presented with progress updates</w:t>
      </w:r>
      <w:r w:rsidRPr="00192777">
        <w:rPr>
          <w:rFonts w:eastAsia="Times New Roman"/>
        </w:rPr>
        <w:t xml:space="preserve"> on: </w:t>
      </w:r>
    </w:p>
    <w:p w14:paraId="67078FE1" w14:textId="208F5404" w:rsidR="00192107" w:rsidRPr="00192777" w:rsidRDefault="00192107" w:rsidP="00192107">
      <w:pPr>
        <w:pStyle w:val="SingleTxtG"/>
        <w:numPr>
          <w:ilvl w:val="0"/>
          <w:numId w:val="12"/>
        </w:numPr>
        <w:rPr>
          <w:rFonts w:eastAsia="Times New Roman"/>
        </w:rPr>
      </w:pPr>
      <w:r w:rsidRPr="00192777">
        <w:rPr>
          <w:rFonts w:eastAsia="Times New Roman"/>
        </w:rPr>
        <w:t>The GIS</w:t>
      </w:r>
      <w:r w:rsidR="00764713">
        <w:rPr>
          <w:rFonts w:eastAsia="Times New Roman"/>
        </w:rPr>
        <w:t>-</w:t>
      </w:r>
      <w:r w:rsidRPr="00192777">
        <w:rPr>
          <w:rFonts w:eastAsia="Times New Roman"/>
        </w:rPr>
        <w:t>based International Transport Infrastructure Observatory (ITIO) which has been launched in a test phase and for which a user experience survey was held as a basis to further expand and improve its functionalities.</w:t>
      </w:r>
    </w:p>
    <w:p w14:paraId="282794C3" w14:textId="3AD6EADC" w:rsidR="00192107" w:rsidRPr="00192777" w:rsidRDefault="00192107" w:rsidP="00192107">
      <w:pPr>
        <w:pStyle w:val="SingleTxtG"/>
        <w:numPr>
          <w:ilvl w:val="0"/>
          <w:numId w:val="12"/>
        </w:numPr>
        <w:rPr>
          <w:rFonts w:eastAsia="Times New Roman"/>
        </w:rPr>
      </w:pPr>
      <w:r w:rsidRPr="00192777">
        <w:rPr>
          <w:rFonts w:eastAsia="Times New Roman"/>
        </w:rPr>
        <w:t>A set of Sustainable Inland Transport Connectivity Indicators (SITCIN) providing an instrument for Governments to evaluate their inland transport system performance for which a multilingual online SITCIN.org user dashboard and eLearning course have been created.</w:t>
      </w:r>
    </w:p>
    <w:p w14:paraId="1182D782" w14:textId="61FCCAFE" w:rsidR="00192107" w:rsidRPr="00192777" w:rsidRDefault="00192107" w:rsidP="00192107">
      <w:pPr>
        <w:pStyle w:val="SingleTxtG"/>
        <w:numPr>
          <w:ilvl w:val="0"/>
          <w:numId w:val="12"/>
        </w:numPr>
        <w:rPr>
          <w:rFonts w:eastAsia="Times New Roman"/>
        </w:rPr>
      </w:pPr>
      <w:r w:rsidRPr="00192777">
        <w:rPr>
          <w:rFonts w:eastAsia="Times New Roman"/>
        </w:rPr>
        <w:t>Operationalization efforts on the Trans-Caspian and Almaty-Istanbul transport corridors.</w:t>
      </w:r>
    </w:p>
    <w:p w14:paraId="5DDE0A32" w14:textId="1222B414" w:rsidR="008512D7" w:rsidRPr="00192777" w:rsidRDefault="00192107" w:rsidP="00192107">
      <w:pPr>
        <w:pStyle w:val="SingleTxtG"/>
        <w:rPr>
          <w:rFonts w:eastAsia="Times New Roman"/>
        </w:rPr>
      </w:pPr>
      <w:r w:rsidRPr="00192777">
        <w:rPr>
          <w:rFonts w:eastAsia="Times New Roman"/>
        </w:rPr>
        <w:t>Further to the Committee`s request at its last session, the WP.5 secretariat in coordination with other relevant Working Parties and the ECE Sustainable Energy Division has prepared a working document titled “Taking stock of new trends towards electric vehicle charging infrastructure” (</w:t>
      </w:r>
      <w:r w:rsidR="008270CC" w:rsidRPr="00192777">
        <w:t>ECE/</w:t>
      </w:r>
      <w:r w:rsidR="008270CC" w:rsidRPr="00192777">
        <w:rPr>
          <w:rFonts w:eastAsia="Times New Roman"/>
        </w:rPr>
        <w:t>TRANS</w:t>
      </w:r>
      <w:r w:rsidR="008270CC" w:rsidRPr="00192777">
        <w:t>/2023/2</w:t>
      </w:r>
      <w:r w:rsidR="003A0171" w:rsidRPr="00192777">
        <w:t>3</w:t>
      </w:r>
      <w:r w:rsidRPr="00192777">
        <w:rPr>
          <w:rFonts w:eastAsia="Times New Roman"/>
        </w:rPr>
        <w:t xml:space="preserve">) which provides an overview of latest trends and developments in the field of electric charging infrastructure and offers a first assessment of issues that could benefit from being addressed in the realm of the Committee.  ITC </w:t>
      </w:r>
      <w:r w:rsidRPr="00192777">
        <w:rPr>
          <w:rFonts w:eastAsia="Times New Roman"/>
          <w:b/>
          <w:bCs/>
        </w:rPr>
        <w:t>is invited to provide further guidance</w:t>
      </w:r>
      <w:r w:rsidRPr="00192777">
        <w:rPr>
          <w:rFonts w:eastAsia="Times New Roman"/>
        </w:rPr>
        <w:t xml:space="preserve"> in this regard.</w:t>
      </w:r>
    </w:p>
    <w:p w14:paraId="56C95089" w14:textId="77777777" w:rsidR="002D7A90" w:rsidRPr="00754A12" w:rsidRDefault="002D7A90" w:rsidP="00361840">
      <w:pPr>
        <w:keepNext/>
        <w:keepLines/>
        <w:spacing w:after="120"/>
        <w:ind w:left="567" w:right="1134" w:firstLine="567"/>
        <w:rPr>
          <w:b/>
          <w:bCs/>
          <w:lang w:val="fr-FR"/>
        </w:rPr>
      </w:pPr>
      <w:r w:rsidRPr="00754A12">
        <w:rPr>
          <w:b/>
          <w:bCs/>
          <w:lang w:val="fr-FR"/>
        </w:rPr>
        <w:t>Documentation</w:t>
      </w:r>
    </w:p>
    <w:p w14:paraId="0423853E" w14:textId="1FAFACBE" w:rsidR="002D7A90" w:rsidRPr="00754A12" w:rsidRDefault="002D7A90" w:rsidP="00361840">
      <w:pPr>
        <w:pStyle w:val="SingleTxtG"/>
        <w:keepNext/>
        <w:keepLines/>
        <w:rPr>
          <w:lang w:val="fr-FR"/>
        </w:rPr>
      </w:pPr>
      <w:r w:rsidRPr="00754A12">
        <w:rPr>
          <w:lang w:val="fr-FR"/>
        </w:rPr>
        <w:t>ECE/</w:t>
      </w:r>
      <w:r w:rsidRPr="00754A12">
        <w:rPr>
          <w:rFonts w:eastAsia="Times New Roman"/>
          <w:lang w:val="fr-FR"/>
        </w:rPr>
        <w:t>TRANS</w:t>
      </w:r>
      <w:r w:rsidRPr="00754A12">
        <w:rPr>
          <w:lang w:val="fr-FR"/>
        </w:rPr>
        <w:t>/2023/</w:t>
      </w:r>
      <w:r w:rsidR="0067163F" w:rsidRPr="00754A12">
        <w:rPr>
          <w:lang w:val="fr-FR"/>
        </w:rPr>
        <w:t>2</w:t>
      </w:r>
      <w:r w:rsidR="003A0171" w:rsidRPr="00754A12">
        <w:rPr>
          <w:lang w:val="fr-FR"/>
        </w:rPr>
        <w:t>2</w:t>
      </w:r>
      <w:r w:rsidR="008270CC" w:rsidRPr="00754A12">
        <w:rPr>
          <w:lang w:val="fr-FR"/>
        </w:rPr>
        <w:t>, ECE/</w:t>
      </w:r>
      <w:r w:rsidR="008270CC" w:rsidRPr="00754A12">
        <w:rPr>
          <w:rFonts w:eastAsia="Times New Roman"/>
          <w:lang w:val="fr-FR"/>
        </w:rPr>
        <w:t>TRANS</w:t>
      </w:r>
      <w:r w:rsidR="008270CC" w:rsidRPr="00754A12">
        <w:rPr>
          <w:lang w:val="fr-FR"/>
        </w:rPr>
        <w:t>/2023/2</w:t>
      </w:r>
      <w:r w:rsidR="003A0171" w:rsidRPr="00754A12">
        <w:rPr>
          <w:lang w:val="fr-FR"/>
        </w:rPr>
        <w:t>3</w:t>
      </w:r>
    </w:p>
    <w:p w14:paraId="33107B99" w14:textId="5EAB6D31" w:rsidR="00777D43" w:rsidRPr="00192777" w:rsidRDefault="00A46541" w:rsidP="00A91070">
      <w:pPr>
        <w:pStyle w:val="H23G"/>
      </w:pPr>
      <w:bookmarkStart w:id="7" w:name="_Hlk83202293"/>
      <w:r w:rsidRPr="00754A12">
        <w:rPr>
          <w:lang w:val="fr-FR"/>
        </w:rPr>
        <w:tab/>
      </w:r>
      <w:r w:rsidR="00777D43" w:rsidRPr="00192777">
        <w:t>(h)</w:t>
      </w:r>
      <w:r w:rsidR="00777D43" w:rsidRPr="00192777">
        <w:tab/>
        <w:t xml:space="preserve">Capacity </w:t>
      </w:r>
      <w:r w:rsidR="00AB623D" w:rsidRPr="00192777">
        <w:t xml:space="preserve">Development Activities </w:t>
      </w:r>
      <w:r w:rsidR="00777D43" w:rsidRPr="00192777">
        <w:t xml:space="preserve">in United Nations </w:t>
      </w:r>
      <w:r w:rsidR="00AB623D" w:rsidRPr="00192777">
        <w:t>Programme Countries</w:t>
      </w:r>
      <w:r w:rsidR="00777D43" w:rsidRPr="00192777">
        <w:t xml:space="preserve"> in the United Nations Economic Commission for Europe </w:t>
      </w:r>
      <w:r w:rsidR="00AD0AF7" w:rsidRPr="00192777">
        <w:t>Region</w:t>
      </w:r>
    </w:p>
    <w:p w14:paraId="6607B046" w14:textId="3596CF5B" w:rsidR="00915008" w:rsidRPr="00192777" w:rsidRDefault="00915008" w:rsidP="00915008">
      <w:pPr>
        <w:pStyle w:val="SingleTxtG"/>
      </w:pPr>
      <w:r w:rsidRPr="00192777">
        <w:t xml:space="preserve">The Committee is </w:t>
      </w:r>
      <w:r w:rsidRPr="00192777">
        <w:rPr>
          <w:b/>
          <w:bCs/>
        </w:rPr>
        <w:t>invited to take note</w:t>
      </w:r>
      <w:r w:rsidRPr="00192777">
        <w:t xml:space="preserve"> of progress in the implementation of the ITC Capacity Development Action Plan (2020–2025), in particular in the capacity enhancement area (ECE/TRANS/2023/</w:t>
      </w:r>
      <w:r w:rsidR="008270CC" w:rsidRPr="00192777">
        <w:t>2</w:t>
      </w:r>
      <w:r w:rsidR="002D0753" w:rsidRPr="00192777">
        <w:t>4</w:t>
      </w:r>
      <w:r w:rsidRPr="00192777">
        <w:t xml:space="preserve">). The Committee </w:t>
      </w:r>
      <w:r w:rsidRPr="00192777">
        <w:rPr>
          <w:b/>
          <w:bCs/>
        </w:rPr>
        <w:t>will be informed</w:t>
      </w:r>
      <w:r w:rsidRPr="00192777">
        <w:t xml:space="preserve"> </w:t>
      </w:r>
      <w:r w:rsidRPr="00192777">
        <w:rPr>
          <w:rFonts w:eastAsia="Times New Roman"/>
        </w:rPr>
        <w:t>about</w:t>
      </w:r>
      <w:r w:rsidRPr="00192777">
        <w:t xml:space="preserve"> the most recent developments in capacity development activities, in particular </w:t>
      </w:r>
      <w:r w:rsidR="00B222DA">
        <w:t>ongoing</w:t>
      </w:r>
      <w:r w:rsidRPr="00192777">
        <w:t xml:space="preserve"> Road Safety Performance Reviews. The Committee </w:t>
      </w:r>
      <w:r w:rsidRPr="00192777">
        <w:rPr>
          <w:b/>
          <w:bCs/>
        </w:rPr>
        <w:t>may wish to thank</w:t>
      </w:r>
      <w:r w:rsidRPr="00192777">
        <w:t xml:space="preserve"> the Regular Programme of Technical Cooperation (RPTC) for continuous financial support for the implementation of capacity development projects in </w:t>
      </w:r>
      <w:r w:rsidR="003A0171" w:rsidRPr="00192777">
        <w:t xml:space="preserve">the past </w:t>
      </w:r>
      <w:r w:rsidRPr="00192777">
        <w:t xml:space="preserve">three years.   </w:t>
      </w:r>
    </w:p>
    <w:p w14:paraId="3AB84A02" w14:textId="5B948770" w:rsidR="008C0744" w:rsidRPr="00192777" w:rsidRDefault="008C0744" w:rsidP="008C0744">
      <w:pPr>
        <w:pStyle w:val="SingleTxtG"/>
      </w:pPr>
      <w:r w:rsidRPr="00192777">
        <w:t xml:space="preserve">The Committee </w:t>
      </w:r>
      <w:r w:rsidRPr="00192777">
        <w:rPr>
          <w:b/>
          <w:bCs/>
        </w:rPr>
        <w:t>will be informed</w:t>
      </w:r>
      <w:r w:rsidRPr="00192777">
        <w:t xml:space="preserve"> about progress with the launching of the “E-learning platform for sustainable mobility and smart connectivity” (</w:t>
      </w:r>
      <w:proofErr w:type="spellStart"/>
      <w:r w:rsidRPr="00192777">
        <w:t>LearnITC</w:t>
      </w:r>
      <w:proofErr w:type="spellEnd"/>
      <w:r w:rsidRPr="00192777">
        <w:t>), which is intended to leverage the Division’s capacity to provide training modules for core constituents, among other things, on legal instruments under the Committee’s purview.</w:t>
      </w:r>
    </w:p>
    <w:p w14:paraId="5002562E" w14:textId="77777777" w:rsidR="00915008" w:rsidRPr="00192777" w:rsidRDefault="00915008" w:rsidP="002D7A90">
      <w:pPr>
        <w:spacing w:after="120"/>
        <w:ind w:left="567" w:right="1134" w:firstLine="567"/>
        <w:rPr>
          <w:b/>
          <w:bCs/>
        </w:rPr>
      </w:pPr>
      <w:r w:rsidRPr="00192777">
        <w:rPr>
          <w:b/>
          <w:bCs/>
        </w:rPr>
        <w:t>Documentation</w:t>
      </w:r>
    </w:p>
    <w:p w14:paraId="4E938FFA" w14:textId="1D519331" w:rsidR="008512D7" w:rsidRPr="00192777" w:rsidRDefault="00915008" w:rsidP="00915008">
      <w:pPr>
        <w:pStyle w:val="SingleTxtG"/>
      </w:pPr>
      <w:r w:rsidRPr="00192777">
        <w:t>ECE/</w:t>
      </w:r>
      <w:r w:rsidRPr="00192777">
        <w:rPr>
          <w:rFonts w:eastAsia="Times New Roman"/>
        </w:rPr>
        <w:t>TRANS</w:t>
      </w:r>
      <w:r w:rsidRPr="00192777">
        <w:t>/2023/</w:t>
      </w:r>
      <w:r w:rsidR="008270CC" w:rsidRPr="00192777">
        <w:t>2</w:t>
      </w:r>
      <w:r w:rsidR="002D0753" w:rsidRPr="00192777">
        <w:t>4</w:t>
      </w:r>
    </w:p>
    <w:p w14:paraId="1A627AC5" w14:textId="187536EE" w:rsidR="00777D43" w:rsidRPr="00192777" w:rsidRDefault="00A46541" w:rsidP="00A91070">
      <w:pPr>
        <w:pStyle w:val="H23G"/>
      </w:pPr>
      <w:r w:rsidRPr="00192777">
        <w:lastRenderedPageBreak/>
        <w:tab/>
      </w:r>
      <w:r w:rsidR="00777D43" w:rsidRPr="00192777">
        <w:t>(</w:t>
      </w:r>
      <w:proofErr w:type="spellStart"/>
      <w:r w:rsidR="00777D43" w:rsidRPr="00192777">
        <w:t>i</w:t>
      </w:r>
      <w:proofErr w:type="spellEnd"/>
      <w:r w:rsidR="00777D43" w:rsidRPr="00192777">
        <w:t>)</w:t>
      </w:r>
      <w:r w:rsidR="00777D43" w:rsidRPr="00192777">
        <w:tab/>
        <w:t xml:space="preserve">Continued </w:t>
      </w:r>
      <w:r w:rsidR="004A0854" w:rsidRPr="00192777">
        <w:t>Support</w:t>
      </w:r>
      <w:r w:rsidR="00777D43" w:rsidRPr="00192777">
        <w:t xml:space="preserve"> to </w:t>
      </w:r>
      <w:r w:rsidR="004A0854" w:rsidRPr="00192777">
        <w:t xml:space="preserve">Landlocked Countries: </w:t>
      </w:r>
      <w:r w:rsidR="00777D43" w:rsidRPr="00192777">
        <w:t>the Vienna Programme of Action</w:t>
      </w:r>
    </w:p>
    <w:p w14:paraId="04A57515" w14:textId="00A79078" w:rsidR="008512D7" w:rsidRPr="00192777" w:rsidRDefault="00AC340D" w:rsidP="00AC340D">
      <w:pPr>
        <w:pStyle w:val="SingleTxtG"/>
        <w:rPr>
          <w:rFonts w:eastAsia="Times New Roman"/>
        </w:rPr>
      </w:pPr>
      <w:r w:rsidRPr="00192777">
        <w:rPr>
          <w:rFonts w:eastAsia="Times New Roman"/>
        </w:rPr>
        <w:t>The Committee will be informed about progress made in the implementation of the Roadmap for Accelerated Implementation of the Vienna Programme of Action for LLDCs and the role of the ECE and other U</w:t>
      </w:r>
      <w:r w:rsidR="004A0854">
        <w:rPr>
          <w:rFonts w:eastAsia="Times New Roman"/>
        </w:rPr>
        <w:t xml:space="preserve">nited </w:t>
      </w:r>
      <w:r w:rsidRPr="00192777">
        <w:rPr>
          <w:rFonts w:eastAsia="Times New Roman"/>
        </w:rPr>
        <w:t>N</w:t>
      </w:r>
      <w:r w:rsidR="004A0854">
        <w:rPr>
          <w:rFonts w:eastAsia="Times New Roman"/>
        </w:rPr>
        <w:t>ations</w:t>
      </w:r>
      <w:r w:rsidRPr="00192777">
        <w:rPr>
          <w:rFonts w:eastAsia="Times New Roman"/>
        </w:rPr>
        <w:t xml:space="preserve"> regional commissions in this regard.</w:t>
      </w:r>
    </w:p>
    <w:bookmarkEnd w:id="7"/>
    <w:p w14:paraId="13BD28C1" w14:textId="7CEBD601" w:rsidR="00EC46EF" w:rsidRPr="00192777" w:rsidRDefault="00A46541" w:rsidP="00A91070">
      <w:pPr>
        <w:pStyle w:val="H23G"/>
      </w:pPr>
      <w:r w:rsidRPr="00192777">
        <w:tab/>
      </w:r>
      <w:r w:rsidR="00777D43" w:rsidRPr="00192777">
        <w:t>(j)</w:t>
      </w:r>
      <w:r w:rsidR="00777D43" w:rsidRPr="00192777">
        <w:tab/>
        <w:t xml:space="preserve">Road </w:t>
      </w:r>
      <w:r w:rsidR="00222A18" w:rsidRPr="00192777">
        <w:t>Traffic Safety</w:t>
      </w:r>
    </w:p>
    <w:p w14:paraId="14652CA4" w14:textId="2B058494" w:rsidR="00EC46EF" w:rsidRPr="00192777" w:rsidRDefault="00EC46EF" w:rsidP="00EC46EF">
      <w:pPr>
        <w:pStyle w:val="SingleTxtG"/>
        <w:rPr>
          <w:rFonts w:eastAsia="Times New Roman"/>
        </w:rPr>
      </w:pPr>
      <w:r w:rsidRPr="00192777">
        <w:rPr>
          <w:rFonts w:eastAsia="Times New Roman"/>
        </w:rPr>
        <w:t xml:space="preserve">The Committee </w:t>
      </w:r>
      <w:r w:rsidR="00AD2E07">
        <w:rPr>
          <w:rFonts w:eastAsia="Times New Roman"/>
          <w:b/>
          <w:bCs/>
        </w:rPr>
        <w:t>will be reported to about</w:t>
      </w:r>
      <w:r w:rsidRPr="00192777">
        <w:rPr>
          <w:rFonts w:eastAsia="Times New Roman"/>
        </w:rPr>
        <w:t xml:space="preserve"> recent developments in the work carried out by the Global Forum for Road Traffic Safety (WP.1). This will include information about the recently completed work on the “resolution on safety considerations for activities other than driving undertaken by drivers when automated driving systems issuing transition demands exercise dynamic control”; the ongoing discussions on “remote driving”; and future work to develop a “Framework of key principles for automated vehicle safety and human centred needs”.  Other topics of interest will include almost completed amendment proposals dealing with lighting and light</w:t>
      </w:r>
      <w:r w:rsidR="00CA3734">
        <w:rPr>
          <w:rFonts w:eastAsia="Times New Roman"/>
        </w:rPr>
        <w:t>-</w:t>
      </w:r>
      <w:r w:rsidRPr="00192777">
        <w:rPr>
          <w:rFonts w:eastAsia="Times New Roman"/>
        </w:rPr>
        <w:t xml:space="preserve">signalling devices (in order for the corresponding legal provisions to keep up with the technological progress) and possible, substantive revisions to the provisions on driving permits.  </w:t>
      </w:r>
    </w:p>
    <w:p w14:paraId="086E5604" w14:textId="082E638A" w:rsidR="00EC46EF" w:rsidRPr="00192777" w:rsidRDefault="00EC46EF" w:rsidP="00EC46EF">
      <w:pPr>
        <w:pStyle w:val="SingleTxtG"/>
        <w:rPr>
          <w:rFonts w:eastAsia="Times New Roman"/>
        </w:rPr>
      </w:pPr>
      <w:r w:rsidRPr="00192777">
        <w:rPr>
          <w:rFonts w:eastAsia="Times New Roman"/>
        </w:rPr>
        <w:t xml:space="preserve">The Committee </w:t>
      </w:r>
      <w:r w:rsidRPr="00192777">
        <w:rPr>
          <w:rFonts w:eastAsia="Times New Roman"/>
          <w:b/>
          <w:bCs/>
        </w:rPr>
        <w:t xml:space="preserve">will also be </w:t>
      </w:r>
      <w:r w:rsidR="00B52E98" w:rsidRPr="00192777">
        <w:rPr>
          <w:rFonts w:eastAsia="Times New Roman"/>
          <w:b/>
          <w:bCs/>
        </w:rPr>
        <w:t>reported</w:t>
      </w:r>
      <w:r w:rsidR="00B52E98" w:rsidRPr="00192777">
        <w:rPr>
          <w:rFonts w:eastAsia="Times New Roman"/>
        </w:rPr>
        <w:t xml:space="preserve"> </w:t>
      </w:r>
      <w:r w:rsidRPr="00192777">
        <w:rPr>
          <w:rFonts w:eastAsia="Times New Roman"/>
        </w:rPr>
        <w:t xml:space="preserve">about comprehensive amendment proposals to the 1968 Convention on Road Signs and Signals, the corresponding amendments to the European Agreement Supplementing the 1968 Convention and to the Protocol on Road Markings (additional to the European Agreement). </w:t>
      </w:r>
    </w:p>
    <w:p w14:paraId="4F0C9768" w14:textId="353BCAFC" w:rsidR="00777D43" w:rsidRPr="00192777" w:rsidRDefault="00EC46EF" w:rsidP="00EC46EF">
      <w:pPr>
        <w:pStyle w:val="SingleTxtG"/>
        <w:rPr>
          <w:rFonts w:eastAsia="Times New Roman"/>
        </w:rPr>
      </w:pPr>
      <w:r w:rsidRPr="00192777">
        <w:rPr>
          <w:rFonts w:eastAsia="Times New Roman"/>
        </w:rPr>
        <w:t xml:space="preserve">Finally, the Committee </w:t>
      </w:r>
      <w:r w:rsidR="00AD2E07">
        <w:rPr>
          <w:rFonts w:eastAsia="Times New Roman"/>
          <w:b/>
          <w:bCs/>
        </w:rPr>
        <w:t>will be reported to about</w:t>
      </w:r>
      <w:r w:rsidRPr="00192777">
        <w:rPr>
          <w:rFonts w:eastAsia="Times New Roman"/>
        </w:rPr>
        <w:t xml:space="preserve"> the progress of the Group of Experts on drafting a new Legal Instrument on the </w:t>
      </w:r>
      <w:r w:rsidR="00CA3734" w:rsidRPr="00192777">
        <w:rPr>
          <w:rFonts w:eastAsia="Times New Roman"/>
        </w:rPr>
        <w:t>u</w:t>
      </w:r>
      <w:r w:rsidRPr="00192777">
        <w:rPr>
          <w:rFonts w:eastAsia="Times New Roman"/>
        </w:rPr>
        <w:t xml:space="preserve">se of Automated Vehicles in </w:t>
      </w:r>
      <w:r w:rsidR="00CA3734" w:rsidRPr="00192777">
        <w:rPr>
          <w:rFonts w:eastAsia="Times New Roman"/>
        </w:rPr>
        <w:t>t</w:t>
      </w:r>
      <w:r w:rsidRPr="00192777">
        <w:rPr>
          <w:rFonts w:eastAsia="Times New Roman"/>
        </w:rPr>
        <w:t>raffic (LIAV), including about the request by the LIAV Chair to extend the Group’s mandate for additional two years.</w:t>
      </w:r>
      <w:r w:rsidR="00777D43" w:rsidRPr="00192777">
        <w:rPr>
          <w:rFonts w:eastAsia="Times New Roman"/>
        </w:rPr>
        <w:t xml:space="preserve"> </w:t>
      </w:r>
    </w:p>
    <w:p w14:paraId="31194155" w14:textId="79693038" w:rsidR="00777D43" w:rsidRPr="00192777" w:rsidRDefault="00D63BB6" w:rsidP="00A91070">
      <w:pPr>
        <w:pStyle w:val="H23G"/>
      </w:pPr>
      <w:r w:rsidRPr="00192777">
        <w:tab/>
      </w:r>
      <w:r w:rsidR="00777D43" w:rsidRPr="00192777">
        <w:t>(k)</w:t>
      </w:r>
      <w:r w:rsidR="00777D43" w:rsidRPr="00192777">
        <w:tab/>
        <w:t xml:space="preserve">Harmonization of </w:t>
      </w:r>
      <w:r w:rsidR="001F4D49" w:rsidRPr="00192777">
        <w:t>Vehicle Regulations</w:t>
      </w:r>
    </w:p>
    <w:p w14:paraId="6C931873" w14:textId="20CE9968" w:rsidR="00D63BB6" w:rsidRPr="00192777" w:rsidRDefault="00D63BB6" w:rsidP="004242E3">
      <w:pPr>
        <w:pStyle w:val="SingleTxtG"/>
        <w:rPr>
          <w:rFonts w:asciiTheme="majorBidi" w:hAnsiTheme="majorBidi" w:cstheme="majorBidi"/>
        </w:rPr>
      </w:pPr>
      <w:r w:rsidRPr="00192777">
        <w:rPr>
          <w:rFonts w:asciiTheme="majorBidi" w:hAnsiTheme="majorBidi" w:cstheme="majorBidi"/>
        </w:rPr>
        <w:t xml:space="preserve">The Committee </w:t>
      </w:r>
      <w:r w:rsidR="00AD2E07">
        <w:rPr>
          <w:rFonts w:asciiTheme="majorBidi" w:hAnsiTheme="majorBidi" w:cstheme="majorBidi"/>
        </w:rPr>
        <w:t>will be reported to about</w:t>
      </w:r>
      <w:r w:rsidRPr="00192777">
        <w:rPr>
          <w:rFonts w:asciiTheme="majorBidi" w:hAnsiTheme="majorBidi" w:cstheme="majorBidi"/>
        </w:rPr>
        <w:t xml:space="preserve"> the most recent developments in the work carried out by the World Forum for Harmonization of Vehicle Regulations (WP.29) and its six subsidiary Working Parties (</w:t>
      </w:r>
      <w:r w:rsidR="004F5574">
        <w:rPr>
          <w:rFonts w:asciiTheme="majorBidi" w:hAnsiTheme="majorBidi" w:cstheme="majorBidi"/>
        </w:rPr>
        <w:t xml:space="preserve">on </w:t>
      </w:r>
      <w:r w:rsidR="003C0B08" w:rsidRPr="003C0B08">
        <w:rPr>
          <w:rFonts w:asciiTheme="majorBidi" w:hAnsiTheme="majorBidi" w:cstheme="majorBidi"/>
        </w:rPr>
        <w:t>Noise and Tyres (GRBP)</w:t>
      </w:r>
      <w:r w:rsidRPr="00192777">
        <w:rPr>
          <w:rFonts w:asciiTheme="majorBidi" w:hAnsiTheme="majorBidi" w:cstheme="majorBidi"/>
        </w:rPr>
        <w:t xml:space="preserve">, </w:t>
      </w:r>
      <w:r w:rsidR="004F5574">
        <w:rPr>
          <w:rFonts w:asciiTheme="majorBidi" w:hAnsiTheme="majorBidi" w:cstheme="majorBidi"/>
        </w:rPr>
        <w:t xml:space="preserve">on </w:t>
      </w:r>
      <w:r w:rsidR="003C0B08" w:rsidRPr="003C0B08">
        <w:rPr>
          <w:rFonts w:asciiTheme="majorBidi" w:hAnsiTheme="majorBidi" w:cstheme="majorBidi"/>
        </w:rPr>
        <w:t>Lighting and Light-Signalling (GRE)</w:t>
      </w:r>
      <w:r w:rsidRPr="00192777">
        <w:rPr>
          <w:rFonts w:asciiTheme="majorBidi" w:hAnsiTheme="majorBidi" w:cstheme="majorBidi"/>
        </w:rPr>
        <w:t xml:space="preserve">, </w:t>
      </w:r>
      <w:r w:rsidR="004F5574">
        <w:rPr>
          <w:rFonts w:asciiTheme="majorBidi" w:hAnsiTheme="majorBidi" w:cstheme="majorBidi"/>
        </w:rPr>
        <w:t xml:space="preserve">on </w:t>
      </w:r>
      <w:r w:rsidR="003C0B08" w:rsidRPr="003C0B08">
        <w:rPr>
          <w:rFonts w:asciiTheme="majorBidi" w:hAnsiTheme="majorBidi" w:cstheme="majorBidi"/>
        </w:rPr>
        <w:t>Pollution and Energy (GRPE)</w:t>
      </w:r>
      <w:r w:rsidRPr="00192777">
        <w:rPr>
          <w:rFonts w:asciiTheme="majorBidi" w:hAnsiTheme="majorBidi" w:cstheme="majorBidi"/>
        </w:rPr>
        <w:t xml:space="preserve">, </w:t>
      </w:r>
      <w:r w:rsidR="004F5574">
        <w:rPr>
          <w:rFonts w:asciiTheme="majorBidi" w:hAnsiTheme="majorBidi" w:cstheme="majorBidi"/>
        </w:rPr>
        <w:t xml:space="preserve">on </w:t>
      </w:r>
      <w:r w:rsidR="003C0B08" w:rsidRPr="003C0B08">
        <w:rPr>
          <w:rFonts w:asciiTheme="majorBidi" w:hAnsiTheme="majorBidi" w:cstheme="majorBidi"/>
        </w:rPr>
        <w:t>General Safety Provisions (GRSG)</w:t>
      </w:r>
      <w:r w:rsidRPr="00192777">
        <w:rPr>
          <w:rFonts w:asciiTheme="majorBidi" w:hAnsiTheme="majorBidi" w:cstheme="majorBidi"/>
        </w:rPr>
        <w:t xml:space="preserve">, </w:t>
      </w:r>
      <w:r w:rsidR="004F5574">
        <w:rPr>
          <w:rFonts w:asciiTheme="majorBidi" w:hAnsiTheme="majorBidi" w:cstheme="majorBidi"/>
        </w:rPr>
        <w:t xml:space="preserve">on </w:t>
      </w:r>
      <w:r w:rsidR="003C0B08" w:rsidRPr="003C0B08">
        <w:rPr>
          <w:rFonts w:asciiTheme="majorBidi" w:hAnsiTheme="majorBidi" w:cstheme="majorBidi"/>
        </w:rPr>
        <w:t>Passive Safety (GRSP)</w:t>
      </w:r>
      <w:r w:rsidRPr="00192777">
        <w:rPr>
          <w:rFonts w:asciiTheme="majorBidi" w:hAnsiTheme="majorBidi" w:cstheme="majorBidi"/>
        </w:rPr>
        <w:t xml:space="preserve">and </w:t>
      </w:r>
      <w:r w:rsidR="004F5574">
        <w:rPr>
          <w:rFonts w:asciiTheme="majorBidi" w:hAnsiTheme="majorBidi" w:cstheme="majorBidi"/>
        </w:rPr>
        <w:t xml:space="preserve">on </w:t>
      </w:r>
      <w:r w:rsidR="003C0B08" w:rsidRPr="003C0B08">
        <w:rPr>
          <w:rFonts w:asciiTheme="majorBidi" w:hAnsiTheme="majorBidi" w:cstheme="majorBidi"/>
        </w:rPr>
        <w:t>Automated and Connected Vehicles (GRVA)</w:t>
      </w:r>
      <w:r w:rsidRPr="00192777">
        <w:rPr>
          <w:rFonts w:asciiTheme="majorBidi" w:hAnsiTheme="majorBidi" w:cstheme="majorBidi"/>
        </w:rPr>
        <w:t xml:space="preserve">), the Administrative Committee of the 1958 Agreement, the Administrative Committee of the 1997 Agreement and the Executive Committee of the 1998 Agreement (ECE/TRANS/2023/25). </w:t>
      </w:r>
    </w:p>
    <w:p w14:paraId="621DDCC0" w14:textId="2660F41D" w:rsidR="00D63BB6" w:rsidRPr="00192777" w:rsidRDefault="00D63BB6" w:rsidP="004242E3">
      <w:pPr>
        <w:pStyle w:val="SingleTxtG"/>
        <w:rPr>
          <w:rFonts w:asciiTheme="majorBidi" w:hAnsiTheme="majorBidi" w:cstheme="majorBidi"/>
        </w:rPr>
      </w:pPr>
      <w:bookmarkStart w:id="8" w:name="_Hlk121123829"/>
      <w:r w:rsidRPr="00192777">
        <w:rPr>
          <w:rFonts w:asciiTheme="majorBidi" w:hAnsiTheme="majorBidi" w:cstheme="majorBidi"/>
        </w:rPr>
        <w:t xml:space="preserve">The Committee will also be </w:t>
      </w:r>
      <w:r w:rsidR="00B52E98" w:rsidRPr="00192777">
        <w:rPr>
          <w:rFonts w:asciiTheme="majorBidi" w:hAnsiTheme="majorBidi" w:cstheme="majorBidi"/>
          <w:b/>
          <w:bCs/>
        </w:rPr>
        <w:t>reported</w:t>
      </w:r>
      <w:r w:rsidRPr="00192777">
        <w:rPr>
          <w:rFonts w:asciiTheme="majorBidi" w:hAnsiTheme="majorBidi" w:cstheme="majorBidi"/>
          <w:b/>
          <w:bCs/>
        </w:rPr>
        <w:t xml:space="preserve"> </w:t>
      </w:r>
      <w:bookmarkEnd w:id="8"/>
      <w:r w:rsidRPr="00192777">
        <w:rPr>
          <w:rFonts w:asciiTheme="majorBidi" w:hAnsiTheme="majorBidi" w:cstheme="majorBidi"/>
        </w:rPr>
        <w:t>about the activities of the World Forum and its Working Parties as reflected in ECE/TRANS/WP.29/2022/1 which provides a detailed overview of the distribution of the areas of work among the different groups as a result of the processes of work prioritisation and of the alignment with the ITC Strategy.</w:t>
      </w:r>
    </w:p>
    <w:p w14:paraId="2EAA9E06" w14:textId="0CEE8C6B" w:rsidR="00D63BB6" w:rsidRPr="00192777" w:rsidRDefault="00D63BB6" w:rsidP="004242E3">
      <w:pPr>
        <w:pStyle w:val="SingleTxtG"/>
        <w:rPr>
          <w:rFonts w:asciiTheme="majorBidi" w:hAnsiTheme="majorBidi" w:cstheme="majorBidi"/>
        </w:rPr>
      </w:pPr>
      <w:r w:rsidRPr="00192777">
        <w:rPr>
          <w:rFonts w:asciiTheme="majorBidi" w:hAnsiTheme="majorBidi" w:cstheme="majorBidi"/>
        </w:rPr>
        <w:t xml:space="preserve">The Committee may wish to </w:t>
      </w:r>
      <w:r w:rsidRPr="00192777">
        <w:rPr>
          <w:rFonts w:asciiTheme="majorBidi" w:hAnsiTheme="majorBidi" w:cstheme="majorBidi"/>
          <w:b/>
          <w:bCs/>
        </w:rPr>
        <w:t xml:space="preserve">note </w:t>
      </w:r>
      <w:r w:rsidRPr="00192777">
        <w:rPr>
          <w:rFonts w:asciiTheme="majorBidi" w:hAnsiTheme="majorBidi" w:cstheme="majorBidi"/>
        </w:rPr>
        <w:t xml:space="preserve">that over 40 informal groups worked during 2020 in parallel to the World Forum and to its subsidiary bodies to assist them in developing new vehicle regulations and updating the 164 existing </w:t>
      </w:r>
      <w:r w:rsidR="003C0B08">
        <w:rPr>
          <w:rFonts w:asciiTheme="majorBidi" w:hAnsiTheme="majorBidi" w:cstheme="majorBidi"/>
        </w:rPr>
        <w:t>United Nations</w:t>
      </w:r>
      <w:r w:rsidR="003C0B08" w:rsidRPr="00192777">
        <w:rPr>
          <w:rFonts w:asciiTheme="majorBidi" w:hAnsiTheme="majorBidi" w:cstheme="majorBidi"/>
        </w:rPr>
        <w:t xml:space="preserve"> </w:t>
      </w:r>
      <w:r w:rsidRPr="00192777">
        <w:rPr>
          <w:rFonts w:asciiTheme="majorBidi" w:hAnsiTheme="majorBidi" w:cstheme="majorBidi"/>
        </w:rPr>
        <w:t xml:space="preserve">Regulations annexed to the 1958 Agreement, 20 </w:t>
      </w:r>
      <w:r w:rsidR="003C0B08">
        <w:rPr>
          <w:rFonts w:asciiTheme="majorBidi" w:hAnsiTheme="majorBidi" w:cstheme="majorBidi"/>
        </w:rPr>
        <w:t>United Nations</w:t>
      </w:r>
      <w:r w:rsidR="003C0B08" w:rsidRPr="00192777">
        <w:rPr>
          <w:rFonts w:asciiTheme="majorBidi" w:hAnsiTheme="majorBidi" w:cstheme="majorBidi"/>
        </w:rPr>
        <w:t xml:space="preserve"> </w:t>
      </w:r>
      <w:r w:rsidRPr="00192777">
        <w:rPr>
          <w:rFonts w:asciiTheme="majorBidi" w:hAnsiTheme="majorBidi" w:cstheme="majorBidi"/>
        </w:rPr>
        <w:t xml:space="preserve">Global Technical Regulations (UN GTRs) associated to the 1998 Agreement and four </w:t>
      </w:r>
      <w:r w:rsidR="003C0B08">
        <w:rPr>
          <w:rFonts w:asciiTheme="majorBidi" w:hAnsiTheme="majorBidi" w:cstheme="majorBidi"/>
        </w:rPr>
        <w:t>United Nations</w:t>
      </w:r>
      <w:r w:rsidR="003C0B08" w:rsidRPr="00192777">
        <w:rPr>
          <w:rFonts w:asciiTheme="majorBidi" w:hAnsiTheme="majorBidi" w:cstheme="majorBidi"/>
        </w:rPr>
        <w:t xml:space="preserve"> </w:t>
      </w:r>
      <w:r w:rsidRPr="00192777">
        <w:rPr>
          <w:rFonts w:asciiTheme="majorBidi" w:hAnsiTheme="majorBidi" w:cstheme="majorBidi"/>
        </w:rPr>
        <w:t xml:space="preserve">Rules annexed to the 1997 Agreement with 120 amendments and established four new </w:t>
      </w:r>
      <w:r w:rsidR="003C0B08">
        <w:rPr>
          <w:rFonts w:asciiTheme="majorBidi" w:hAnsiTheme="majorBidi" w:cstheme="majorBidi"/>
        </w:rPr>
        <w:t>United Nations</w:t>
      </w:r>
      <w:r w:rsidR="003C0B08" w:rsidRPr="00192777">
        <w:rPr>
          <w:rFonts w:asciiTheme="majorBidi" w:hAnsiTheme="majorBidi" w:cstheme="majorBidi"/>
        </w:rPr>
        <w:t xml:space="preserve"> </w:t>
      </w:r>
      <w:r w:rsidRPr="00192777">
        <w:rPr>
          <w:rFonts w:asciiTheme="majorBidi" w:hAnsiTheme="majorBidi" w:cstheme="majorBidi"/>
        </w:rPr>
        <w:t xml:space="preserve">Regulations. </w:t>
      </w:r>
    </w:p>
    <w:p w14:paraId="627D11B6" w14:textId="77777777" w:rsidR="00D63BB6" w:rsidRPr="00192777" w:rsidRDefault="00D63BB6" w:rsidP="004242E3">
      <w:pPr>
        <w:pStyle w:val="SingleTxtG"/>
        <w:rPr>
          <w:rFonts w:asciiTheme="majorBidi" w:hAnsiTheme="majorBidi" w:cstheme="majorBidi"/>
        </w:rPr>
      </w:pPr>
      <w:r w:rsidRPr="00192777">
        <w:rPr>
          <w:rFonts w:asciiTheme="majorBidi" w:hAnsiTheme="majorBidi" w:cstheme="majorBidi"/>
        </w:rPr>
        <w:t xml:space="preserve">The Committee may wish to </w:t>
      </w:r>
      <w:r w:rsidRPr="00192777">
        <w:rPr>
          <w:rFonts w:asciiTheme="majorBidi" w:hAnsiTheme="majorBidi" w:cstheme="majorBidi"/>
          <w:b/>
          <w:bCs/>
        </w:rPr>
        <w:t xml:space="preserve">note </w:t>
      </w:r>
      <w:r w:rsidRPr="00192777">
        <w:rPr>
          <w:rFonts w:asciiTheme="majorBidi" w:hAnsiTheme="majorBidi" w:cstheme="majorBidi"/>
        </w:rPr>
        <w:t>the number of contracting parties to the 1958 Agreement (58), to the 1998 Agreement (37), and to the 1997 Agreement (17).</w:t>
      </w:r>
    </w:p>
    <w:p w14:paraId="731D6288" w14:textId="5DDF77B3" w:rsidR="00D63BB6" w:rsidRPr="00192777" w:rsidRDefault="00D63BB6" w:rsidP="004242E3">
      <w:pPr>
        <w:pStyle w:val="SingleTxtG"/>
        <w:rPr>
          <w:rStyle w:val="normaltextrun"/>
          <w:color w:val="000000"/>
        </w:rPr>
      </w:pPr>
      <w:r w:rsidRPr="00192777">
        <w:rPr>
          <w:rFonts w:asciiTheme="majorBidi" w:hAnsiTheme="majorBidi" w:cstheme="majorBidi"/>
        </w:rPr>
        <w:t xml:space="preserve">The Committee may wish to be </w:t>
      </w:r>
      <w:r w:rsidR="00B52E98" w:rsidRPr="00192777">
        <w:rPr>
          <w:rFonts w:asciiTheme="majorBidi" w:hAnsiTheme="majorBidi" w:cstheme="majorBidi"/>
          <w:b/>
          <w:bCs/>
        </w:rPr>
        <w:t>reported</w:t>
      </w:r>
      <w:r w:rsidRPr="00192777">
        <w:rPr>
          <w:rFonts w:asciiTheme="majorBidi" w:hAnsiTheme="majorBidi" w:cstheme="majorBidi"/>
        </w:rPr>
        <w:t xml:space="preserve">, that </w:t>
      </w:r>
      <w:r w:rsidRPr="00192777">
        <w:t xml:space="preserve">work on protection of vulnerable road users was complemented by three new </w:t>
      </w:r>
      <w:r w:rsidR="003C0B08">
        <w:t>United Nations</w:t>
      </w:r>
      <w:r w:rsidR="003C0B08" w:rsidRPr="00192777">
        <w:t xml:space="preserve"> </w:t>
      </w:r>
      <w:r w:rsidRPr="00192777">
        <w:t xml:space="preserve">Regulations (Vulnerable Road Users in Front and Side Close Proximity, Vulnerable Road Users Direct Vision and Reverse </w:t>
      </w:r>
      <w:r w:rsidR="00ED7E99" w:rsidRPr="00192777">
        <w:t>Warning</w:t>
      </w:r>
      <w:r w:rsidRPr="00192777">
        <w:t>)</w:t>
      </w:r>
      <w:r w:rsidR="00ED7E99">
        <w:t>,</w:t>
      </w:r>
      <w:r w:rsidRPr="00192777">
        <w:t xml:space="preserve"> a new </w:t>
      </w:r>
      <w:r w:rsidR="003C0B08">
        <w:t>United Nations</w:t>
      </w:r>
      <w:r w:rsidR="003C0B08" w:rsidRPr="00192777">
        <w:t xml:space="preserve"> </w:t>
      </w:r>
      <w:r w:rsidRPr="00192777">
        <w:t xml:space="preserve">Regulation </w:t>
      </w:r>
      <w:r w:rsidR="00ED7E99" w:rsidRPr="00192777">
        <w:t xml:space="preserve">on studded tyres with regards to their snow performance </w:t>
      </w:r>
      <w:r w:rsidRPr="00192777">
        <w:t>entering into force in October 2022 aims in increasing road safety under winterly driving condition</w:t>
      </w:r>
      <w:r w:rsidR="00ED7E99">
        <w:t>,</w:t>
      </w:r>
      <w:r w:rsidR="00ED7E99" w:rsidRPr="00192777">
        <w:t xml:space="preserve"> </w:t>
      </w:r>
      <w:r w:rsidRPr="00192777">
        <w:t xml:space="preserve">as well as an update of the first </w:t>
      </w:r>
      <w:r w:rsidR="003C0B08">
        <w:t>United Nations</w:t>
      </w:r>
      <w:r w:rsidR="003C0B08" w:rsidRPr="00192777">
        <w:t xml:space="preserve"> </w:t>
      </w:r>
      <w:r w:rsidRPr="00192777">
        <w:t>Regulations for automated vehicles with additional elements  (e.g. lane change and operational speed up to 130 km/h) making its use case for automated motorway driving complete.</w:t>
      </w:r>
    </w:p>
    <w:p w14:paraId="4959FF6E" w14:textId="53CE0890" w:rsidR="00D63BB6" w:rsidRPr="00192777" w:rsidRDefault="00D63BB6" w:rsidP="004242E3">
      <w:pPr>
        <w:pStyle w:val="SingleTxtG"/>
      </w:pPr>
      <w:r w:rsidRPr="00192777">
        <w:rPr>
          <w:rFonts w:asciiTheme="majorBidi" w:hAnsiTheme="majorBidi" w:cstheme="majorBidi"/>
        </w:rPr>
        <w:lastRenderedPageBreak/>
        <w:t xml:space="preserve">The Committee may wish to be </w:t>
      </w:r>
      <w:r w:rsidR="00B52E98" w:rsidRPr="00192777">
        <w:rPr>
          <w:rFonts w:asciiTheme="majorBidi" w:hAnsiTheme="majorBidi" w:cstheme="majorBidi"/>
          <w:b/>
          <w:bCs/>
        </w:rPr>
        <w:t>reported</w:t>
      </w:r>
      <w:r w:rsidRPr="00192777">
        <w:rPr>
          <w:rFonts w:asciiTheme="majorBidi" w:hAnsiTheme="majorBidi" w:cstheme="majorBidi"/>
        </w:rPr>
        <w:t xml:space="preserve"> </w:t>
      </w:r>
      <w:r w:rsidRPr="00192777">
        <w:t xml:space="preserve">on the progress of the GRVA working groups on automation with delivering the first iteration of the New Assessment/Test Method for Automated Driving (NATM) – Master Document as well as the draft recommendations for automotive </w:t>
      </w:r>
      <w:r w:rsidR="003C0B08">
        <w:t xml:space="preserve">cybersecurity </w:t>
      </w:r>
      <w:r w:rsidRPr="00192777">
        <w:t>and software update imp</w:t>
      </w:r>
      <w:r w:rsidR="00E606DC" w:rsidRPr="00192777">
        <w:t>l</w:t>
      </w:r>
      <w:r w:rsidRPr="00192777">
        <w:t>ementation.</w:t>
      </w:r>
    </w:p>
    <w:p w14:paraId="1CA8FAE7" w14:textId="77777777" w:rsidR="00D63BB6" w:rsidRPr="00192777" w:rsidRDefault="00D63BB6" w:rsidP="004242E3">
      <w:pPr>
        <w:pStyle w:val="SingleTxtG"/>
        <w:rPr>
          <w:rFonts w:asciiTheme="majorBidi" w:hAnsiTheme="majorBidi" w:cstheme="majorBidi"/>
        </w:rPr>
      </w:pPr>
      <w:r w:rsidRPr="00192777">
        <w:rPr>
          <w:rFonts w:asciiTheme="majorBidi" w:hAnsiTheme="majorBidi" w:cstheme="majorBidi"/>
        </w:rPr>
        <w:t xml:space="preserve">The Committee may wish to </w:t>
      </w:r>
      <w:r w:rsidRPr="00192777">
        <w:rPr>
          <w:rFonts w:asciiTheme="majorBidi" w:hAnsiTheme="majorBidi" w:cstheme="majorBidi"/>
          <w:b/>
          <w:bCs/>
        </w:rPr>
        <w:t xml:space="preserve">note </w:t>
      </w:r>
      <w:r w:rsidRPr="00192777">
        <w:rPr>
          <w:rFonts w:asciiTheme="majorBidi" w:hAnsiTheme="majorBidi" w:cstheme="majorBidi"/>
        </w:rPr>
        <w:t xml:space="preserve">that </w:t>
      </w:r>
      <w:r w:rsidRPr="00192777">
        <w:t>WP.29 established a framework document on vehicle whole-life compliance, which provides for a compliance regime for vehicles from type-approval via periodic technical inspections, roadside technical inspections until its end-of-life and scrapping by applying a holistic approach.</w:t>
      </w:r>
    </w:p>
    <w:p w14:paraId="19AE1E87" w14:textId="222B564E" w:rsidR="00D63BB6" w:rsidRPr="00192777" w:rsidRDefault="00D63BB6" w:rsidP="004242E3">
      <w:pPr>
        <w:pStyle w:val="SingleTxtG"/>
        <w:rPr>
          <w:rFonts w:asciiTheme="majorBidi" w:hAnsiTheme="majorBidi" w:cstheme="majorBidi"/>
        </w:rPr>
      </w:pPr>
      <w:r w:rsidRPr="00192777">
        <w:rPr>
          <w:rFonts w:asciiTheme="majorBidi" w:hAnsiTheme="majorBidi" w:cstheme="majorBidi"/>
        </w:rPr>
        <w:t xml:space="preserve">The Committee may wish to </w:t>
      </w:r>
      <w:r w:rsidRPr="00192777">
        <w:rPr>
          <w:rFonts w:asciiTheme="majorBidi" w:hAnsiTheme="majorBidi" w:cstheme="majorBidi"/>
          <w:b/>
          <w:bCs/>
        </w:rPr>
        <w:t xml:space="preserve">note </w:t>
      </w:r>
      <w:r w:rsidRPr="00192777">
        <w:rPr>
          <w:rFonts w:asciiTheme="majorBidi" w:hAnsiTheme="majorBidi" w:cstheme="majorBidi"/>
        </w:rPr>
        <w:t xml:space="preserve">that the Executive Committee of the 1998 Agreement established in 2022 two new UN GTRs (No. 22 on </w:t>
      </w:r>
      <w:r w:rsidR="00AE1717" w:rsidRPr="00192777">
        <w:rPr>
          <w:rFonts w:asciiTheme="majorBidi" w:hAnsiTheme="majorBidi" w:cstheme="majorBidi"/>
        </w:rPr>
        <w:t>in-vehicle durability for electrified vehicles</w:t>
      </w:r>
      <w:r w:rsidRPr="00192777">
        <w:rPr>
          <w:rFonts w:asciiTheme="majorBidi" w:hAnsiTheme="majorBidi" w:cstheme="majorBidi"/>
        </w:rPr>
        <w:t xml:space="preserve"> and No. 23 on durability of pollution-control devices) as well as an amendment to UN GTR No. 2 (</w:t>
      </w:r>
      <w:r w:rsidR="00AE1717" w:rsidRPr="00192777">
        <w:rPr>
          <w:rFonts w:asciiTheme="majorBidi" w:hAnsiTheme="majorBidi" w:cstheme="majorBidi"/>
        </w:rPr>
        <w:t>Worldwide Motorcycle Emissions Test Cycle</w:t>
      </w:r>
      <w:r w:rsidRPr="00192777">
        <w:rPr>
          <w:rFonts w:asciiTheme="majorBidi" w:hAnsiTheme="majorBidi" w:cstheme="majorBidi"/>
        </w:rPr>
        <w:t xml:space="preserve">). </w:t>
      </w:r>
    </w:p>
    <w:p w14:paraId="47D5D3C5" w14:textId="76693E46" w:rsidR="00D63BB6" w:rsidRPr="00192777" w:rsidRDefault="00D63BB6" w:rsidP="004242E3">
      <w:pPr>
        <w:pStyle w:val="SingleTxtG"/>
        <w:rPr>
          <w:rFonts w:asciiTheme="majorBidi" w:hAnsiTheme="majorBidi" w:cstheme="majorBidi"/>
        </w:rPr>
      </w:pPr>
      <w:r w:rsidRPr="00192777">
        <w:rPr>
          <w:rFonts w:asciiTheme="majorBidi" w:hAnsiTheme="majorBidi" w:cstheme="majorBidi"/>
        </w:rPr>
        <w:t xml:space="preserve">The Committee </w:t>
      </w:r>
      <w:r w:rsidRPr="00192777">
        <w:rPr>
          <w:rFonts w:asciiTheme="majorBidi" w:hAnsiTheme="majorBidi" w:cstheme="majorBidi"/>
          <w:b/>
          <w:bCs/>
        </w:rPr>
        <w:t xml:space="preserve">may wish to be </w:t>
      </w:r>
      <w:r w:rsidR="00B52E98" w:rsidRPr="00192777">
        <w:rPr>
          <w:rFonts w:asciiTheme="majorBidi" w:hAnsiTheme="majorBidi" w:cstheme="majorBidi"/>
          <w:b/>
          <w:bCs/>
        </w:rPr>
        <w:t>reported</w:t>
      </w:r>
      <w:r w:rsidRPr="00192777">
        <w:rPr>
          <w:rFonts w:asciiTheme="majorBidi" w:hAnsiTheme="majorBidi" w:cstheme="majorBidi"/>
        </w:rPr>
        <w:t xml:space="preserve"> about the status of establishing the type-approval database DETA</w:t>
      </w:r>
      <w:r w:rsidRPr="00192777">
        <w:rPr>
          <w:rFonts w:asciiTheme="majorBidi" w:hAnsiTheme="majorBidi" w:cstheme="majorBidi"/>
          <w:vertAlign w:val="superscript"/>
        </w:rPr>
        <w:footnoteReference w:id="7"/>
      </w:r>
      <w:r w:rsidRPr="00192777">
        <w:rPr>
          <w:rFonts w:asciiTheme="majorBidi" w:hAnsiTheme="majorBidi" w:cstheme="majorBidi"/>
        </w:rPr>
        <w:t xml:space="preserve"> , which is currently hosted by Germany.</w:t>
      </w:r>
    </w:p>
    <w:p w14:paraId="712A0547" w14:textId="77777777" w:rsidR="00D63BB6" w:rsidRPr="00192777" w:rsidRDefault="00D63BB6" w:rsidP="004242E3">
      <w:pPr>
        <w:pStyle w:val="SingleTxtG"/>
        <w:rPr>
          <w:b/>
        </w:rPr>
      </w:pPr>
      <w:r w:rsidRPr="00192777">
        <w:rPr>
          <w:b/>
        </w:rPr>
        <w:t>Documentation</w:t>
      </w:r>
    </w:p>
    <w:p w14:paraId="66417863" w14:textId="703839E3" w:rsidR="00E37F50" w:rsidRPr="00192777" w:rsidRDefault="00D63BB6" w:rsidP="00361840">
      <w:pPr>
        <w:pStyle w:val="SingleTxtG"/>
      </w:pPr>
      <w:r w:rsidRPr="00192777">
        <w:t>ECE/TRANS/202</w:t>
      </w:r>
      <w:r w:rsidR="00FA5992" w:rsidRPr="00192777">
        <w:t>3</w:t>
      </w:r>
      <w:r w:rsidRPr="00192777">
        <w:t>/25</w:t>
      </w:r>
    </w:p>
    <w:p w14:paraId="30EC1779" w14:textId="62692967" w:rsidR="00777D43" w:rsidRPr="00192777" w:rsidRDefault="004242E3" w:rsidP="00A91070">
      <w:pPr>
        <w:pStyle w:val="H23G"/>
      </w:pPr>
      <w:r w:rsidRPr="00192777">
        <w:tab/>
      </w:r>
      <w:r w:rsidR="00777D43" w:rsidRPr="00192777">
        <w:t>(l)</w:t>
      </w:r>
      <w:r w:rsidR="00777D43" w:rsidRPr="00192777">
        <w:tab/>
        <w:t xml:space="preserve">Transport of </w:t>
      </w:r>
      <w:r w:rsidR="00AE1717" w:rsidRPr="00192777">
        <w:t>Dangerous Goods</w:t>
      </w:r>
    </w:p>
    <w:p w14:paraId="0D4E553C" w14:textId="61A8E019" w:rsidR="00C615AA" w:rsidRPr="00192777" w:rsidRDefault="00C615AA" w:rsidP="00361840">
      <w:pPr>
        <w:pStyle w:val="SingleTxtG"/>
      </w:pPr>
      <w:r w:rsidRPr="00192777">
        <w:t>The Sub-Committee of Experts on the Transport of Dangerous Goods of the Economic and Social Council met from 27 June to 6 July 2022 and from 28 November to 6 December 2022 (see reports ST/SG/AC.10/C.3/120 and Add.1</w:t>
      </w:r>
      <w:r w:rsidR="00AE1717">
        <w:t>,</w:t>
      </w:r>
      <w:r w:rsidRPr="00192777">
        <w:t xml:space="preserve"> and ST/SG/AC.10/C.3/122). The Sub-Committee of Experts on the Globally Harmonized System of Classification and Labelling of Chemicals met from 6 to 8 July 2022 and 7 to 9 December 2022 (see reports ST/SG/AC.10/C.4/84 and ST/SG/AC.10/C.4/86).</w:t>
      </w:r>
    </w:p>
    <w:p w14:paraId="11288949" w14:textId="76548FD2" w:rsidR="00C615AA" w:rsidRPr="00192777" w:rsidRDefault="00C615AA" w:rsidP="00361840">
      <w:pPr>
        <w:pStyle w:val="SingleTxtG"/>
      </w:pPr>
      <w:r w:rsidRPr="00192777">
        <w:t xml:space="preserve">The Committee of Experts on the Transport of Dangerous Goods and on the Globally Harmonized System of Classification and Labelling of Chemicals held its eleventh session on 9 December 2022, to consider the work of both Sub-Committees over the 2019–2020 biennium (see report ST/SG/AC.10/50). It adopted recommendations (ST/SG/AC.10/50/Adds.1–3) that will be reflected in publications to be prepared by the secretariat in 2023 (twenty-third revised edition of the Recommendations on the Transport of Dangerous Goods, Model </w:t>
      </w:r>
      <w:r w:rsidRPr="004E3F84">
        <w:t xml:space="preserve">Regulations; eighth revised edition </w:t>
      </w:r>
      <w:r w:rsidRPr="00192777">
        <w:t>of the Manual of Tests and Criteria; and tenth revised edition of the Globally Harmonized System of Classification and Labelling of Chemicals).</w:t>
      </w:r>
    </w:p>
    <w:p w14:paraId="5B27689F" w14:textId="21209A16" w:rsidR="00C615AA" w:rsidRPr="00192777" w:rsidRDefault="00C615AA" w:rsidP="00361840">
      <w:pPr>
        <w:pStyle w:val="SingleTxtG"/>
      </w:pPr>
      <w:r w:rsidRPr="00192777">
        <w:t xml:space="preserve">The Committee </w:t>
      </w:r>
      <w:r w:rsidRPr="00192777">
        <w:rPr>
          <w:b/>
          <w:bCs/>
        </w:rPr>
        <w:t>will be informed</w:t>
      </w:r>
      <w:r w:rsidRPr="00192777">
        <w:t xml:space="preserve"> that the International Maritime Organization (IMO), the International Civil Aviation Organization (ICAO), as well as the ECE bodies dealing with land transport of dangerous goods, will begin work in 2023 on transposing the recommendations made by the ECOSOC Committee into their respective legal instruments, to ensure their simultaneous application for all modes of transport as of 1 January 2025. </w:t>
      </w:r>
    </w:p>
    <w:p w14:paraId="11E570F5" w14:textId="77777777" w:rsidR="00C615AA" w:rsidRPr="00192777" w:rsidRDefault="00C615AA" w:rsidP="00361840">
      <w:pPr>
        <w:pStyle w:val="SingleTxtG"/>
      </w:pPr>
      <w:r w:rsidRPr="00192777">
        <w:t xml:space="preserve">The Committee may wish to </w:t>
      </w:r>
      <w:r w:rsidRPr="00192777">
        <w:rPr>
          <w:b/>
        </w:rPr>
        <w:t>note</w:t>
      </w:r>
      <w:r w:rsidRPr="00192777">
        <w:t xml:space="preserve"> that Armenia and Uganda acceded to the Agreement concerning the International Carriage of Dangerous Goods by Road (ADR) in January 2020 bringing the number of contracting parties to 54. The Protocol amending articles 1 (a), 14 (1) and 14 (3) (b) of the ADR, adopted by the Conference of the Contracting Parties on 28 October 1993, has not yet entered into force as not all contracting parties to ADR have become parties to it (40 contracting parties have done so to date). The Committee </w:t>
      </w:r>
      <w:r w:rsidRPr="00192777">
        <w:rPr>
          <w:b/>
          <w:bCs/>
        </w:rPr>
        <w:t>may wish to urge</w:t>
      </w:r>
      <w:r w:rsidRPr="00192777">
        <w:t xml:space="preserve"> the remaining contracting parties (Armenia, Azerbaijan, Belarus, Bosnia and Herzegovina, Croatia, Iceland, Kazakhstan, Montenegro, Morocco, Nigeria, North Macedonia, San Marino, Tajikistan and Uganda) to take the necessary steps to allow the Protocol to come into force.</w:t>
      </w:r>
    </w:p>
    <w:p w14:paraId="2A2B2EA3" w14:textId="1998E356" w:rsidR="00C615AA" w:rsidRPr="00192777" w:rsidRDefault="00C615AA" w:rsidP="00361840">
      <w:pPr>
        <w:pStyle w:val="SingleTxtG"/>
      </w:pPr>
      <w:r w:rsidRPr="00192777">
        <w:t xml:space="preserve">The Committee may wish to </w:t>
      </w:r>
      <w:r w:rsidRPr="00192777">
        <w:rPr>
          <w:b/>
        </w:rPr>
        <w:t>note</w:t>
      </w:r>
      <w:r w:rsidRPr="00192777">
        <w:t xml:space="preserve"> that the draft amendments to annexes A and B of the ADR adopted in 2020, 2021 and May 2022 for an intended entry into force on 1 January 2023, as reproduced in ECE/TRANS/WP.15/256, Corr.1 and Corr.2 and ECE/TRANS/WP.15/256/Add.1 have been transmitted to the Secretary-General by the </w:t>
      </w:r>
      <w:r w:rsidRPr="00192777">
        <w:lastRenderedPageBreak/>
        <w:t>Government of France, and thereafter by the Secretary-General to the contracting parties for acceptance. They were deemed accepted on 7 October 2020 and will enter into force on 1 January 2023. The secretariat has published accordingly a new 2023 consolidated edition of ADR (ECE/TRANS/326, Vols. I and II).</w:t>
      </w:r>
    </w:p>
    <w:p w14:paraId="55A8EF91" w14:textId="77777777" w:rsidR="00C615AA" w:rsidRPr="00192777" w:rsidRDefault="00C615AA" w:rsidP="00361840">
      <w:pPr>
        <w:pStyle w:val="SingleTxtG"/>
        <w:rPr>
          <w:lang w:eastAsia="zh-CN"/>
        </w:rPr>
      </w:pPr>
      <w:r w:rsidRPr="00192777">
        <w:rPr>
          <w:rFonts w:eastAsia="Times New Roman"/>
        </w:rPr>
        <w:t xml:space="preserve">The Committee may wish to </w:t>
      </w:r>
      <w:r w:rsidRPr="00192777">
        <w:rPr>
          <w:rFonts w:eastAsia="Times New Roman"/>
          <w:b/>
        </w:rPr>
        <w:t xml:space="preserve">note </w:t>
      </w:r>
      <w:r w:rsidRPr="00192777">
        <w:rPr>
          <w:rFonts w:eastAsia="Times New Roman"/>
          <w:bCs/>
        </w:rPr>
        <w:t xml:space="preserve">that this new </w:t>
      </w:r>
      <w:r w:rsidRPr="00192777">
        <w:rPr>
          <w:lang w:eastAsia="zh-CN"/>
        </w:rPr>
        <w:t>edition of ADR already contains new provisions that allow the use of battery electric vehicles for category AT, and that future developments are expected to allow the use of alternative energy sources for the transport of dangerous goods, in line with the logic of the energy transition and the development of renewable energy sources.</w:t>
      </w:r>
    </w:p>
    <w:p w14:paraId="4CFB6B09" w14:textId="77777777" w:rsidR="00C615AA" w:rsidRPr="00192777" w:rsidRDefault="00C615AA" w:rsidP="00361840">
      <w:pPr>
        <w:pStyle w:val="SingleTxtG"/>
      </w:pPr>
      <w:r w:rsidRPr="00192777">
        <w:t xml:space="preserve">The Committee may wish to </w:t>
      </w:r>
      <w:r w:rsidRPr="00192777">
        <w:rPr>
          <w:b/>
        </w:rPr>
        <w:t xml:space="preserve">note </w:t>
      </w:r>
      <w:r w:rsidRPr="00192777">
        <w:t>that the electronic version of the revised Road Map for accession to and implementation of ADR adopted by the Working Party on the Transport of Dangerous Goods at its 110</w:t>
      </w:r>
      <w:r w:rsidRPr="009D5207">
        <w:t>th</w:t>
      </w:r>
      <w:r w:rsidRPr="00192777">
        <w:t xml:space="preserve"> session had been published and was available on the ECE website (ECE/TRANS/330). It </w:t>
      </w:r>
      <w:r w:rsidRPr="00192777">
        <w:rPr>
          <w:lang w:eastAsia="en-US"/>
        </w:rPr>
        <w:t>contains information for experts and legal advisers in transport ministries and departments, as well as for other relevant ministries (e.g. environment, interior, foreign affairs), presidential administrations and national parliaments in countries interested in becoming contracting parties to ADR. It also aims to provide useful information to the contracting parties to ADR during the implementation process.</w:t>
      </w:r>
    </w:p>
    <w:p w14:paraId="64461E8B" w14:textId="161F7498" w:rsidR="00C615AA" w:rsidRPr="00192777" w:rsidRDefault="00C615AA" w:rsidP="00361840">
      <w:pPr>
        <w:pStyle w:val="SingleTxtG"/>
      </w:pPr>
      <w:r w:rsidRPr="00192777">
        <w:t xml:space="preserve">The Committee may wish to </w:t>
      </w:r>
      <w:r w:rsidRPr="00192777">
        <w:rPr>
          <w:b/>
        </w:rPr>
        <w:t>note</w:t>
      </w:r>
      <w:r w:rsidRPr="00192777">
        <w:t xml:space="preserve"> that draft amendments to the Regulations annexed to ADN adopted in 2020, 2021 and 2022, as reproduced in ECE/ADN/61, were deemed accepted on 1 October 2022 for entry into force on 1 January 2023. Other amendments adopted in August 2022, reproduced in ECE/ADN/61/Corr.1 and ECE/ADN/61/Add.1, have also been circulated for acceptance and entry into force on 1 January 2023. The secretariat is publishing accordingly a new 2023 consolidated edition of ADN (ECE/TRANS/325, Vols. I and II). The number of contracting parties to ADN remains at 18.</w:t>
      </w:r>
    </w:p>
    <w:p w14:paraId="4B514FBB" w14:textId="5C554EC2" w:rsidR="00C615AA" w:rsidRPr="00192777" w:rsidRDefault="00C615AA" w:rsidP="00361840">
      <w:pPr>
        <w:pStyle w:val="SingleTxtG"/>
      </w:pPr>
      <w:r w:rsidRPr="00192777">
        <w:t xml:space="preserve">The Committee may wish to </w:t>
      </w:r>
      <w:r w:rsidRPr="00192777">
        <w:rPr>
          <w:b/>
        </w:rPr>
        <w:t>note</w:t>
      </w:r>
      <w:r w:rsidRPr="00192777">
        <w:t xml:space="preserve"> that other draft amendments to ADR, RID and ADN have been adopted by the Joint Meeting of the RID Committee of Experts and the Working Party on the Transport of Dangerous Goods, by the Working Party itself and by the Joint Meeting of Experts on the Regulations annexed to ADN, which are intended to enter into force on 1 January 2025 (ECE/TRANS/WP.15/AC.1/164 and  ECE/TRANS/WP.15/AC.1/166).</w:t>
      </w:r>
    </w:p>
    <w:p w14:paraId="3757402B" w14:textId="77777777" w:rsidR="000D4116" w:rsidRPr="00192777" w:rsidRDefault="000D4116" w:rsidP="000D4116">
      <w:pPr>
        <w:spacing w:after="120"/>
        <w:ind w:left="1134" w:right="1134"/>
        <w:jc w:val="both"/>
        <w:rPr>
          <w:b/>
          <w:bCs/>
        </w:rPr>
      </w:pPr>
      <w:r w:rsidRPr="00192777">
        <w:rPr>
          <w:b/>
          <w:bCs/>
        </w:rPr>
        <w:t>Documentation</w:t>
      </w:r>
    </w:p>
    <w:p w14:paraId="4FBB3F18" w14:textId="0B749661" w:rsidR="00190BA1" w:rsidRPr="00192777" w:rsidRDefault="000D4116" w:rsidP="00361840">
      <w:pPr>
        <w:pStyle w:val="SingleTxtG"/>
      </w:pPr>
      <w:r w:rsidRPr="00192777">
        <w:t>ST/SG/AC.10/C.3/120 and Add.1, [ST/SG/AC.10/C.3/122], ST/SG/AC.10/C.4/84, [ST/SG/AC.10/C.4/86], [ST/SG/AC.10/50 and Adds.1–3], ECE/TRANS/WP.15/256 and Corr.1 and Corr.2, ECE/TRANS/WP.15/256/Add.1, ECE/TRANS/WP.15/AC.1/164, ECE/TRANS/WP.15/AC.1/166, ECE/TRANS/WP.15/258, ECE/TRANS/WP.15/260, ECE/TRANS/326</w:t>
      </w:r>
      <w:r w:rsidR="00EC08D3" w:rsidRPr="00192777">
        <w:t xml:space="preserve">; </w:t>
      </w:r>
      <w:r w:rsidRPr="00192777">
        <w:t xml:space="preserve">ECE/TRANS/WP.15/AC.2/78, ECE/TRANS/WP.15/AC.2/80, ECE/TRANS/WP.15/AC.2/82, ECE/ADN/61, ECE/ADN/61/Add.1, ECE/ADN/61/Corr.1, ECE/TRANS/325 </w:t>
      </w:r>
    </w:p>
    <w:p w14:paraId="6C4D3C45" w14:textId="48F8031F" w:rsidR="00777D43" w:rsidRPr="00192777" w:rsidRDefault="00994C05" w:rsidP="00A91070">
      <w:pPr>
        <w:pStyle w:val="H23G"/>
      </w:pPr>
      <w:r w:rsidRPr="00192777">
        <w:tab/>
      </w:r>
      <w:r w:rsidR="00777D43" w:rsidRPr="00192777">
        <w:t>(m)</w:t>
      </w:r>
      <w:r w:rsidR="00777D43" w:rsidRPr="00192777">
        <w:tab/>
        <w:t>United Nations Road Safety Fund</w:t>
      </w:r>
    </w:p>
    <w:p w14:paraId="3BF28CFC" w14:textId="51085BA7" w:rsidR="00994C05" w:rsidRPr="00192777" w:rsidRDefault="00994C05" w:rsidP="00361840">
      <w:pPr>
        <w:pStyle w:val="SingleTxtG"/>
      </w:pPr>
      <w:r w:rsidRPr="00192777">
        <w:t xml:space="preserve">The </w:t>
      </w:r>
      <w:r w:rsidRPr="00192777">
        <w:rPr>
          <w:rFonts w:asciiTheme="majorBidi" w:hAnsiTheme="majorBidi" w:cstheme="majorBidi"/>
        </w:rPr>
        <w:t>Committee</w:t>
      </w:r>
      <w:r w:rsidRPr="00192777">
        <w:t xml:space="preserve"> </w:t>
      </w:r>
      <w:r w:rsidRPr="00192777">
        <w:rPr>
          <w:b/>
          <w:bCs/>
        </w:rPr>
        <w:t>will be informed</w:t>
      </w:r>
      <w:r w:rsidRPr="00192777">
        <w:t xml:space="preserve"> about the latest activities and future plans of the United Nations Road Safety Fund (UNRSF) as they </w:t>
      </w:r>
      <w:r w:rsidRPr="00192777">
        <w:rPr>
          <w:rFonts w:asciiTheme="majorBidi" w:hAnsiTheme="majorBidi" w:cstheme="majorBidi"/>
        </w:rPr>
        <w:t>relate</w:t>
      </w:r>
      <w:r w:rsidRPr="00192777">
        <w:t xml:space="preserve"> to resource mobilization, partnerships and projects (ECE/TRANS/2023/2</w:t>
      </w:r>
      <w:r w:rsidR="00E83C6D" w:rsidRPr="00192777">
        <w:t>6</w:t>
      </w:r>
      <w:r w:rsidRPr="00192777">
        <w:t>).</w:t>
      </w:r>
    </w:p>
    <w:p w14:paraId="6317806D" w14:textId="77777777" w:rsidR="00994C05" w:rsidRPr="00192777" w:rsidRDefault="00994C05" w:rsidP="00994C05">
      <w:pPr>
        <w:spacing w:after="120"/>
        <w:ind w:left="1134" w:right="1134"/>
        <w:jc w:val="both"/>
        <w:rPr>
          <w:rFonts w:eastAsia="Times New Roman"/>
          <w:b/>
        </w:rPr>
      </w:pPr>
      <w:r w:rsidRPr="00192777">
        <w:rPr>
          <w:rFonts w:eastAsia="Times New Roman"/>
          <w:b/>
        </w:rPr>
        <w:t>Documentation</w:t>
      </w:r>
    </w:p>
    <w:p w14:paraId="7371F464" w14:textId="492C65F1" w:rsidR="00DB072B" w:rsidRPr="00192777" w:rsidRDefault="00994C05" w:rsidP="00361840">
      <w:pPr>
        <w:pStyle w:val="SingleTxtG"/>
      </w:pPr>
      <w:r w:rsidRPr="00192777">
        <w:t>ECE/TRANS/202</w:t>
      </w:r>
      <w:r w:rsidR="00E83C6D" w:rsidRPr="00192777">
        <w:t>3</w:t>
      </w:r>
      <w:r w:rsidRPr="00192777">
        <w:t>/2</w:t>
      </w:r>
      <w:r w:rsidR="00E83C6D" w:rsidRPr="00192777">
        <w:t>6</w:t>
      </w:r>
    </w:p>
    <w:p w14:paraId="6A0E0F8F" w14:textId="12B9D0E5" w:rsidR="00777D43" w:rsidRPr="00192777" w:rsidRDefault="00E83C6D" w:rsidP="00A91070">
      <w:pPr>
        <w:pStyle w:val="H23G"/>
      </w:pPr>
      <w:r w:rsidRPr="00192777">
        <w:tab/>
      </w:r>
      <w:r w:rsidR="00777D43" w:rsidRPr="00192777">
        <w:t>(n)</w:t>
      </w:r>
      <w:r w:rsidR="00777D43" w:rsidRPr="00192777">
        <w:tab/>
        <w:t>Special Envoy of the Secretary</w:t>
      </w:r>
      <w:r w:rsidR="00C84E21">
        <w:t>-</w:t>
      </w:r>
      <w:r w:rsidR="00777D43" w:rsidRPr="00192777">
        <w:t>General for Road Safety</w:t>
      </w:r>
    </w:p>
    <w:p w14:paraId="7739B3AD" w14:textId="6180F577" w:rsidR="002756B1" w:rsidRPr="00192777" w:rsidRDefault="002756B1" w:rsidP="00361840">
      <w:pPr>
        <w:pStyle w:val="SingleTxtG"/>
      </w:pPr>
      <w:r w:rsidRPr="00192777">
        <w:t xml:space="preserve">The Committee </w:t>
      </w:r>
      <w:r w:rsidRPr="00192777">
        <w:rPr>
          <w:b/>
          <w:bCs/>
        </w:rPr>
        <w:t>will be informed</w:t>
      </w:r>
      <w:r w:rsidRPr="00192777">
        <w:t xml:space="preserve"> about the main developments in the activities of the United Nations Secretary-General’s Special Envoy for Road Safety and areas of cooperation with the Committee (ECE/TRANS/2023/27). The Committee </w:t>
      </w:r>
      <w:r w:rsidRPr="00192777">
        <w:rPr>
          <w:b/>
          <w:bCs/>
        </w:rPr>
        <w:t xml:space="preserve">may wish to take note of </w:t>
      </w:r>
      <w:r w:rsidRPr="00192777">
        <w:t>the Special Envoy’s activities in particular in promoting accession and implementation of the United Nations road safety conventions, as well as progress with the extension of the function of the Special Envoy through 2030, as mentioned in United Nations General Assembly Resolution on Improving Global Road Safety (A/RES/74/299).</w:t>
      </w:r>
    </w:p>
    <w:p w14:paraId="7BAEE24A" w14:textId="77777777" w:rsidR="002756B1" w:rsidRPr="00192777" w:rsidRDefault="002756B1" w:rsidP="002756B1">
      <w:pPr>
        <w:spacing w:after="120"/>
        <w:ind w:left="1134" w:right="1134"/>
        <w:jc w:val="both"/>
        <w:rPr>
          <w:rFonts w:eastAsia="Times New Roman"/>
          <w:b/>
        </w:rPr>
      </w:pPr>
      <w:r w:rsidRPr="00192777">
        <w:rPr>
          <w:rFonts w:eastAsia="Times New Roman"/>
          <w:b/>
        </w:rPr>
        <w:t>Documentation</w:t>
      </w:r>
    </w:p>
    <w:p w14:paraId="694E2165" w14:textId="78EBEA0E" w:rsidR="00DB072B" w:rsidRPr="00192777" w:rsidRDefault="002756B1" w:rsidP="00361840">
      <w:pPr>
        <w:pStyle w:val="SingleTxtG"/>
      </w:pPr>
      <w:r w:rsidRPr="00192777">
        <w:lastRenderedPageBreak/>
        <w:t>ECE/TRANS/202</w:t>
      </w:r>
      <w:r w:rsidR="00B93CCB" w:rsidRPr="00192777">
        <w:t>3</w:t>
      </w:r>
      <w:r w:rsidRPr="00192777">
        <w:t>/2</w:t>
      </w:r>
      <w:r w:rsidR="00B93CCB" w:rsidRPr="00192777">
        <w:t>7</w:t>
      </w:r>
    </w:p>
    <w:p w14:paraId="3877E1C0" w14:textId="69A7E466" w:rsidR="00777D43" w:rsidRPr="00192777" w:rsidRDefault="009949BB" w:rsidP="00A91070">
      <w:pPr>
        <w:pStyle w:val="H23G"/>
      </w:pPr>
      <w:r w:rsidRPr="00192777">
        <w:tab/>
      </w:r>
      <w:r w:rsidR="00777D43" w:rsidRPr="00192777">
        <w:t>(o)</w:t>
      </w:r>
      <w:r w:rsidR="00777D43" w:rsidRPr="00192777">
        <w:tab/>
        <w:t xml:space="preserve">Strengthening </w:t>
      </w:r>
      <w:r w:rsidR="00C84E21" w:rsidRPr="00192777">
        <w:t xml:space="preserve">Border Crossing Facilitation </w:t>
      </w:r>
      <w:r w:rsidR="00777D43" w:rsidRPr="00192777">
        <w:t xml:space="preserve">(TIR Convention, </w:t>
      </w:r>
      <w:proofErr w:type="spellStart"/>
      <w:r w:rsidR="00777D43" w:rsidRPr="00192777">
        <w:t>eTIR</w:t>
      </w:r>
      <w:proofErr w:type="spellEnd"/>
      <w:r w:rsidR="00777D43" w:rsidRPr="00192777">
        <w:t xml:space="preserve"> project, Harmonization Convention and </w:t>
      </w:r>
      <w:r w:rsidR="00C84E21" w:rsidRPr="00192777">
        <w:t>Other Cross-Border and Customs Transit Facilitation Measures</w:t>
      </w:r>
      <w:r w:rsidR="00777D43" w:rsidRPr="00192777">
        <w:t>)</w:t>
      </w:r>
    </w:p>
    <w:p w14:paraId="24882DA0" w14:textId="2F0BC007" w:rsidR="00634F61" w:rsidRPr="00192777" w:rsidRDefault="00634F61" w:rsidP="00361840">
      <w:pPr>
        <w:pStyle w:val="SingleTxtG"/>
      </w:pPr>
      <w:r w:rsidRPr="00192777">
        <w:t xml:space="preserve">The Committee </w:t>
      </w:r>
      <w:r w:rsidR="00AD2E07">
        <w:rPr>
          <w:b/>
          <w:bCs/>
        </w:rPr>
        <w:t>will be reported to about</w:t>
      </w:r>
      <w:r w:rsidRPr="00192777">
        <w:t xml:space="preserve"> the main outcome of the 159</w:t>
      </w:r>
      <w:r w:rsidRPr="00192777">
        <w:rPr>
          <w:vertAlign w:val="superscript"/>
        </w:rPr>
        <w:t>th</w:t>
      </w:r>
      <w:r w:rsidR="00F0072A" w:rsidRPr="00192777">
        <w:t>,</w:t>
      </w:r>
      <w:r w:rsidRPr="00192777">
        <w:t xml:space="preserve"> 160</w:t>
      </w:r>
      <w:r w:rsidRPr="00192777">
        <w:rPr>
          <w:vertAlign w:val="superscript"/>
        </w:rPr>
        <w:t>th</w:t>
      </w:r>
      <w:r w:rsidR="00F0072A" w:rsidRPr="00192777">
        <w:t xml:space="preserve"> </w:t>
      </w:r>
      <w:r w:rsidRPr="00192777">
        <w:t>and 161</w:t>
      </w:r>
      <w:r w:rsidRPr="00192777">
        <w:rPr>
          <w:vertAlign w:val="superscript"/>
        </w:rPr>
        <w:t>st</w:t>
      </w:r>
      <w:r w:rsidR="00F0072A" w:rsidRPr="00192777">
        <w:t xml:space="preserve"> </w:t>
      </w:r>
      <w:r w:rsidRPr="00192777">
        <w:t xml:space="preserve"> sessions of the Working Party on Customs Questions affecting Transport (WP.30) (ECE/TRANS/WP.30/318</w:t>
      </w:r>
      <w:r w:rsidR="00C84E21">
        <w:t>,</w:t>
      </w:r>
      <w:r w:rsidRPr="00192777">
        <w:t xml:space="preserve">; ECE/TRANS/WP.30/320 and ECE/TRANS/WP.30/322) and will be </w:t>
      </w:r>
      <w:r w:rsidRPr="00192777">
        <w:rPr>
          <w:b/>
          <w:bCs/>
        </w:rPr>
        <w:t>invited to take note</w:t>
      </w:r>
      <w:r w:rsidRPr="00192777">
        <w:t xml:space="preserve"> of the activities of the TIR Administrative Committee (AC.2) in the year 2022, including, but not limited to, amendments adopted (ECE/TRANS/WP.30/AC.2/157 and ECE/TRANS/WP.30/AC.2/159), as contained in document ECE/TRANS/2023/</w:t>
      </w:r>
      <w:r w:rsidR="0097138C" w:rsidRPr="00192777">
        <w:t>28</w:t>
      </w:r>
      <w:r w:rsidRPr="00192777">
        <w:t xml:space="preserve"> (border crossings). In particular, the Committee </w:t>
      </w:r>
      <w:r w:rsidR="00AD2E07">
        <w:rPr>
          <w:b/>
          <w:bCs/>
        </w:rPr>
        <w:t>will be reported to about</w:t>
      </w:r>
      <w:r w:rsidRPr="00192777">
        <w:t>:</w:t>
      </w:r>
    </w:p>
    <w:p w14:paraId="174B10B8" w14:textId="4ECEC028" w:rsidR="00634F61" w:rsidRPr="00192777" w:rsidRDefault="00A91070" w:rsidP="00A91070">
      <w:pPr>
        <w:pStyle w:val="SingleTxtG"/>
        <w:ind w:firstLine="567"/>
        <w:rPr>
          <w:rFonts w:eastAsia="Times New Roman"/>
        </w:rPr>
      </w:pPr>
      <w:r w:rsidRPr="00192777">
        <w:rPr>
          <w:rFonts w:eastAsia="Times New Roman"/>
        </w:rPr>
        <w:t>(</w:t>
      </w:r>
      <w:r w:rsidR="00634F61" w:rsidRPr="00192777">
        <w:rPr>
          <w:rFonts w:eastAsia="Times New Roman"/>
        </w:rPr>
        <w:t>a)</w:t>
      </w:r>
      <w:r w:rsidR="006C2485" w:rsidRPr="00192777">
        <w:rPr>
          <w:rFonts w:eastAsia="Times New Roman"/>
        </w:rPr>
        <w:tab/>
      </w:r>
      <w:r w:rsidR="00C84E21">
        <w:rPr>
          <w:rFonts w:eastAsia="Times New Roman"/>
        </w:rPr>
        <w:t xml:space="preserve">the </w:t>
      </w:r>
      <w:r w:rsidR="00634F61" w:rsidRPr="00192777">
        <w:rPr>
          <w:rFonts w:eastAsia="Times New Roman"/>
        </w:rPr>
        <w:t xml:space="preserve">latest developments of the </w:t>
      </w:r>
      <w:proofErr w:type="spellStart"/>
      <w:r w:rsidR="00634F61" w:rsidRPr="00192777">
        <w:rPr>
          <w:rFonts w:eastAsia="Times New Roman"/>
        </w:rPr>
        <w:t>eTIR</w:t>
      </w:r>
      <w:proofErr w:type="spellEnd"/>
      <w:r w:rsidR="00634F61" w:rsidRPr="00192777">
        <w:rPr>
          <w:rFonts w:eastAsia="Times New Roman"/>
        </w:rPr>
        <w:t xml:space="preserve"> international system and the ongoing </w:t>
      </w:r>
      <w:proofErr w:type="spellStart"/>
      <w:r w:rsidR="00634F61" w:rsidRPr="00192777">
        <w:rPr>
          <w:rFonts w:eastAsia="Times New Roman"/>
        </w:rPr>
        <w:t>eTIR</w:t>
      </w:r>
      <w:proofErr w:type="spellEnd"/>
      <w:r w:rsidR="00634F61" w:rsidRPr="00192777">
        <w:rPr>
          <w:rFonts w:eastAsia="Times New Roman"/>
        </w:rPr>
        <w:t xml:space="preserve"> interconnection projects, leading up to the first </w:t>
      </w:r>
      <w:proofErr w:type="spellStart"/>
      <w:r w:rsidR="00634F61" w:rsidRPr="00192777">
        <w:rPr>
          <w:rFonts w:eastAsia="Times New Roman"/>
        </w:rPr>
        <w:t>eTIR</w:t>
      </w:r>
      <w:proofErr w:type="spellEnd"/>
      <w:r w:rsidR="00634F61" w:rsidRPr="00192777">
        <w:rPr>
          <w:rFonts w:eastAsia="Times New Roman"/>
        </w:rPr>
        <w:t xml:space="preserve"> transport (ECE/TRANS/2023/</w:t>
      </w:r>
      <w:r w:rsidR="0097138C" w:rsidRPr="00192777">
        <w:rPr>
          <w:rFonts w:eastAsia="Times New Roman"/>
        </w:rPr>
        <w:t>29</w:t>
      </w:r>
      <w:r w:rsidR="00634F61" w:rsidRPr="00192777">
        <w:rPr>
          <w:rFonts w:eastAsia="Times New Roman"/>
        </w:rPr>
        <w:t>)</w:t>
      </w:r>
      <w:r w:rsidR="00914132">
        <w:rPr>
          <w:rFonts w:eastAsia="Times New Roman"/>
        </w:rPr>
        <w:t xml:space="preserve"> </w:t>
      </w:r>
      <w:r w:rsidR="00634F61" w:rsidRPr="00192777">
        <w:rPr>
          <w:rFonts w:eastAsia="Times New Roman"/>
        </w:rPr>
        <w:t>(</w:t>
      </w:r>
      <w:proofErr w:type="spellStart"/>
      <w:r w:rsidR="00634F61" w:rsidRPr="00192777">
        <w:rPr>
          <w:rFonts w:eastAsia="Times New Roman"/>
        </w:rPr>
        <w:t>eTIR</w:t>
      </w:r>
      <w:proofErr w:type="spellEnd"/>
      <w:r w:rsidR="00634F61" w:rsidRPr="00192777">
        <w:rPr>
          <w:rFonts w:eastAsia="Times New Roman"/>
        </w:rPr>
        <w:t>);</w:t>
      </w:r>
    </w:p>
    <w:p w14:paraId="35CD2229" w14:textId="70D29093" w:rsidR="00634F61" w:rsidRPr="00192777" w:rsidRDefault="00A91070" w:rsidP="00A91070">
      <w:pPr>
        <w:pStyle w:val="SingleTxtG"/>
        <w:ind w:firstLine="567"/>
        <w:rPr>
          <w:rFonts w:eastAsia="Times New Roman"/>
        </w:rPr>
      </w:pPr>
      <w:r w:rsidRPr="00192777">
        <w:rPr>
          <w:rFonts w:eastAsia="Times New Roman"/>
        </w:rPr>
        <w:t>(</w:t>
      </w:r>
      <w:r w:rsidR="00634F61" w:rsidRPr="00192777">
        <w:rPr>
          <w:rFonts w:eastAsia="Times New Roman"/>
        </w:rPr>
        <w:t>b)</w:t>
      </w:r>
      <w:r w:rsidR="006C2485" w:rsidRPr="00192777">
        <w:rPr>
          <w:rFonts w:eastAsia="Times New Roman"/>
        </w:rPr>
        <w:tab/>
      </w:r>
      <w:r w:rsidR="00C84E21">
        <w:rPr>
          <w:rFonts w:eastAsia="Times New Roman"/>
        </w:rPr>
        <w:t xml:space="preserve">the </w:t>
      </w:r>
      <w:r w:rsidR="00634F61" w:rsidRPr="00192777">
        <w:rPr>
          <w:rFonts w:eastAsia="Times New Roman"/>
        </w:rPr>
        <w:t>outcome of the first (January 2022) and second (August</w:t>
      </w:r>
      <w:r w:rsidR="00C84E21" w:rsidRPr="00C84E21">
        <w:t xml:space="preserve"> </w:t>
      </w:r>
      <w:r w:rsidR="00C84E21" w:rsidRPr="00C84E21">
        <w:rPr>
          <w:rFonts w:eastAsia="Times New Roman"/>
        </w:rPr>
        <w:t>–</w:t>
      </w:r>
      <w:r w:rsidR="00C84E21" w:rsidRPr="00C84E21" w:rsidDel="00C84E21">
        <w:rPr>
          <w:rFonts w:eastAsia="Times New Roman"/>
        </w:rPr>
        <w:t xml:space="preserve"> </w:t>
      </w:r>
      <w:r w:rsidR="00634F61" w:rsidRPr="00192777">
        <w:rPr>
          <w:rFonts w:eastAsia="Times New Roman"/>
        </w:rPr>
        <w:t>September 2022) sessions of the Technical Implementation Body (TIB) (ECE/TRANS/WP.30/AC.2/TIB/2 and ECE/TRANS/WP.30/AC.2/TIB 4);</w:t>
      </w:r>
    </w:p>
    <w:p w14:paraId="19A44508" w14:textId="590154E8" w:rsidR="00634F61" w:rsidRPr="00192777" w:rsidRDefault="00A91070" w:rsidP="00A91070">
      <w:pPr>
        <w:pStyle w:val="SingleTxtG"/>
        <w:ind w:firstLine="567"/>
        <w:rPr>
          <w:rFonts w:eastAsia="Times New Roman"/>
        </w:rPr>
      </w:pPr>
      <w:r w:rsidRPr="00192777">
        <w:rPr>
          <w:rFonts w:eastAsia="Times New Roman"/>
        </w:rPr>
        <w:t>(</w:t>
      </w:r>
      <w:r w:rsidR="00634F61" w:rsidRPr="00192777">
        <w:rPr>
          <w:rFonts w:eastAsia="Times New Roman"/>
        </w:rPr>
        <w:t>c)</w:t>
      </w:r>
      <w:r w:rsidR="00D20B75" w:rsidRPr="00192777">
        <w:rPr>
          <w:rFonts w:eastAsia="Times New Roman"/>
        </w:rPr>
        <w:tab/>
      </w:r>
      <w:r w:rsidR="00C84E21">
        <w:rPr>
          <w:rFonts w:eastAsia="Times New Roman"/>
        </w:rPr>
        <w:t xml:space="preserve">the </w:t>
      </w:r>
      <w:r w:rsidR="00634F61" w:rsidRPr="00192777">
        <w:rPr>
          <w:rFonts w:eastAsia="Times New Roman"/>
        </w:rPr>
        <w:t xml:space="preserve">latest developments in the International TIR Data Bank (ITDB), making the electronic submission of data to ITDB mandatory, launching the </w:t>
      </w:r>
      <w:proofErr w:type="spellStart"/>
      <w:r w:rsidR="00634F61" w:rsidRPr="00192777">
        <w:rPr>
          <w:rFonts w:eastAsia="Times New Roman"/>
        </w:rPr>
        <w:t>eTIR</w:t>
      </w:r>
      <w:proofErr w:type="spellEnd"/>
      <w:r w:rsidR="00634F61" w:rsidRPr="00192777">
        <w:rPr>
          <w:rFonts w:eastAsia="Times New Roman"/>
        </w:rPr>
        <w:t xml:space="preserve"> (web) portal for holders, as well as the new mobile applications dedicated to TIR Carnet holders and customs officers;</w:t>
      </w:r>
    </w:p>
    <w:p w14:paraId="4DF8F7FB" w14:textId="23232BB7" w:rsidR="00634F61" w:rsidRPr="00192777" w:rsidRDefault="00A91070" w:rsidP="00A91070">
      <w:pPr>
        <w:pStyle w:val="SingleTxtG"/>
        <w:ind w:firstLine="567"/>
        <w:rPr>
          <w:rFonts w:eastAsia="Times New Roman"/>
        </w:rPr>
      </w:pPr>
      <w:r w:rsidRPr="00192777">
        <w:rPr>
          <w:rFonts w:eastAsia="Times New Roman"/>
        </w:rPr>
        <w:t>(</w:t>
      </w:r>
      <w:r w:rsidR="00634F61" w:rsidRPr="00192777">
        <w:rPr>
          <w:rFonts w:eastAsia="Times New Roman"/>
        </w:rPr>
        <w:t>d)</w:t>
      </w:r>
      <w:r w:rsidR="00D20B75" w:rsidRPr="00192777">
        <w:rPr>
          <w:rFonts w:eastAsia="Times New Roman"/>
        </w:rPr>
        <w:tab/>
      </w:r>
      <w:r w:rsidR="00634F61" w:rsidRPr="00192777">
        <w:rPr>
          <w:rFonts w:eastAsia="Times New Roman"/>
        </w:rPr>
        <w:t xml:space="preserve">a series of workshops organized to promote accession to the TIR Convention in other regions, especially in Africa, as well as to inform and encourage customs authorities about interconnecting their national customs systems with the </w:t>
      </w:r>
      <w:proofErr w:type="spellStart"/>
      <w:r w:rsidR="00634F61" w:rsidRPr="00192777">
        <w:rPr>
          <w:rFonts w:eastAsia="Times New Roman"/>
        </w:rPr>
        <w:t>eTIR</w:t>
      </w:r>
      <w:proofErr w:type="spellEnd"/>
      <w:r w:rsidR="00634F61" w:rsidRPr="00192777">
        <w:rPr>
          <w:rFonts w:eastAsia="Times New Roman"/>
        </w:rPr>
        <w:t xml:space="preserve"> international system;</w:t>
      </w:r>
    </w:p>
    <w:p w14:paraId="634E3B3D" w14:textId="2AD36027" w:rsidR="00634F61" w:rsidRPr="00192777" w:rsidRDefault="00A91070" w:rsidP="00A91070">
      <w:pPr>
        <w:pStyle w:val="SingleTxtG"/>
        <w:ind w:firstLine="567"/>
        <w:rPr>
          <w:rFonts w:eastAsia="Times New Roman"/>
        </w:rPr>
      </w:pPr>
      <w:r w:rsidRPr="00192777">
        <w:rPr>
          <w:rFonts w:eastAsia="Times New Roman"/>
        </w:rPr>
        <w:t>(</w:t>
      </w:r>
      <w:r w:rsidR="00634F61" w:rsidRPr="00192777">
        <w:rPr>
          <w:rFonts w:eastAsia="Times New Roman"/>
        </w:rPr>
        <w:t>e)</w:t>
      </w:r>
      <w:r w:rsidR="00D20B75" w:rsidRPr="00192777">
        <w:rPr>
          <w:rFonts w:eastAsia="Times New Roman"/>
        </w:rPr>
        <w:tab/>
      </w:r>
      <w:r w:rsidR="00C84E21">
        <w:rPr>
          <w:rFonts w:eastAsia="Times New Roman"/>
        </w:rPr>
        <w:t xml:space="preserve">the </w:t>
      </w:r>
      <w:r w:rsidR="00634F61" w:rsidRPr="00192777">
        <w:rPr>
          <w:rFonts w:eastAsia="Times New Roman"/>
        </w:rPr>
        <w:t xml:space="preserve">twelfth revised version of the TIR Handbook; </w:t>
      </w:r>
    </w:p>
    <w:p w14:paraId="4B4371F2" w14:textId="1750C062" w:rsidR="00634F61" w:rsidRPr="00192777" w:rsidRDefault="00A91070" w:rsidP="00A91070">
      <w:pPr>
        <w:pStyle w:val="SingleTxtG"/>
        <w:ind w:firstLine="567"/>
        <w:rPr>
          <w:rFonts w:eastAsia="Times New Roman"/>
        </w:rPr>
      </w:pPr>
      <w:r w:rsidRPr="00192777">
        <w:rPr>
          <w:rFonts w:eastAsia="Times New Roman"/>
        </w:rPr>
        <w:t>(</w:t>
      </w:r>
      <w:r w:rsidR="00634F61" w:rsidRPr="00192777">
        <w:rPr>
          <w:rFonts w:eastAsia="Times New Roman"/>
        </w:rPr>
        <w:t>f)</w:t>
      </w:r>
      <w:r w:rsidR="00D20B75" w:rsidRPr="00192777">
        <w:rPr>
          <w:rFonts w:eastAsia="Times New Roman"/>
        </w:rPr>
        <w:tab/>
      </w:r>
      <w:r w:rsidR="00C84E21">
        <w:rPr>
          <w:rFonts w:eastAsia="Times New Roman"/>
        </w:rPr>
        <w:t xml:space="preserve">the </w:t>
      </w:r>
      <w:r w:rsidR="00634F61" w:rsidRPr="00192777">
        <w:rPr>
          <w:rFonts w:eastAsia="Times New Roman"/>
        </w:rPr>
        <w:t>latest developments in the International Convention on the Harmonization of Frontier Controls for Goods, 1982, if any</w:t>
      </w:r>
      <w:r w:rsidR="00C84E21" w:rsidRPr="00192777">
        <w:rPr>
          <w:rFonts w:eastAsia="Times New Roman"/>
        </w:rPr>
        <w:t>;</w:t>
      </w:r>
    </w:p>
    <w:p w14:paraId="75772222" w14:textId="171A8AC3" w:rsidR="00634F61" w:rsidRPr="00192777" w:rsidRDefault="00A91070" w:rsidP="00A91070">
      <w:pPr>
        <w:pStyle w:val="SingleTxtG"/>
        <w:ind w:firstLine="567"/>
        <w:rPr>
          <w:rFonts w:eastAsia="Times New Roman"/>
        </w:rPr>
      </w:pPr>
      <w:r w:rsidRPr="00192777">
        <w:rPr>
          <w:rFonts w:eastAsia="Times New Roman"/>
        </w:rPr>
        <w:t>(</w:t>
      </w:r>
      <w:r w:rsidR="00634F61" w:rsidRPr="00192777">
        <w:rPr>
          <w:rFonts w:eastAsia="Times New Roman"/>
        </w:rPr>
        <w:t>g)</w:t>
      </w:r>
      <w:r w:rsidR="00D20B75" w:rsidRPr="00192777">
        <w:rPr>
          <w:rFonts w:eastAsia="Times New Roman"/>
        </w:rPr>
        <w:tab/>
      </w:r>
      <w:r w:rsidR="00C84E21">
        <w:rPr>
          <w:rFonts w:eastAsia="Times New Roman"/>
        </w:rPr>
        <w:t xml:space="preserve">the </w:t>
      </w:r>
      <w:r w:rsidR="00634F61" w:rsidRPr="00192777">
        <w:rPr>
          <w:rFonts w:eastAsia="Times New Roman"/>
        </w:rPr>
        <w:t>preparation of a practical guide to cross border facilitation (in collaboration with OSCE);</w:t>
      </w:r>
    </w:p>
    <w:p w14:paraId="4F476FCB" w14:textId="0FF12C39" w:rsidR="00C84E21" w:rsidRDefault="00A91070" w:rsidP="00C84E21">
      <w:pPr>
        <w:pStyle w:val="SingleTxtG"/>
        <w:ind w:firstLine="567"/>
        <w:rPr>
          <w:rFonts w:eastAsia="Times New Roman"/>
        </w:rPr>
      </w:pPr>
      <w:r w:rsidRPr="00192777">
        <w:rPr>
          <w:rFonts w:eastAsia="Times New Roman"/>
        </w:rPr>
        <w:t>(</w:t>
      </w:r>
      <w:r w:rsidR="00634F61" w:rsidRPr="00192777">
        <w:rPr>
          <w:rFonts w:eastAsia="Times New Roman"/>
        </w:rPr>
        <w:t>h)</w:t>
      </w:r>
      <w:r w:rsidR="00D20B75" w:rsidRPr="00192777">
        <w:rPr>
          <w:rFonts w:eastAsia="Times New Roman"/>
        </w:rPr>
        <w:tab/>
      </w:r>
      <w:r w:rsidR="00C84E21">
        <w:rPr>
          <w:rFonts w:eastAsia="Times New Roman"/>
        </w:rPr>
        <w:t xml:space="preserve">the </w:t>
      </w:r>
      <w:r w:rsidR="00634F61" w:rsidRPr="00192777">
        <w:rPr>
          <w:rFonts w:eastAsia="Times New Roman"/>
        </w:rPr>
        <w:t xml:space="preserve">activities undertaken in 2022 by ECE and the International Touring Alliance / International Automobile Federation (AIT/FIA) within the framework of a </w:t>
      </w:r>
      <w:r w:rsidR="00C84E21">
        <w:rPr>
          <w:rFonts w:eastAsia="Times New Roman"/>
        </w:rPr>
        <w:t>MoU</w:t>
      </w:r>
      <w:r w:rsidR="00634F61" w:rsidRPr="00192777">
        <w:rPr>
          <w:rFonts w:eastAsia="Times New Roman"/>
        </w:rPr>
        <w:t xml:space="preserve"> on the revitalization and digitalization of relevant United Nations inland transport conventions and, in particular the development of an </w:t>
      </w:r>
      <w:proofErr w:type="spellStart"/>
      <w:r w:rsidR="00634F61" w:rsidRPr="00192777">
        <w:rPr>
          <w:rFonts w:eastAsia="Times New Roman"/>
        </w:rPr>
        <w:t>eCPD</w:t>
      </w:r>
      <w:proofErr w:type="spellEnd"/>
      <w:r w:rsidR="00634F61" w:rsidRPr="00192777">
        <w:rPr>
          <w:rFonts w:eastAsia="Times New Roman"/>
        </w:rPr>
        <w:t xml:space="preserve"> (Carnet de Passage </w:t>
      </w:r>
      <w:proofErr w:type="spellStart"/>
      <w:r w:rsidR="00634F61" w:rsidRPr="00192777">
        <w:rPr>
          <w:rFonts w:eastAsia="Times New Roman"/>
        </w:rPr>
        <w:t>en</w:t>
      </w:r>
      <w:proofErr w:type="spellEnd"/>
      <w:r w:rsidR="00634F61" w:rsidRPr="00192777">
        <w:rPr>
          <w:rFonts w:eastAsia="Times New Roman"/>
        </w:rPr>
        <w:t xml:space="preserve"> Douane) system. </w:t>
      </w:r>
    </w:p>
    <w:p w14:paraId="76656EA8" w14:textId="21B5C0ED" w:rsidR="00634F61" w:rsidRPr="00192777" w:rsidRDefault="00634F61" w:rsidP="00914132">
      <w:pPr>
        <w:pStyle w:val="SingleTxtG"/>
        <w:rPr>
          <w:rFonts w:eastAsia="Times New Roman"/>
        </w:rPr>
      </w:pPr>
      <w:r w:rsidRPr="00192777">
        <w:rPr>
          <w:rFonts w:eastAsia="Times New Roman"/>
        </w:rPr>
        <w:t xml:space="preserve">The Committee </w:t>
      </w:r>
      <w:r w:rsidR="00AD2E07">
        <w:rPr>
          <w:rFonts w:eastAsia="Times New Roman"/>
        </w:rPr>
        <w:t>will be reported to about</w:t>
      </w:r>
      <w:r w:rsidRPr="00192777">
        <w:rPr>
          <w:rFonts w:eastAsia="Times New Roman"/>
        </w:rPr>
        <w:t xml:space="preserve"> follow‐up actions taken by WP.30 in 2022 </w:t>
      </w:r>
      <w:r w:rsidR="00C84E21">
        <w:rPr>
          <w:rFonts w:eastAsia="Times New Roman"/>
        </w:rPr>
        <w:t>to</w:t>
      </w:r>
      <w:r w:rsidRPr="00192777">
        <w:rPr>
          <w:rFonts w:eastAsia="Times New Roman"/>
        </w:rPr>
        <w:t xml:space="preserve"> align</w:t>
      </w:r>
      <w:r w:rsidR="00C84E21">
        <w:rPr>
          <w:rFonts w:eastAsia="Times New Roman"/>
        </w:rPr>
        <w:t xml:space="preserve"> </w:t>
      </w:r>
      <w:r w:rsidRPr="00192777">
        <w:rPr>
          <w:rFonts w:eastAsia="Times New Roman"/>
        </w:rPr>
        <w:t>its work with the ITC Strategy.</w:t>
      </w:r>
    </w:p>
    <w:p w14:paraId="7D47DA24" w14:textId="77777777" w:rsidR="009949BB" w:rsidRPr="00754A12" w:rsidRDefault="00634F61" w:rsidP="009949BB">
      <w:pPr>
        <w:pStyle w:val="SingleTxtG"/>
        <w:rPr>
          <w:rFonts w:eastAsia="Times New Roman"/>
          <w:lang w:val="fr-FR"/>
        </w:rPr>
      </w:pPr>
      <w:r w:rsidRPr="00754A12">
        <w:rPr>
          <w:rFonts w:eastAsia="Times New Roman"/>
          <w:b/>
          <w:bCs/>
          <w:lang w:val="fr-FR"/>
        </w:rPr>
        <w:t>Documentation</w:t>
      </w:r>
      <w:r w:rsidRPr="00754A12">
        <w:rPr>
          <w:rFonts w:eastAsia="Times New Roman"/>
          <w:lang w:val="fr-FR"/>
        </w:rPr>
        <w:t xml:space="preserve"> </w:t>
      </w:r>
    </w:p>
    <w:p w14:paraId="71600B90" w14:textId="59EDE14D" w:rsidR="00634F61" w:rsidRPr="00754A12" w:rsidRDefault="00634F61" w:rsidP="009949BB">
      <w:pPr>
        <w:pStyle w:val="SingleTxtG"/>
        <w:rPr>
          <w:rFonts w:eastAsia="Times New Roman"/>
          <w:lang w:val="fr-FR"/>
        </w:rPr>
      </w:pPr>
      <w:r w:rsidRPr="00754A12">
        <w:rPr>
          <w:rFonts w:eastAsia="Times New Roman"/>
          <w:lang w:val="fr-FR"/>
        </w:rPr>
        <w:t>ECE/TRANS/2023/</w:t>
      </w:r>
      <w:r w:rsidR="0097138C" w:rsidRPr="00754A12">
        <w:rPr>
          <w:rFonts w:eastAsia="Times New Roman"/>
          <w:lang w:val="fr-FR"/>
        </w:rPr>
        <w:t>28</w:t>
      </w:r>
      <w:r w:rsidRPr="00754A12">
        <w:rPr>
          <w:rFonts w:eastAsia="Times New Roman"/>
          <w:lang w:val="fr-FR"/>
        </w:rPr>
        <w:t>, ECE/TRANS/2023/</w:t>
      </w:r>
      <w:r w:rsidR="0097138C" w:rsidRPr="00754A12">
        <w:rPr>
          <w:rFonts w:eastAsia="Times New Roman"/>
          <w:lang w:val="fr-FR"/>
        </w:rPr>
        <w:t>29</w:t>
      </w:r>
    </w:p>
    <w:p w14:paraId="6A1C65CE" w14:textId="04C0C481" w:rsidR="00777D43" w:rsidRPr="00192777" w:rsidRDefault="00D70EBE" w:rsidP="00A91070">
      <w:pPr>
        <w:pStyle w:val="H23G"/>
      </w:pPr>
      <w:r w:rsidRPr="00754A12">
        <w:rPr>
          <w:lang w:val="fr-FR"/>
        </w:rPr>
        <w:tab/>
      </w:r>
      <w:r w:rsidR="00777D43" w:rsidRPr="00192777">
        <w:t>(p)</w:t>
      </w:r>
      <w:r w:rsidR="00777D43" w:rsidRPr="00192777">
        <w:tab/>
        <w:t xml:space="preserve">Transport of </w:t>
      </w:r>
      <w:r w:rsidR="00C84E21" w:rsidRPr="00192777">
        <w:t>Perishable Foodstuffs</w:t>
      </w:r>
    </w:p>
    <w:p w14:paraId="3A669D93" w14:textId="77777777" w:rsidR="00DB072B" w:rsidRPr="00192777" w:rsidRDefault="00DB072B" w:rsidP="00361840">
      <w:pPr>
        <w:pStyle w:val="SingleTxtG"/>
      </w:pPr>
      <w:r w:rsidRPr="00192777">
        <w:t xml:space="preserve">The Committee may wish to </w:t>
      </w:r>
      <w:r w:rsidRPr="00192777">
        <w:rPr>
          <w:b/>
        </w:rPr>
        <w:t>note</w:t>
      </w:r>
      <w:r w:rsidRPr="00192777">
        <w:t xml:space="preserve"> that, due to COVID-19 pandemic measures, the seventy-sixth session of the </w:t>
      </w:r>
      <w:r w:rsidRPr="00192777">
        <w:rPr>
          <w:color w:val="000000"/>
        </w:rPr>
        <w:t>Working Party on the Transport of Perishable Foodstuffs,</w:t>
      </w:r>
      <w:r w:rsidRPr="00192777">
        <w:t xml:space="preserve"> scheduled to be held in April 2020 was cancelled, resulting in only one session for the year 2020 (13–16 October 2020). Therefore, the Committee may wish to </w:t>
      </w:r>
      <w:r w:rsidRPr="00192777">
        <w:rPr>
          <w:b/>
          <w:bCs/>
        </w:rPr>
        <w:t>revise</w:t>
      </w:r>
      <w:r w:rsidRPr="00192777">
        <w:t xml:space="preserve"> the decision of the Working Party to extend the number of sessions from two to three per biennium at its session in 2023.</w:t>
      </w:r>
    </w:p>
    <w:p w14:paraId="0DB7D304" w14:textId="16B924A0" w:rsidR="00DB072B" w:rsidRPr="00192777" w:rsidRDefault="00DB072B" w:rsidP="00361840">
      <w:pPr>
        <w:pStyle w:val="SingleTxtG"/>
      </w:pPr>
      <w:r w:rsidRPr="00192777">
        <w:t xml:space="preserve">The Committee </w:t>
      </w:r>
      <w:r w:rsidR="00AD2E07">
        <w:t>will be reported to about</w:t>
      </w:r>
      <w:r w:rsidRPr="00192777">
        <w:t xml:space="preserve"> the status of proposed amendments to the Agreement on the International Carriage of Perishable Foodstuffs and on the Special Equipment to be Used for such Carriage (ATP) adopted at the seventy-seventh, seventy-eighth and seventy-ninth sessions of the Working Party on the Transport of Perishable </w:t>
      </w:r>
      <w:r w:rsidRPr="00192777">
        <w:lastRenderedPageBreak/>
        <w:t>Foodstuffs (WP.11) in 2021 and 2022 (ECE/TRANS/WP.11/245, Annex, ECE/TRANS/WP.11/247, Annex II and ECE/TRANS/WP.11/2499).</w:t>
      </w:r>
    </w:p>
    <w:p w14:paraId="60270649" w14:textId="33AD9F39" w:rsidR="00DB072B" w:rsidRPr="00192777" w:rsidRDefault="00DB072B" w:rsidP="00DB072B">
      <w:pPr>
        <w:pStyle w:val="SingleTxtG"/>
      </w:pPr>
      <w:r w:rsidRPr="00192777">
        <w:rPr>
          <w:color w:val="000000"/>
        </w:rPr>
        <w:t xml:space="preserve">The Committee may wish to </w:t>
      </w:r>
      <w:r w:rsidRPr="00192777">
        <w:rPr>
          <w:b/>
          <w:bCs/>
          <w:color w:val="000000"/>
        </w:rPr>
        <w:t>note</w:t>
      </w:r>
      <w:r w:rsidRPr="00192777">
        <w:rPr>
          <w:color w:val="000000"/>
        </w:rPr>
        <w:t xml:space="preserve"> </w:t>
      </w:r>
      <w:r w:rsidRPr="00192777">
        <w:t xml:space="preserve">that the number of </w:t>
      </w:r>
      <w:r w:rsidR="00C84E21" w:rsidRPr="00192777">
        <w:t xml:space="preserve">contracting parties </w:t>
      </w:r>
      <w:r w:rsidRPr="00192777">
        <w:t>to the Agreement is now fifty-two.</w:t>
      </w:r>
    </w:p>
    <w:p w14:paraId="54290372" w14:textId="77777777" w:rsidR="00DB072B" w:rsidRPr="00192777" w:rsidRDefault="00DB072B" w:rsidP="00DB072B">
      <w:pPr>
        <w:autoSpaceDE w:val="0"/>
        <w:autoSpaceDN w:val="0"/>
        <w:adjustRightInd w:val="0"/>
        <w:spacing w:after="120" w:line="240" w:lineRule="auto"/>
        <w:ind w:left="1134"/>
        <w:jc w:val="both"/>
        <w:rPr>
          <w:b/>
          <w:bCs/>
          <w:color w:val="000000"/>
        </w:rPr>
      </w:pPr>
      <w:r w:rsidRPr="00192777">
        <w:rPr>
          <w:b/>
          <w:bCs/>
          <w:color w:val="000000"/>
        </w:rPr>
        <w:t>Documentation</w:t>
      </w:r>
    </w:p>
    <w:p w14:paraId="1BF55419" w14:textId="44761FF4" w:rsidR="00AD3C0D" w:rsidRPr="00192777" w:rsidRDefault="00DB072B" w:rsidP="00361840">
      <w:pPr>
        <w:pStyle w:val="SingleTxtG"/>
      </w:pPr>
      <w:r w:rsidRPr="00192777">
        <w:t>ECE/TRANS/WP.11/245, ECE/TRANS/WP.11/247, ECE/TRANS/WP.11/249</w:t>
      </w:r>
    </w:p>
    <w:p w14:paraId="5E7A6E9E" w14:textId="1E6EFA0C" w:rsidR="00777D43" w:rsidRPr="00192777" w:rsidRDefault="00790C3C" w:rsidP="00A91070">
      <w:pPr>
        <w:pStyle w:val="H23G"/>
      </w:pPr>
      <w:r w:rsidRPr="00192777">
        <w:tab/>
      </w:r>
      <w:r w:rsidR="00777D43" w:rsidRPr="00192777">
        <w:t>(q)</w:t>
      </w:r>
      <w:r w:rsidR="00777D43" w:rsidRPr="00192777">
        <w:tab/>
        <w:t xml:space="preserve">Road </w:t>
      </w:r>
      <w:r w:rsidR="007062EF" w:rsidRPr="00192777">
        <w:t>Transport</w:t>
      </w:r>
    </w:p>
    <w:p w14:paraId="565D5096" w14:textId="4FACEE18" w:rsidR="00CF387D" w:rsidRPr="00192777" w:rsidRDefault="00CF387D" w:rsidP="00361840">
      <w:pPr>
        <w:pStyle w:val="SingleTxtG"/>
      </w:pPr>
      <w:r w:rsidRPr="00192777">
        <w:t xml:space="preserve">The Committee </w:t>
      </w:r>
      <w:r w:rsidR="00AD2E07">
        <w:rPr>
          <w:b/>
          <w:bCs/>
        </w:rPr>
        <w:t>will be reported to about</w:t>
      </w:r>
      <w:r w:rsidRPr="00192777">
        <w:t xml:space="preserve"> the latest developments in the work carried out by the Group of Experts on the European Agreement concerning the Work of Crews of Vehicles Engaged in International Road Transport (AETR). In particular, the Committee will be updated on the progress of proposals to amend AETR</w:t>
      </w:r>
      <w:r w:rsidR="007062EF">
        <w:t>,</w:t>
      </w:r>
      <w:r w:rsidRPr="00192777">
        <w:t xml:space="preserve"> </w:t>
      </w:r>
      <w:r w:rsidR="007062EF" w:rsidRPr="00192777">
        <w:t>article</w:t>
      </w:r>
      <w:r w:rsidRPr="00192777">
        <w:t xml:space="preserve"> 14 (eligibility to accede), 22 and 22bis (amendment procedures), as well as to create a new appendix 1C and a new appendix 4 (exchange of information).  The Committee </w:t>
      </w:r>
      <w:r w:rsidRPr="00192777">
        <w:rPr>
          <w:b/>
          <w:bCs/>
        </w:rPr>
        <w:t xml:space="preserve">will then be </w:t>
      </w:r>
      <w:r w:rsidR="00B52E98" w:rsidRPr="00192777">
        <w:rPr>
          <w:b/>
          <w:bCs/>
        </w:rPr>
        <w:t>reported</w:t>
      </w:r>
      <w:r w:rsidRPr="00192777">
        <w:t xml:space="preserve"> about the decision taken by the Working Party on Road Transport (SC.1) on the extension of the Administrative Arrangement between ECE and European Commission </w:t>
      </w:r>
      <w:r w:rsidR="00194B1F" w:rsidRPr="00192777">
        <w:t>s</w:t>
      </w:r>
      <w:r w:rsidRPr="00192777">
        <w:t>ervices on continuing activities envisaged in the Memorandum of Understanding of 2009</w:t>
      </w:r>
      <w:r w:rsidR="00194B1F" w:rsidRPr="00192777">
        <w:t xml:space="preserve"> until the end of 2024</w:t>
      </w:r>
      <w:r w:rsidRPr="00192777">
        <w:t xml:space="preserve">.  The Committee </w:t>
      </w:r>
      <w:r w:rsidRPr="00192777">
        <w:rPr>
          <w:b/>
          <w:bCs/>
        </w:rPr>
        <w:t xml:space="preserve">will also be </w:t>
      </w:r>
      <w:r w:rsidR="00B52E98" w:rsidRPr="00192777">
        <w:rPr>
          <w:b/>
          <w:bCs/>
        </w:rPr>
        <w:t>reported</w:t>
      </w:r>
      <w:r w:rsidRPr="00192777">
        <w:rPr>
          <w:b/>
          <w:bCs/>
        </w:rPr>
        <w:t xml:space="preserve"> </w:t>
      </w:r>
      <w:r w:rsidRPr="00192777">
        <w:t xml:space="preserve">about the request from SC.1 to extend the mandate of the Group of Experts on AETR until 30 June 2025.  </w:t>
      </w:r>
    </w:p>
    <w:p w14:paraId="54E96A8D" w14:textId="0CA38D0D" w:rsidR="00CF387D" w:rsidRPr="00192777" w:rsidRDefault="00CF387D" w:rsidP="00CF387D">
      <w:pPr>
        <w:pStyle w:val="SingleTxtG"/>
      </w:pPr>
      <w:r w:rsidRPr="00192777">
        <w:t xml:space="preserve">The Committee </w:t>
      </w:r>
      <w:r w:rsidR="00AD2E07">
        <w:rPr>
          <w:b/>
          <w:bCs/>
        </w:rPr>
        <w:t>will be reported to about</w:t>
      </w:r>
      <w:r w:rsidRPr="00192777">
        <w:t xml:space="preserve"> the number of contracting parties to the Convention on the Contract for the International Carriage of Goods by Road (CMR) and its Protocols, including the Additional Protocol to the CMR Convention (</w:t>
      </w:r>
      <w:proofErr w:type="spellStart"/>
      <w:r w:rsidRPr="00192777">
        <w:t>eCMR</w:t>
      </w:r>
      <w:proofErr w:type="spellEnd"/>
      <w:r w:rsidRPr="00192777">
        <w:t xml:space="preserve">). The Committee </w:t>
      </w:r>
      <w:r w:rsidRPr="00192777">
        <w:rPr>
          <w:b/>
          <w:bCs/>
        </w:rPr>
        <w:t>will be updated</w:t>
      </w:r>
      <w:r w:rsidRPr="00192777">
        <w:t xml:space="preserve"> on the progress of the work of the Group of Experts on the </w:t>
      </w:r>
      <w:r w:rsidR="00EC478C">
        <w:t>O</w:t>
      </w:r>
      <w:r w:rsidRPr="00192777">
        <w:t xml:space="preserve">perationalization of the </w:t>
      </w:r>
      <w:proofErr w:type="spellStart"/>
      <w:r w:rsidRPr="00192777">
        <w:t>eCMR</w:t>
      </w:r>
      <w:proofErr w:type="spellEnd"/>
      <w:r w:rsidRPr="00192777">
        <w:t xml:space="preserve"> on its task to agree on the requirements of article 5 of the Additional Protocol to CMR including the objective/scope, the high-level architecture, and the conceptual specifications for a future environment/system that would support the conclusion and exchange of electronic consignment notes in accordance with the provisions of CMR and its </w:t>
      </w:r>
      <w:r w:rsidR="008B3C9D" w:rsidRPr="00192777">
        <w:t>additional protocol</w:t>
      </w:r>
      <w:r w:rsidR="00B61B82" w:rsidRPr="00192777">
        <w:t xml:space="preserve"> (ECE/TRANS/2023/30)</w:t>
      </w:r>
      <w:r w:rsidRPr="00192777">
        <w:t>.</w:t>
      </w:r>
    </w:p>
    <w:p w14:paraId="19A977D2" w14:textId="7966DBD3" w:rsidR="00CF387D" w:rsidRPr="00192777" w:rsidRDefault="00CF387D" w:rsidP="00CF387D">
      <w:pPr>
        <w:pStyle w:val="SingleTxtG"/>
      </w:pPr>
      <w:bookmarkStart w:id="9" w:name="_Hlk121124285"/>
      <w:r w:rsidRPr="00192777">
        <w:t xml:space="preserve">The Committee </w:t>
      </w:r>
      <w:r w:rsidRPr="00192777">
        <w:rPr>
          <w:b/>
          <w:bCs/>
        </w:rPr>
        <w:t xml:space="preserve">will then be </w:t>
      </w:r>
      <w:r w:rsidR="00B52E98" w:rsidRPr="00192777">
        <w:rPr>
          <w:b/>
          <w:bCs/>
        </w:rPr>
        <w:t>reported</w:t>
      </w:r>
      <w:r w:rsidRPr="00192777">
        <w:t xml:space="preserve"> of the changes to </w:t>
      </w:r>
      <w:r w:rsidR="008B3C9D" w:rsidRPr="00192777">
        <w:t>a</w:t>
      </w:r>
      <w:r w:rsidRPr="00192777">
        <w:t>nnex 1 of the Consolidated Resolution on the Facilitation of International Road Transport (RE.</w:t>
      </w:r>
      <w:r w:rsidR="00EC478C">
        <w:t>4</w:t>
      </w:r>
      <w:r w:rsidRPr="00192777">
        <w:t>) that were approved by SC.1 concerning international motor insurance certificates (also known as Green Cards).</w:t>
      </w:r>
    </w:p>
    <w:bookmarkEnd w:id="9"/>
    <w:p w14:paraId="02293C48" w14:textId="6CAE8D47" w:rsidR="00D70EBE" w:rsidRPr="00192777" w:rsidRDefault="00CF387D" w:rsidP="00361840">
      <w:pPr>
        <w:pStyle w:val="SingleTxtG"/>
      </w:pPr>
      <w:r w:rsidRPr="00192777">
        <w:rPr>
          <w:color w:val="000000"/>
        </w:rPr>
        <w:t>Finally, the</w:t>
      </w:r>
      <w:r w:rsidRPr="00192777">
        <w:t xml:space="preserve"> Committee </w:t>
      </w:r>
      <w:r w:rsidR="00AD2E07">
        <w:rPr>
          <w:b/>
          <w:bCs/>
        </w:rPr>
        <w:t>will be reported to about</w:t>
      </w:r>
      <w:r w:rsidRPr="00192777">
        <w:t xml:space="preserve"> the outcomes of the workshop on cross-border insurance of motor vehicles which was jointly organized by </w:t>
      </w:r>
      <w:r w:rsidRPr="00192777">
        <w:rPr>
          <w:rFonts w:asciiTheme="majorBidi" w:hAnsiTheme="majorBidi" w:cstheme="majorBidi"/>
        </w:rPr>
        <w:t>ECA, ECE, ECLAC, ESCAP and ESCWA on 19 October 2022</w:t>
      </w:r>
      <w:r w:rsidRPr="00192777">
        <w:t xml:space="preserve"> as part of </w:t>
      </w:r>
      <w:r w:rsidR="00EC478C">
        <w:t xml:space="preserve">the </w:t>
      </w:r>
      <w:r w:rsidRPr="00192777">
        <w:t>117</w:t>
      </w:r>
      <w:r w:rsidRPr="00192777">
        <w:rPr>
          <w:vertAlign w:val="superscript"/>
        </w:rPr>
        <w:t>th</w:t>
      </w:r>
      <w:r w:rsidRPr="00192777">
        <w:t xml:space="preserve"> session</w:t>
      </w:r>
      <w:r w:rsidR="00EC478C">
        <w:t xml:space="preserve"> of </w:t>
      </w:r>
      <w:r w:rsidR="00EC478C" w:rsidRPr="00192777">
        <w:t>SC.1</w:t>
      </w:r>
      <w:r w:rsidRPr="00192777">
        <w:t>.</w:t>
      </w:r>
    </w:p>
    <w:p w14:paraId="5F1B0076" w14:textId="77777777" w:rsidR="0097138C" w:rsidRPr="00825B71" w:rsidRDefault="0097138C" w:rsidP="0097138C">
      <w:pPr>
        <w:pStyle w:val="SingleTxtG"/>
        <w:rPr>
          <w:rFonts w:eastAsia="Times New Roman"/>
          <w:lang w:val="fr-FR"/>
        </w:rPr>
      </w:pPr>
      <w:r w:rsidRPr="00825B71">
        <w:rPr>
          <w:rFonts w:eastAsia="Times New Roman"/>
          <w:b/>
          <w:bCs/>
          <w:lang w:val="fr-FR"/>
        </w:rPr>
        <w:t>Documentation</w:t>
      </w:r>
      <w:r w:rsidRPr="00825B71">
        <w:rPr>
          <w:rFonts w:eastAsia="Times New Roman"/>
          <w:lang w:val="fr-FR"/>
        </w:rPr>
        <w:t xml:space="preserve"> </w:t>
      </w:r>
    </w:p>
    <w:p w14:paraId="0B268077" w14:textId="71ACCDD9" w:rsidR="0097138C" w:rsidRPr="00825B71" w:rsidRDefault="0097138C" w:rsidP="00361840">
      <w:pPr>
        <w:pStyle w:val="SingleTxtG"/>
        <w:rPr>
          <w:lang w:val="fr-FR"/>
        </w:rPr>
      </w:pPr>
      <w:r w:rsidRPr="00825B71">
        <w:rPr>
          <w:lang w:val="fr-FR"/>
        </w:rPr>
        <w:t>ECE/TRANS/2023/</w:t>
      </w:r>
      <w:r w:rsidR="00102DF0" w:rsidRPr="00825B71">
        <w:rPr>
          <w:lang w:val="fr-FR"/>
        </w:rPr>
        <w:t>30</w:t>
      </w:r>
    </w:p>
    <w:p w14:paraId="19F29AFD" w14:textId="4AC03BFC" w:rsidR="00777D43" w:rsidRPr="00825B71" w:rsidRDefault="00EA0A23" w:rsidP="00A91070">
      <w:pPr>
        <w:pStyle w:val="H23G"/>
        <w:rPr>
          <w:lang w:val="fr-FR"/>
        </w:rPr>
      </w:pPr>
      <w:r w:rsidRPr="00825B71">
        <w:rPr>
          <w:lang w:val="fr-FR"/>
        </w:rPr>
        <w:tab/>
      </w:r>
      <w:r w:rsidR="00777D43" w:rsidRPr="00825B71">
        <w:rPr>
          <w:lang w:val="fr-FR"/>
        </w:rPr>
        <w:t>(r)</w:t>
      </w:r>
      <w:r w:rsidR="00777D43" w:rsidRPr="00825B71">
        <w:rPr>
          <w:lang w:val="fr-FR"/>
        </w:rPr>
        <w:tab/>
        <w:t xml:space="preserve">Rail </w:t>
      </w:r>
      <w:r w:rsidR="00FC6611" w:rsidRPr="00825B71">
        <w:rPr>
          <w:lang w:val="fr-FR"/>
        </w:rPr>
        <w:t>Transport</w:t>
      </w:r>
    </w:p>
    <w:p w14:paraId="66DA0C11" w14:textId="5544E477" w:rsidR="00D2528A" w:rsidRPr="00192777" w:rsidRDefault="00D2528A" w:rsidP="00361840">
      <w:pPr>
        <w:pStyle w:val="SingleTxtG"/>
      </w:pPr>
      <w:r w:rsidRPr="00192777">
        <w:t xml:space="preserve">The Committee </w:t>
      </w:r>
      <w:r w:rsidR="00AD2E07">
        <w:rPr>
          <w:b/>
          <w:bCs/>
        </w:rPr>
        <w:t>will be reported to about</w:t>
      </w:r>
      <w:r w:rsidRPr="00192777">
        <w:t xml:space="preserve"> the results of the seventy-</w:t>
      </w:r>
      <w:r w:rsidR="005D3276" w:rsidRPr="00192777">
        <w:t>sixth</w:t>
      </w:r>
      <w:r w:rsidRPr="00192777">
        <w:t xml:space="preserve"> session of the Working Party on Rail Transport (SC.2) (ECE/TRANS/SC.2/23</w:t>
      </w:r>
      <w:r w:rsidR="00632172" w:rsidRPr="00192777">
        <w:t>8</w:t>
      </w:r>
      <w:r w:rsidRPr="00192777">
        <w:t xml:space="preserve">). </w:t>
      </w:r>
    </w:p>
    <w:p w14:paraId="560DE06F" w14:textId="4D51C7DF" w:rsidR="00D2528A" w:rsidRPr="00192777" w:rsidRDefault="00D2528A" w:rsidP="00361840">
      <w:pPr>
        <w:pStyle w:val="SingleTxtG"/>
      </w:pPr>
      <w:r w:rsidRPr="00192777">
        <w:t xml:space="preserve">The Committee may wish to </w:t>
      </w:r>
      <w:r w:rsidRPr="00192777">
        <w:rPr>
          <w:b/>
          <w:bCs/>
        </w:rPr>
        <w:t>take</w:t>
      </w:r>
      <w:r w:rsidRPr="00192777">
        <w:t xml:space="preserve"> </w:t>
      </w:r>
      <w:r w:rsidRPr="00192777">
        <w:rPr>
          <w:b/>
          <w:bCs/>
        </w:rPr>
        <w:t>note</w:t>
      </w:r>
      <w:r w:rsidRPr="00192777">
        <w:t xml:space="preserve"> of developments in relation to the European Agreement on Main International Railway Lines (AGC). In addition, the Committee </w:t>
      </w:r>
      <w:r w:rsidRPr="00192777">
        <w:rPr>
          <w:b/>
          <w:bCs/>
        </w:rPr>
        <w:t>may wish to be updated</w:t>
      </w:r>
      <w:r w:rsidRPr="00192777">
        <w:t xml:space="preserve"> on progress in relation to the other key areas addressed by the Working Party aimed at making rail transport more competitive. </w:t>
      </w:r>
    </w:p>
    <w:p w14:paraId="4786C5A0" w14:textId="2247D26B" w:rsidR="00D2528A" w:rsidRPr="00192777" w:rsidRDefault="00D2528A" w:rsidP="00361840">
      <w:pPr>
        <w:pStyle w:val="SingleTxtG"/>
      </w:pPr>
      <w:r w:rsidRPr="00192777">
        <w:t xml:space="preserve">The Committee may wish to be </w:t>
      </w:r>
      <w:r w:rsidR="00B52E98" w:rsidRPr="00192777">
        <w:rPr>
          <w:b/>
          <w:bCs/>
        </w:rPr>
        <w:t>reported</w:t>
      </w:r>
      <w:r w:rsidRPr="00192777">
        <w:t xml:space="preserve"> about </w:t>
      </w:r>
      <w:r w:rsidR="00395B71" w:rsidRPr="00192777">
        <w:t xml:space="preserve">the completion of the work </w:t>
      </w:r>
      <w:r w:rsidRPr="00192777">
        <w:t>of the Group of Experts on the Permanent Identification of Railway Rolling Stock</w:t>
      </w:r>
      <w:r w:rsidR="00395B71" w:rsidRPr="00192777">
        <w:t xml:space="preserve"> and the proposal</w:t>
      </w:r>
      <w:r w:rsidR="008F7141" w:rsidRPr="00192777">
        <w:t xml:space="preserve"> for the creation of new Model Rules for the Permanent Identification of Railway Rolling Stock, for a Revisions Committee to regularly review the Model Rules and </w:t>
      </w:r>
      <w:r w:rsidR="004B4CDD" w:rsidRPr="00192777">
        <w:t>the preparation of a non-binding Guidance Note to supplement the Model Rules</w:t>
      </w:r>
      <w:r w:rsidRPr="00192777">
        <w:t xml:space="preserve">. </w:t>
      </w:r>
    </w:p>
    <w:p w14:paraId="2D0E3151" w14:textId="58280742" w:rsidR="00264399" w:rsidRPr="00192777" w:rsidRDefault="00264399" w:rsidP="00264399">
      <w:pPr>
        <w:pStyle w:val="SingleTxtG"/>
      </w:pPr>
      <w:r w:rsidRPr="00192777">
        <w:rPr>
          <w:rFonts w:eastAsia="Times New Roman"/>
        </w:rPr>
        <w:t xml:space="preserve">The Committee is </w:t>
      </w:r>
      <w:r w:rsidRPr="00192777">
        <w:rPr>
          <w:rFonts w:eastAsia="Times New Roman"/>
          <w:b/>
          <w:bCs/>
        </w:rPr>
        <w:t>invited to</w:t>
      </w:r>
      <w:r w:rsidR="00B52E98" w:rsidRPr="00192777">
        <w:rPr>
          <w:rFonts w:eastAsia="Times New Roman"/>
          <w:b/>
          <w:bCs/>
        </w:rPr>
        <w:t xml:space="preserve"> consider and</w:t>
      </w:r>
      <w:r w:rsidRPr="00192777">
        <w:rPr>
          <w:rFonts w:eastAsia="Times New Roman"/>
          <w:b/>
          <w:bCs/>
        </w:rPr>
        <w:t xml:space="preserve"> adopt</w:t>
      </w:r>
      <w:r w:rsidRPr="00192777">
        <w:rPr>
          <w:rFonts w:eastAsia="Times New Roman"/>
        </w:rPr>
        <w:t xml:space="preserve"> the new Model Rules for the Permanent Identification of Railway Rolling Stock </w:t>
      </w:r>
      <w:r w:rsidRPr="00192777">
        <w:t>prepared by SC.2 and at its request. The new Model Rules are contained in ECE/TRANS/2023/</w:t>
      </w:r>
      <w:r w:rsidR="00F3687C" w:rsidRPr="00192777">
        <w:t>37</w:t>
      </w:r>
      <w:r w:rsidRPr="00192777">
        <w:t>.</w:t>
      </w:r>
    </w:p>
    <w:p w14:paraId="569A78C0" w14:textId="489C2C3E" w:rsidR="00264399" w:rsidRPr="00192777" w:rsidRDefault="00264399" w:rsidP="00264399">
      <w:pPr>
        <w:pStyle w:val="SingleTxtG"/>
        <w:rPr>
          <w:rFonts w:eastAsia="Times New Roman"/>
        </w:rPr>
      </w:pPr>
      <w:r w:rsidRPr="00192777">
        <w:rPr>
          <w:rFonts w:eastAsia="Times New Roman"/>
        </w:rPr>
        <w:lastRenderedPageBreak/>
        <w:t xml:space="preserve">The Committee is </w:t>
      </w:r>
      <w:r w:rsidRPr="00192777">
        <w:rPr>
          <w:rFonts w:eastAsia="Times New Roman"/>
          <w:b/>
          <w:bCs/>
        </w:rPr>
        <w:t xml:space="preserve">invited to </w:t>
      </w:r>
      <w:r w:rsidR="00057D86" w:rsidRPr="00192777">
        <w:rPr>
          <w:rFonts w:eastAsia="Times New Roman"/>
          <w:b/>
          <w:bCs/>
        </w:rPr>
        <w:t xml:space="preserve">consider and </w:t>
      </w:r>
      <w:r w:rsidRPr="00192777">
        <w:rPr>
          <w:rFonts w:eastAsia="Times New Roman"/>
          <w:b/>
          <w:bCs/>
        </w:rPr>
        <w:t>adopt</w:t>
      </w:r>
      <w:r w:rsidRPr="00192777">
        <w:rPr>
          <w:rFonts w:eastAsia="Times New Roman"/>
        </w:rPr>
        <w:t xml:space="preserve"> the Draft Guidance Note on the Model Rules for the Permanent Identification of Railway Rolling Stock </w:t>
      </w:r>
      <w:r w:rsidRPr="00192777">
        <w:t>prepared by SC.2 and at its request. The Draft Guidance Note on the Model Rules is provided in ECE/TRANS/2023/</w:t>
      </w:r>
      <w:r w:rsidR="00F3687C" w:rsidRPr="00192777">
        <w:t>38</w:t>
      </w:r>
      <w:r w:rsidRPr="00192777">
        <w:t>.</w:t>
      </w:r>
    </w:p>
    <w:p w14:paraId="18585814" w14:textId="6D720887" w:rsidR="00D2528A" w:rsidRPr="00192777" w:rsidRDefault="00D2528A" w:rsidP="00361840">
      <w:pPr>
        <w:pStyle w:val="SingleTxtG"/>
      </w:pPr>
      <w:r w:rsidRPr="00192777">
        <w:t xml:space="preserve">The Committee </w:t>
      </w:r>
      <w:r w:rsidR="00F900CF" w:rsidRPr="00192777">
        <w:rPr>
          <w:b/>
          <w:bCs/>
        </w:rPr>
        <w:t xml:space="preserve">will be </w:t>
      </w:r>
      <w:r w:rsidR="00B52E98" w:rsidRPr="00192777">
        <w:rPr>
          <w:b/>
          <w:bCs/>
        </w:rPr>
        <w:t>reported</w:t>
      </w:r>
      <w:r w:rsidR="00F900CF" w:rsidRPr="00192777">
        <w:rPr>
          <w:b/>
          <w:bCs/>
        </w:rPr>
        <w:t xml:space="preserve"> </w:t>
      </w:r>
      <w:r w:rsidR="00F900CF" w:rsidRPr="00192777">
        <w:t xml:space="preserve">on </w:t>
      </w:r>
      <w:r w:rsidR="004B4CDD" w:rsidRPr="00192777">
        <w:t xml:space="preserve">the proposal of the Working Party for new Rules of Procedure </w:t>
      </w:r>
      <w:r w:rsidR="006F2C11" w:rsidRPr="00192777">
        <w:t>and updated</w:t>
      </w:r>
      <w:r w:rsidR="000107A7" w:rsidRPr="00192777">
        <w:t xml:space="preserve"> terms of reference </w:t>
      </w:r>
      <w:r w:rsidR="006F2C11" w:rsidRPr="00192777">
        <w:t>aligned to those of ITC</w:t>
      </w:r>
      <w:r w:rsidR="00B7714B" w:rsidRPr="00192777">
        <w:t xml:space="preserve">, in response to the Committee’s </w:t>
      </w:r>
      <w:r w:rsidR="006B5573" w:rsidRPr="00192777">
        <w:t>decision</w:t>
      </w:r>
      <w:r w:rsidR="00A22E78" w:rsidRPr="00192777">
        <w:t xml:space="preserve">s at its eighty-second session (ECE/TRANS/294, </w:t>
      </w:r>
      <w:r w:rsidR="00D51766">
        <w:t>paragraph</w:t>
      </w:r>
      <w:r w:rsidR="001261E4" w:rsidRPr="00192777">
        <w:t xml:space="preserve"> 18)</w:t>
      </w:r>
      <w:r w:rsidR="000107A7" w:rsidRPr="00192777">
        <w:t>.</w:t>
      </w:r>
      <w:r w:rsidRPr="00192777">
        <w:t xml:space="preserve"> </w:t>
      </w:r>
    </w:p>
    <w:p w14:paraId="150330BF" w14:textId="0D97A722" w:rsidR="000E2C60" w:rsidRPr="00192777" w:rsidRDefault="000E2C60" w:rsidP="00361840">
      <w:pPr>
        <w:pStyle w:val="SingleTxtG"/>
      </w:pPr>
      <w:r w:rsidRPr="00192777">
        <w:t xml:space="preserve">The Committee </w:t>
      </w:r>
      <w:r w:rsidR="00AD2E07">
        <w:t>will be reported to about</w:t>
      </w:r>
      <w:r w:rsidRPr="00192777">
        <w:t xml:space="preserve"> decisions in relation to </w:t>
      </w:r>
      <w:r w:rsidR="002A7867" w:rsidRPr="00192777">
        <w:t xml:space="preserve">the next steps on </w:t>
      </w:r>
      <w:r w:rsidR="00F5438B" w:rsidRPr="00192777">
        <w:t>unified railway law</w:t>
      </w:r>
      <w:r w:rsidR="002A7867" w:rsidRPr="00192777">
        <w:t>.</w:t>
      </w:r>
    </w:p>
    <w:p w14:paraId="0AF069A1" w14:textId="77777777" w:rsidR="00F3687C" w:rsidRPr="00825B71" w:rsidRDefault="00F3687C" w:rsidP="00F3687C">
      <w:pPr>
        <w:pStyle w:val="SingleTxtG"/>
        <w:rPr>
          <w:rFonts w:eastAsia="Times New Roman"/>
          <w:lang w:val="fr-FR"/>
        </w:rPr>
      </w:pPr>
      <w:r w:rsidRPr="00825B71">
        <w:rPr>
          <w:rFonts w:eastAsia="Times New Roman"/>
          <w:b/>
          <w:bCs/>
          <w:lang w:val="fr-FR"/>
        </w:rPr>
        <w:t>Documentation</w:t>
      </w:r>
      <w:r w:rsidRPr="00825B71">
        <w:rPr>
          <w:rFonts w:eastAsia="Times New Roman"/>
          <w:lang w:val="fr-FR"/>
        </w:rPr>
        <w:t xml:space="preserve"> </w:t>
      </w:r>
    </w:p>
    <w:p w14:paraId="1F0B2E00" w14:textId="525330DC" w:rsidR="00F3687C" w:rsidRPr="00825B71" w:rsidRDefault="00F3687C" w:rsidP="00DE1963">
      <w:pPr>
        <w:pStyle w:val="SingleTxtG"/>
        <w:rPr>
          <w:lang w:val="fr-FR"/>
        </w:rPr>
      </w:pPr>
      <w:r w:rsidRPr="00825B71">
        <w:rPr>
          <w:lang w:val="fr-FR"/>
        </w:rPr>
        <w:t>ECE/TRANS/2023/</w:t>
      </w:r>
      <w:r w:rsidR="00DE1963" w:rsidRPr="00825B71">
        <w:rPr>
          <w:lang w:val="fr-FR"/>
        </w:rPr>
        <w:t xml:space="preserve">37, ECE/TRANS/2023/38 </w:t>
      </w:r>
    </w:p>
    <w:p w14:paraId="0B308B7E" w14:textId="75DE75DB" w:rsidR="00777D43" w:rsidRPr="00192777" w:rsidRDefault="00150B82" w:rsidP="00A91070">
      <w:pPr>
        <w:pStyle w:val="H23G"/>
      </w:pPr>
      <w:r w:rsidRPr="00825B71">
        <w:rPr>
          <w:lang w:val="fr-FR"/>
        </w:rPr>
        <w:tab/>
      </w:r>
      <w:r w:rsidR="00777D43" w:rsidRPr="00192777">
        <w:t>(s)</w:t>
      </w:r>
      <w:r w:rsidR="00777D43" w:rsidRPr="00192777">
        <w:tab/>
        <w:t xml:space="preserve">Intermodal </w:t>
      </w:r>
      <w:r w:rsidR="00F5438B" w:rsidRPr="00192777">
        <w:t xml:space="preserve">Transport </w:t>
      </w:r>
      <w:r w:rsidR="00777D43" w:rsidRPr="00192777">
        <w:t xml:space="preserve">and </w:t>
      </w:r>
      <w:r w:rsidR="00F5438B" w:rsidRPr="00192777">
        <w:t>Logistics</w:t>
      </w:r>
    </w:p>
    <w:p w14:paraId="6C31268F" w14:textId="31AE6B53" w:rsidR="00150B82" w:rsidRPr="00192777" w:rsidRDefault="00150B82" w:rsidP="00361840">
      <w:pPr>
        <w:pStyle w:val="SingleTxtG"/>
      </w:pPr>
      <w:r w:rsidRPr="00192777">
        <w:t xml:space="preserve">The Committee </w:t>
      </w:r>
      <w:r w:rsidR="00AD2E07">
        <w:rPr>
          <w:b/>
          <w:bCs/>
        </w:rPr>
        <w:t>will be reported to about</w:t>
      </w:r>
      <w:r w:rsidRPr="00192777">
        <w:t xml:space="preserve"> the results of the sixty‐fifth session of the Working Party on Intermodal Transport and Logistics (ECE/TRANS/WP.24/151). </w:t>
      </w:r>
    </w:p>
    <w:p w14:paraId="34A131AA" w14:textId="77777777" w:rsidR="00150B82" w:rsidRPr="00192777" w:rsidRDefault="00150B82" w:rsidP="00361840">
      <w:pPr>
        <w:pStyle w:val="SingleTxtG"/>
      </w:pPr>
      <w:r w:rsidRPr="00192777">
        <w:t xml:space="preserve">In particular, the Committee </w:t>
      </w:r>
      <w:r w:rsidRPr="00192777">
        <w:rPr>
          <w:b/>
          <w:bCs/>
        </w:rPr>
        <w:t>will be updated</w:t>
      </w:r>
      <w:r w:rsidRPr="00192777">
        <w:t xml:space="preserve"> on further developments related to the European Agreement on Important International Combined Transport Lines and Related Installations (AGTC). Such concern (a) the amendments to the Agreement, and (b) the establishment of a monitoring mechanism for the AGTC lines and related installations vis-à-vis their technical parameters by setting up the AGTC inventory in Geographic Information System (GIS) environment.</w:t>
      </w:r>
    </w:p>
    <w:p w14:paraId="26FB0806" w14:textId="21B5AEF5" w:rsidR="00150B82" w:rsidRPr="00192777" w:rsidRDefault="00150B82" w:rsidP="00361840">
      <w:pPr>
        <w:pStyle w:val="SingleTxtG"/>
      </w:pPr>
      <w:r w:rsidRPr="00192777">
        <w:t xml:space="preserve">The Committee </w:t>
      </w:r>
      <w:r w:rsidRPr="00192777">
        <w:rPr>
          <w:b/>
          <w:bCs/>
        </w:rPr>
        <w:t>will also be informed</w:t>
      </w:r>
      <w:r w:rsidRPr="00192777">
        <w:t xml:space="preserve"> about the challenges faced with the Protocol on Combined Transport on Inland Waterways to the AGTC Agreement, and the work undertaken to address these challenges in cooperation with the Working Party on Inland Water Transport. In this regard, the Committee </w:t>
      </w:r>
      <w:r w:rsidRPr="00192777">
        <w:rPr>
          <w:b/>
          <w:bCs/>
        </w:rPr>
        <w:t>will be presented</w:t>
      </w:r>
      <w:r w:rsidRPr="00192777">
        <w:t xml:space="preserve"> </w:t>
      </w:r>
      <w:r w:rsidR="00223E18" w:rsidRPr="00192777">
        <w:t xml:space="preserve">with </w:t>
      </w:r>
      <w:r w:rsidRPr="00192777">
        <w:t>a draft resolution on facilitating the development of container transport on inland waterways (ECE/TRANS/2023/</w:t>
      </w:r>
      <w:r w:rsidR="009A28B6" w:rsidRPr="00192777">
        <w:t>31</w:t>
      </w:r>
      <w:r w:rsidRPr="00192777">
        <w:t xml:space="preserve">) and </w:t>
      </w:r>
      <w:r w:rsidRPr="00192777">
        <w:rPr>
          <w:b/>
          <w:bCs/>
        </w:rPr>
        <w:t xml:space="preserve">requested to </w:t>
      </w:r>
      <w:r w:rsidR="00B52E98" w:rsidRPr="00192777">
        <w:rPr>
          <w:b/>
          <w:bCs/>
        </w:rPr>
        <w:t xml:space="preserve">consider and </w:t>
      </w:r>
      <w:r w:rsidRPr="00192777">
        <w:rPr>
          <w:b/>
          <w:bCs/>
        </w:rPr>
        <w:t>adopt</w:t>
      </w:r>
      <w:r w:rsidRPr="00192777">
        <w:t xml:space="preserve"> this resolution.  </w:t>
      </w:r>
    </w:p>
    <w:p w14:paraId="076F89AD" w14:textId="77777777" w:rsidR="00150B82" w:rsidRPr="00192777" w:rsidRDefault="00150B82" w:rsidP="00150B82">
      <w:pPr>
        <w:pStyle w:val="SingleTxtG"/>
      </w:pPr>
      <w:r w:rsidRPr="00192777">
        <w:t xml:space="preserve">Following the adoption by the Committee at its eighty-third session of the resolution on strengthening intermodal freight transport, the Committee </w:t>
      </w:r>
      <w:r w:rsidRPr="00192777">
        <w:rPr>
          <w:b/>
          <w:bCs/>
        </w:rPr>
        <w:t>will be apprised</w:t>
      </w:r>
      <w:r w:rsidRPr="00192777">
        <w:t xml:space="preserve"> of the progress made in the implementation of this resolution. </w:t>
      </w:r>
    </w:p>
    <w:p w14:paraId="25E9AA16" w14:textId="7AE9CF2D" w:rsidR="00150B82" w:rsidRPr="00192777" w:rsidRDefault="00150B82" w:rsidP="00151D37">
      <w:pPr>
        <w:pStyle w:val="SingleTxtG"/>
      </w:pPr>
      <w:r w:rsidRPr="00192777">
        <w:t xml:space="preserve">The Committee </w:t>
      </w:r>
      <w:r w:rsidR="00AD2E07">
        <w:rPr>
          <w:b/>
          <w:bCs/>
        </w:rPr>
        <w:t>will be reported to about</w:t>
      </w:r>
      <w:r w:rsidRPr="00192777">
        <w:t xml:space="preserve"> the activities aiming at updating the Code of Practice for Packing of Cargo Transport Units in the absence of the Group of Experts on CTU Code.</w:t>
      </w:r>
    </w:p>
    <w:p w14:paraId="349D6DBE" w14:textId="77777777" w:rsidR="00365F53" w:rsidRPr="00192777" w:rsidRDefault="00365F53" w:rsidP="00365F53">
      <w:pPr>
        <w:spacing w:after="120"/>
        <w:ind w:left="567" w:right="1134" w:firstLine="567"/>
        <w:jc w:val="both"/>
        <w:rPr>
          <w:b/>
          <w:bCs/>
        </w:rPr>
      </w:pPr>
      <w:r w:rsidRPr="00192777">
        <w:rPr>
          <w:b/>
          <w:bCs/>
        </w:rPr>
        <w:t>Documentation</w:t>
      </w:r>
    </w:p>
    <w:p w14:paraId="10AC148F" w14:textId="477F008C" w:rsidR="00365F53" w:rsidRPr="00192777" w:rsidRDefault="005958D5" w:rsidP="00365F53">
      <w:pPr>
        <w:pStyle w:val="SingleTxtG"/>
      </w:pPr>
      <w:r w:rsidRPr="00192777">
        <w:t>ECE/TRANS/2023/</w:t>
      </w:r>
      <w:r w:rsidR="009A28B6" w:rsidRPr="00192777">
        <w:t>31</w:t>
      </w:r>
    </w:p>
    <w:p w14:paraId="6064215C" w14:textId="04AD8083" w:rsidR="00777D43" w:rsidRPr="00192777" w:rsidRDefault="00365F53" w:rsidP="00A91070">
      <w:pPr>
        <w:pStyle w:val="H23G"/>
      </w:pPr>
      <w:r w:rsidRPr="00192777">
        <w:tab/>
      </w:r>
      <w:r w:rsidR="00777D43" w:rsidRPr="00192777">
        <w:t>(t)</w:t>
      </w:r>
      <w:r w:rsidR="00777D43" w:rsidRPr="00192777">
        <w:tab/>
        <w:t xml:space="preserve">Project </w:t>
      </w:r>
      <w:r w:rsidR="00F5438B" w:rsidRPr="00192777">
        <w:t>Related Activities</w:t>
      </w:r>
      <w:r w:rsidR="00777D43" w:rsidRPr="00192777">
        <w:t>: Trans-European North-South Motorway and Trans-European Railway Projects</w:t>
      </w:r>
    </w:p>
    <w:p w14:paraId="2C65ADCD" w14:textId="6C16EB72" w:rsidR="00151D37" w:rsidRPr="00192777" w:rsidRDefault="00151D37" w:rsidP="00151D37">
      <w:pPr>
        <w:pStyle w:val="SingleTxtG"/>
      </w:pPr>
      <w:r w:rsidRPr="00192777">
        <w:t xml:space="preserve">The Committee </w:t>
      </w:r>
      <w:r w:rsidRPr="00192777">
        <w:rPr>
          <w:b/>
          <w:bCs/>
        </w:rPr>
        <w:t>may wish to be informed</w:t>
      </w:r>
      <w:r w:rsidRPr="00192777">
        <w:t xml:space="preserve"> about the recent developments in the Trans-European North-South Motorway (TEM) and the Trans-European Railway (TER) projects (Informal document No. </w:t>
      </w:r>
      <w:r w:rsidR="003C03C5" w:rsidRPr="00192777">
        <w:t>4</w:t>
      </w:r>
      <w:r w:rsidRPr="00192777">
        <w:t xml:space="preserve">). The Committee </w:t>
      </w:r>
      <w:r w:rsidRPr="00192777">
        <w:rPr>
          <w:b/>
          <w:bCs/>
        </w:rPr>
        <w:t>may wish to express its support</w:t>
      </w:r>
      <w:r w:rsidRPr="00192777">
        <w:t xml:space="preserve"> for the activities carried out by TEM and TER, </w:t>
      </w:r>
      <w:r w:rsidRPr="00192777">
        <w:rPr>
          <w:b/>
          <w:bCs/>
        </w:rPr>
        <w:t>thank</w:t>
      </w:r>
      <w:r w:rsidRPr="00192777">
        <w:t xml:space="preserve"> Croatia and Poland that offered candidates for TEM and TER project managers and encourage the rapid finalization of their contracts.</w:t>
      </w:r>
    </w:p>
    <w:p w14:paraId="53C9659E" w14:textId="77777777" w:rsidR="00151D37" w:rsidRPr="00192777" w:rsidRDefault="00151D37" w:rsidP="00365F53">
      <w:pPr>
        <w:spacing w:after="120"/>
        <w:ind w:left="567" w:right="1134" w:firstLine="567"/>
        <w:jc w:val="both"/>
        <w:rPr>
          <w:b/>
          <w:bCs/>
        </w:rPr>
      </w:pPr>
      <w:r w:rsidRPr="00192777">
        <w:rPr>
          <w:b/>
          <w:bCs/>
        </w:rPr>
        <w:t>Documentation</w:t>
      </w:r>
    </w:p>
    <w:p w14:paraId="029600D2" w14:textId="0933C19A" w:rsidR="00151D37" w:rsidRPr="00192777" w:rsidRDefault="00151D37" w:rsidP="00A90FA1">
      <w:pPr>
        <w:pStyle w:val="SingleTxtG"/>
      </w:pPr>
      <w:r w:rsidRPr="00192777">
        <w:t>Informal document No.</w:t>
      </w:r>
      <w:r w:rsidR="003C03C5" w:rsidRPr="00192777">
        <w:t xml:space="preserve"> 4</w:t>
      </w:r>
    </w:p>
    <w:p w14:paraId="7C60B649" w14:textId="69126D32" w:rsidR="00777D43" w:rsidRPr="00192777" w:rsidRDefault="009F4E0A" w:rsidP="00A91070">
      <w:pPr>
        <w:pStyle w:val="H23G"/>
      </w:pPr>
      <w:r w:rsidRPr="00192777">
        <w:tab/>
      </w:r>
      <w:r w:rsidR="00777D43" w:rsidRPr="00192777">
        <w:t>(u)</w:t>
      </w:r>
      <w:r w:rsidR="00777D43" w:rsidRPr="00192777">
        <w:tab/>
        <w:t xml:space="preserve">Inland </w:t>
      </w:r>
      <w:r w:rsidR="00F5438B" w:rsidRPr="00192777">
        <w:t>Water Transport</w:t>
      </w:r>
    </w:p>
    <w:p w14:paraId="698D25A9" w14:textId="7B0C472C" w:rsidR="00FD3D8E" w:rsidRPr="00192777" w:rsidRDefault="00FD3D8E" w:rsidP="00361840">
      <w:pPr>
        <w:pStyle w:val="SingleTxtG"/>
      </w:pPr>
      <w:r w:rsidRPr="00192777">
        <w:t xml:space="preserve">The Committee </w:t>
      </w:r>
      <w:r w:rsidR="00AD2E07">
        <w:rPr>
          <w:b/>
          <w:bCs/>
        </w:rPr>
        <w:t>will be reported to about</w:t>
      </w:r>
      <w:r w:rsidRPr="00192777">
        <w:t xml:space="preserve"> the latest activities of the Working Party on Inland Water Transport (SC.3) (ECE/TRANS/SC.3/217). In particular, the Committee may wish to </w:t>
      </w:r>
      <w:r w:rsidRPr="00192777">
        <w:rPr>
          <w:b/>
          <w:bCs/>
        </w:rPr>
        <w:t>take note</w:t>
      </w:r>
      <w:r w:rsidRPr="00192777">
        <w:t xml:space="preserve"> of the information about the implementation of the Wroclaw ministerial declaration “Inland Navigation in a Global Setting” and ITC resolution No. 265 “Facilitating the Development of Inland Water Transport” (Informal document No. 5).</w:t>
      </w:r>
    </w:p>
    <w:p w14:paraId="66EAC5A5" w14:textId="5371D680" w:rsidR="00FD3D8E" w:rsidRPr="00192777" w:rsidRDefault="00FD3D8E" w:rsidP="00361840">
      <w:pPr>
        <w:pStyle w:val="SingleTxtG"/>
        <w:rPr>
          <w:b/>
          <w:bCs/>
        </w:rPr>
      </w:pPr>
      <w:r w:rsidRPr="00192777">
        <w:lastRenderedPageBreak/>
        <w:t xml:space="preserve">The Committee may </w:t>
      </w:r>
      <w:r w:rsidRPr="00192777">
        <w:rPr>
          <w:b/>
          <w:bCs/>
        </w:rPr>
        <w:t xml:space="preserve">wish to </w:t>
      </w:r>
      <w:r w:rsidR="003C509B" w:rsidRPr="00192777">
        <w:rPr>
          <w:b/>
          <w:bCs/>
        </w:rPr>
        <w:t xml:space="preserve">consider and </w:t>
      </w:r>
      <w:r w:rsidRPr="00192777">
        <w:rPr>
          <w:b/>
          <w:bCs/>
        </w:rPr>
        <w:t>adopt</w:t>
      </w:r>
      <w:r w:rsidRPr="00192777">
        <w:t xml:space="preserve"> a resolution “Facilitating the Development of Container Transport on Inland Waterways” prepared by the secretariats of SC.3 and the Working Party on Intermodal Transport and Logistics (WP.24) and approved by SC.3 at its sixty-sixth session and by WP.24 at its sixty-fifth session (</w:t>
      </w:r>
      <w:r w:rsidR="00002B64" w:rsidRPr="00192777">
        <w:t>ECE/TRANS/2023/</w:t>
      </w:r>
      <w:r w:rsidR="009A28B6" w:rsidRPr="00192777">
        <w:t>3</w:t>
      </w:r>
      <w:r w:rsidR="00BC7E30" w:rsidRPr="00192777">
        <w:t>1</w:t>
      </w:r>
      <w:r w:rsidRPr="00192777">
        <w:t xml:space="preserve">). The Committee may also </w:t>
      </w:r>
      <w:r w:rsidRPr="00192777">
        <w:rPr>
          <w:b/>
          <w:bCs/>
        </w:rPr>
        <w:t>wish to take</w:t>
      </w:r>
      <w:r w:rsidRPr="00192777">
        <w:t xml:space="preserve"> </w:t>
      </w:r>
      <w:r w:rsidRPr="00192777">
        <w:rPr>
          <w:b/>
          <w:bCs/>
        </w:rPr>
        <w:t>note</w:t>
      </w:r>
      <w:r w:rsidRPr="00192777">
        <w:t xml:space="preserve"> of the outcome of the workshop “Development of Container Transport on Inland Waterways” and the round table on facilitating the alignment between the Protocol on Combined Transport on Inland Waterways to the European Agreement on Important International Combined Transport Lines and Related Installations and the European Agreement on Main Inland Waterways of International Importance, held jointly by SC.3 and WP.24 at the sixty-sixth session of SC.3.</w:t>
      </w:r>
    </w:p>
    <w:p w14:paraId="57AD3171" w14:textId="77777777" w:rsidR="00FD3D8E" w:rsidRPr="00192777" w:rsidRDefault="00FD3D8E" w:rsidP="00361840">
      <w:pPr>
        <w:pStyle w:val="SingleTxtG"/>
      </w:pPr>
      <w:r w:rsidRPr="00192777">
        <w:t>The Committee may</w:t>
      </w:r>
      <w:r w:rsidRPr="00192777">
        <w:rPr>
          <w:b/>
          <w:bCs/>
        </w:rPr>
        <w:t xml:space="preserve"> wish to take note </w:t>
      </w:r>
      <w:r w:rsidRPr="00192777">
        <w:t>of the finalization of the Glossary</w:t>
      </w:r>
      <w:r w:rsidRPr="00192777">
        <w:rPr>
          <w:b/>
          <w:bCs/>
        </w:rPr>
        <w:t xml:space="preserve"> </w:t>
      </w:r>
      <w:r w:rsidRPr="00192777">
        <w:t xml:space="preserve">of terms and definitions for inland water transport, approved by SC.3 at its sixty-sixth session. </w:t>
      </w:r>
    </w:p>
    <w:p w14:paraId="2A4EA879" w14:textId="77777777" w:rsidR="00FD3D8E" w:rsidRPr="00192777" w:rsidRDefault="00FD3D8E" w:rsidP="00361840">
      <w:pPr>
        <w:pStyle w:val="SingleTxtG"/>
      </w:pPr>
      <w:r w:rsidRPr="00192777">
        <w:t xml:space="preserve">The Committee </w:t>
      </w:r>
      <w:r w:rsidRPr="00192777">
        <w:rPr>
          <w:b/>
          <w:bCs/>
        </w:rPr>
        <w:t>may wish to take note</w:t>
      </w:r>
      <w:r w:rsidRPr="00192777">
        <w:t xml:space="preserve"> of the progress reached by SC.3 and its subsidiary bodies in 2022: (a) the approval of amendment No. 5 to the third revision of the Inventory of Main Standards and Parameters of the E Waterway Network (“Blue Book”); (b) the adoption of amendment No. 4 to the second revision of resolution No. 61 as resolution No. 104; </w:t>
      </w:r>
      <w:r w:rsidRPr="00192777">
        <w:br/>
        <w:t>(c) progress in revising the annex to resolution No. 58 “Guidelines and Criteria for Vessel Traffic Services on Inland Waterways” based on the Guideline “Vessel Traffic Services in Inland Waters” of the International Association of Marine Aids to Navigation and Lighthouse Authorities (IALA),  and (d) the promotion of recreational navigation, including the activities of the Informal Working Group on Recreational Navigation, updating annex IV to resolution No. 40, International Certificate for Operators of Pleasure Craft (ICC) and the online database of ICC specimens.</w:t>
      </w:r>
    </w:p>
    <w:p w14:paraId="26A1FD6E" w14:textId="6307F75F" w:rsidR="00FD3D8E" w:rsidRPr="00192777" w:rsidRDefault="00FD3D8E" w:rsidP="00361840">
      <w:pPr>
        <w:pStyle w:val="SingleTxtG"/>
      </w:pPr>
      <w:r w:rsidRPr="00192777">
        <w:t xml:space="preserve">The Committee </w:t>
      </w:r>
      <w:r w:rsidRPr="00192777">
        <w:rPr>
          <w:b/>
          <w:bCs/>
        </w:rPr>
        <w:t xml:space="preserve">may wish to </w:t>
      </w:r>
      <w:r w:rsidR="003C509B" w:rsidRPr="00192777">
        <w:rPr>
          <w:b/>
          <w:bCs/>
        </w:rPr>
        <w:t xml:space="preserve">consider and </w:t>
      </w:r>
      <w:r w:rsidRPr="00192777">
        <w:rPr>
          <w:b/>
          <w:bCs/>
        </w:rPr>
        <w:t>adopt</w:t>
      </w:r>
      <w:r w:rsidRPr="00192777">
        <w:t xml:space="preserve"> the rules of procedure of SC.3, based on the recently adopted rules of procedure of the Committee and agreed </w:t>
      </w:r>
      <w:r w:rsidR="006527AA">
        <w:t xml:space="preserve">to </w:t>
      </w:r>
      <w:r w:rsidRPr="00192777">
        <w:t>by the Working Party at its sixty-sixth session (ECE/TRANS/SC.3/2022/14).</w:t>
      </w:r>
    </w:p>
    <w:p w14:paraId="2BAD1BB2" w14:textId="3C8CD266" w:rsidR="00A32E03" w:rsidRPr="00192777" w:rsidRDefault="00FD3D8E" w:rsidP="00361840">
      <w:pPr>
        <w:pStyle w:val="SingleTxtG"/>
      </w:pPr>
      <w:r w:rsidRPr="00192777">
        <w:t xml:space="preserve">The Committee </w:t>
      </w:r>
      <w:r w:rsidR="00AD2E07">
        <w:rPr>
          <w:b/>
          <w:bCs/>
        </w:rPr>
        <w:t>will be reported to about</w:t>
      </w:r>
      <w:r w:rsidRPr="00192777">
        <w:t xml:space="preserve"> the outcome of the workshops and round table discussions on inland water transport held in 2022: (a) Prevention of pollution from inland waterway vessels and greening of the inland water transport sector (16 February 2022), (b) Towards a modern, sustainable and resilient E Waterway Network (29 June 2022), and (c) Innovative materials, equipment and technologies in inland water transport (13 October 2022). </w:t>
      </w:r>
    </w:p>
    <w:p w14:paraId="68AD6111" w14:textId="77777777" w:rsidR="00171094" w:rsidRPr="00192777" w:rsidRDefault="00171094" w:rsidP="00171094">
      <w:pPr>
        <w:spacing w:after="120"/>
        <w:ind w:left="567" w:right="1134" w:firstLine="567"/>
        <w:jc w:val="both"/>
        <w:rPr>
          <w:b/>
          <w:bCs/>
        </w:rPr>
      </w:pPr>
      <w:r w:rsidRPr="00192777">
        <w:rPr>
          <w:b/>
          <w:bCs/>
        </w:rPr>
        <w:t>Documentation</w:t>
      </w:r>
    </w:p>
    <w:p w14:paraId="30EBFF49" w14:textId="19E7621C" w:rsidR="00171094" w:rsidRPr="00192777" w:rsidRDefault="00002B64" w:rsidP="00171094">
      <w:pPr>
        <w:spacing w:after="120"/>
        <w:ind w:left="567" w:right="1134" w:firstLine="567"/>
        <w:jc w:val="both"/>
      </w:pPr>
      <w:r w:rsidRPr="00192777">
        <w:t>Informal document No. 5</w:t>
      </w:r>
      <w:r w:rsidR="001024AD" w:rsidRPr="00192777">
        <w:t>,</w:t>
      </w:r>
      <w:r w:rsidR="009A28B6" w:rsidRPr="00192777">
        <w:t xml:space="preserve"> </w:t>
      </w:r>
      <w:r w:rsidR="00171094" w:rsidRPr="00192777">
        <w:t>ECE/TRANS/2023/</w:t>
      </w:r>
      <w:r w:rsidR="00BC7E30" w:rsidRPr="00192777">
        <w:t>31</w:t>
      </w:r>
    </w:p>
    <w:p w14:paraId="253E15FE" w14:textId="506AA1C0" w:rsidR="00777D43" w:rsidRPr="00192777" w:rsidRDefault="00640E27" w:rsidP="00A91070">
      <w:pPr>
        <w:pStyle w:val="H23G"/>
      </w:pPr>
      <w:r w:rsidRPr="00192777">
        <w:tab/>
      </w:r>
      <w:r w:rsidR="00777D43" w:rsidRPr="00192777">
        <w:t>(v)</w:t>
      </w:r>
      <w:r w:rsidR="00777D43" w:rsidRPr="00192777">
        <w:tab/>
        <w:t xml:space="preserve">Transport </w:t>
      </w:r>
      <w:r w:rsidR="00F5438B" w:rsidRPr="00192777">
        <w:t xml:space="preserve">Statistics </w:t>
      </w:r>
      <w:r w:rsidR="00777D43" w:rsidRPr="00192777">
        <w:t xml:space="preserve">and </w:t>
      </w:r>
      <w:r w:rsidR="00F5438B" w:rsidRPr="00192777">
        <w:t>Data</w:t>
      </w:r>
    </w:p>
    <w:p w14:paraId="58948BF1" w14:textId="260B1ADD" w:rsidR="009F32DC" w:rsidRPr="00192777" w:rsidRDefault="009F32DC" w:rsidP="00AA5664">
      <w:pPr>
        <w:pStyle w:val="SingleTxtG"/>
        <w:rPr>
          <w:rFonts w:eastAsia="Times New Roman"/>
        </w:rPr>
      </w:pPr>
      <w:r w:rsidRPr="00192777">
        <w:rPr>
          <w:rFonts w:eastAsia="Times New Roman"/>
        </w:rPr>
        <w:t xml:space="preserve">The Committee </w:t>
      </w:r>
      <w:r w:rsidRPr="00192777">
        <w:rPr>
          <w:rFonts w:eastAsia="Times New Roman"/>
          <w:b/>
          <w:bCs/>
        </w:rPr>
        <w:t xml:space="preserve">will be </w:t>
      </w:r>
      <w:r w:rsidR="00B52E98" w:rsidRPr="00192777">
        <w:rPr>
          <w:rFonts w:eastAsia="Times New Roman"/>
          <w:b/>
          <w:bCs/>
        </w:rPr>
        <w:t>reported</w:t>
      </w:r>
      <w:r w:rsidRPr="00192777">
        <w:rPr>
          <w:rFonts w:eastAsia="Times New Roman"/>
        </w:rPr>
        <w:t xml:space="preserve"> of the latest activities on transport statistics, including the hybrid session of the Working Party on Transport Statistics (WP.6) held in June 2022. </w:t>
      </w:r>
    </w:p>
    <w:p w14:paraId="55C984ED" w14:textId="77777777" w:rsidR="009F32DC" w:rsidRPr="00192777" w:rsidRDefault="009F32DC" w:rsidP="00AA5664">
      <w:pPr>
        <w:pStyle w:val="SingleTxtG"/>
        <w:rPr>
          <w:rFonts w:eastAsia="Times New Roman"/>
        </w:rPr>
      </w:pPr>
      <w:r w:rsidRPr="00192777">
        <w:rPr>
          <w:rFonts w:eastAsia="Times New Roman"/>
        </w:rPr>
        <w:t>The Working Party Chair will describe new activities undertaken by the Working Party, including on travel surveys, the use of Mobile Phone Data to monitor mobility, and data on electric car charging infrastructure.</w:t>
      </w:r>
    </w:p>
    <w:p w14:paraId="2EFD52EA" w14:textId="5CF0ED1F" w:rsidR="009F32DC" w:rsidRPr="00192777" w:rsidRDefault="009F32DC" w:rsidP="00AA5664">
      <w:pPr>
        <w:pStyle w:val="SingleTxtG"/>
        <w:rPr>
          <w:rFonts w:eastAsia="Times New Roman"/>
        </w:rPr>
      </w:pPr>
      <w:r w:rsidRPr="00192777">
        <w:rPr>
          <w:rFonts w:eastAsia="Times New Roman"/>
        </w:rPr>
        <w:t>New ways to disseminate transport statistics, including the use of transport data stories, will be showcased (</w:t>
      </w:r>
      <w:bookmarkStart w:id="10" w:name="_Hlk117496200"/>
      <w:r w:rsidRPr="00192777">
        <w:rPr>
          <w:rFonts w:eastAsia="Times New Roman"/>
        </w:rPr>
        <w:t>ECE/TRANS/2023/</w:t>
      </w:r>
      <w:r w:rsidR="00BC7E30" w:rsidRPr="00192777">
        <w:rPr>
          <w:rFonts w:eastAsia="Times New Roman"/>
        </w:rPr>
        <w:t>32</w:t>
      </w:r>
      <w:bookmarkEnd w:id="10"/>
      <w:r w:rsidRPr="00192777">
        <w:rPr>
          <w:rFonts w:eastAsia="Times New Roman"/>
        </w:rPr>
        <w:t>).</w:t>
      </w:r>
    </w:p>
    <w:p w14:paraId="7F6F4CA0" w14:textId="4C1B995E" w:rsidR="009F32DC" w:rsidRPr="00192777" w:rsidRDefault="009F32DC" w:rsidP="00AA5664">
      <w:pPr>
        <w:pStyle w:val="SingleTxtG"/>
        <w:rPr>
          <w:rFonts w:eastAsia="Times New Roman"/>
        </w:rPr>
      </w:pPr>
      <w:r w:rsidRPr="00192777">
        <w:rPr>
          <w:rFonts w:eastAsia="Times New Roman"/>
        </w:rPr>
        <w:t xml:space="preserve">The Committee </w:t>
      </w:r>
      <w:r w:rsidRPr="00192777">
        <w:rPr>
          <w:rFonts w:eastAsia="Times New Roman"/>
          <w:b/>
          <w:bCs/>
        </w:rPr>
        <w:t>will be informed</w:t>
      </w:r>
      <w:r w:rsidRPr="00192777">
        <w:rPr>
          <w:rFonts w:eastAsia="Times New Roman"/>
        </w:rPr>
        <w:t xml:space="preserve"> about the recent </w:t>
      </w:r>
      <w:r w:rsidR="00F5438B">
        <w:rPr>
          <w:rFonts w:eastAsia="Times New Roman"/>
        </w:rPr>
        <w:t>“</w:t>
      </w:r>
      <w:r w:rsidRPr="00192777">
        <w:rPr>
          <w:rFonts w:eastAsia="Times New Roman"/>
        </w:rPr>
        <w:t>Inland Transport Statistics in Europe and North America</w:t>
      </w:r>
      <w:r w:rsidR="00F5438B">
        <w:rPr>
          <w:rFonts w:eastAsia="Times New Roman"/>
        </w:rPr>
        <w:t>”</w:t>
      </w:r>
      <w:r w:rsidRPr="00192777">
        <w:rPr>
          <w:rFonts w:eastAsia="Times New Roman"/>
        </w:rPr>
        <w:t xml:space="preserve"> publication.</w:t>
      </w:r>
    </w:p>
    <w:p w14:paraId="172046FB" w14:textId="77777777" w:rsidR="009822FE" w:rsidRPr="00192777" w:rsidRDefault="009822FE" w:rsidP="00361840">
      <w:pPr>
        <w:keepNext/>
        <w:keepLines/>
        <w:spacing w:after="120"/>
        <w:ind w:left="567" w:right="1134" w:firstLine="567"/>
        <w:jc w:val="both"/>
        <w:rPr>
          <w:b/>
          <w:bCs/>
        </w:rPr>
      </w:pPr>
      <w:r w:rsidRPr="00192777">
        <w:rPr>
          <w:b/>
          <w:bCs/>
        </w:rPr>
        <w:t>Documentation</w:t>
      </w:r>
    </w:p>
    <w:p w14:paraId="203472AE" w14:textId="38348368" w:rsidR="009822FE" w:rsidRPr="00192777" w:rsidRDefault="009822FE" w:rsidP="00361840">
      <w:pPr>
        <w:pStyle w:val="SingleTxtG"/>
        <w:keepNext/>
        <w:keepLines/>
        <w:rPr>
          <w:rFonts w:eastAsia="Times New Roman"/>
        </w:rPr>
      </w:pPr>
      <w:r w:rsidRPr="00192777">
        <w:t>ECE/TRANS/2023/3</w:t>
      </w:r>
      <w:r w:rsidR="00BC7E30" w:rsidRPr="00192777">
        <w:t>2</w:t>
      </w:r>
    </w:p>
    <w:p w14:paraId="59DE7455" w14:textId="40CAA429" w:rsidR="00777D43" w:rsidRPr="00192777" w:rsidRDefault="0066633C" w:rsidP="00A91070">
      <w:pPr>
        <w:pStyle w:val="H23G"/>
      </w:pPr>
      <w:r w:rsidRPr="00192777">
        <w:tab/>
      </w:r>
      <w:r w:rsidR="00777D43" w:rsidRPr="00192777">
        <w:t>(w)</w:t>
      </w:r>
      <w:r w:rsidR="00777D43" w:rsidRPr="00192777">
        <w:tab/>
        <w:t xml:space="preserve">Draft Annual Report of </w:t>
      </w:r>
      <w:r w:rsidR="00F5438B" w:rsidRPr="00192777">
        <w:t xml:space="preserve">Activities Undertaken </w:t>
      </w:r>
      <w:r w:rsidR="00777D43" w:rsidRPr="00192777">
        <w:t xml:space="preserve">by the Committee’s </w:t>
      </w:r>
      <w:r w:rsidR="00F5438B" w:rsidRPr="00192777">
        <w:t xml:space="preserve">Subsidiary Bodies </w:t>
      </w:r>
      <w:r w:rsidR="00777D43" w:rsidRPr="00192777">
        <w:t>in 2022</w:t>
      </w:r>
    </w:p>
    <w:p w14:paraId="3BFA8071" w14:textId="4E0D68A4" w:rsidR="007B191E" w:rsidRPr="00192777" w:rsidRDefault="007B191E" w:rsidP="00361840">
      <w:pPr>
        <w:pStyle w:val="SingleTxtG"/>
        <w:rPr>
          <w:lang w:eastAsia="en-US"/>
        </w:rPr>
      </w:pPr>
      <w:r w:rsidRPr="00192777">
        <w:rPr>
          <w:lang w:eastAsia="en-US"/>
        </w:rPr>
        <w:t xml:space="preserve">The Committee will be </w:t>
      </w:r>
      <w:r w:rsidRPr="00192777">
        <w:rPr>
          <w:b/>
          <w:lang w:eastAsia="en-US"/>
        </w:rPr>
        <w:t>presented</w:t>
      </w:r>
      <w:r w:rsidRPr="00192777">
        <w:rPr>
          <w:lang w:eastAsia="en-US"/>
        </w:rPr>
        <w:t xml:space="preserve"> with a comprehensive report of activities undertaken by the Committee’s subsidiary bodies during 2022, in administering the 59 United Nations conventions, agreements and other types of legal instrument which shape the international </w:t>
      </w:r>
      <w:r w:rsidRPr="00192777">
        <w:rPr>
          <w:lang w:eastAsia="en-US"/>
        </w:rPr>
        <w:lastRenderedPageBreak/>
        <w:t>legal framework for road, rail, inland waterway, intermodal transport, dangerous goods transport and vehicle construction (ECE/TRANS/2023/3</w:t>
      </w:r>
      <w:r w:rsidR="00BC7E30" w:rsidRPr="00192777">
        <w:rPr>
          <w:lang w:eastAsia="en-US"/>
        </w:rPr>
        <w:t>3</w:t>
      </w:r>
      <w:r w:rsidRPr="00192777">
        <w:rPr>
          <w:lang w:eastAsia="en-US"/>
        </w:rPr>
        <w:t>). The focus is on the impacts of the work of the Working Parties and contribution to implementing the Sustainable Development Goals.</w:t>
      </w:r>
    </w:p>
    <w:p w14:paraId="141E3EDA" w14:textId="77777777" w:rsidR="007B191E" w:rsidRPr="00192777" w:rsidRDefault="007B191E" w:rsidP="00361840">
      <w:pPr>
        <w:pStyle w:val="SingleTxtG"/>
        <w:rPr>
          <w:lang w:eastAsia="en-US"/>
        </w:rPr>
      </w:pPr>
      <w:r w:rsidRPr="00192777">
        <w:rPr>
          <w:lang w:eastAsia="en-US"/>
        </w:rPr>
        <w:t xml:space="preserve">The Committee is invited to </w:t>
      </w:r>
      <w:r w:rsidRPr="00192777">
        <w:rPr>
          <w:b/>
          <w:lang w:eastAsia="en-US"/>
        </w:rPr>
        <w:t>discuss</w:t>
      </w:r>
      <w:r w:rsidRPr="00192777">
        <w:rPr>
          <w:lang w:eastAsia="en-US"/>
        </w:rPr>
        <w:t xml:space="preserve"> the annual report and to </w:t>
      </w:r>
      <w:r w:rsidRPr="00192777">
        <w:rPr>
          <w:b/>
          <w:lang w:eastAsia="en-US"/>
        </w:rPr>
        <w:t>provide guidance</w:t>
      </w:r>
      <w:r w:rsidRPr="00192777">
        <w:rPr>
          <w:lang w:eastAsia="en-US"/>
        </w:rPr>
        <w:t xml:space="preserve"> on improving the visibility and awareness of the results, noting that the annual report would benefit greatly from substantive feedback from contracting parties on the impacts of the Committee’s work especially at the national context. </w:t>
      </w:r>
    </w:p>
    <w:p w14:paraId="675DF5D4" w14:textId="77777777" w:rsidR="007B191E" w:rsidRPr="00192777" w:rsidRDefault="007B191E" w:rsidP="007B191E">
      <w:pPr>
        <w:spacing w:after="120"/>
        <w:ind w:left="1134" w:right="1134"/>
        <w:jc w:val="both"/>
        <w:rPr>
          <w:rFonts w:eastAsia="Times New Roman"/>
          <w:b/>
          <w:lang w:eastAsia="en-US"/>
        </w:rPr>
      </w:pPr>
      <w:r w:rsidRPr="00192777">
        <w:rPr>
          <w:rFonts w:eastAsia="Times New Roman"/>
          <w:b/>
          <w:lang w:eastAsia="en-US"/>
        </w:rPr>
        <w:t>Documentation</w:t>
      </w:r>
    </w:p>
    <w:p w14:paraId="14473010" w14:textId="4FAD3374" w:rsidR="008E1FB2" w:rsidRPr="00192777" w:rsidRDefault="007B191E" w:rsidP="00361840">
      <w:pPr>
        <w:pStyle w:val="SingleTxtG"/>
      </w:pPr>
      <w:r w:rsidRPr="00192777">
        <w:rPr>
          <w:lang w:eastAsia="en-US"/>
        </w:rPr>
        <w:t>ECE/TRANS/202</w:t>
      </w:r>
      <w:r w:rsidR="00E9125F" w:rsidRPr="00192777">
        <w:rPr>
          <w:lang w:eastAsia="en-US"/>
        </w:rPr>
        <w:t>3</w:t>
      </w:r>
      <w:r w:rsidRPr="00192777">
        <w:rPr>
          <w:lang w:eastAsia="en-US"/>
        </w:rPr>
        <w:t>/</w:t>
      </w:r>
      <w:r w:rsidR="00E9125F" w:rsidRPr="00192777">
        <w:rPr>
          <w:lang w:eastAsia="en-US"/>
        </w:rPr>
        <w:t>3</w:t>
      </w:r>
      <w:r w:rsidR="00BC7E30" w:rsidRPr="00192777">
        <w:rPr>
          <w:lang w:eastAsia="en-US"/>
        </w:rPr>
        <w:t>3</w:t>
      </w:r>
    </w:p>
    <w:p w14:paraId="4621D086" w14:textId="7A0828C1" w:rsidR="00777D43" w:rsidRPr="00192777" w:rsidRDefault="0066633C" w:rsidP="00A91070">
      <w:pPr>
        <w:pStyle w:val="H1G"/>
      </w:pPr>
      <w:r w:rsidRPr="00192777">
        <w:tab/>
      </w:r>
      <w:r w:rsidR="00777D43" w:rsidRPr="00192777">
        <w:t>8.</w:t>
      </w:r>
      <w:r w:rsidR="00777D43" w:rsidRPr="00192777">
        <w:tab/>
        <w:t xml:space="preserve">Approval of the </w:t>
      </w:r>
      <w:r w:rsidR="00F5438B" w:rsidRPr="00192777">
        <w:t xml:space="preserve">Reports </w:t>
      </w:r>
      <w:r w:rsidR="00777D43" w:rsidRPr="00192777">
        <w:t xml:space="preserve">of the Committee’s </w:t>
      </w:r>
      <w:r w:rsidR="00F5438B" w:rsidRPr="00192777">
        <w:t>Subsidiary Bodies</w:t>
      </w:r>
    </w:p>
    <w:p w14:paraId="50A262E9" w14:textId="77777777" w:rsidR="00865311" w:rsidRPr="00192777" w:rsidRDefault="00865311" w:rsidP="00361840">
      <w:pPr>
        <w:pStyle w:val="SingleTxtG"/>
      </w:pPr>
      <w:r w:rsidRPr="00192777">
        <w:rPr>
          <w:lang w:eastAsia="en-US"/>
        </w:rPr>
        <w:t xml:space="preserve">The Committee may wish to </w:t>
      </w:r>
      <w:r w:rsidRPr="00192777">
        <w:rPr>
          <w:b/>
          <w:lang w:eastAsia="en-US"/>
        </w:rPr>
        <w:t>approve</w:t>
      </w:r>
      <w:r w:rsidRPr="00192777">
        <w:rPr>
          <w:lang w:eastAsia="en-US"/>
        </w:rPr>
        <w:t xml:space="preserve"> as a whole the reports and related activities of its subsidiary bodies and </w:t>
      </w:r>
      <w:r w:rsidRPr="00192777">
        <w:rPr>
          <w:b/>
          <w:lang w:eastAsia="en-US"/>
        </w:rPr>
        <w:t>request</w:t>
      </w:r>
      <w:r w:rsidRPr="00192777">
        <w:rPr>
          <w:lang w:eastAsia="en-US"/>
        </w:rPr>
        <w:t xml:space="preserve"> the secretariat to incorporate related references in the complete ITC report on the basis of the respective annotations contained in this document.</w:t>
      </w:r>
    </w:p>
    <w:p w14:paraId="7D169C2D" w14:textId="7EDEEC44" w:rsidR="008E1FB2" w:rsidRPr="00192777" w:rsidRDefault="00865311" w:rsidP="00865311">
      <w:pPr>
        <w:spacing w:after="120"/>
        <w:ind w:left="1701" w:right="1134" w:hanging="567"/>
        <w:jc w:val="both"/>
        <w:rPr>
          <w:b/>
          <w:bCs/>
          <w:lang w:eastAsia="en-US"/>
        </w:rPr>
      </w:pPr>
      <w:r w:rsidRPr="00192777">
        <w:rPr>
          <w:b/>
          <w:bCs/>
          <w:lang w:eastAsia="en-US"/>
        </w:rPr>
        <w:t>Documentation</w:t>
      </w:r>
    </w:p>
    <w:p w14:paraId="0FC6A14A" w14:textId="6A9CC158" w:rsidR="00187F59" w:rsidRPr="00192777" w:rsidRDefault="000A2C19" w:rsidP="00361840">
      <w:pPr>
        <w:pStyle w:val="SingleTxtG"/>
      </w:pPr>
      <w:r w:rsidRPr="00192777">
        <w:rPr>
          <w:lang w:eastAsia="en-US"/>
        </w:rPr>
        <w:t>ECE/TRANS/WP.1/17</w:t>
      </w:r>
      <w:r w:rsidR="00D96B97" w:rsidRPr="00192777">
        <w:rPr>
          <w:lang w:eastAsia="en-US"/>
        </w:rPr>
        <w:t>9</w:t>
      </w:r>
      <w:r w:rsidRPr="00192777">
        <w:rPr>
          <w:lang w:eastAsia="en-US"/>
        </w:rPr>
        <w:t>, ECE/TRANS/WP.1/1</w:t>
      </w:r>
      <w:r w:rsidR="00D96B97" w:rsidRPr="00192777">
        <w:rPr>
          <w:lang w:eastAsia="en-US"/>
        </w:rPr>
        <w:t>81</w:t>
      </w:r>
      <w:r w:rsidRPr="00192777">
        <w:rPr>
          <w:lang w:eastAsia="en-US"/>
        </w:rPr>
        <w:t>; ECE/TRANS/WP.1/GE.2/4</w:t>
      </w:r>
      <w:r w:rsidR="00676A85" w:rsidRPr="00192777">
        <w:rPr>
          <w:lang w:eastAsia="en-US"/>
        </w:rPr>
        <w:t>2</w:t>
      </w:r>
      <w:r w:rsidRPr="00192777">
        <w:rPr>
          <w:lang w:eastAsia="en-US"/>
        </w:rPr>
        <w:t>;</w:t>
      </w:r>
      <w:r w:rsidR="00651243" w:rsidRPr="00192777">
        <w:rPr>
          <w:lang w:eastAsia="en-US"/>
        </w:rPr>
        <w:t xml:space="preserve"> </w:t>
      </w:r>
      <w:r w:rsidR="00B83864" w:rsidRPr="00192777">
        <w:rPr>
          <w:lang w:eastAsia="en-US"/>
        </w:rPr>
        <w:t>ECE/TRANS/WP.1/GE.2/44;</w:t>
      </w:r>
      <w:r w:rsidR="006F64E2" w:rsidRPr="00192777">
        <w:rPr>
          <w:lang w:eastAsia="en-US"/>
        </w:rPr>
        <w:t xml:space="preserve"> </w:t>
      </w:r>
      <w:r w:rsidRPr="00192777">
        <w:rPr>
          <w:lang w:eastAsia="en-US"/>
        </w:rPr>
        <w:t>ECE/TRANS/WP.1/GE.3/202</w:t>
      </w:r>
      <w:r w:rsidR="000701A0" w:rsidRPr="00192777">
        <w:rPr>
          <w:lang w:eastAsia="en-US"/>
        </w:rPr>
        <w:t>2</w:t>
      </w:r>
      <w:r w:rsidRPr="00192777">
        <w:rPr>
          <w:lang w:eastAsia="en-US"/>
        </w:rPr>
        <w:t xml:space="preserve">/2; </w:t>
      </w:r>
      <w:r w:rsidR="00096D38" w:rsidRPr="00192777">
        <w:rPr>
          <w:lang w:eastAsia="en-US"/>
        </w:rPr>
        <w:t>ECE/TRANS/WP.1/GE.3/2022/</w:t>
      </w:r>
      <w:r w:rsidR="00D97D2B" w:rsidRPr="00192777">
        <w:rPr>
          <w:lang w:eastAsia="en-US"/>
        </w:rPr>
        <w:t>5</w:t>
      </w:r>
      <w:r w:rsidR="00096D38" w:rsidRPr="00192777">
        <w:rPr>
          <w:lang w:eastAsia="en-US"/>
        </w:rPr>
        <w:t>;</w:t>
      </w:r>
      <w:r w:rsidR="006F64E2" w:rsidRPr="00192777">
        <w:rPr>
          <w:lang w:eastAsia="en-US"/>
        </w:rPr>
        <w:t xml:space="preserve"> </w:t>
      </w:r>
      <w:r w:rsidR="00096D38" w:rsidRPr="00192777">
        <w:rPr>
          <w:lang w:eastAsia="en-US"/>
        </w:rPr>
        <w:t>ECE/TRANS/WP.1/GE.3/2022/</w:t>
      </w:r>
      <w:r w:rsidR="006E7A27" w:rsidRPr="00192777">
        <w:rPr>
          <w:lang w:eastAsia="en-US"/>
        </w:rPr>
        <w:t>10</w:t>
      </w:r>
      <w:r w:rsidR="00676A85" w:rsidRPr="00192777">
        <w:rPr>
          <w:lang w:eastAsia="en-US"/>
        </w:rPr>
        <w:t xml:space="preserve">; </w:t>
      </w:r>
      <w:r w:rsidRPr="00192777">
        <w:t>ECE/TRANS/WP.5/7</w:t>
      </w:r>
      <w:r w:rsidR="003964FC" w:rsidRPr="00192777">
        <w:t>2</w:t>
      </w:r>
      <w:r w:rsidRPr="00192777">
        <w:rPr>
          <w:lang w:eastAsia="en-US"/>
        </w:rPr>
        <w:t xml:space="preserve">; </w:t>
      </w:r>
      <w:r w:rsidR="00FB7EAA" w:rsidRPr="00192777">
        <w:t>ECE/TRANS/WP.5/GE.3/44;</w:t>
      </w:r>
      <w:r w:rsidR="006F64E2" w:rsidRPr="00192777">
        <w:t xml:space="preserve"> </w:t>
      </w:r>
      <w:r w:rsidR="00FB7EAA" w:rsidRPr="00192777">
        <w:t xml:space="preserve">ECE/TRANS/WP.5/GE.4/27 and ECE/TRANS/WP.5/GE.4/29;  ECE/TRANS/WP.5/GE.5/1; </w:t>
      </w:r>
      <w:r w:rsidRPr="00192777">
        <w:rPr>
          <w:lang w:eastAsia="en-US"/>
        </w:rPr>
        <w:t>ECE/TRANS/WP.6/18</w:t>
      </w:r>
      <w:r w:rsidR="003964FC" w:rsidRPr="00192777">
        <w:rPr>
          <w:lang w:eastAsia="en-US"/>
        </w:rPr>
        <w:t>3</w:t>
      </w:r>
      <w:r w:rsidRPr="00192777">
        <w:rPr>
          <w:lang w:eastAsia="en-US"/>
        </w:rPr>
        <w:t xml:space="preserve">; </w:t>
      </w:r>
      <w:r w:rsidRPr="00192777">
        <w:t>ECE/TRANS/WP.11/24</w:t>
      </w:r>
      <w:r w:rsidR="00F765FD" w:rsidRPr="00192777">
        <w:t>7</w:t>
      </w:r>
      <w:r w:rsidRPr="00192777">
        <w:t>, ECE/TRANS/WP.11/24</w:t>
      </w:r>
      <w:r w:rsidR="00F765FD" w:rsidRPr="00192777">
        <w:t>9</w:t>
      </w:r>
      <w:r w:rsidRPr="00192777">
        <w:rPr>
          <w:lang w:eastAsia="en-US"/>
        </w:rPr>
        <w:t xml:space="preserve">; </w:t>
      </w:r>
      <w:r w:rsidR="00DE6A76" w:rsidRPr="00192777">
        <w:rPr>
          <w:rFonts w:asciiTheme="majorBidi" w:hAnsiTheme="majorBidi" w:cstheme="majorBidi"/>
        </w:rPr>
        <w:t>ECE/TRANS/WP.15/256 and Corr.1 and Corr.2, ECE/TRANS/WP.15/256/Add.1, ECE/TRANS/WP.15/AC.1/164, ECE/TRANS/WP.15/AC.1/166, ECE/TRANS/WP.15/258, ECE/TRANS/WP.15/260,</w:t>
      </w:r>
      <w:r w:rsidR="002D3290" w:rsidRPr="00192777">
        <w:rPr>
          <w:rFonts w:asciiTheme="majorBidi" w:hAnsiTheme="majorBidi" w:cstheme="majorBidi"/>
        </w:rPr>
        <w:t xml:space="preserve"> </w:t>
      </w:r>
      <w:r w:rsidR="00DE6A76" w:rsidRPr="00192777">
        <w:rPr>
          <w:rFonts w:asciiTheme="majorBidi" w:hAnsiTheme="majorBidi" w:cstheme="majorBidi"/>
        </w:rPr>
        <w:t>ECE/TRANS/WP.15/AC.2/78,</w:t>
      </w:r>
      <w:r w:rsidR="006F64E2" w:rsidRPr="00192777">
        <w:rPr>
          <w:rFonts w:asciiTheme="majorBidi" w:hAnsiTheme="majorBidi" w:cstheme="majorBidi"/>
        </w:rPr>
        <w:t xml:space="preserve"> </w:t>
      </w:r>
      <w:r w:rsidR="00DE6A76" w:rsidRPr="00192777">
        <w:rPr>
          <w:rFonts w:asciiTheme="majorBidi" w:hAnsiTheme="majorBidi" w:cstheme="majorBidi"/>
        </w:rPr>
        <w:t>ECE/TRANS/WP.15/AC.2/80, ECE/TRANS/WP.15/AC.2/82, ECE/ADN/61, ECE/ADN/61/Add.1, ECE/ADN/61/Corr.1</w:t>
      </w:r>
      <w:r w:rsidRPr="00192777">
        <w:rPr>
          <w:lang w:eastAsia="en-US"/>
        </w:rPr>
        <w:t xml:space="preserve">; </w:t>
      </w:r>
      <w:r w:rsidRPr="00192777">
        <w:t>ECE/TRANS/WP.24/1</w:t>
      </w:r>
      <w:r w:rsidR="00307857" w:rsidRPr="00192777">
        <w:t>51</w:t>
      </w:r>
      <w:r w:rsidRPr="00192777">
        <w:rPr>
          <w:lang w:eastAsia="en-US"/>
        </w:rPr>
        <w:t>; ECE/TRANS/WP.29/11</w:t>
      </w:r>
      <w:r w:rsidR="006F3121" w:rsidRPr="00192777">
        <w:rPr>
          <w:lang w:eastAsia="en-US"/>
        </w:rPr>
        <w:t>64</w:t>
      </w:r>
      <w:r w:rsidRPr="00192777">
        <w:rPr>
          <w:lang w:eastAsia="en-US"/>
        </w:rPr>
        <w:t>, ECE/TRANS/WP.29/11</w:t>
      </w:r>
      <w:r w:rsidR="00E91BEB" w:rsidRPr="00192777">
        <w:rPr>
          <w:lang w:eastAsia="en-US"/>
        </w:rPr>
        <w:t>66</w:t>
      </w:r>
      <w:r w:rsidRPr="00192777">
        <w:rPr>
          <w:lang w:eastAsia="en-US"/>
        </w:rPr>
        <w:t>, ECE/TRANS/WP.29/116</w:t>
      </w:r>
      <w:r w:rsidR="00973909" w:rsidRPr="00192777">
        <w:rPr>
          <w:lang w:eastAsia="en-US"/>
        </w:rPr>
        <w:t>8</w:t>
      </w:r>
      <w:r w:rsidRPr="00192777">
        <w:rPr>
          <w:lang w:eastAsia="en-US"/>
        </w:rPr>
        <w:t>; ECE/TRANS/WP.30/31</w:t>
      </w:r>
      <w:r w:rsidR="0002341C" w:rsidRPr="00192777">
        <w:rPr>
          <w:lang w:eastAsia="en-US"/>
        </w:rPr>
        <w:t>8</w:t>
      </w:r>
      <w:r w:rsidR="00751963" w:rsidRPr="00192777">
        <w:rPr>
          <w:lang w:eastAsia="en-US"/>
        </w:rPr>
        <w:t>, ECE/TRANS/WP.30/320</w:t>
      </w:r>
      <w:r w:rsidRPr="00192777">
        <w:rPr>
          <w:lang w:eastAsia="en-US"/>
        </w:rPr>
        <w:t xml:space="preserve"> and ECE/TRANS/WP.30/3</w:t>
      </w:r>
      <w:r w:rsidR="00751963" w:rsidRPr="00192777">
        <w:rPr>
          <w:lang w:eastAsia="en-US"/>
        </w:rPr>
        <w:t>22</w:t>
      </w:r>
      <w:r w:rsidRPr="00192777">
        <w:rPr>
          <w:lang w:eastAsia="en-US"/>
        </w:rPr>
        <w:t>;</w:t>
      </w:r>
      <w:r w:rsidR="006F64E2" w:rsidRPr="00192777">
        <w:rPr>
          <w:lang w:eastAsia="en-US"/>
        </w:rPr>
        <w:t xml:space="preserve"> </w:t>
      </w:r>
      <w:r w:rsidRPr="00192777">
        <w:rPr>
          <w:lang w:eastAsia="en-US"/>
        </w:rPr>
        <w:t>ECE/TRANS/WP.30/AC.2/15</w:t>
      </w:r>
      <w:r w:rsidR="00BA0232" w:rsidRPr="00192777">
        <w:rPr>
          <w:lang w:eastAsia="en-US"/>
        </w:rPr>
        <w:t>7</w:t>
      </w:r>
      <w:r w:rsidR="00F41D4C" w:rsidRPr="00192777">
        <w:rPr>
          <w:lang w:eastAsia="en-US"/>
        </w:rPr>
        <w:t xml:space="preserve"> and</w:t>
      </w:r>
      <w:r w:rsidRPr="00192777">
        <w:rPr>
          <w:lang w:eastAsia="en-US"/>
        </w:rPr>
        <w:t xml:space="preserve"> ECE/TRANS/WP.30/AC.2/15</w:t>
      </w:r>
      <w:r w:rsidR="00086006" w:rsidRPr="00192777">
        <w:rPr>
          <w:lang w:eastAsia="en-US"/>
        </w:rPr>
        <w:t>9</w:t>
      </w:r>
      <w:r w:rsidRPr="00192777">
        <w:rPr>
          <w:lang w:eastAsia="en-US"/>
        </w:rPr>
        <w:t xml:space="preserve">; </w:t>
      </w:r>
      <w:r w:rsidR="00790650" w:rsidRPr="00192777">
        <w:rPr>
          <w:lang w:eastAsia="en-US"/>
        </w:rPr>
        <w:t>ECE/TRANS/WP.30/AC.2/TIB/2</w:t>
      </w:r>
      <w:r w:rsidR="007F3A42" w:rsidRPr="00192777">
        <w:rPr>
          <w:lang w:eastAsia="en-US"/>
        </w:rPr>
        <w:t>, ECE/TRANS/WP.30/AC.2/TIB/4</w:t>
      </w:r>
      <w:r w:rsidR="00F41D4C" w:rsidRPr="00192777">
        <w:rPr>
          <w:lang w:eastAsia="en-US"/>
        </w:rPr>
        <w:t xml:space="preserve"> and</w:t>
      </w:r>
      <w:r w:rsidR="00BA0232" w:rsidRPr="00192777">
        <w:rPr>
          <w:lang w:eastAsia="en-US"/>
        </w:rPr>
        <w:t xml:space="preserve"> ECE/TRANS/WP.30/AC.2/TIB/6</w:t>
      </w:r>
      <w:r w:rsidR="007F3A42" w:rsidRPr="00192777">
        <w:rPr>
          <w:lang w:eastAsia="en-US"/>
        </w:rPr>
        <w:t xml:space="preserve">; </w:t>
      </w:r>
      <w:r w:rsidRPr="00192777">
        <w:t>ECE/TRANS/SC.1/41</w:t>
      </w:r>
      <w:r w:rsidR="00A80013" w:rsidRPr="00192777">
        <w:t>8</w:t>
      </w:r>
      <w:r w:rsidRPr="00192777">
        <w:rPr>
          <w:lang w:eastAsia="en-US"/>
        </w:rPr>
        <w:t xml:space="preserve">; </w:t>
      </w:r>
      <w:r w:rsidR="007F39AA" w:rsidRPr="00192777">
        <w:t xml:space="preserve">ECE/TRANS/SC.1/GE.22/2 and ECE/TRANS/SC.1/GE.22/4; </w:t>
      </w:r>
      <w:r w:rsidR="00187F59" w:rsidRPr="00192777">
        <w:t xml:space="preserve"> </w:t>
      </w:r>
      <w:r w:rsidRPr="00192777">
        <w:t>ECE/TRANS/SC.2/23</w:t>
      </w:r>
      <w:r w:rsidR="003A7951" w:rsidRPr="00192777">
        <w:t>8</w:t>
      </w:r>
      <w:r w:rsidRPr="00192777">
        <w:t xml:space="preserve">; </w:t>
      </w:r>
      <w:bookmarkStart w:id="11" w:name="_Hlk86340228"/>
      <w:r w:rsidRPr="00192777">
        <w:t>ECE/TRANS/SC.3/21</w:t>
      </w:r>
      <w:r w:rsidR="006D363A" w:rsidRPr="00192777">
        <w:t>7</w:t>
      </w:r>
      <w:bookmarkEnd w:id="11"/>
    </w:p>
    <w:p w14:paraId="1A4970E2" w14:textId="47A0DC02" w:rsidR="00777D43" w:rsidRPr="00192777" w:rsidRDefault="00187F59" w:rsidP="00A91070">
      <w:pPr>
        <w:pStyle w:val="H1G"/>
      </w:pPr>
      <w:r w:rsidRPr="00192777">
        <w:tab/>
      </w:r>
      <w:r w:rsidR="00777D43" w:rsidRPr="00192777">
        <w:t xml:space="preserve">9. </w:t>
      </w:r>
      <w:r w:rsidR="00777D43" w:rsidRPr="00192777">
        <w:tab/>
        <w:t xml:space="preserve">Partnerships and </w:t>
      </w:r>
      <w:r w:rsidR="00F5438B" w:rsidRPr="00192777">
        <w:t>Activities</w:t>
      </w:r>
      <w:r w:rsidR="00777D43" w:rsidRPr="00192777">
        <w:t xml:space="preserve"> of </w:t>
      </w:r>
      <w:r w:rsidR="00F5438B" w:rsidRPr="00192777">
        <w:t xml:space="preserve">Other Organizations </w:t>
      </w:r>
      <w:r w:rsidR="00777D43" w:rsidRPr="00192777">
        <w:t xml:space="preserve">and </w:t>
      </w:r>
      <w:r w:rsidR="00F5438B" w:rsidRPr="00192777">
        <w:t xml:space="preserve">Programmes/Projects </w:t>
      </w:r>
      <w:r w:rsidR="00777D43" w:rsidRPr="00192777">
        <w:t xml:space="preserve">of </w:t>
      </w:r>
      <w:r w:rsidR="00F5438B" w:rsidRPr="00192777">
        <w:t xml:space="preserve">Interest </w:t>
      </w:r>
      <w:r w:rsidR="00777D43" w:rsidRPr="00192777">
        <w:t>to the Committee</w:t>
      </w:r>
    </w:p>
    <w:p w14:paraId="0E7C5D87" w14:textId="4D078EE7" w:rsidR="00777D43" w:rsidRPr="00192777" w:rsidRDefault="0066633C" w:rsidP="00A91070">
      <w:pPr>
        <w:pStyle w:val="H23G"/>
      </w:pPr>
      <w:r w:rsidRPr="00192777">
        <w:tab/>
      </w:r>
      <w:r w:rsidR="00777D43" w:rsidRPr="00192777">
        <w:t>(a)</w:t>
      </w:r>
      <w:r w:rsidR="00777D43" w:rsidRPr="00192777">
        <w:tab/>
        <w:t xml:space="preserve">Transport </w:t>
      </w:r>
      <w:r w:rsidR="00F5438B" w:rsidRPr="00192777">
        <w:t>Developments</w:t>
      </w:r>
      <w:r w:rsidR="00777D43" w:rsidRPr="00192777">
        <w:t xml:space="preserve"> in the European Union</w:t>
      </w:r>
    </w:p>
    <w:p w14:paraId="7ECF465D" w14:textId="4E26767F" w:rsidR="005F01D1" w:rsidRPr="00192777" w:rsidRDefault="005F01D1" w:rsidP="00361840">
      <w:pPr>
        <w:pStyle w:val="SingleTxtG"/>
      </w:pPr>
      <w:r w:rsidRPr="00192777">
        <w:rPr>
          <w:lang w:eastAsia="en-US"/>
        </w:rPr>
        <w:t xml:space="preserve">The Committee will be </w:t>
      </w:r>
      <w:r w:rsidRPr="00192777">
        <w:rPr>
          <w:b/>
          <w:bCs/>
          <w:lang w:eastAsia="en-US"/>
        </w:rPr>
        <w:t>informed</w:t>
      </w:r>
      <w:r w:rsidRPr="00192777">
        <w:rPr>
          <w:lang w:eastAsia="en-US"/>
        </w:rPr>
        <w:t xml:space="preserve"> by a representative from the Directorate-General for Mobility and Transport of the European Commission about the most important legislative and policy initiatives in transport undertaken by the European Union in 2022.</w:t>
      </w:r>
    </w:p>
    <w:p w14:paraId="70CB488E" w14:textId="77777777" w:rsidR="005F01D1" w:rsidRPr="00192777" w:rsidRDefault="005F01D1" w:rsidP="005F01D1">
      <w:pPr>
        <w:autoSpaceDE w:val="0"/>
        <w:autoSpaceDN w:val="0"/>
        <w:adjustRightInd w:val="0"/>
        <w:spacing w:after="120" w:line="240" w:lineRule="auto"/>
        <w:ind w:left="1134"/>
        <w:jc w:val="both"/>
      </w:pPr>
      <w:r w:rsidRPr="00192777">
        <w:rPr>
          <w:b/>
          <w:bCs/>
          <w:color w:val="000000"/>
        </w:rPr>
        <w:t>Documentation</w:t>
      </w:r>
      <w:r w:rsidRPr="00192777">
        <w:t xml:space="preserve"> </w:t>
      </w:r>
    </w:p>
    <w:p w14:paraId="285B9F7A" w14:textId="6AC7FD8C" w:rsidR="00280893" w:rsidRPr="00192777" w:rsidRDefault="005F01D1" w:rsidP="00361840">
      <w:pPr>
        <w:pStyle w:val="SingleTxtG"/>
      </w:pPr>
      <w:r w:rsidRPr="00192777">
        <w:t>ECE/TRANS/2023/3</w:t>
      </w:r>
      <w:r w:rsidR="00BC7E30" w:rsidRPr="00192777">
        <w:t>4</w:t>
      </w:r>
    </w:p>
    <w:p w14:paraId="541CCC33" w14:textId="309FCC21" w:rsidR="00777D43" w:rsidRPr="00192777" w:rsidRDefault="00280893" w:rsidP="00A91070">
      <w:pPr>
        <w:pStyle w:val="H23G"/>
      </w:pPr>
      <w:r w:rsidRPr="00192777">
        <w:tab/>
      </w:r>
      <w:r w:rsidR="00777D43" w:rsidRPr="00192777">
        <w:t>(b)</w:t>
      </w:r>
      <w:r w:rsidR="00777D43" w:rsidRPr="00192777">
        <w:tab/>
        <w:t xml:space="preserve">Developments </w:t>
      </w:r>
      <w:r w:rsidR="00F5438B" w:rsidRPr="00192777">
        <w:t>Related</w:t>
      </w:r>
      <w:r w:rsidR="00777D43" w:rsidRPr="00192777">
        <w:t xml:space="preserve"> to the </w:t>
      </w:r>
      <w:r w:rsidR="00F5438B" w:rsidRPr="00192777">
        <w:t>Work</w:t>
      </w:r>
      <w:r w:rsidR="00777D43" w:rsidRPr="00192777">
        <w:t xml:space="preserve"> of the International Transport Forum</w:t>
      </w:r>
    </w:p>
    <w:p w14:paraId="7C9D4A11" w14:textId="64764342" w:rsidR="005F01D1" w:rsidRPr="00192777" w:rsidRDefault="008F01C8" w:rsidP="008F01C8">
      <w:pPr>
        <w:pStyle w:val="SingleTxtG"/>
      </w:pPr>
      <w:r w:rsidRPr="00192777">
        <w:rPr>
          <w:lang w:eastAsia="en-US"/>
        </w:rPr>
        <w:t xml:space="preserve">The Committee will be </w:t>
      </w:r>
      <w:r w:rsidRPr="00192777">
        <w:rPr>
          <w:b/>
          <w:lang w:eastAsia="en-US"/>
        </w:rPr>
        <w:t>informed</w:t>
      </w:r>
      <w:r w:rsidRPr="00192777">
        <w:rPr>
          <w:lang w:eastAsia="en-US"/>
        </w:rPr>
        <w:t xml:space="preserve"> by a representative of the International Transport Forum about the latest developments in the work of the Forum.</w:t>
      </w:r>
    </w:p>
    <w:p w14:paraId="6FD2974B" w14:textId="1459A62F" w:rsidR="00777D43" w:rsidRPr="00192777" w:rsidRDefault="00A91070" w:rsidP="00A91070">
      <w:pPr>
        <w:pStyle w:val="H23G"/>
      </w:pPr>
      <w:r w:rsidRPr="00192777">
        <w:tab/>
      </w:r>
      <w:r w:rsidR="00777D43" w:rsidRPr="00192777">
        <w:t>(c)</w:t>
      </w:r>
      <w:r w:rsidR="00777D43" w:rsidRPr="00192777">
        <w:tab/>
        <w:t xml:space="preserve">Activities of </w:t>
      </w:r>
      <w:r w:rsidR="00F5438B" w:rsidRPr="00192777">
        <w:t xml:space="preserve">Other Organizations </w:t>
      </w:r>
      <w:r w:rsidR="00777D43" w:rsidRPr="00192777">
        <w:t xml:space="preserve">and </w:t>
      </w:r>
      <w:r w:rsidR="00F5438B" w:rsidRPr="00192777">
        <w:t xml:space="preserve">Programmes/Projects </w:t>
      </w:r>
      <w:r w:rsidR="00777D43" w:rsidRPr="00192777">
        <w:t xml:space="preserve">of </w:t>
      </w:r>
      <w:r w:rsidR="00F5438B" w:rsidRPr="00192777">
        <w:t xml:space="preserve">Interest </w:t>
      </w:r>
      <w:r w:rsidR="00777D43" w:rsidRPr="00192777">
        <w:t>to the Committee</w:t>
      </w:r>
    </w:p>
    <w:p w14:paraId="7C0E0648" w14:textId="72208D3E" w:rsidR="00280893" w:rsidRPr="00192777" w:rsidRDefault="00EC0AEF" w:rsidP="00EC0AEF">
      <w:pPr>
        <w:pStyle w:val="SingleTxtG"/>
      </w:pPr>
      <w:r w:rsidRPr="00192777">
        <w:rPr>
          <w:lang w:eastAsia="en-US"/>
        </w:rPr>
        <w:t xml:space="preserve">The Committee may wish to be </w:t>
      </w:r>
      <w:r w:rsidRPr="00192777">
        <w:rPr>
          <w:b/>
          <w:lang w:eastAsia="en-US"/>
        </w:rPr>
        <w:t>informed</w:t>
      </w:r>
      <w:r w:rsidRPr="00192777">
        <w:rPr>
          <w:lang w:eastAsia="en-US"/>
        </w:rPr>
        <w:t xml:space="preserve"> by representatives from other organizations about their recent activities of interest to the Committee.</w:t>
      </w:r>
    </w:p>
    <w:p w14:paraId="7D02FF1F" w14:textId="4A5D227D" w:rsidR="00777D43" w:rsidRPr="00192777" w:rsidRDefault="00280893" w:rsidP="00A91070">
      <w:pPr>
        <w:pStyle w:val="H23G"/>
      </w:pPr>
      <w:r w:rsidRPr="00192777">
        <w:lastRenderedPageBreak/>
        <w:tab/>
      </w:r>
      <w:r w:rsidR="00777D43" w:rsidRPr="00192777">
        <w:t>(d)</w:t>
      </w:r>
      <w:r w:rsidR="00777D43" w:rsidRPr="00192777">
        <w:tab/>
        <w:t xml:space="preserve">Dialogue with United Nations Regional Commissions on </w:t>
      </w:r>
      <w:r w:rsidR="00F5438B" w:rsidRPr="00192777">
        <w:t xml:space="preserve">Ongoing Activities Related </w:t>
      </w:r>
      <w:r w:rsidR="00777D43" w:rsidRPr="00192777">
        <w:t xml:space="preserve">to </w:t>
      </w:r>
      <w:r w:rsidR="00F5438B" w:rsidRPr="00192777">
        <w:t>Inland Transport</w:t>
      </w:r>
    </w:p>
    <w:p w14:paraId="4A6DA5BD" w14:textId="7BE0BCEC" w:rsidR="00280893" w:rsidRPr="00192777" w:rsidRDefault="00D47455" w:rsidP="00D47455">
      <w:pPr>
        <w:pStyle w:val="SingleTxtG"/>
      </w:pPr>
      <w:r w:rsidRPr="00192777">
        <w:t xml:space="preserve">The Committee </w:t>
      </w:r>
      <w:r w:rsidRPr="00192777">
        <w:rPr>
          <w:b/>
          <w:bCs/>
        </w:rPr>
        <w:t>will invite</w:t>
      </w:r>
      <w:r w:rsidRPr="00192777">
        <w:t xml:space="preserve"> representatives of the other United Nations regional commissions to share information and discuss ongoing activities of inland transport in their regions.</w:t>
      </w:r>
    </w:p>
    <w:p w14:paraId="7702313C" w14:textId="159D1FA5" w:rsidR="00777D43" w:rsidRPr="00192777" w:rsidRDefault="00777D43" w:rsidP="00A91070">
      <w:pPr>
        <w:pStyle w:val="HChG"/>
      </w:pPr>
      <w:r w:rsidRPr="00192777">
        <w:tab/>
        <w:t>V.</w:t>
      </w:r>
      <w:r w:rsidRPr="00192777">
        <w:tab/>
        <w:t>Miscellaneous</w:t>
      </w:r>
    </w:p>
    <w:p w14:paraId="2A27B712" w14:textId="6A0D63DD" w:rsidR="00777D43" w:rsidRPr="00192777" w:rsidRDefault="00D47455" w:rsidP="00A91070">
      <w:pPr>
        <w:pStyle w:val="H1G"/>
      </w:pPr>
      <w:r w:rsidRPr="00192777">
        <w:tab/>
      </w:r>
      <w:r w:rsidR="00777D43" w:rsidRPr="00192777">
        <w:t>10.</w:t>
      </w:r>
      <w:r w:rsidR="00777D43" w:rsidRPr="00192777">
        <w:tab/>
        <w:t>Any other business. Dates of next session</w:t>
      </w:r>
    </w:p>
    <w:p w14:paraId="5B3B8D8A" w14:textId="3866E248" w:rsidR="0066633C" w:rsidRPr="00192777" w:rsidRDefault="00284EA7" w:rsidP="00284EA7">
      <w:pPr>
        <w:pStyle w:val="SingleTxtG"/>
      </w:pPr>
      <w:r w:rsidRPr="00192777">
        <w:t xml:space="preserve">The Committee may wish to </w:t>
      </w:r>
      <w:r w:rsidRPr="00192777">
        <w:rPr>
          <w:b/>
          <w:bCs/>
        </w:rPr>
        <w:t>note</w:t>
      </w:r>
      <w:r w:rsidRPr="00192777">
        <w:t xml:space="preserve"> that its eighty-sixth session is tentatively </w:t>
      </w:r>
      <w:r w:rsidRPr="00192777">
        <w:rPr>
          <w:lang w:eastAsia="en-US"/>
        </w:rPr>
        <w:t>scheduled</w:t>
      </w:r>
      <w:r w:rsidRPr="00192777">
        <w:t xml:space="preserve"> to be held in Geneva from </w:t>
      </w:r>
      <w:r w:rsidR="00F776A5" w:rsidRPr="00192777">
        <w:t>20</w:t>
      </w:r>
      <w:r w:rsidRPr="00192777">
        <w:t>–2</w:t>
      </w:r>
      <w:r w:rsidR="00F776A5" w:rsidRPr="00192777">
        <w:t>3</w:t>
      </w:r>
      <w:r w:rsidRPr="00192777">
        <w:t xml:space="preserve"> February 202</w:t>
      </w:r>
      <w:r w:rsidR="00F776A5" w:rsidRPr="00192777">
        <w:t>4</w:t>
      </w:r>
      <w:r w:rsidRPr="00192777">
        <w:rPr>
          <w:rStyle w:val="SingleTxtGChar"/>
        </w:rPr>
        <w:t>.</w:t>
      </w:r>
    </w:p>
    <w:p w14:paraId="50A6F326" w14:textId="29A5717C" w:rsidR="00777D43" w:rsidRPr="00192777" w:rsidRDefault="00777D43" w:rsidP="00A91070">
      <w:pPr>
        <w:pStyle w:val="HChG"/>
      </w:pPr>
      <w:r w:rsidRPr="00192777">
        <w:tab/>
        <w:t>VI.</w:t>
      </w:r>
      <w:r w:rsidRPr="00192777">
        <w:tab/>
        <w:t xml:space="preserve">List of </w:t>
      </w:r>
      <w:r w:rsidR="00193F32">
        <w:t>D</w:t>
      </w:r>
      <w:r w:rsidR="00193F32" w:rsidRPr="00192777">
        <w:t>ecisions</w:t>
      </w:r>
    </w:p>
    <w:p w14:paraId="2FCAC8D4" w14:textId="462A82F7" w:rsidR="00777D43" w:rsidRPr="00192777" w:rsidRDefault="00F776A5" w:rsidP="00A91070">
      <w:pPr>
        <w:pStyle w:val="H1G"/>
      </w:pPr>
      <w:r w:rsidRPr="00192777">
        <w:tab/>
      </w:r>
      <w:r w:rsidR="00777D43" w:rsidRPr="00192777">
        <w:t>11.</w:t>
      </w:r>
      <w:r w:rsidR="00777D43" w:rsidRPr="00192777">
        <w:tab/>
        <w:t xml:space="preserve">Adoption of the </w:t>
      </w:r>
      <w:r w:rsidR="009A2C15">
        <w:t>L</w:t>
      </w:r>
      <w:r w:rsidR="009A2C15" w:rsidRPr="00192777">
        <w:t xml:space="preserve">ist </w:t>
      </w:r>
      <w:r w:rsidR="00777D43" w:rsidRPr="00192777">
        <w:t xml:space="preserve">of </w:t>
      </w:r>
      <w:r w:rsidR="009A2C15">
        <w:t>M</w:t>
      </w:r>
      <w:r w:rsidR="009A2C15" w:rsidRPr="00192777">
        <w:t xml:space="preserve">ain </w:t>
      </w:r>
      <w:r w:rsidR="009A2C15">
        <w:t>D</w:t>
      </w:r>
      <w:r w:rsidR="009A2C15" w:rsidRPr="00192777">
        <w:t xml:space="preserve">ecisions </w:t>
      </w:r>
      <w:r w:rsidR="00777D43" w:rsidRPr="00192777">
        <w:t xml:space="preserve">of the </w:t>
      </w:r>
      <w:r w:rsidR="009A2C15">
        <w:t>E</w:t>
      </w:r>
      <w:r w:rsidR="009A2C15" w:rsidRPr="00192777">
        <w:t>ighty</w:t>
      </w:r>
      <w:r w:rsidR="00777D43" w:rsidRPr="00192777">
        <w:t>-</w:t>
      </w:r>
      <w:r w:rsidR="009A2C15">
        <w:t>F</w:t>
      </w:r>
      <w:r w:rsidR="009A2C15" w:rsidRPr="00192777">
        <w:t xml:space="preserve">ifth </w:t>
      </w:r>
      <w:r w:rsidR="009A2C15">
        <w:t>S</w:t>
      </w:r>
      <w:r w:rsidR="009A2C15" w:rsidRPr="00192777">
        <w:t>ession</w:t>
      </w:r>
    </w:p>
    <w:p w14:paraId="7D4A6141" w14:textId="55D1EC96" w:rsidR="00B7498D" w:rsidRPr="00192777" w:rsidRDefault="00B7498D" w:rsidP="00B7498D">
      <w:pPr>
        <w:pStyle w:val="SingleTxtG"/>
        <w:rPr>
          <w:lang w:eastAsia="en-US"/>
        </w:rPr>
      </w:pPr>
      <w:r w:rsidRPr="00192777">
        <w:rPr>
          <w:lang w:eastAsia="en-US"/>
        </w:rPr>
        <w:t xml:space="preserve">The Committee may </w:t>
      </w:r>
      <w:r w:rsidRPr="00192777">
        <w:rPr>
          <w:b/>
          <w:bCs/>
          <w:lang w:eastAsia="en-US"/>
        </w:rPr>
        <w:t>wish to</w:t>
      </w:r>
      <w:r w:rsidRPr="00192777">
        <w:rPr>
          <w:lang w:eastAsia="en-US"/>
        </w:rPr>
        <w:t xml:space="preserve"> </w:t>
      </w:r>
      <w:r w:rsidRPr="00192777">
        <w:rPr>
          <w:b/>
          <w:lang w:eastAsia="en-US"/>
        </w:rPr>
        <w:t>note</w:t>
      </w:r>
      <w:r w:rsidRPr="00192777">
        <w:rPr>
          <w:lang w:eastAsia="en-US"/>
        </w:rPr>
        <w:t xml:space="preserve"> that the adoption of the report of the eighty-fifth session will be limited to a list of main decisions, in line with the extraordinary special procedures for decisions in formal meetings with remote participation currently in place. The complete report of the Committee will be circulated at a later stage.</w:t>
      </w:r>
    </w:p>
    <w:p w14:paraId="2981E3E4" w14:textId="2A818CEA" w:rsidR="00B7498D" w:rsidRPr="00192777" w:rsidRDefault="00B7498D" w:rsidP="00B7498D">
      <w:pPr>
        <w:pStyle w:val="SingleTxtG"/>
      </w:pPr>
      <w:r w:rsidRPr="00192777">
        <w:t xml:space="preserve">The Committee will </w:t>
      </w:r>
      <w:r w:rsidRPr="00192777">
        <w:rPr>
          <w:b/>
          <w:bCs/>
        </w:rPr>
        <w:t>adopt</w:t>
      </w:r>
      <w:r w:rsidRPr="00192777">
        <w:t xml:space="preserve"> the list of main decisions of the eighty-fifth session (ECE/TRANS/2023/R.1).</w:t>
      </w:r>
    </w:p>
    <w:p w14:paraId="77105D3E" w14:textId="77777777" w:rsidR="00B7498D" w:rsidRPr="00192777" w:rsidRDefault="00B7498D" w:rsidP="00B7498D">
      <w:pPr>
        <w:spacing w:after="120"/>
        <w:ind w:left="1134" w:right="1134"/>
        <w:jc w:val="both"/>
        <w:rPr>
          <w:b/>
          <w:lang w:eastAsia="en-US"/>
        </w:rPr>
      </w:pPr>
      <w:r w:rsidRPr="00192777">
        <w:rPr>
          <w:b/>
          <w:lang w:eastAsia="en-US"/>
        </w:rPr>
        <w:t>Documentation</w:t>
      </w:r>
    </w:p>
    <w:p w14:paraId="2DAC2511" w14:textId="10D17F98" w:rsidR="00F776A5" w:rsidRPr="00192777" w:rsidRDefault="00B7498D" w:rsidP="00B7498D">
      <w:pPr>
        <w:ind w:left="567" w:firstLine="567"/>
      </w:pPr>
      <w:r w:rsidRPr="00192777">
        <w:rPr>
          <w:lang w:eastAsia="en-US"/>
        </w:rPr>
        <w:t>ECE/TRANS/2023/R.1</w:t>
      </w:r>
    </w:p>
    <w:p w14:paraId="1187468F" w14:textId="58CA2055" w:rsidR="00777D43" w:rsidRPr="00192777" w:rsidRDefault="00777D43" w:rsidP="00A91070">
      <w:pPr>
        <w:pStyle w:val="HChG"/>
      </w:pPr>
      <w:r w:rsidRPr="00192777">
        <w:tab/>
        <w:t>VII.</w:t>
      </w:r>
      <w:r w:rsidRPr="00192777">
        <w:tab/>
        <w:t xml:space="preserve">Inland Transport Committee Round table on </w:t>
      </w:r>
      <w:proofErr w:type="spellStart"/>
      <w:r w:rsidRPr="00192777">
        <w:t>the</w:t>
      </w:r>
      <w:r w:rsidR="00FF5536">
        <w:t>Four</w:t>
      </w:r>
      <w:proofErr w:type="spellEnd"/>
      <w:r w:rsidRPr="00192777">
        <w:t>-Platforms of the Committee’s Strategy</w:t>
      </w:r>
    </w:p>
    <w:p w14:paraId="7A7C7510" w14:textId="6AFE8281" w:rsidR="00777D43" w:rsidRPr="00192777" w:rsidRDefault="0029248D" w:rsidP="00A91070">
      <w:pPr>
        <w:pStyle w:val="H1G"/>
      </w:pPr>
      <w:r w:rsidRPr="00192777">
        <w:tab/>
      </w:r>
      <w:r w:rsidR="004C1C4D" w:rsidRPr="00192777">
        <w:t>12</w:t>
      </w:r>
      <w:r w:rsidR="00777D43" w:rsidRPr="00192777">
        <w:t>.</w:t>
      </w:r>
      <w:r w:rsidR="00777D43" w:rsidRPr="00192777">
        <w:tab/>
        <w:t xml:space="preserve">Inland </w:t>
      </w:r>
      <w:r w:rsidR="009A2C15">
        <w:t>T</w:t>
      </w:r>
      <w:r w:rsidR="009A2C15" w:rsidRPr="00192777">
        <w:t xml:space="preserve">ransport </w:t>
      </w:r>
      <w:r w:rsidR="009A2C15">
        <w:t>C</w:t>
      </w:r>
      <w:r w:rsidR="009A2C15" w:rsidRPr="00192777">
        <w:t xml:space="preserve">onnectivity </w:t>
      </w:r>
      <w:r w:rsidR="00777D43" w:rsidRPr="00192777">
        <w:t xml:space="preserve">and the 2030 Sustainable Development Agenda: Challenges and </w:t>
      </w:r>
      <w:r w:rsidR="009A2C15">
        <w:t>O</w:t>
      </w:r>
      <w:r w:rsidR="009A2C15" w:rsidRPr="00192777">
        <w:t xml:space="preserve">pportunities </w:t>
      </w:r>
      <w:r w:rsidR="00777D43" w:rsidRPr="00192777">
        <w:t xml:space="preserve">for </w:t>
      </w:r>
      <w:r w:rsidR="009A2C15">
        <w:t>G</w:t>
      </w:r>
      <w:r w:rsidR="009A2C15" w:rsidRPr="00192777">
        <w:t xml:space="preserve">lobal </w:t>
      </w:r>
      <w:r w:rsidR="009A2C15">
        <w:t>E</w:t>
      </w:r>
      <w:r w:rsidR="009A2C15" w:rsidRPr="00192777">
        <w:t xml:space="preserve">conomic </w:t>
      </w:r>
      <w:r w:rsidR="009A2C15">
        <w:t>G</w:t>
      </w:r>
      <w:r w:rsidR="009A2C15" w:rsidRPr="00192777">
        <w:t xml:space="preserve">rowth </w:t>
      </w:r>
      <w:r w:rsidR="00777D43" w:rsidRPr="00192777">
        <w:t xml:space="preserve">and </w:t>
      </w:r>
      <w:r w:rsidR="009A2C15">
        <w:t>D</w:t>
      </w:r>
      <w:r w:rsidR="009A2C15" w:rsidRPr="00192777">
        <w:t>evelopment</w:t>
      </w:r>
    </w:p>
    <w:p w14:paraId="3FD88BA1" w14:textId="54ABB28D" w:rsidR="00B5428E" w:rsidRPr="00192777" w:rsidRDefault="00B5428E" w:rsidP="00B5428E">
      <w:pPr>
        <w:pStyle w:val="SingleTxtG"/>
      </w:pPr>
      <w:r w:rsidRPr="00192777">
        <w:t>The Committee during its eighty-third (23-26 February 2021) and eighty-fourth (</w:t>
      </w:r>
      <w:r w:rsidR="00A508EA" w:rsidRPr="00192777">
        <w:t>22 - 25 February 2022</w:t>
      </w:r>
      <w:r w:rsidRPr="00192777">
        <w:t xml:space="preserve">) plenary sessions took a leadership role in helping build consensus on the important role of </w:t>
      </w:r>
      <w:r w:rsidR="00AD4C59" w:rsidRPr="00192777">
        <w:t xml:space="preserve">inland transport connectivity </w:t>
      </w:r>
      <w:r w:rsidRPr="00192777">
        <w:t>in leading global recovery from the pandemic and strengthening resilience against future crises.</w:t>
      </w:r>
    </w:p>
    <w:p w14:paraId="71717CC5" w14:textId="253233D8" w:rsidR="00B5428E" w:rsidRPr="00192777" w:rsidRDefault="00B5428E" w:rsidP="00B5428E">
      <w:pPr>
        <w:pStyle w:val="SingleTxtG"/>
      </w:pPr>
      <w:r w:rsidRPr="00192777">
        <w:t xml:space="preserve">Despite strong and consistent efforts by Member States, recovery efforts </w:t>
      </w:r>
      <w:r w:rsidR="00536322" w:rsidRPr="00192777">
        <w:t xml:space="preserve">and economic growth </w:t>
      </w:r>
      <w:r w:rsidRPr="00192777">
        <w:t xml:space="preserve">have not yet led to the desired return to pre-pandemic levels of sustainable development. The challenges </w:t>
      </w:r>
      <w:r w:rsidR="002D78A8" w:rsidRPr="00192777">
        <w:t xml:space="preserve">to </w:t>
      </w:r>
      <w:r w:rsidR="00B962B8" w:rsidRPr="00192777">
        <w:t xml:space="preserve">the implementation of the 2030 Agenda and the achievement of the </w:t>
      </w:r>
      <w:r w:rsidR="00755E4B">
        <w:t>Sustainable</w:t>
      </w:r>
      <w:r w:rsidR="00DD13E5">
        <w:t xml:space="preserve"> Develop</w:t>
      </w:r>
      <w:r w:rsidR="00755E4B">
        <w:t>ment Goals</w:t>
      </w:r>
      <w:r w:rsidR="00B962B8" w:rsidRPr="00192777">
        <w:t xml:space="preserve"> </w:t>
      </w:r>
      <w:r w:rsidRPr="00192777">
        <w:t xml:space="preserve">remain formidable and </w:t>
      </w:r>
      <w:r w:rsidR="00B962B8" w:rsidRPr="00192777">
        <w:t xml:space="preserve">inland transport connectivity </w:t>
      </w:r>
      <w:r w:rsidR="00FE1D8B" w:rsidRPr="00192777">
        <w:t xml:space="preserve">are key to achieving </w:t>
      </w:r>
      <w:r w:rsidRPr="00192777">
        <w:t>progress worldwide.</w:t>
      </w:r>
    </w:p>
    <w:p w14:paraId="29CC973D" w14:textId="2A5C2087" w:rsidR="00B5428E" w:rsidRPr="00192777" w:rsidRDefault="00B5428E" w:rsidP="00B5428E">
      <w:pPr>
        <w:pStyle w:val="SingleTxtG"/>
      </w:pPr>
      <w:r w:rsidRPr="00192777">
        <w:t xml:space="preserve">The ITC </w:t>
      </w:r>
      <w:r w:rsidR="00867343" w:rsidRPr="00192777">
        <w:t xml:space="preserve">round table </w:t>
      </w:r>
      <w:r w:rsidRPr="00192777">
        <w:t xml:space="preserve">will bring together key worldwide stakeholders for a strategic discussion on </w:t>
      </w:r>
      <w:r w:rsidR="000E0CAE" w:rsidRPr="00192777">
        <w:t xml:space="preserve">the role </w:t>
      </w:r>
      <w:r w:rsidR="00517606" w:rsidRPr="00192777">
        <w:t xml:space="preserve">of inland transport connectivity and the 2030 Sustainable Development Agenda in addressing </w:t>
      </w:r>
      <w:r w:rsidR="000E0CAE" w:rsidRPr="00192777">
        <w:t xml:space="preserve">challenges and </w:t>
      </w:r>
      <w:r w:rsidR="00033C8E" w:rsidRPr="00192777">
        <w:t xml:space="preserve">capitalizing on </w:t>
      </w:r>
      <w:r w:rsidR="000E0CAE" w:rsidRPr="00192777">
        <w:t xml:space="preserve">opportunities for global economic growth and development </w:t>
      </w:r>
      <w:r w:rsidRPr="00192777">
        <w:t>(ECE/TRANS/202</w:t>
      </w:r>
      <w:r w:rsidR="00033C8E" w:rsidRPr="00192777">
        <w:t>3</w:t>
      </w:r>
      <w:r w:rsidRPr="00192777">
        <w:t>/</w:t>
      </w:r>
      <w:r w:rsidR="00033C8E" w:rsidRPr="00192777">
        <w:t>3</w:t>
      </w:r>
      <w:r w:rsidR="00333A57" w:rsidRPr="00192777">
        <w:t>5</w:t>
      </w:r>
      <w:r w:rsidRPr="00192777">
        <w:t>).</w:t>
      </w:r>
    </w:p>
    <w:p w14:paraId="28D2DACD" w14:textId="77777777" w:rsidR="00B5428E" w:rsidRPr="00192777" w:rsidRDefault="00B5428E" w:rsidP="00B5428E">
      <w:pPr>
        <w:autoSpaceDE w:val="0"/>
        <w:autoSpaceDN w:val="0"/>
        <w:adjustRightInd w:val="0"/>
        <w:spacing w:after="120" w:line="240" w:lineRule="auto"/>
        <w:ind w:left="1134"/>
        <w:jc w:val="both"/>
      </w:pPr>
      <w:r w:rsidRPr="00192777">
        <w:rPr>
          <w:b/>
          <w:bCs/>
          <w:color w:val="000000"/>
        </w:rPr>
        <w:t>Documentation</w:t>
      </w:r>
      <w:r w:rsidRPr="00192777">
        <w:t xml:space="preserve"> </w:t>
      </w:r>
    </w:p>
    <w:p w14:paraId="68BF0613" w14:textId="61F4C746" w:rsidR="0029248D" w:rsidRPr="00192777" w:rsidRDefault="00B5428E" w:rsidP="00033C8E">
      <w:pPr>
        <w:ind w:left="567" w:firstLine="567"/>
      </w:pPr>
      <w:r w:rsidRPr="00192777">
        <w:t>ECE/TRANS/202</w:t>
      </w:r>
      <w:r w:rsidR="00033C8E" w:rsidRPr="00192777">
        <w:t>3</w:t>
      </w:r>
      <w:r w:rsidRPr="00192777">
        <w:t>/</w:t>
      </w:r>
      <w:r w:rsidR="00033C8E" w:rsidRPr="00192777">
        <w:t>3</w:t>
      </w:r>
      <w:r w:rsidR="00333A57" w:rsidRPr="00192777">
        <w:t>5</w:t>
      </w:r>
    </w:p>
    <w:p w14:paraId="581B1F53" w14:textId="61531D26" w:rsidR="007B660C" w:rsidRPr="00192777" w:rsidRDefault="007B660C" w:rsidP="00A91070">
      <w:pPr>
        <w:pStyle w:val="HChG"/>
      </w:pPr>
      <w:r w:rsidRPr="00192777">
        <w:lastRenderedPageBreak/>
        <w:tab/>
        <w:t>VIII.</w:t>
      </w:r>
      <w:r w:rsidRPr="00192777">
        <w:tab/>
        <w:t>Inland Transport Committee</w:t>
      </w:r>
      <w:r w:rsidR="00DF2F15" w:rsidRPr="00192777">
        <w:t>’s</w:t>
      </w:r>
      <w:r w:rsidRPr="00192777">
        <w:t xml:space="preserve"> </w:t>
      </w:r>
      <w:r w:rsidR="009A2C15">
        <w:t>S</w:t>
      </w:r>
      <w:r w:rsidR="009A2C15" w:rsidRPr="00192777">
        <w:t xml:space="preserve">pecial </w:t>
      </w:r>
      <w:r w:rsidR="009A2C15">
        <w:t>P</w:t>
      </w:r>
      <w:r w:rsidR="009A2C15" w:rsidRPr="00192777">
        <w:t>riorities</w:t>
      </w:r>
    </w:p>
    <w:p w14:paraId="238D9336" w14:textId="471C0CE7" w:rsidR="007B660C" w:rsidRPr="00192777" w:rsidRDefault="002319F8" w:rsidP="00A91070">
      <w:pPr>
        <w:pStyle w:val="H1G"/>
      </w:pPr>
      <w:r w:rsidRPr="00192777">
        <w:tab/>
      </w:r>
      <w:r w:rsidR="004C1C4D" w:rsidRPr="00192777">
        <w:t>13</w:t>
      </w:r>
      <w:r w:rsidR="007B660C" w:rsidRPr="00192777">
        <w:t>.</w:t>
      </w:r>
      <w:r w:rsidR="007B660C" w:rsidRPr="00192777">
        <w:tab/>
        <w:t xml:space="preserve">Inland </w:t>
      </w:r>
      <w:r w:rsidR="00552B58" w:rsidRPr="00192777">
        <w:t>T</w:t>
      </w:r>
      <w:r w:rsidR="007B660C" w:rsidRPr="00192777">
        <w:t xml:space="preserve">ransport </w:t>
      </w:r>
      <w:r w:rsidR="00552B58" w:rsidRPr="00192777">
        <w:t xml:space="preserve">Committee Road Safety </w:t>
      </w:r>
      <w:r w:rsidR="00C60F1F" w:rsidRPr="00192777">
        <w:t>Forum</w:t>
      </w:r>
    </w:p>
    <w:p w14:paraId="20B1E1BC" w14:textId="1924B18F" w:rsidR="00BE05CC" w:rsidRPr="00192777" w:rsidRDefault="00BE05CC" w:rsidP="00CE751D">
      <w:pPr>
        <w:pStyle w:val="SingleTxtG"/>
      </w:pPr>
      <w:r w:rsidRPr="00192777">
        <w:t xml:space="preserve">Despite strong and consistent efforts by Member States, the international community was not able to achieve by 2020 the target of the Sustainable Development </w:t>
      </w:r>
      <w:r w:rsidRPr="00192777">
        <w:rPr>
          <w:lang w:eastAsia="en-US"/>
        </w:rPr>
        <w:t>Goals</w:t>
      </w:r>
      <w:r w:rsidRPr="00192777">
        <w:t xml:space="preserve"> on road safety as evidenced by increasing, rather than decreasing, road fatalities and injuries globally. </w:t>
      </w:r>
      <w:r w:rsidR="009B1D02" w:rsidRPr="00192777">
        <w:t xml:space="preserve">In response, </w:t>
      </w:r>
      <w:r w:rsidRPr="00192777">
        <w:t>the General Assembly adopted on 31</w:t>
      </w:r>
      <w:r w:rsidR="00380DDB">
        <w:t xml:space="preserve"> August</w:t>
      </w:r>
      <w:r w:rsidRPr="00192777">
        <w:t xml:space="preserve"> 2020</w:t>
      </w:r>
      <w:r w:rsidR="00C0787E">
        <w:t>,</w:t>
      </w:r>
      <w:r w:rsidRPr="00192777">
        <w:t xml:space="preserve"> </w:t>
      </w:r>
      <w:r w:rsidR="00920608">
        <w:t>r</w:t>
      </w:r>
      <w:r w:rsidRPr="00192777">
        <w:t>esolution 74/299 on Improving global road safety, inaugurating the second Decade of Action for Road Safety, setting new ambitious goals</w:t>
      </w:r>
      <w:r w:rsidR="004D0984" w:rsidRPr="00192777">
        <w:t>, supported</w:t>
      </w:r>
      <w:r w:rsidR="00E34097" w:rsidRPr="00192777">
        <w:t xml:space="preserve"> by the launch in 2021 of </w:t>
      </w:r>
      <w:r w:rsidR="00442740" w:rsidRPr="00192777">
        <w:t>a new</w:t>
      </w:r>
      <w:r w:rsidR="00E34097" w:rsidRPr="00192777">
        <w:t xml:space="preserve"> Global Plan of Action </w:t>
      </w:r>
      <w:r w:rsidRPr="00192777">
        <w:t xml:space="preserve">as a guiding document to support the implementation of its objectives. </w:t>
      </w:r>
      <w:r w:rsidR="00CE751D" w:rsidRPr="00192777">
        <w:t xml:space="preserve">Both </w:t>
      </w:r>
      <w:r w:rsidRPr="00192777">
        <w:t>milestones recognize the unique and critical role of ECE and ITC.</w:t>
      </w:r>
    </w:p>
    <w:p w14:paraId="632DA7DC" w14:textId="5D3B2E60" w:rsidR="00BE05CC" w:rsidRPr="00192777" w:rsidRDefault="00BE05CC" w:rsidP="00BE05CC">
      <w:pPr>
        <w:pStyle w:val="SingleTxtG"/>
      </w:pPr>
      <w:r w:rsidRPr="00192777">
        <w:t xml:space="preserve">The </w:t>
      </w:r>
      <w:r w:rsidR="00CE751D" w:rsidRPr="00192777">
        <w:t xml:space="preserve">Inland Transport </w:t>
      </w:r>
      <w:r w:rsidR="00B4673C" w:rsidRPr="00192777">
        <w:t xml:space="preserve">Committee </w:t>
      </w:r>
      <w:r w:rsidR="00CE751D" w:rsidRPr="00192777">
        <w:t>Road Safety Forum</w:t>
      </w:r>
      <w:r w:rsidR="002617D0" w:rsidRPr="00192777">
        <w:t>’s objective is to provide a structured</w:t>
      </w:r>
      <w:r w:rsidR="00442740" w:rsidRPr="00192777">
        <w:t xml:space="preserve"> </w:t>
      </w:r>
      <w:r w:rsidR="002617D0" w:rsidRPr="00192777">
        <w:t xml:space="preserve">platform that will </w:t>
      </w:r>
      <w:r w:rsidRPr="00192777">
        <w:t xml:space="preserve">bring together key worldwide stakeholders for a </w:t>
      </w:r>
      <w:r w:rsidR="00D15D64" w:rsidRPr="00192777">
        <w:t>regular</w:t>
      </w:r>
      <w:r w:rsidR="002617D0" w:rsidRPr="00192777">
        <w:t xml:space="preserve"> and </w:t>
      </w:r>
      <w:r w:rsidRPr="00192777">
        <w:rPr>
          <w:lang w:eastAsia="en-US"/>
        </w:rPr>
        <w:t>strategic</w:t>
      </w:r>
      <w:r w:rsidRPr="00192777">
        <w:t xml:space="preserve"> discussion </w:t>
      </w:r>
      <w:r w:rsidR="00EF2AD6" w:rsidRPr="00192777">
        <w:t xml:space="preserve">on progress achieved, remaining challenges and </w:t>
      </w:r>
      <w:r w:rsidRPr="00192777">
        <w:t xml:space="preserve">the </w:t>
      </w:r>
      <w:r w:rsidR="00EF2AD6" w:rsidRPr="00192777">
        <w:t>way forward for the success of the second Decade of Action</w:t>
      </w:r>
      <w:r w:rsidR="00F345E3" w:rsidRPr="00192777">
        <w:t xml:space="preserve"> and the implementation of its Global Plan of Action</w:t>
      </w:r>
      <w:r w:rsidRPr="00192777">
        <w:t xml:space="preserve"> (ECE/TRANS/202</w:t>
      </w:r>
      <w:r w:rsidR="00F345E3" w:rsidRPr="00192777">
        <w:t>3</w:t>
      </w:r>
      <w:r w:rsidRPr="00192777">
        <w:t>/</w:t>
      </w:r>
      <w:r w:rsidR="00F345E3" w:rsidRPr="00192777">
        <w:t>3</w:t>
      </w:r>
      <w:r w:rsidR="00333A57" w:rsidRPr="00192777">
        <w:t>6</w:t>
      </w:r>
      <w:r w:rsidRPr="00192777">
        <w:t>).</w:t>
      </w:r>
      <w:r w:rsidR="00F37240" w:rsidRPr="00192777">
        <w:t xml:space="preserve"> This year’s </w:t>
      </w:r>
      <w:r w:rsidR="008832B0" w:rsidRPr="00192777">
        <w:t xml:space="preserve">Road Safety Forum will </w:t>
      </w:r>
      <w:r w:rsidR="00F751D4" w:rsidRPr="00192777">
        <w:t xml:space="preserve">capitalize on the key directions of the High-level </w:t>
      </w:r>
      <w:r w:rsidR="00EC6AD4" w:rsidRPr="00192777">
        <w:t xml:space="preserve">Road Safety Forum </w:t>
      </w:r>
      <w:r w:rsidR="007D01EB" w:rsidRPr="00192777">
        <w:t xml:space="preserve">Side Event </w:t>
      </w:r>
      <w:r w:rsidR="00EC6AD4" w:rsidRPr="00192777">
        <w:t xml:space="preserve">that will be organized in conjunction with the High-level </w:t>
      </w:r>
      <w:r w:rsidR="007D01EB" w:rsidRPr="00192777">
        <w:t>Segment of the eighty-fifth plenary session of ITC.</w:t>
      </w:r>
    </w:p>
    <w:p w14:paraId="698D9676" w14:textId="77777777" w:rsidR="00BE05CC" w:rsidRPr="00960474" w:rsidRDefault="00BE05CC" w:rsidP="00BE05CC">
      <w:pPr>
        <w:spacing w:after="120"/>
        <w:ind w:left="1134" w:right="1134"/>
        <w:jc w:val="both"/>
        <w:rPr>
          <w:b/>
          <w:lang w:eastAsia="en-US"/>
        </w:rPr>
      </w:pPr>
      <w:r w:rsidRPr="00960474">
        <w:rPr>
          <w:b/>
          <w:lang w:eastAsia="en-US"/>
        </w:rPr>
        <w:t>Documentation</w:t>
      </w:r>
    </w:p>
    <w:p w14:paraId="1A27E18C" w14:textId="225006E5" w:rsidR="002319F8" w:rsidRPr="00960474" w:rsidRDefault="00BE05CC" w:rsidP="003878F7">
      <w:pPr>
        <w:ind w:left="567" w:firstLine="567"/>
      </w:pPr>
      <w:r w:rsidRPr="00960474">
        <w:rPr>
          <w:lang w:eastAsia="en-US"/>
        </w:rPr>
        <w:t>ECE/TRANS/202</w:t>
      </w:r>
      <w:r w:rsidR="003878F7" w:rsidRPr="00960474">
        <w:rPr>
          <w:lang w:eastAsia="en-US"/>
        </w:rPr>
        <w:t>3</w:t>
      </w:r>
      <w:r w:rsidRPr="00960474">
        <w:rPr>
          <w:lang w:eastAsia="en-US"/>
        </w:rPr>
        <w:t>/</w:t>
      </w:r>
      <w:r w:rsidR="003878F7" w:rsidRPr="00960474">
        <w:rPr>
          <w:lang w:eastAsia="en-US"/>
        </w:rPr>
        <w:t>3</w:t>
      </w:r>
      <w:r w:rsidR="00333A57" w:rsidRPr="00960474">
        <w:rPr>
          <w:lang w:eastAsia="en-US"/>
        </w:rPr>
        <w:t>6</w:t>
      </w:r>
    </w:p>
    <w:p w14:paraId="13A3E705" w14:textId="78330607" w:rsidR="00777D43" w:rsidRPr="00960474" w:rsidRDefault="00777D43" w:rsidP="00A91070">
      <w:pPr>
        <w:pStyle w:val="HChG"/>
      </w:pPr>
      <w:r w:rsidRPr="00960474">
        <w:tab/>
        <w:t>I</w:t>
      </w:r>
      <w:r w:rsidR="00C60F1F" w:rsidRPr="00960474">
        <w:t>X</w:t>
      </w:r>
      <w:r w:rsidRPr="00960474">
        <w:t>.</w:t>
      </w:r>
      <w:r w:rsidRPr="00960474">
        <w:tab/>
        <w:t xml:space="preserve">Tentative </w:t>
      </w:r>
      <w:r w:rsidR="00193F32" w:rsidRPr="00825B71">
        <w:t>T</w:t>
      </w:r>
      <w:r w:rsidR="00193F32" w:rsidRPr="00960474">
        <w:t>imetable</w:t>
      </w:r>
    </w:p>
    <w:p w14:paraId="2C30C577" w14:textId="40D3FAF9" w:rsidR="00E343A3" w:rsidRPr="00192777" w:rsidRDefault="00E343A3" w:rsidP="00E343A3">
      <w:pPr>
        <w:pStyle w:val="SingleTxtG"/>
      </w:pPr>
      <w:r w:rsidRPr="00192777">
        <w:t>Tentative timetable of the eighty-fifth plenary session of ITC:</w:t>
      </w:r>
    </w:p>
    <w:tbl>
      <w:tblPr>
        <w:tblW w:w="7370" w:type="dxa"/>
        <w:tblInd w:w="1134" w:type="dxa"/>
        <w:tblLayout w:type="fixed"/>
        <w:tblCellMar>
          <w:left w:w="0" w:type="dxa"/>
          <w:right w:w="0" w:type="dxa"/>
        </w:tblCellMar>
        <w:tblLook w:val="01E0" w:firstRow="1" w:lastRow="1" w:firstColumn="1" w:lastColumn="1" w:noHBand="0" w:noVBand="0"/>
      </w:tblPr>
      <w:tblGrid>
        <w:gridCol w:w="2456"/>
        <w:gridCol w:w="2457"/>
        <w:gridCol w:w="2457"/>
      </w:tblGrid>
      <w:tr w:rsidR="00E343A3" w:rsidRPr="00192777" w14:paraId="1A4869DA" w14:textId="77777777" w:rsidTr="00A85FB3">
        <w:trPr>
          <w:trHeight w:val="474"/>
        </w:trPr>
        <w:tc>
          <w:tcPr>
            <w:tcW w:w="2456" w:type="dxa"/>
            <w:vMerge w:val="restart"/>
            <w:tcBorders>
              <w:top w:val="single" w:sz="4" w:space="0" w:color="auto"/>
            </w:tcBorders>
            <w:shd w:val="clear" w:color="auto" w:fill="auto"/>
            <w:vAlign w:val="center"/>
          </w:tcPr>
          <w:p w14:paraId="661427A4" w14:textId="5B6EF731" w:rsidR="00E343A3" w:rsidRPr="00192777" w:rsidRDefault="00E343A3" w:rsidP="00A85FB3">
            <w:pPr>
              <w:keepNext/>
              <w:keepLines/>
              <w:spacing w:before="80" w:after="80" w:line="200" w:lineRule="exact"/>
              <w:ind w:right="113"/>
            </w:pPr>
            <w:r w:rsidRPr="00192777">
              <w:t>Tuesday, 21 February</w:t>
            </w:r>
          </w:p>
        </w:tc>
        <w:tc>
          <w:tcPr>
            <w:tcW w:w="2457" w:type="dxa"/>
            <w:tcBorders>
              <w:top w:val="single" w:sz="4" w:space="0" w:color="auto"/>
              <w:bottom w:val="single" w:sz="4" w:space="0" w:color="auto"/>
            </w:tcBorders>
            <w:shd w:val="clear" w:color="auto" w:fill="auto"/>
            <w:vAlign w:val="bottom"/>
          </w:tcPr>
          <w:p w14:paraId="2E41AE5F" w14:textId="77777777" w:rsidR="00E343A3" w:rsidRPr="00192777" w:rsidRDefault="00E343A3" w:rsidP="00A85FB3">
            <w:pPr>
              <w:keepNext/>
              <w:keepLines/>
              <w:spacing w:before="80" w:after="80" w:line="200" w:lineRule="exact"/>
              <w:ind w:right="113"/>
            </w:pPr>
            <w:r w:rsidRPr="00192777">
              <w:t>10 a.m.–1 p.m.</w:t>
            </w:r>
          </w:p>
        </w:tc>
        <w:tc>
          <w:tcPr>
            <w:tcW w:w="2457" w:type="dxa"/>
            <w:tcBorders>
              <w:top w:val="single" w:sz="4" w:space="0" w:color="auto"/>
              <w:bottom w:val="single" w:sz="4" w:space="0" w:color="auto"/>
            </w:tcBorders>
            <w:shd w:val="clear" w:color="auto" w:fill="auto"/>
            <w:vAlign w:val="bottom"/>
          </w:tcPr>
          <w:p w14:paraId="28CB4CA7" w14:textId="77777777" w:rsidR="00E343A3" w:rsidRPr="00192777" w:rsidRDefault="00E343A3" w:rsidP="00A85FB3">
            <w:pPr>
              <w:keepNext/>
              <w:keepLines/>
              <w:spacing w:before="80" w:after="80" w:line="200" w:lineRule="exact"/>
              <w:ind w:right="113"/>
            </w:pPr>
            <w:r w:rsidRPr="00192777">
              <w:t>Items 1, 2</w:t>
            </w:r>
          </w:p>
        </w:tc>
      </w:tr>
      <w:tr w:rsidR="00E343A3" w:rsidRPr="00192777" w14:paraId="4E68C7F3" w14:textId="77777777" w:rsidTr="00A85FB3">
        <w:tc>
          <w:tcPr>
            <w:tcW w:w="2456" w:type="dxa"/>
            <w:vMerge/>
            <w:tcBorders>
              <w:bottom w:val="single" w:sz="4" w:space="0" w:color="auto"/>
            </w:tcBorders>
            <w:shd w:val="clear" w:color="auto" w:fill="auto"/>
            <w:vAlign w:val="bottom"/>
          </w:tcPr>
          <w:p w14:paraId="67119919" w14:textId="77777777" w:rsidR="00E343A3" w:rsidRPr="00192777" w:rsidRDefault="00E343A3" w:rsidP="00A85FB3">
            <w:pPr>
              <w:keepNext/>
              <w:keepLines/>
              <w:spacing w:before="80" w:after="80" w:line="200" w:lineRule="exact"/>
              <w:ind w:right="113"/>
            </w:pPr>
          </w:p>
        </w:tc>
        <w:tc>
          <w:tcPr>
            <w:tcW w:w="2457" w:type="dxa"/>
            <w:tcBorders>
              <w:top w:val="single" w:sz="4" w:space="0" w:color="auto"/>
              <w:bottom w:val="single" w:sz="4" w:space="0" w:color="auto"/>
            </w:tcBorders>
            <w:shd w:val="clear" w:color="auto" w:fill="auto"/>
            <w:vAlign w:val="bottom"/>
          </w:tcPr>
          <w:p w14:paraId="292B4A2C" w14:textId="77777777" w:rsidR="00E343A3" w:rsidRPr="00192777" w:rsidRDefault="00E343A3" w:rsidP="00A85FB3">
            <w:pPr>
              <w:keepNext/>
              <w:keepLines/>
              <w:spacing w:before="80" w:after="80" w:line="200" w:lineRule="exact"/>
              <w:ind w:right="113"/>
            </w:pPr>
            <w:r w:rsidRPr="00192777">
              <w:t>3–6 p.m.</w:t>
            </w:r>
          </w:p>
        </w:tc>
        <w:tc>
          <w:tcPr>
            <w:tcW w:w="2457" w:type="dxa"/>
            <w:tcBorders>
              <w:top w:val="single" w:sz="4" w:space="0" w:color="auto"/>
              <w:bottom w:val="single" w:sz="4" w:space="0" w:color="auto"/>
            </w:tcBorders>
            <w:shd w:val="clear" w:color="auto" w:fill="auto"/>
            <w:vAlign w:val="bottom"/>
          </w:tcPr>
          <w:p w14:paraId="7CC937A6" w14:textId="77777777" w:rsidR="00E343A3" w:rsidRPr="00192777" w:rsidRDefault="00E343A3" w:rsidP="00A85FB3">
            <w:pPr>
              <w:keepNext/>
              <w:keepLines/>
              <w:spacing w:before="80" w:after="80" w:line="200" w:lineRule="exact"/>
              <w:ind w:right="113"/>
            </w:pPr>
            <w:r w:rsidRPr="00192777">
              <w:t>Item 2 (cont’d)</w:t>
            </w:r>
          </w:p>
        </w:tc>
      </w:tr>
      <w:tr w:rsidR="00E343A3" w:rsidRPr="00192777" w14:paraId="7A1DDEED" w14:textId="77777777" w:rsidTr="00A85FB3">
        <w:tc>
          <w:tcPr>
            <w:tcW w:w="2456" w:type="dxa"/>
            <w:vMerge w:val="restart"/>
            <w:tcBorders>
              <w:top w:val="single" w:sz="4" w:space="0" w:color="auto"/>
            </w:tcBorders>
            <w:shd w:val="clear" w:color="auto" w:fill="auto"/>
            <w:vAlign w:val="center"/>
          </w:tcPr>
          <w:p w14:paraId="24CB9DCE" w14:textId="73BCF8E6" w:rsidR="00E343A3" w:rsidRPr="00192777" w:rsidRDefault="00E343A3" w:rsidP="00A85FB3">
            <w:pPr>
              <w:keepNext/>
              <w:keepLines/>
              <w:spacing w:before="80" w:after="80" w:line="200" w:lineRule="exact"/>
              <w:ind w:right="113"/>
            </w:pPr>
            <w:r w:rsidRPr="00192777">
              <w:t>Wednesday, 22 February</w:t>
            </w:r>
          </w:p>
        </w:tc>
        <w:tc>
          <w:tcPr>
            <w:tcW w:w="2457" w:type="dxa"/>
            <w:tcBorders>
              <w:top w:val="single" w:sz="4" w:space="0" w:color="auto"/>
              <w:bottom w:val="single" w:sz="4" w:space="0" w:color="auto"/>
            </w:tcBorders>
            <w:shd w:val="clear" w:color="auto" w:fill="auto"/>
            <w:vAlign w:val="bottom"/>
          </w:tcPr>
          <w:p w14:paraId="3271AA39" w14:textId="1A5ED98F" w:rsidR="00E343A3" w:rsidRPr="00192777" w:rsidRDefault="00E343A3" w:rsidP="00A85FB3">
            <w:pPr>
              <w:keepNext/>
              <w:keepLines/>
              <w:spacing w:before="80" w:after="80" w:line="200" w:lineRule="exact"/>
              <w:ind w:right="113"/>
            </w:pPr>
            <w:r w:rsidRPr="00192777">
              <w:t>10-11.</w:t>
            </w:r>
            <w:r w:rsidR="00BB5B7F" w:rsidRPr="00192777">
              <w:t>3</w:t>
            </w:r>
            <w:r w:rsidRPr="00192777">
              <w:t>0 a.m.</w:t>
            </w:r>
          </w:p>
        </w:tc>
        <w:tc>
          <w:tcPr>
            <w:tcW w:w="2457" w:type="dxa"/>
            <w:tcBorders>
              <w:top w:val="single" w:sz="4" w:space="0" w:color="auto"/>
              <w:bottom w:val="single" w:sz="4" w:space="0" w:color="auto"/>
            </w:tcBorders>
            <w:shd w:val="clear" w:color="auto" w:fill="auto"/>
            <w:vAlign w:val="bottom"/>
          </w:tcPr>
          <w:p w14:paraId="4D9C23FF" w14:textId="77777777" w:rsidR="00E343A3" w:rsidRPr="00192777" w:rsidRDefault="00E343A3" w:rsidP="00A85FB3">
            <w:pPr>
              <w:keepNext/>
              <w:keepLines/>
              <w:spacing w:before="80" w:after="80" w:line="200" w:lineRule="exact"/>
              <w:ind w:right="113"/>
              <w:rPr>
                <w:i/>
                <w:iCs/>
              </w:rPr>
            </w:pPr>
            <w:r w:rsidRPr="00192777">
              <w:t>Item 3 (restricted session)</w:t>
            </w:r>
          </w:p>
        </w:tc>
      </w:tr>
      <w:tr w:rsidR="00E343A3" w:rsidRPr="00192777" w14:paraId="7313FBAF" w14:textId="77777777" w:rsidTr="00A85FB3">
        <w:tc>
          <w:tcPr>
            <w:tcW w:w="2456" w:type="dxa"/>
            <w:vMerge/>
            <w:shd w:val="clear" w:color="auto" w:fill="auto"/>
            <w:vAlign w:val="bottom"/>
          </w:tcPr>
          <w:p w14:paraId="66FE1C83" w14:textId="77777777" w:rsidR="00E343A3" w:rsidRPr="00192777" w:rsidRDefault="00E343A3" w:rsidP="00A85FB3">
            <w:pPr>
              <w:keepNext/>
              <w:keepLines/>
              <w:spacing w:before="80" w:after="80" w:line="200" w:lineRule="exact"/>
              <w:ind w:right="113"/>
            </w:pPr>
          </w:p>
        </w:tc>
        <w:tc>
          <w:tcPr>
            <w:tcW w:w="2457" w:type="dxa"/>
            <w:tcBorders>
              <w:top w:val="single" w:sz="4" w:space="0" w:color="auto"/>
              <w:bottom w:val="single" w:sz="4" w:space="0" w:color="auto"/>
            </w:tcBorders>
            <w:shd w:val="clear" w:color="auto" w:fill="auto"/>
            <w:vAlign w:val="bottom"/>
          </w:tcPr>
          <w:p w14:paraId="3D98B584" w14:textId="2D3B358D" w:rsidR="00E343A3" w:rsidRPr="00192777" w:rsidRDefault="00E343A3" w:rsidP="00A85FB3">
            <w:pPr>
              <w:keepNext/>
              <w:keepLines/>
              <w:spacing w:before="80" w:after="80" w:line="200" w:lineRule="exact"/>
              <w:ind w:right="113"/>
            </w:pPr>
            <w:r w:rsidRPr="00192777">
              <w:t>11.</w:t>
            </w:r>
            <w:r w:rsidR="00BB5B7F" w:rsidRPr="00192777">
              <w:t>3</w:t>
            </w:r>
            <w:r w:rsidRPr="00192777">
              <w:t xml:space="preserve">0 a.m.–12.30 p.m. </w:t>
            </w:r>
          </w:p>
        </w:tc>
        <w:tc>
          <w:tcPr>
            <w:tcW w:w="2457" w:type="dxa"/>
            <w:tcBorders>
              <w:top w:val="single" w:sz="4" w:space="0" w:color="auto"/>
              <w:bottom w:val="single" w:sz="4" w:space="0" w:color="auto"/>
            </w:tcBorders>
            <w:shd w:val="clear" w:color="auto" w:fill="auto"/>
            <w:vAlign w:val="bottom"/>
          </w:tcPr>
          <w:p w14:paraId="26786052" w14:textId="6471FF7C" w:rsidR="00E343A3" w:rsidRPr="00192777" w:rsidRDefault="00E343A3" w:rsidP="00A85FB3">
            <w:pPr>
              <w:keepNext/>
              <w:keepLines/>
              <w:spacing w:before="80" w:after="80" w:line="200" w:lineRule="exact"/>
              <w:ind w:right="113"/>
            </w:pPr>
            <w:r w:rsidRPr="00192777">
              <w:t xml:space="preserve">Items 4 – </w:t>
            </w:r>
            <w:r w:rsidR="00FE265F" w:rsidRPr="00192777">
              <w:t>6</w:t>
            </w:r>
            <w:r w:rsidRPr="00192777">
              <w:t xml:space="preserve"> </w:t>
            </w:r>
          </w:p>
        </w:tc>
      </w:tr>
      <w:tr w:rsidR="00E343A3" w:rsidRPr="00192777" w14:paraId="3F27DF07" w14:textId="77777777" w:rsidTr="00A85FB3">
        <w:tc>
          <w:tcPr>
            <w:tcW w:w="2456" w:type="dxa"/>
            <w:vMerge/>
            <w:shd w:val="clear" w:color="auto" w:fill="auto"/>
            <w:vAlign w:val="bottom"/>
          </w:tcPr>
          <w:p w14:paraId="60AB56DE" w14:textId="77777777" w:rsidR="00E343A3" w:rsidRPr="00192777" w:rsidRDefault="00E343A3" w:rsidP="00A85FB3">
            <w:pPr>
              <w:keepNext/>
              <w:keepLines/>
              <w:spacing w:before="80" w:after="80" w:line="200" w:lineRule="exact"/>
              <w:ind w:right="113"/>
            </w:pPr>
          </w:p>
        </w:tc>
        <w:tc>
          <w:tcPr>
            <w:tcW w:w="2457" w:type="dxa"/>
            <w:tcBorders>
              <w:top w:val="single" w:sz="4" w:space="0" w:color="auto"/>
              <w:bottom w:val="single" w:sz="4" w:space="0" w:color="auto"/>
            </w:tcBorders>
            <w:shd w:val="clear" w:color="auto" w:fill="auto"/>
            <w:vAlign w:val="bottom"/>
          </w:tcPr>
          <w:p w14:paraId="28306AE0" w14:textId="77777777" w:rsidR="00E343A3" w:rsidRPr="00192777" w:rsidRDefault="00E343A3" w:rsidP="00A85FB3">
            <w:pPr>
              <w:keepNext/>
              <w:keepLines/>
              <w:spacing w:before="80" w:after="80" w:line="200" w:lineRule="exact"/>
              <w:ind w:right="113"/>
            </w:pPr>
            <w:r w:rsidRPr="00192777">
              <w:t>12.30 –1 p.m.</w:t>
            </w:r>
          </w:p>
        </w:tc>
        <w:tc>
          <w:tcPr>
            <w:tcW w:w="2457" w:type="dxa"/>
            <w:tcBorders>
              <w:top w:val="single" w:sz="4" w:space="0" w:color="auto"/>
              <w:bottom w:val="single" w:sz="4" w:space="0" w:color="auto"/>
            </w:tcBorders>
            <w:shd w:val="clear" w:color="auto" w:fill="auto"/>
            <w:vAlign w:val="bottom"/>
          </w:tcPr>
          <w:p w14:paraId="6480E040" w14:textId="5BD42F28" w:rsidR="00E343A3" w:rsidRPr="00192777" w:rsidRDefault="00E343A3" w:rsidP="00A85FB3">
            <w:pPr>
              <w:keepNext/>
              <w:keepLines/>
              <w:spacing w:before="80" w:after="80" w:line="200" w:lineRule="exact"/>
              <w:ind w:right="113"/>
            </w:pPr>
            <w:r w:rsidRPr="00192777">
              <w:t xml:space="preserve">Item </w:t>
            </w:r>
            <w:r w:rsidR="004A5CAE" w:rsidRPr="00192777">
              <w:t>7</w:t>
            </w:r>
          </w:p>
        </w:tc>
      </w:tr>
      <w:tr w:rsidR="00E343A3" w:rsidRPr="00192777" w14:paraId="5C359DFA" w14:textId="77777777" w:rsidTr="00A85FB3">
        <w:tc>
          <w:tcPr>
            <w:tcW w:w="2456" w:type="dxa"/>
            <w:vMerge/>
            <w:tcBorders>
              <w:bottom w:val="single" w:sz="4" w:space="0" w:color="auto"/>
            </w:tcBorders>
            <w:shd w:val="clear" w:color="auto" w:fill="auto"/>
            <w:vAlign w:val="bottom"/>
          </w:tcPr>
          <w:p w14:paraId="77A3D8F8" w14:textId="77777777" w:rsidR="00E343A3" w:rsidRPr="00192777" w:rsidRDefault="00E343A3" w:rsidP="00A85FB3">
            <w:pPr>
              <w:keepNext/>
              <w:keepLines/>
              <w:spacing w:before="80" w:after="80" w:line="200" w:lineRule="exact"/>
              <w:ind w:right="113"/>
            </w:pPr>
          </w:p>
        </w:tc>
        <w:tc>
          <w:tcPr>
            <w:tcW w:w="2457" w:type="dxa"/>
            <w:tcBorders>
              <w:top w:val="single" w:sz="4" w:space="0" w:color="auto"/>
              <w:bottom w:val="single" w:sz="4" w:space="0" w:color="auto"/>
            </w:tcBorders>
            <w:shd w:val="clear" w:color="auto" w:fill="auto"/>
            <w:vAlign w:val="bottom"/>
          </w:tcPr>
          <w:p w14:paraId="63C7A298" w14:textId="77777777" w:rsidR="00E343A3" w:rsidRPr="00192777" w:rsidRDefault="00E343A3" w:rsidP="00A85FB3">
            <w:pPr>
              <w:keepNext/>
              <w:keepLines/>
              <w:spacing w:before="80" w:after="80" w:line="200" w:lineRule="exact"/>
              <w:ind w:right="113"/>
            </w:pPr>
            <w:r w:rsidRPr="00192777">
              <w:t>3–6 p.m.</w:t>
            </w:r>
          </w:p>
        </w:tc>
        <w:tc>
          <w:tcPr>
            <w:tcW w:w="2457" w:type="dxa"/>
            <w:tcBorders>
              <w:top w:val="single" w:sz="4" w:space="0" w:color="auto"/>
              <w:bottom w:val="single" w:sz="4" w:space="0" w:color="auto"/>
            </w:tcBorders>
            <w:shd w:val="clear" w:color="auto" w:fill="auto"/>
            <w:vAlign w:val="bottom"/>
          </w:tcPr>
          <w:p w14:paraId="7CB58ED6" w14:textId="17621667" w:rsidR="00E343A3" w:rsidRPr="00192777" w:rsidRDefault="00E343A3" w:rsidP="00A85FB3">
            <w:pPr>
              <w:keepNext/>
              <w:keepLines/>
              <w:spacing w:before="80" w:after="80" w:line="200" w:lineRule="exact"/>
              <w:ind w:right="113"/>
            </w:pPr>
            <w:r w:rsidRPr="00192777">
              <w:t xml:space="preserve">Item </w:t>
            </w:r>
            <w:r w:rsidR="00404501" w:rsidRPr="00192777">
              <w:t>7</w:t>
            </w:r>
            <w:r w:rsidRPr="00192777">
              <w:t xml:space="preserve"> (cont’d)</w:t>
            </w:r>
          </w:p>
        </w:tc>
      </w:tr>
      <w:tr w:rsidR="00E343A3" w:rsidRPr="00192777" w14:paraId="3AFD8599" w14:textId="77777777" w:rsidTr="00A85FB3">
        <w:tc>
          <w:tcPr>
            <w:tcW w:w="2456" w:type="dxa"/>
            <w:tcBorders>
              <w:top w:val="single" w:sz="4" w:space="0" w:color="auto"/>
            </w:tcBorders>
            <w:shd w:val="clear" w:color="auto" w:fill="auto"/>
            <w:vAlign w:val="center"/>
          </w:tcPr>
          <w:p w14:paraId="0FFA71F0" w14:textId="6E80BA24" w:rsidR="00E343A3" w:rsidRPr="00192777" w:rsidRDefault="00E343A3" w:rsidP="00A85FB3">
            <w:pPr>
              <w:keepNext/>
              <w:keepLines/>
              <w:spacing w:before="40" w:after="120"/>
              <w:ind w:right="113"/>
            </w:pPr>
            <w:r w:rsidRPr="00192777">
              <w:t>Thursday, 23 February</w:t>
            </w:r>
          </w:p>
        </w:tc>
        <w:tc>
          <w:tcPr>
            <w:tcW w:w="2457" w:type="dxa"/>
            <w:tcBorders>
              <w:top w:val="single" w:sz="4" w:space="0" w:color="auto"/>
              <w:bottom w:val="single" w:sz="4" w:space="0" w:color="auto"/>
            </w:tcBorders>
            <w:shd w:val="clear" w:color="auto" w:fill="auto"/>
          </w:tcPr>
          <w:p w14:paraId="15F1D02B" w14:textId="0966817F" w:rsidR="00E343A3" w:rsidRPr="00192777" w:rsidRDefault="00E343A3" w:rsidP="00A85FB3">
            <w:pPr>
              <w:keepNext/>
              <w:keepLines/>
              <w:spacing w:before="40" w:after="120"/>
              <w:ind w:right="113"/>
            </w:pPr>
            <w:r w:rsidRPr="00192777">
              <w:t>10 a.m.–1 p.m.</w:t>
            </w:r>
          </w:p>
        </w:tc>
        <w:tc>
          <w:tcPr>
            <w:tcW w:w="2457" w:type="dxa"/>
            <w:tcBorders>
              <w:top w:val="single" w:sz="4" w:space="0" w:color="auto"/>
              <w:bottom w:val="single" w:sz="4" w:space="0" w:color="auto"/>
            </w:tcBorders>
            <w:shd w:val="clear" w:color="auto" w:fill="auto"/>
          </w:tcPr>
          <w:p w14:paraId="78CBBC23" w14:textId="49F0B290" w:rsidR="00E343A3" w:rsidRPr="00192777" w:rsidRDefault="00E343A3" w:rsidP="00A85FB3">
            <w:pPr>
              <w:keepNext/>
              <w:keepLines/>
              <w:spacing w:before="40" w:after="120"/>
              <w:ind w:right="113"/>
            </w:pPr>
            <w:r w:rsidRPr="00192777">
              <w:t xml:space="preserve">Item </w:t>
            </w:r>
            <w:r w:rsidR="00404501" w:rsidRPr="00192777">
              <w:t>7</w:t>
            </w:r>
            <w:r w:rsidRPr="00192777">
              <w:t xml:space="preserve"> (cont’d) </w:t>
            </w:r>
          </w:p>
        </w:tc>
      </w:tr>
      <w:tr w:rsidR="00E343A3" w:rsidRPr="00192777" w14:paraId="7A4585F0" w14:textId="77777777" w:rsidTr="00A85FB3">
        <w:tc>
          <w:tcPr>
            <w:tcW w:w="2456" w:type="dxa"/>
            <w:tcBorders>
              <w:bottom w:val="single" w:sz="4" w:space="0" w:color="auto"/>
            </w:tcBorders>
            <w:shd w:val="clear" w:color="auto" w:fill="auto"/>
          </w:tcPr>
          <w:p w14:paraId="2E7A7614" w14:textId="77777777" w:rsidR="00E343A3" w:rsidRPr="00192777" w:rsidRDefault="00E343A3" w:rsidP="00A85FB3">
            <w:pPr>
              <w:keepNext/>
              <w:keepLines/>
              <w:spacing w:before="40" w:after="120"/>
              <w:ind w:right="113"/>
            </w:pPr>
          </w:p>
        </w:tc>
        <w:tc>
          <w:tcPr>
            <w:tcW w:w="2457" w:type="dxa"/>
            <w:tcBorders>
              <w:top w:val="single" w:sz="4" w:space="0" w:color="auto"/>
              <w:bottom w:val="single" w:sz="4" w:space="0" w:color="auto"/>
            </w:tcBorders>
            <w:shd w:val="clear" w:color="auto" w:fill="auto"/>
          </w:tcPr>
          <w:p w14:paraId="2B10A81F" w14:textId="77777777" w:rsidR="00E343A3" w:rsidRPr="00192777" w:rsidRDefault="00E343A3" w:rsidP="00A85FB3">
            <w:pPr>
              <w:keepNext/>
              <w:keepLines/>
              <w:spacing w:before="40" w:after="120"/>
              <w:ind w:right="113"/>
            </w:pPr>
            <w:r w:rsidRPr="00192777">
              <w:t>3–6 p.m.</w:t>
            </w:r>
          </w:p>
        </w:tc>
        <w:tc>
          <w:tcPr>
            <w:tcW w:w="2457" w:type="dxa"/>
            <w:tcBorders>
              <w:top w:val="single" w:sz="4" w:space="0" w:color="auto"/>
              <w:bottom w:val="single" w:sz="4" w:space="0" w:color="auto"/>
            </w:tcBorders>
            <w:shd w:val="clear" w:color="auto" w:fill="auto"/>
          </w:tcPr>
          <w:p w14:paraId="390E7259" w14:textId="73724747" w:rsidR="00E343A3" w:rsidRPr="00192777" w:rsidRDefault="00E343A3" w:rsidP="00A85FB3">
            <w:pPr>
              <w:keepNext/>
              <w:keepLines/>
              <w:spacing w:before="40" w:after="120"/>
              <w:ind w:right="113"/>
            </w:pPr>
            <w:r w:rsidRPr="00192777">
              <w:t>Item</w:t>
            </w:r>
            <w:r w:rsidR="00204A85" w:rsidRPr="00192777">
              <w:t>s 8 – 10</w:t>
            </w:r>
          </w:p>
        </w:tc>
      </w:tr>
      <w:tr w:rsidR="00E343A3" w:rsidRPr="00192777" w14:paraId="720BBAFD" w14:textId="77777777" w:rsidTr="00A85FB3">
        <w:tc>
          <w:tcPr>
            <w:tcW w:w="2456" w:type="dxa"/>
            <w:tcBorders>
              <w:top w:val="single" w:sz="4" w:space="0" w:color="auto"/>
              <w:bottom w:val="single" w:sz="4" w:space="0" w:color="auto"/>
            </w:tcBorders>
            <w:shd w:val="clear" w:color="auto" w:fill="auto"/>
          </w:tcPr>
          <w:p w14:paraId="58303E93" w14:textId="206F02B9" w:rsidR="00E343A3" w:rsidRPr="00192777" w:rsidRDefault="00E343A3" w:rsidP="00A85FB3">
            <w:pPr>
              <w:keepNext/>
              <w:keepLines/>
              <w:spacing w:before="40" w:after="120"/>
              <w:ind w:right="113"/>
            </w:pPr>
            <w:r w:rsidRPr="00192777">
              <w:t>Friday, 2</w:t>
            </w:r>
            <w:r w:rsidR="00F77869" w:rsidRPr="00192777">
              <w:t>4</w:t>
            </w:r>
            <w:r w:rsidRPr="00192777">
              <w:t xml:space="preserve"> February</w:t>
            </w:r>
          </w:p>
        </w:tc>
        <w:tc>
          <w:tcPr>
            <w:tcW w:w="2457" w:type="dxa"/>
            <w:tcBorders>
              <w:top w:val="single" w:sz="4" w:space="0" w:color="auto"/>
              <w:bottom w:val="single" w:sz="4" w:space="0" w:color="auto"/>
            </w:tcBorders>
            <w:shd w:val="clear" w:color="auto" w:fill="auto"/>
          </w:tcPr>
          <w:p w14:paraId="4DDD66F1" w14:textId="77777777" w:rsidR="00E343A3" w:rsidRPr="00192777" w:rsidRDefault="00E343A3" w:rsidP="00A85FB3">
            <w:pPr>
              <w:keepNext/>
              <w:keepLines/>
              <w:spacing w:before="40" w:after="120"/>
              <w:ind w:right="113"/>
            </w:pPr>
            <w:r w:rsidRPr="00192777">
              <w:t>10 a.m.–1 p.m.</w:t>
            </w:r>
          </w:p>
        </w:tc>
        <w:tc>
          <w:tcPr>
            <w:tcW w:w="2457" w:type="dxa"/>
            <w:tcBorders>
              <w:top w:val="single" w:sz="4" w:space="0" w:color="auto"/>
              <w:bottom w:val="single" w:sz="4" w:space="0" w:color="auto"/>
            </w:tcBorders>
            <w:shd w:val="clear" w:color="auto" w:fill="auto"/>
          </w:tcPr>
          <w:p w14:paraId="41C307B6" w14:textId="07C696F1" w:rsidR="00E343A3" w:rsidRPr="00192777" w:rsidRDefault="00E343A3" w:rsidP="00A85FB3">
            <w:pPr>
              <w:keepNext/>
              <w:keepLines/>
              <w:spacing w:before="40" w:after="120"/>
              <w:ind w:right="113"/>
            </w:pPr>
            <w:r w:rsidRPr="00192777">
              <w:t>Item 1</w:t>
            </w:r>
            <w:r w:rsidR="00204A85" w:rsidRPr="00192777">
              <w:t>1</w:t>
            </w:r>
          </w:p>
        </w:tc>
      </w:tr>
      <w:tr w:rsidR="00D7415C" w:rsidRPr="00192777" w14:paraId="7A4FD6FD" w14:textId="77777777" w:rsidTr="00A85FB3">
        <w:tc>
          <w:tcPr>
            <w:tcW w:w="2456" w:type="dxa"/>
            <w:tcBorders>
              <w:top w:val="single" w:sz="4" w:space="0" w:color="auto"/>
              <w:bottom w:val="single" w:sz="4" w:space="0" w:color="auto"/>
            </w:tcBorders>
            <w:shd w:val="clear" w:color="auto" w:fill="auto"/>
          </w:tcPr>
          <w:p w14:paraId="2B551B0F" w14:textId="77777777" w:rsidR="00D7415C" w:rsidRPr="00192777" w:rsidRDefault="00D7415C" w:rsidP="00A85FB3">
            <w:pPr>
              <w:keepNext/>
              <w:keepLines/>
              <w:spacing w:before="40" w:after="120"/>
              <w:ind w:right="113"/>
            </w:pPr>
          </w:p>
        </w:tc>
        <w:tc>
          <w:tcPr>
            <w:tcW w:w="2457" w:type="dxa"/>
            <w:tcBorders>
              <w:top w:val="single" w:sz="4" w:space="0" w:color="auto"/>
              <w:bottom w:val="single" w:sz="4" w:space="0" w:color="auto"/>
            </w:tcBorders>
            <w:shd w:val="clear" w:color="auto" w:fill="auto"/>
          </w:tcPr>
          <w:p w14:paraId="7AFBD94D" w14:textId="2F974B3F" w:rsidR="00D7415C" w:rsidRPr="00192777" w:rsidRDefault="00D7415C" w:rsidP="00A85FB3">
            <w:pPr>
              <w:keepNext/>
              <w:keepLines/>
              <w:spacing w:before="40" w:after="120"/>
              <w:ind w:right="113"/>
            </w:pPr>
            <w:r w:rsidRPr="00192777">
              <w:t>3–6 p.m.</w:t>
            </w:r>
          </w:p>
        </w:tc>
        <w:tc>
          <w:tcPr>
            <w:tcW w:w="2457" w:type="dxa"/>
            <w:tcBorders>
              <w:top w:val="single" w:sz="4" w:space="0" w:color="auto"/>
              <w:bottom w:val="single" w:sz="4" w:space="0" w:color="auto"/>
            </w:tcBorders>
            <w:shd w:val="clear" w:color="auto" w:fill="auto"/>
          </w:tcPr>
          <w:p w14:paraId="2ACC4A6C" w14:textId="1B9FAA63" w:rsidR="00D7415C" w:rsidRPr="00192777" w:rsidRDefault="00204A85" w:rsidP="00A85FB3">
            <w:pPr>
              <w:keepNext/>
              <w:keepLines/>
              <w:spacing w:before="40" w:after="120"/>
              <w:ind w:right="113"/>
            </w:pPr>
            <w:r w:rsidRPr="00192777">
              <w:t xml:space="preserve">Items 12 – 13 </w:t>
            </w:r>
          </w:p>
        </w:tc>
      </w:tr>
    </w:tbl>
    <w:p w14:paraId="7D911562" w14:textId="74EC9E34" w:rsidR="008F1119" w:rsidRPr="00192777" w:rsidRDefault="00777D43" w:rsidP="00A91070">
      <w:pPr>
        <w:spacing w:before="240"/>
        <w:jc w:val="center"/>
      </w:pPr>
      <w:r w:rsidRPr="00192777">
        <w:rPr>
          <w:u w:val="single"/>
        </w:rPr>
        <w:tab/>
      </w:r>
      <w:r w:rsidRPr="00192777">
        <w:rPr>
          <w:u w:val="single"/>
        </w:rPr>
        <w:tab/>
      </w:r>
      <w:r w:rsidRPr="00192777">
        <w:rPr>
          <w:u w:val="single"/>
        </w:rPr>
        <w:tab/>
      </w:r>
    </w:p>
    <w:sectPr w:rsidR="008F1119" w:rsidRPr="00192777" w:rsidSect="00FA3FBC">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D1FE" w14:textId="77777777" w:rsidR="009B73C0" w:rsidRDefault="009B73C0"/>
  </w:endnote>
  <w:endnote w:type="continuationSeparator" w:id="0">
    <w:p w14:paraId="44FBB2FD" w14:textId="77777777" w:rsidR="009B73C0" w:rsidRDefault="009B73C0"/>
  </w:endnote>
  <w:endnote w:type="continuationNotice" w:id="1">
    <w:p w14:paraId="4FAC2F63" w14:textId="77777777" w:rsidR="009B73C0" w:rsidRDefault="009B7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6D2F" w14:textId="77777777" w:rsidR="00F02D56" w:rsidRPr="00CE517D" w:rsidRDefault="00F02D56" w:rsidP="00CE517D">
    <w:pPr>
      <w:pStyle w:val="Footer"/>
      <w:tabs>
        <w:tab w:val="right" w:pos="9638"/>
      </w:tabs>
      <w:rPr>
        <w:sz w:val="18"/>
      </w:rPr>
    </w:pPr>
    <w:r w:rsidRPr="00CE517D">
      <w:rPr>
        <w:b/>
        <w:sz w:val="18"/>
      </w:rPr>
      <w:fldChar w:fldCharType="begin"/>
    </w:r>
    <w:r w:rsidRPr="00CE517D">
      <w:rPr>
        <w:b/>
        <w:sz w:val="18"/>
      </w:rPr>
      <w:instrText xml:space="preserve"> PAGE  \* MERGEFORMAT </w:instrText>
    </w:r>
    <w:r w:rsidRPr="00CE517D">
      <w:rPr>
        <w:b/>
        <w:sz w:val="18"/>
      </w:rPr>
      <w:fldChar w:fldCharType="separate"/>
    </w:r>
    <w:r w:rsidRPr="00CE517D">
      <w:rPr>
        <w:b/>
        <w:noProof/>
        <w:sz w:val="18"/>
      </w:rPr>
      <w:t>2</w:t>
    </w:r>
    <w:r w:rsidRPr="00CE5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46B2" w14:textId="77777777" w:rsidR="00F02D56" w:rsidRPr="00CE517D" w:rsidRDefault="00F02D56" w:rsidP="00CE517D">
    <w:pPr>
      <w:pStyle w:val="Footer"/>
      <w:tabs>
        <w:tab w:val="right" w:pos="9638"/>
      </w:tabs>
      <w:rPr>
        <w:b/>
        <w:sz w:val="18"/>
      </w:rPr>
    </w:pPr>
    <w:r>
      <w:tab/>
    </w:r>
    <w:r w:rsidRPr="00CE517D">
      <w:rPr>
        <w:b/>
        <w:sz w:val="18"/>
      </w:rPr>
      <w:fldChar w:fldCharType="begin"/>
    </w:r>
    <w:r w:rsidRPr="00CE517D">
      <w:rPr>
        <w:b/>
        <w:sz w:val="18"/>
      </w:rPr>
      <w:instrText xml:space="preserve"> PAGE  \* MERGEFORMAT </w:instrText>
    </w:r>
    <w:r w:rsidRPr="00CE517D">
      <w:rPr>
        <w:b/>
        <w:sz w:val="18"/>
      </w:rPr>
      <w:fldChar w:fldCharType="separate"/>
    </w:r>
    <w:r w:rsidRPr="00CE517D">
      <w:rPr>
        <w:b/>
        <w:noProof/>
        <w:sz w:val="18"/>
      </w:rPr>
      <w:t>3</w:t>
    </w:r>
    <w:r w:rsidRPr="00CE5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EBB6" w14:textId="6E8872C7" w:rsidR="00B9125D" w:rsidRDefault="00B9125D" w:rsidP="00B9125D">
    <w:pPr>
      <w:pStyle w:val="Footer"/>
    </w:pPr>
    <w:r w:rsidRPr="0027112F">
      <w:rPr>
        <w:noProof/>
        <w:lang w:val="en-US"/>
      </w:rPr>
      <w:drawing>
        <wp:anchor distT="0" distB="0" distL="114300" distR="114300" simplePos="0" relativeHeight="251659264" behindDoc="0" locked="1" layoutInCell="1" allowOverlap="1" wp14:anchorId="1388F41B" wp14:editId="0809798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3A83FB9" w14:textId="57EA73A0" w:rsidR="00B9125D" w:rsidRPr="00B9125D" w:rsidRDefault="00B9125D" w:rsidP="00B9125D">
    <w:pPr>
      <w:pStyle w:val="Footer"/>
      <w:ind w:right="1134"/>
      <w:rPr>
        <w:sz w:val="20"/>
      </w:rPr>
    </w:pPr>
    <w:r>
      <w:rPr>
        <w:sz w:val="20"/>
      </w:rPr>
      <w:t>GE.22-27684(E)</w:t>
    </w:r>
    <w:r>
      <w:rPr>
        <w:noProof/>
        <w:sz w:val="20"/>
      </w:rPr>
      <w:drawing>
        <wp:anchor distT="0" distB="0" distL="114300" distR="114300" simplePos="0" relativeHeight="251660288" behindDoc="0" locked="0" layoutInCell="1" allowOverlap="1" wp14:anchorId="51896ABA" wp14:editId="456EA712">
          <wp:simplePos x="0" y="0"/>
          <wp:positionH relativeFrom="margin">
            <wp:posOffset>5615940</wp:posOffset>
          </wp:positionH>
          <wp:positionV relativeFrom="margin">
            <wp:posOffset>8905875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5DCF5" w14:textId="77777777" w:rsidR="009B73C0" w:rsidRPr="000B175B" w:rsidRDefault="009B73C0" w:rsidP="000B175B">
      <w:pPr>
        <w:tabs>
          <w:tab w:val="right" w:pos="2155"/>
        </w:tabs>
        <w:spacing w:after="80"/>
        <w:ind w:left="680"/>
        <w:rPr>
          <w:u w:val="single"/>
        </w:rPr>
      </w:pPr>
      <w:r>
        <w:rPr>
          <w:u w:val="single"/>
        </w:rPr>
        <w:tab/>
      </w:r>
    </w:p>
  </w:footnote>
  <w:footnote w:type="continuationSeparator" w:id="0">
    <w:p w14:paraId="7268D176" w14:textId="77777777" w:rsidR="009B73C0" w:rsidRPr="00FC68B7" w:rsidRDefault="009B73C0" w:rsidP="00FC68B7">
      <w:pPr>
        <w:tabs>
          <w:tab w:val="left" w:pos="2155"/>
        </w:tabs>
        <w:spacing w:after="80"/>
        <w:ind w:left="680"/>
        <w:rPr>
          <w:u w:val="single"/>
        </w:rPr>
      </w:pPr>
      <w:r>
        <w:rPr>
          <w:u w:val="single"/>
        </w:rPr>
        <w:tab/>
      </w:r>
    </w:p>
  </w:footnote>
  <w:footnote w:type="continuationNotice" w:id="1">
    <w:p w14:paraId="2621CECF" w14:textId="77777777" w:rsidR="009B73C0" w:rsidRDefault="009B73C0"/>
  </w:footnote>
  <w:footnote w:id="2">
    <w:p w14:paraId="0A53B0FF" w14:textId="5FE2C262" w:rsidR="007136E8" w:rsidRPr="00DF2B6F" w:rsidRDefault="007136E8" w:rsidP="007136E8">
      <w:pPr>
        <w:pStyle w:val="FootnoteText"/>
        <w:rPr>
          <w:szCs w:val="18"/>
        </w:rPr>
      </w:pPr>
      <w:r>
        <w:rPr>
          <w:rStyle w:val="FootnoteReference"/>
        </w:rPr>
        <w:tab/>
      </w:r>
      <w:r w:rsidRPr="00C972CF">
        <w:rPr>
          <w:rStyle w:val="FootnoteReference"/>
          <w:sz w:val="20"/>
        </w:rPr>
        <w:t>*</w:t>
      </w:r>
      <w:r>
        <w:rPr>
          <w:rStyle w:val="FootnoteReference"/>
          <w:sz w:val="20"/>
        </w:rPr>
        <w:tab/>
      </w:r>
      <w:r w:rsidRPr="00DF2B6F">
        <w:rPr>
          <w:szCs w:val="18"/>
        </w:rPr>
        <w:t xml:space="preserve">For reasons of economy, delegates are requested to bring copies of all relevant documents to the session. There will be no documentation available in the conference room. Before the session, documents may be downloaded from the website of the </w:t>
      </w:r>
      <w:r w:rsidRPr="00DF2B6F">
        <w:rPr>
          <w:szCs w:val="18"/>
          <w:lang w:val="en-US"/>
        </w:rPr>
        <w:t xml:space="preserve">UNECE Sustainable Transport Division </w:t>
      </w:r>
      <w:hyperlink r:id="rId1" w:history="1">
        <w:r w:rsidRPr="00DF2B6F">
          <w:rPr>
            <w:rStyle w:val="Hyperlink"/>
            <w:szCs w:val="18"/>
          </w:rPr>
          <w:t>(</w:t>
        </w:r>
      </w:hyperlink>
      <w:hyperlink r:id="rId2" w:history="1">
        <w:r w:rsidR="006C375D" w:rsidRPr="00E5752C">
          <w:rPr>
            <w:rStyle w:val="Hyperlink"/>
            <w:szCs w:val="18"/>
          </w:rPr>
          <w:t>www.unece.org/transport/events/itc-inland-transport-committee-85th-session</w:t>
        </w:r>
      </w:hyperlink>
      <w:r w:rsidRPr="00DF2B6F">
        <w:rPr>
          <w:szCs w:val="18"/>
        </w:rPr>
        <w:t>) or from the website of the public United Nations Official Document Systems (http://documents.un.org/).</w:t>
      </w:r>
      <w:r w:rsidRPr="00DF2B6F">
        <w:rPr>
          <w:szCs w:val="18"/>
          <w:lang w:val="en-US"/>
        </w:rPr>
        <w:t xml:space="preserve"> During the session, official documents may be obtained from the UNOG Documents Distribution Section (Door 40, second floor, E building, Palais des Nations).</w:t>
      </w:r>
    </w:p>
  </w:footnote>
  <w:footnote w:id="3">
    <w:p w14:paraId="47B9E44D" w14:textId="14856696" w:rsidR="007136E8" w:rsidRPr="000F6A86" w:rsidRDefault="007136E8" w:rsidP="007136E8">
      <w:pPr>
        <w:pStyle w:val="FootnoteText"/>
      </w:pPr>
      <w:r w:rsidRPr="00DF2B6F">
        <w:rPr>
          <w:rStyle w:val="FootnoteReference"/>
          <w:sz w:val="20"/>
        </w:rPr>
        <w:tab/>
        <w:t>**</w:t>
      </w:r>
      <w:r w:rsidRPr="00DF2B6F">
        <w:rPr>
          <w:rStyle w:val="FootnoteReference"/>
          <w:szCs w:val="18"/>
        </w:rPr>
        <w:tab/>
      </w:r>
      <w:r w:rsidRPr="00DF2B6F">
        <w:rPr>
          <w:szCs w:val="18"/>
          <w:lang w:val="en-US"/>
        </w:rPr>
        <w:t>Delegates are requested to register online using the registration system Indico (</w:t>
      </w:r>
      <w:hyperlink r:id="rId3" w:history="1">
        <w:r w:rsidR="006C375D" w:rsidRPr="00E5752C">
          <w:rPr>
            <w:rStyle w:val="Hyperlink"/>
            <w:szCs w:val="18"/>
          </w:rPr>
          <w:t>www.indico.un.org/event/1002016/</w:t>
        </w:r>
      </w:hyperlink>
      <w:r w:rsidRPr="00DF2B6F">
        <w:rPr>
          <w:szCs w:val="18"/>
          <w:lang w:val="en-US"/>
        </w:rPr>
        <w:t>)</w:t>
      </w:r>
      <w:r w:rsidRPr="00DF2B6F">
        <w:rPr>
          <w:szCs w:val="18"/>
        </w:rPr>
        <w:t xml:space="preserve">. Upon arrival at the Palais des Nations, delegates should obtain an identification badge at the UNOG Security and Safety Section, located at the Pregny Gate (14 Avenue de la </w:t>
      </w:r>
      <w:proofErr w:type="spellStart"/>
      <w:r w:rsidRPr="00DF2B6F">
        <w:rPr>
          <w:szCs w:val="18"/>
        </w:rPr>
        <w:t>Paix</w:t>
      </w:r>
      <w:proofErr w:type="spellEnd"/>
      <w:r w:rsidRPr="00DF2B6F">
        <w:rPr>
          <w:szCs w:val="18"/>
        </w:rPr>
        <w:t>). In case of difficulty, please contact the secretariat by telephone (+41 22 917 14 69) or by e-mail (</w:t>
      </w:r>
      <w:bookmarkStart w:id="0" w:name="_Hlk511304823"/>
      <w:r w:rsidRPr="00DF2B6F">
        <w:rPr>
          <w:szCs w:val="18"/>
        </w:rPr>
        <w:t>lucille.caillot@un.org</w:t>
      </w:r>
      <w:bookmarkEnd w:id="0"/>
      <w:r w:rsidRPr="00DF2B6F">
        <w:rPr>
          <w:szCs w:val="18"/>
        </w:rPr>
        <w:t>). For a map of the Palais des Nations and other useful information, see the website (</w:t>
      </w:r>
      <w:hyperlink r:id="rId4" w:history="1">
        <w:r w:rsidR="006C375D" w:rsidRPr="00E5752C">
          <w:rPr>
            <w:rStyle w:val="Hyperlink"/>
            <w:szCs w:val="18"/>
          </w:rPr>
          <w:t>www.unece.org/practical-information-delegates</w:t>
        </w:r>
      </w:hyperlink>
      <w:r w:rsidR="00CF5974">
        <w:rPr>
          <w:szCs w:val="18"/>
        </w:rPr>
        <w:t>)</w:t>
      </w:r>
      <w:r w:rsidRPr="00DF2B6F">
        <w:rPr>
          <w:szCs w:val="18"/>
        </w:rPr>
        <w:t>.</w:t>
      </w:r>
    </w:p>
  </w:footnote>
  <w:footnote w:id="4">
    <w:p w14:paraId="027D0E94" w14:textId="77777777" w:rsidR="009A25D0" w:rsidRPr="001170F2" w:rsidRDefault="009A25D0" w:rsidP="009A25D0">
      <w:pPr>
        <w:pStyle w:val="FootnoteText"/>
        <w:widowControl w:val="0"/>
        <w:tabs>
          <w:tab w:val="clear" w:pos="1021"/>
          <w:tab w:val="right" w:pos="1020"/>
        </w:tabs>
        <w:rPr>
          <w:lang w:val="en-US"/>
        </w:rPr>
      </w:pPr>
      <w:r>
        <w:tab/>
      </w:r>
      <w:r>
        <w:rPr>
          <w:rStyle w:val="FootnoteReference"/>
        </w:rPr>
        <w:footnoteRef/>
      </w:r>
      <w:r>
        <w:tab/>
      </w:r>
      <w:r>
        <w:rPr>
          <w:lang w:val="en-US"/>
        </w:rPr>
        <w:t>More details on automated vehicles and traffic regulations are also addressed under agenda item 7 (</w:t>
      </w:r>
      <w:proofErr w:type="spellStart"/>
      <w:r>
        <w:rPr>
          <w:lang w:val="en-US"/>
        </w:rPr>
        <w:t>i</w:t>
      </w:r>
      <w:proofErr w:type="spellEnd"/>
      <w:r>
        <w:rPr>
          <w:lang w:val="en-US"/>
        </w:rPr>
        <w:t>); elements on the use of automated vehicles are addressed under agenda item 7 (h).</w:t>
      </w:r>
    </w:p>
  </w:footnote>
  <w:footnote w:id="5">
    <w:p w14:paraId="06583E53" w14:textId="385A8FE0" w:rsidR="00147AC9" w:rsidRPr="00A944BF" w:rsidRDefault="00A91070" w:rsidP="00147AC9">
      <w:pPr>
        <w:pStyle w:val="FootnoteText"/>
        <w:rPr>
          <w:lang w:val="en-US"/>
        </w:rPr>
      </w:pPr>
      <w:r>
        <w:tab/>
      </w:r>
      <w:r w:rsidR="00147AC9">
        <w:rPr>
          <w:rStyle w:val="FootnoteReference"/>
        </w:rPr>
        <w:footnoteRef/>
      </w:r>
      <w:r w:rsidR="00147AC9">
        <w:t xml:space="preserve"> </w:t>
      </w:r>
      <w:r>
        <w:tab/>
      </w:r>
      <w:r w:rsidR="00147AC9" w:rsidRPr="00115885">
        <w:t>https://unece.org/transport/dangerous-goods/ecosoc-bodies-dealing-chemicals-safety#accordion_8</w:t>
      </w:r>
    </w:p>
  </w:footnote>
  <w:footnote w:id="6">
    <w:p w14:paraId="5B3EFAE7" w14:textId="77777777" w:rsidR="00BE2E2B" w:rsidRPr="001170F2" w:rsidRDefault="00BE2E2B" w:rsidP="00BE2E2B">
      <w:pPr>
        <w:pStyle w:val="FootnoteText"/>
        <w:widowControl w:val="0"/>
        <w:tabs>
          <w:tab w:val="clear" w:pos="1021"/>
          <w:tab w:val="right" w:pos="1020"/>
        </w:tabs>
        <w:rPr>
          <w:lang w:val="en-US"/>
        </w:rPr>
      </w:pPr>
      <w:r>
        <w:tab/>
      </w:r>
      <w:r>
        <w:rPr>
          <w:rStyle w:val="FootnoteReference"/>
        </w:rPr>
        <w:footnoteRef/>
      </w:r>
      <w:r>
        <w:tab/>
      </w:r>
      <w:r w:rsidRPr="00D13786">
        <w:t>Originally developed by ECE with funding from the United Nations Development Account.</w:t>
      </w:r>
      <w:r>
        <w:t xml:space="preserve"> </w:t>
      </w:r>
    </w:p>
  </w:footnote>
  <w:footnote w:id="7">
    <w:p w14:paraId="10062840" w14:textId="77777777" w:rsidR="00D63BB6" w:rsidRPr="00783737" w:rsidRDefault="00D63BB6" w:rsidP="00D63BB6">
      <w:pPr>
        <w:pStyle w:val="FootnoteText"/>
        <w:rPr>
          <w:lang w:val="en-US"/>
        </w:rPr>
      </w:pPr>
      <w:r>
        <w:tab/>
      </w:r>
      <w:r>
        <w:rPr>
          <w:rStyle w:val="FootnoteReference"/>
        </w:rPr>
        <w:footnoteRef/>
      </w:r>
      <w:r>
        <w:tab/>
      </w:r>
      <w:r w:rsidRPr="00D13786">
        <w:t>Database for the Exchange of vehicle Type Approvals</w:t>
      </w:r>
      <w:r>
        <w:t xml:space="preserve"> (</w:t>
      </w:r>
      <w:r w:rsidRPr="004D6B96">
        <w:t>DETA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091E" w14:textId="0C6FC240" w:rsidR="00FC5CEF" w:rsidRDefault="00FC5CEF" w:rsidP="00A91070">
    <w:pPr>
      <w:pStyle w:val="Header"/>
    </w:pPr>
    <w:r w:rsidRPr="00FC5CEF">
      <w:t>ECE/TRANS/327</w:t>
    </w:r>
    <w:r w:rsidR="008866EF">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948F" w14:textId="367938D8" w:rsidR="00F02D56" w:rsidRPr="00FC5CEF" w:rsidRDefault="00FC5CEF" w:rsidP="00FC5CEF">
    <w:pPr>
      <w:pStyle w:val="Header"/>
      <w:jc w:val="right"/>
    </w:pPr>
    <w:r w:rsidRPr="00FC5CEF">
      <w:t>ECE/TRANS/327</w:t>
    </w:r>
    <w:r w:rsidR="008866EF">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430A1"/>
    <w:multiLevelType w:val="multilevel"/>
    <w:tmpl w:val="909C3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37D5355"/>
    <w:multiLevelType w:val="multilevel"/>
    <w:tmpl w:val="5652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A3851"/>
    <w:multiLevelType w:val="hybridMultilevel"/>
    <w:tmpl w:val="81446E2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85E5723"/>
    <w:multiLevelType w:val="hybridMultilevel"/>
    <w:tmpl w:val="62BC64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309458D3"/>
    <w:multiLevelType w:val="multilevel"/>
    <w:tmpl w:val="C8F4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9C0CF2"/>
    <w:multiLevelType w:val="hybridMultilevel"/>
    <w:tmpl w:val="D310BDFE"/>
    <w:lvl w:ilvl="0" w:tplc="C1EC28B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4C2E4CBC"/>
    <w:multiLevelType w:val="hybridMultilevel"/>
    <w:tmpl w:val="F640B050"/>
    <w:lvl w:ilvl="0" w:tplc="6C0A55B8">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54E80015"/>
    <w:multiLevelType w:val="hybridMultilevel"/>
    <w:tmpl w:val="A2D2CDD4"/>
    <w:lvl w:ilvl="0" w:tplc="A4AA7FC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920FD7"/>
    <w:multiLevelType w:val="hybridMultilevel"/>
    <w:tmpl w:val="CA20B186"/>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47370C"/>
    <w:multiLevelType w:val="multilevel"/>
    <w:tmpl w:val="2652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8175FC"/>
    <w:multiLevelType w:val="hybridMultilevel"/>
    <w:tmpl w:val="096830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CF51678"/>
    <w:multiLevelType w:val="hybridMultilevel"/>
    <w:tmpl w:val="589CCF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F500521"/>
    <w:multiLevelType w:val="hybridMultilevel"/>
    <w:tmpl w:val="FFDAD5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13"/>
  </w:num>
  <w:num w:numId="3">
    <w:abstractNumId w:val="3"/>
  </w:num>
  <w:num w:numId="4">
    <w:abstractNumId w:val="12"/>
  </w:num>
  <w:num w:numId="5">
    <w:abstractNumId w:val="0"/>
  </w:num>
  <w:num w:numId="6">
    <w:abstractNumId w:val="17"/>
  </w:num>
  <w:num w:numId="7">
    <w:abstractNumId w:val="16"/>
  </w:num>
  <w:num w:numId="8">
    <w:abstractNumId w:val="15"/>
  </w:num>
  <w:num w:numId="9">
    <w:abstractNumId w:val="8"/>
  </w:num>
  <w:num w:numId="10">
    <w:abstractNumId w:val="5"/>
  </w:num>
  <w:num w:numId="11">
    <w:abstractNumId w:val="6"/>
  </w:num>
  <w:num w:numId="12">
    <w:abstractNumId w:val="9"/>
  </w:num>
  <w:num w:numId="13">
    <w:abstractNumId w:val="10"/>
  </w:num>
  <w:num w:numId="14">
    <w:abstractNumId w:val="11"/>
  </w:num>
  <w:num w:numId="15">
    <w:abstractNumId w:val="7"/>
  </w:num>
  <w:num w:numId="16">
    <w:abstractNumId w:val="2"/>
  </w:num>
  <w:num w:numId="17">
    <w:abstractNumId w:val="14"/>
  </w:num>
  <w:num w:numId="1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7D"/>
    <w:rsid w:val="00000F1F"/>
    <w:rsid w:val="00002B64"/>
    <w:rsid w:val="000107A7"/>
    <w:rsid w:val="000148E1"/>
    <w:rsid w:val="0002052E"/>
    <w:rsid w:val="0002095C"/>
    <w:rsid w:val="00023200"/>
    <w:rsid w:val="0002341C"/>
    <w:rsid w:val="000248E4"/>
    <w:rsid w:val="00033C8E"/>
    <w:rsid w:val="0003640F"/>
    <w:rsid w:val="00045AED"/>
    <w:rsid w:val="00050F6B"/>
    <w:rsid w:val="00055B61"/>
    <w:rsid w:val="0005684F"/>
    <w:rsid w:val="00057D86"/>
    <w:rsid w:val="00061B13"/>
    <w:rsid w:val="0006217B"/>
    <w:rsid w:val="0006283C"/>
    <w:rsid w:val="000650E6"/>
    <w:rsid w:val="00065ED1"/>
    <w:rsid w:val="000701A0"/>
    <w:rsid w:val="00072C8C"/>
    <w:rsid w:val="000735EA"/>
    <w:rsid w:val="000766DD"/>
    <w:rsid w:val="0008265C"/>
    <w:rsid w:val="00086006"/>
    <w:rsid w:val="00091F3A"/>
    <w:rsid w:val="0009218F"/>
    <w:rsid w:val="000931C0"/>
    <w:rsid w:val="00096D38"/>
    <w:rsid w:val="000A0F79"/>
    <w:rsid w:val="000A2C19"/>
    <w:rsid w:val="000A42B7"/>
    <w:rsid w:val="000A5197"/>
    <w:rsid w:val="000B175B"/>
    <w:rsid w:val="000B37FB"/>
    <w:rsid w:val="000B3A0F"/>
    <w:rsid w:val="000B675E"/>
    <w:rsid w:val="000B6F84"/>
    <w:rsid w:val="000B75B1"/>
    <w:rsid w:val="000C024F"/>
    <w:rsid w:val="000C20AF"/>
    <w:rsid w:val="000C3CF4"/>
    <w:rsid w:val="000C5B1D"/>
    <w:rsid w:val="000C7C15"/>
    <w:rsid w:val="000C7E90"/>
    <w:rsid w:val="000D2325"/>
    <w:rsid w:val="000D3518"/>
    <w:rsid w:val="000D389B"/>
    <w:rsid w:val="000D4116"/>
    <w:rsid w:val="000E0415"/>
    <w:rsid w:val="000E0CAE"/>
    <w:rsid w:val="000E2C60"/>
    <w:rsid w:val="000E4C0E"/>
    <w:rsid w:val="000E6EAC"/>
    <w:rsid w:val="000E7BBD"/>
    <w:rsid w:val="000F4727"/>
    <w:rsid w:val="001024AD"/>
    <w:rsid w:val="00102DF0"/>
    <w:rsid w:val="00103878"/>
    <w:rsid w:val="00105B23"/>
    <w:rsid w:val="001065E3"/>
    <w:rsid w:val="001115C9"/>
    <w:rsid w:val="00111EA9"/>
    <w:rsid w:val="0011440E"/>
    <w:rsid w:val="00116B29"/>
    <w:rsid w:val="00116D06"/>
    <w:rsid w:val="001209AB"/>
    <w:rsid w:val="00124F0F"/>
    <w:rsid w:val="00126078"/>
    <w:rsid w:val="001261E4"/>
    <w:rsid w:val="001304A7"/>
    <w:rsid w:val="001332CE"/>
    <w:rsid w:val="00133974"/>
    <w:rsid w:val="00134318"/>
    <w:rsid w:val="001415E7"/>
    <w:rsid w:val="0014188B"/>
    <w:rsid w:val="00143153"/>
    <w:rsid w:val="00147AC9"/>
    <w:rsid w:val="00150B82"/>
    <w:rsid w:val="00151D37"/>
    <w:rsid w:val="00163001"/>
    <w:rsid w:val="00166879"/>
    <w:rsid w:val="00170FA2"/>
    <w:rsid w:val="00171094"/>
    <w:rsid w:val="001723C8"/>
    <w:rsid w:val="0017418A"/>
    <w:rsid w:val="0017424E"/>
    <w:rsid w:val="00175651"/>
    <w:rsid w:val="00183944"/>
    <w:rsid w:val="00185D95"/>
    <w:rsid w:val="001877EC"/>
    <w:rsid w:val="00187F59"/>
    <w:rsid w:val="00190BA1"/>
    <w:rsid w:val="0019172A"/>
    <w:rsid w:val="00192107"/>
    <w:rsid w:val="001921EB"/>
    <w:rsid w:val="00192777"/>
    <w:rsid w:val="00192EC6"/>
    <w:rsid w:val="0019367D"/>
    <w:rsid w:val="00193F32"/>
    <w:rsid w:val="00194B1F"/>
    <w:rsid w:val="00195AF0"/>
    <w:rsid w:val="001A4CBD"/>
    <w:rsid w:val="001A6C82"/>
    <w:rsid w:val="001B1AB8"/>
    <w:rsid w:val="001B3149"/>
    <w:rsid w:val="001B4B04"/>
    <w:rsid w:val="001C6663"/>
    <w:rsid w:val="001C758D"/>
    <w:rsid w:val="001C7895"/>
    <w:rsid w:val="001C7B4C"/>
    <w:rsid w:val="001C7C22"/>
    <w:rsid w:val="001D20C5"/>
    <w:rsid w:val="001D26DF"/>
    <w:rsid w:val="001D3F2F"/>
    <w:rsid w:val="001E2298"/>
    <w:rsid w:val="001F1320"/>
    <w:rsid w:val="001F3AED"/>
    <w:rsid w:val="001F4D49"/>
    <w:rsid w:val="00203738"/>
    <w:rsid w:val="00204A85"/>
    <w:rsid w:val="002070A9"/>
    <w:rsid w:val="00211E0B"/>
    <w:rsid w:val="00215791"/>
    <w:rsid w:val="00217CDE"/>
    <w:rsid w:val="00220C0E"/>
    <w:rsid w:val="00222A18"/>
    <w:rsid w:val="00223E18"/>
    <w:rsid w:val="00224189"/>
    <w:rsid w:val="00225433"/>
    <w:rsid w:val="0022737F"/>
    <w:rsid w:val="00227863"/>
    <w:rsid w:val="002319F8"/>
    <w:rsid w:val="002320D8"/>
    <w:rsid w:val="00240C26"/>
    <w:rsid w:val="00247286"/>
    <w:rsid w:val="00255BC6"/>
    <w:rsid w:val="002617D0"/>
    <w:rsid w:val="00262D73"/>
    <w:rsid w:val="00262DC2"/>
    <w:rsid w:val="00264399"/>
    <w:rsid w:val="00265BBE"/>
    <w:rsid w:val="0026770C"/>
    <w:rsid w:val="002704FB"/>
    <w:rsid w:val="0027256B"/>
    <w:rsid w:val="00272D33"/>
    <w:rsid w:val="002756B1"/>
    <w:rsid w:val="00280893"/>
    <w:rsid w:val="00284707"/>
    <w:rsid w:val="00284EA7"/>
    <w:rsid w:val="0029248D"/>
    <w:rsid w:val="002945F0"/>
    <w:rsid w:val="00295CAF"/>
    <w:rsid w:val="00296CFA"/>
    <w:rsid w:val="002A2A4C"/>
    <w:rsid w:val="002A3F23"/>
    <w:rsid w:val="002A49F0"/>
    <w:rsid w:val="002A4D3A"/>
    <w:rsid w:val="002A6040"/>
    <w:rsid w:val="002A7867"/>
    <w:rsid w:val="002B3404"/>
    <w:rsid w:val="002B44AF"/>
    <w:rsid w:val="002B5A80"/>
    <w:rsid w:val="002C1CEE"/>
    <w:rsid w:val="002C37E4"/>
    <w:rsid w:val="002C3AEE"/>
    <w:rsid w:val="002D0753"/>
    <w:rsid w:val="002D2DC6"/>
    <w:rsid w:val="002D3290"/>
    <w:rsid w:val="002D4629"/>
    <w:rsid w:val="002D5A1C"/>
    <w:rsid w:val="002D6A8D"/>
    <w:rsid w:val="002D78A8"/>
    <w:rsid w:val="002D7A23"/>
    <w:rsid w:val="002D7A90"/>
    <w:rsid w:val="002E0339"/>
    <w:rsid w:val="002E0AC6"/>
    <w:rsid w:val="002E221E"/>
    <w:rsid w:val="002E4486"/>
    <w:rsid w:val="002E530A"/>
    <w:rsid w:val="002E6D11"/>
    <w:rsid w:val="002F2714"/>
    <w:rsid w:val="00302D0C"/>
    <w:rsid w:val="00305007"/>
    <w:rsid w:val="00307857"/>
    <w:rsid w:val="003107FA"/>
    <w:rsid w:val="00320D47"/>
    <w:rsid w:val="003229D8"/>
    <w:rsid w:val="003234F8"/>
    <w:rsid w:val="00325A50"/>
    <w:rsid w:val="00333A57"/>
    <w:rsid w:val="00337105"/>
    <w:rsid w:val="0033745A"/>
    <w:rsid w:val="00342CE3"/>
    <w:rsid w:val="00344FFC"/>
    <w:rsid w:val="00353BEC"/>
    <w:rsid w:val="00354218"/>
    <w:rsid w:val="0035560B"/>
    <w:rsid w:val="00357F2F"/>
    <w:rsid w:val="00361840"/>
    <w:rsid w:val="00365F53"/>
    <w:rsid w:val="003663BC"/>
    <w:rsid w:val="003760DA"/>
    <w:rsid w:val="00380DDB"/>
    <w:rsid w:val="003821F8"/>
    <w:rsid w:val="003878F7"/>
    <w:rsid w:val="00390EE1"/>
    <w:rsid w:val="0039277A"/>
    <w:rsid w:val="0039347C"/>
    <w:rsid w:val="003942F6"/>
    <w:rsid w:val="00395B71"/>
    <w:rsid w:val="003964FC"/>
    <w:rsid w:val="003972E0"/>
    <w:rsid w:val="003A0171"/>
    <w:rsid w:val="003A3146"/>
    <w:rsid w:val="003A35B8"/>
    <w:rsid w:val="003A40D1"/>
    <w:rsid w:val="003A4F23"/>
    <w:rsid w:val="003A610E"/>
    <w:rsid w:val="003A6806"/>
    <w:rsid w:val="003A7951"/>
    <w:rsid w:val="003B74C5"/>
    <w:rsid w:val="003B7D60"/>
    <w:rsid w:val="003C03C5"/>
    <w:rsid w:val="003C0B08"/>
    <w:rsid w:val="003C1397"/>
    <w:rsid w:val="003C2881"/>
    <w:rsid w:val="003C2CC4"/>
    <w:rsid w:val="003C509B"/>
    <w:rsid w:val="003C598C"/>
    <w:rsid w:val="003D0509"/>
    <w:rsid w:val="003D2563"/>
    <w:rsid w:val="003D4B23"/>
    <w:rsid w:val="003D64CC"/>
    <w:rsid w:val="003E1FE6"/>
    <w:rsid w:val="003E30A6"/>
    <w:rsid w:val="003E7A02"/>
    <w:rsid w:val="003F1C28"/>
    <w:rsid w:val="004014FC"/>
    <w:rsid w:val="00404501"/>
    <w:rsid w:val="00405265"/>
    <w:rsid w:val="00414AC6"/>
    <w:rsid w:val="004230AB"/>
    <w:rsid w:val="004242E3"/>
    <w:rsid w:val="004325CB"/>
    <w:rsid w:val="00432B27"/>
    <w:rsid w:val="004353A8"/>
    <w:rsid w:val="004371B9"/>
    <w:rsid w:val="00441C0B"/>
    <w:rsid w:val="00442210"/>
    <w:rsid w:val="00442740"/>
    <w:rsid w:val="00446DE4"/>
    <w:rsid w:val="00451858"/>
    <w:rsid w:val="00460CB2"/>
    <w:rsid w:val="00466825"/>
    <w:rsid w:val="0046795B"/>
    <w:rsid w:val="004741EB"/>
    <w:rsid w:val="0047575B"/>
    <w:rsid w:val="00475A34"/>
    <w:rsid w:val="00481947"/>
    <w:rsid w:val="0048355D"/>
    <w:rsid w:val="00486C45"/>
    <w:rsid w:val="00495A48"/>
    <w:rsid w:val="004A0854"/>
    <w:rsid w:val="004A41CA"/>
    <w:rsid w:val="004A4402"/>
    <w:rsid w:val="004A5CAE"/>
    <w:rsid w:val="004A63BF"/>
    <w:rsid w:val="004A7827"/>
    <w:rsid w:val="004B4CDD"/>
    <w:rsid w:val="004C1C4D"/>
    <w:rsid w:val="004C1D79"/>
    <w:rsid w:val="004C3A81"/>
    <w:rsid w:val="004D0984"/>
    <w:rsid w:val="004D1036"/>
    <w:rsid w:val="004E3F84"/>
    <w:rsid w:val="004F4868"/>
    <w:rsid w:val="004F513C"/>
    <w:rsid w:val="004F5574"/>
    <w:rsid w:val="004F5C9A"/>
    <w:rsid w:val="00500B56"/>
    <w:rsid w:val="00503228"/>
    <w:rsid w:val="00505384"/>
    <w:rsid w:val="00513E8D"/>
    <w:rsid w:val="00515760"/>
    <w:rsid w:val="00515D98"/>
    <w:rsid w:val="00517606"/>
    <w:rsid w:val="005258BB"/>
    <w:rsid w:val="00527368"/>
    <w:rsid w:val="005275A0"/>
    <w:rsid w:val="00536322"/>
    <w:rsid w:val="005420F2"/>
    <w:rsid w:val="00547B9C"/>
    <w:rsid w:val="0055195E"/>
    <w:rsid w:val="00552B58"/>
    <w:rsid w:val="0055620C"/>
    <w:rsid w:val="00571471"/>
    <w:rsid w:val="0057214B"/>
    <w:rsid w:val="005729C5"/>
    <w:rsid w:val="0057617F"/>
    <w:rsid w:val="0058162D"/>
    <w:rsid w:val="0058241E"/>
    <w:rsid w:val="00583DDF"/>
    <w:rsid w:val="005858F7"/>
    <w:rsid w:val="005908D8"/>
    <w:rsid w:val="005958D5"/>
    <w:rsid w:val="005969D0"/>
    <w:rsid w:val="005A2EE2"/>
    <w:rsid w:val="005A6626"/>
    <w:rsid w:val="005A6DD4"/>
    <w:rsid w:val="005B22BB"/>
    <w:rsid w:val="005B3DB3"/>
    <w:rsid w:val="005B66D0"/>
    <w:rsid w:val="005C5240"/>
    <w:rsid w:val="005C53B8"/>
    <w:rsid w:val="005D3081"/>
    <w:rsid w:val="005D3276"/>
    <w:rsid w:val="005D66F0"/>
    <w:rsid w:val="005D6B9E"/>
    <w:rsid w:val="005E01B8"/>
    <w:rsid w:val="005E2436"/>
    <w:rsid w:val="005E3D56"/>
    <w:rsid w:val="005E7439"/>
    <w:rsid w:val="005F01D1"/>
    <w:rsid w:val="005F080A"/>
    <w:rsid w:val="005F4C58"/>
    <w:rsid w:val="005F54EC"/>
    <w:rsid w:val="005F5F4A"/>
    <w:rsid w:val="005F6204"/>
    <w:rsid w:val="00602906"/>
    <w:rsid w:val="00603233"/>
    <w:rsid w:val="00611FC4"/>
    <w:rsid w:val="00616D6F"/>
    <w:rsid w:val="006176FB"/>
    <w:rsid w:val="00621068"/>
    <w:rsid w:val="00623167"/>
    <w:rsid w:val="00627ED0"/>
    <w:rsid w:val="00632172"/>
    <w:rsid w:val="00634F61"/>
    <w:rsid w:val="00635866"/>
    <w:rsid w:val="0064075C"/>
    <w:rsid w:val="00640B26"/>
    <w:rsid w:val="00640E27"/>
    <w:rsid w:val="006426C6"/>
    <w:rsid w:val="006454B3"/>
    <w:rsid w:val="006470A4"/>
    <w:rsid w:val="00650BC7"/>
    <w:rsid w:val="00651243"/>
    <w:rsid w:val="006527AA"/>
    <w:rsid w:val="006563A0"/>
    <w:rsid w:val="00664A2E"/>
    <w:rsid w:val="00665595"/>
    <w:rsid w:val="0066633C"/>
    <w:rsid w:val="00667A31"/>
    <w:rsid w:val="0067047F"/>
    <w:rsid w:val="0067163F"/>
    <w:rsid w:val="00672C58"/>
    <w:rsid w:val="006749F2"/>
    <w:rsid w:val="00676A85"/>
    <w:rsid w:val="00691271"/>
    <w:rsid w:val="006A0C1E"/>
    <w:rsid w:val="006A262F"/>
    <w:rsid w:val="006A2A93"/>
    <w:rsid w:val="006A7392"/>
    <w:rsid w:val="006B133F"/>
    <w:rsid w:val="006B5573"/>
    <w:rsid w:val="006B6259"/>
    <w:rsid w:val="006B779B"/>
    <w:rsid w:val="006C2485"/>
    <w:rsid w:val="006C2E92"/>
    <w:rsid w:val="006C31A9"/>
    <w:rsid w:val="006C375D"/>
    <w:rsid w:val="006C6965"/>
    <w:rsid w:val="006D01AA"/>
    <w:rsid w:val="006D363A"/>
    <w:rsid w:val="006E0BE0"/>
    <w:rsid w:val="006E2EA7"/>
    <w:rsid w:val="006E564B"/>
    <w:rsid w:val="006E75B3"/>
    <w:rsid w:val="006E7A27"/>
    <w:rsid w:val="006F2C11"/>
    <w:rsid w:val="006F3121"/>
    <w:rsid w:val="006F4AF6"/>
    <w:rsid w:val="006F64E2"/>
    <w:rsid w:val="007006DA"/>
    <w:rsid w:val="007062EF"/>
    <w:rsid w:val="00707298"/>
    <w:rsid w:val="0071253E"/>
    <w:rsid w:val="007136E8"/>
    <w:rsid w:val="007139F4"/>
    <w:rsid w:val="00714CB6"/>
    <w:rsid w:val="007156E5"/>
    <w:rsid w:val="00716470"/>
    <w:rsid w:val="007248AE"/>
    <w:rsid w:val="0072632A"/>
    <w:rsid w:val="007327D0"/>
    <w:rsid w:val="00733A8E"/>
    <w:rsid w:val="00734AC7"/>
    <w:rsid w:val="007369EB"/>
    <w:rsid w:val="00751963"/>
    <w:rsid w:val="00754A12"/>
    <w:rsid w:val="00755E4B"/>
    <w:rsid w:val="00756970"/>
    <w:rsid w:val="00761DD8"/>
    <w:rsid w:val="00763284"/>
    <w:rsid w:val="00763C1B"/>
    <w:rsid w:val="00764713"/>
    <w:rsid w:val="00764E17"/>
    <w:rsid w:val="00766D81"/>
    <w:rsid w:val="00766FDB"/>
    <w:rsid w:val="00771909"/>
    <w:rsid w:val="00772641"/>
    <w:rsid w:val="00777D43"/>
    <w:rsid w:val="0078026B"/>
    <w:rsid w:val="00786483"/>
    <w:rsid w:val="00790650"/>
    <w:rsid w:val="00790C3C"/>
    <w:rsid w:val="0079163B"/>
    <w:rsid w:val="007934BC"/>
    <w:rsid w:val="00794BF4"/>
    <w:rsid w:val="00794DC4"/>
    <w:rsid w:val="00794F01"/>
    <w:rsid w:val="00796C95"/>
    <w:rsid w:val="007B0826"/>
    <w:rsid w:val="007B191E"/>
    <w:rsid w:val="007B1F57"/>
    <w:rsid w:val="007B660C"/>
    <w:rsid w:val="007B6BA5"/>
    <w:rsid w:val="007B7069"/>
    <w:rsid w:val="007C1CB5"/>
    <w:rsid w:val="007C2BA9"/>
    <w:rsid w:val="007C3390"/>
    <w:rsid w:val="007C4F4B"/>
    <w:rsid w:val="007C5ED8"/>
    <w:rsid w:val="007D01EB"/>
    <w:rsid w:val="007D01F3"/>
    <w:rsid w:val="007D4C1A"/>
    <w:rsid w:val="007D6C84"/>
    <w:rsid w:val="007E13AC"/>
    <w:rsid w:val="007E27A8"/>
    <w:rsid w:val="007F0B83"/>
    <w:rsid w:val="007F2AE2"/>
    <w:rsid w:val="007F34F6"/>
    <w:rsid w:val="007F3930"/>
    <w:rsid w:val="007F39AA"/>
    <w:rsid w:val="007F3A42"/>
    <w:rsid w:val="007F4C53"/>
    <w:rsid w:val="007F62FB"/>
    <w:rsid w:val="007F6611"/>
    <w:rsid w:val="00800864"/>
    <w:rsid w:val="00804C4E"/>
    <w:rsid w:val="008107B5"/>
    <w:rsid w:val="00814A6E"/>
    <w:rsid w:val="00815180"/>
    <w:rsid w:val="008175E9"/>
    <w:rsid w:val="008242D7"/>
    <w:rsid w:val="00825B71"/>
    <w:rsid w:val="008260FD"/>
    <w:rsid w:val="008270CC"/>
    <w:rsid w:val="008311A3"/>
    <w:rsid w:val="00833B88"/>
    <w:rsid w:val="00835C56"/>
    <w:rsid w:val="00841B11"/>
    <w:rsid w:val="008461B0"/>
    <w:rsid w:val="00846B31"/>
    <w:rsid w:val="008512D7"/>
    <w:rsid w:val="00854EC0"/>
    <w:rsid w:val="00856E30"/>
    <w:rsid w:val="008600F6"/>
    <w:rsid w:val="00861F97"/>
    <w:rsid w:val="00862326"/>
    <w:rsid w:val="008633FD"/>
    <w:rsid w:val="00865311"/>
    <w:rsid w:val="00865869"/>
    <w:rsid w:val="00867343"/>
    <w:rsid w:val="00870A20"/>
    <w:rsid w:val="00871FD5"/>
    <w:rsid w:val="00873798"/>
    <w:rsid w:val="00876672"/>
    <w:rsid w:val="00880753"/>
    <w:rsid w:val="008832B0"/>
    <w:rsid w:val="00884050"/>
    <w:rsid w:val="00885B2F"/>
    <w:rsid w:val="008866EF"/>
    <w:rsid w:val="00887DE5"/>
    <w:rsid w:val="008915A2"/>
    <w:rsid w:val="008970EE"/>
    <w:rsid w:val="008979B1"/>
    <w:rsid w:val="008A0EEC"/>
    <w:rsid w:val="008A5B1D"/>
    <w:rsid w:val="008A6B25"/>
    <w:rsid w:val="008A6C4F"/>
    <w:rsid w:val="008B3C9D"/>
    <w:rsid w:val="008B5711"/>
    <w:rsid w:val="008B6354"/>
    <w:rsid w:val="008B63AE"/>
    <w:rsid w:val="008C0744"/>
    <w:rsid w:val="008C1248"/>
    <w:rsid w:val="008C3261"/>
    <w:rsid w:val="008D16BE"/>
    <w:rsid w:val="008D6BAA"/>
    <w:rsid w:val="008E0C6C"/>
    <w:rsid w:val="008E0E46"/>
    <w:rsid w:val="008E1021"/>
    <w:rsid w:val="008E1070"/>
    <w:rsid w:val="008E1FB2"/>
    <w:rsid w:val="008E4C9A"/>
    <w:rsid w:val="008F01C8"/>
    <w:rsid w:val="008F1119"/>
    <w:rsid w:val="008F4FF1"/>
    <w:rsid w:val="008F5161"/>
    <w:rsid w:val="008F5AE9"/>
    <w:rsid w:val="008F5EE3"/>
    <w:rsid w:val="008F7141"/>
    <w:rsid w:val="009002D6"/>
    <w:rsid w:val="00900E3F"/>
    <w:rsid w:val="00901852"/>
    <w:rsid w:val="0090369A"/>
    <w:rsid w:val="00904479"/>
    <w:rsid w:val="009068D3"/>
    <w:rsid w:val="00907AD2"/>
    <w:rsid w:val="0091168B"/>
    <w:rsid w:val="00913052"/>
    <w:rsid w:val="00914132"/>
    <w:rsid w:val="00915008"/>
    <w:rsid w:val="00915264"/>
    <w:rsid w:val="009173E3"/>
    <w:rsid w:val="00920491"/>
    <w:rsid w:val="00920608"/>
    <w:rsid w:val="00922CF9"/>
    <w:rsid w:val="00925826"/>
    <w:rsid w:val="00925F22"/>
    <w:rsid w:val="00935B24"/>
    <w:rsid w:val="00940552"/>
    <w:rsid w:val="009408A5"/>
    <w:rsid w:val="009410A0"/>
    <w:rsid w:val="0094260A"/>
    <w:rsid w:val="00946B62"/>
    <w:rsid w:val="00946ED4"/>
    <w:rsid w:val="00951C9B"/>
    <w:rsid w:val="00952464"/>
    <w:rsid w:val="00952849"/>
    <w:rsid w:val="00954421"/>
    <w:rsid w:val="009545E3"/>
    <w:rsid w:val="009552C3"/>
    <w:rsid w:val="00956C3D"/>
    <w:rsid w:val="009602FA"/>
    <w:rsid w:val="00960474"/>
    <w:rsid w:val="009608A2"/>
    <w:rsid w:val="00963CBA"/>
    <w:rsid w:val="00964474"/>
    <w:rsid w:val="00964EC0"/>
    <w:rsid w:val="00971063"/>
    <w:rsid w:val="0097138C"/>
    <w:rsid w:val="00972D2C"/>
    <w:rsid w:val="00973909"/>
    <w:rsid w:val="00974A8D"/>
    <w:rsid w:val="009822FE"/>
    <w:rsid w:val="00985113"/>
    <w:rsid w:val="009857F9"/>
    <w:rsid w:val="009870B7"/>
    <w:rsid w:val="00991261"/>
    <w:rsid w:val="009937BB"/>
    <w:rsid w:val="00993C47"/>
    <w:rsid w:val="009949BB"/>
    <w:rsid w:val="00994C05"/>
    <w:rsid w:val="009951EF"/>
    <w:rsid w:val="00997F1A"/>
    <w:rsid w:val="009A0711"/>
    <w:rsid w:val="009A25D0"/>
    <w:rsid w:val="009A28B6"/>
    <w:rsid w:val="009A2C15"/>
    <w:rsid w:val="009A47C0"/>
    <w:rsid w:val="009B0FDA"/>
    <w:rsid w:val="009B1D02"/>
    <w:rsid w:val="009B43B4"/>
    <w:rsid w:val="009B4DB5"/>
    <w:rsid w:val="009B73C0"/>
    <w:rsid w:val="009C0124"/>
    <w:rsid w:val="009C36B4"/>
    <w:rsid w:val="009C64FE"/>
    <w:rsid w:val="009C703B"/>
    <w:rsid w:val="009D0B8D"/>
    <w:rsid w:val="009D43C9"/>
    <w:rsid w:val="009D5207"/>
    <w:rsid w:val="009D68E3"/>
    <w:rsid w:val="009E1B9E"/>
    <w:rsid w:val="009E4FC4"/>
    <w:rsid w:val="009F16F9"/>
    <w:rsid w:val="009F20F6"/>
    <w:rsid w:val="009F32DC"/>
    <w:rsid w:val="009F3A17"/>
    <w:rsid w:val="009F4BD0"/>
    <w:rsid w:val="009F4E0A"/>
    <w:rsid w:val="009F67CE"/>
    <w:rsid w:val="00A025CD"/>
    <w:rsid w:val="00A02B3C"/>
    <w:rsid w:val="00A04840"/>
    <w:rsid w:val="00A05A40"/>
    <w:rsid w:val="00A121E8"/>
    <w:rsid w:val="00A1427D"/>
    <w:rsid w:val="00A14908"/>
    <w:rsid w:val="00A22E78"/>
    <w:rsid w:val="00A23762"/>
    <w:rsid w:val="00A23EB2"/>
    <w:rsid w:val="00A2788B"/>
    <w:rsid w:val="00A32E03"/>
    <w:rsid w:val="00A3729A"/>
    <w:rsid w:val="00A37D4B"/>
    <w:rsid w:val="00A43A48"/>
    <w:rsid w:val="00A46541"/>
    <w:rsid w:val="00A508EA"/>
    <w:rsid w:val="00A5254B"/>
    <w:rsid w:val="00A536DA"/>
    <w:rsid w:val="00A61D3F"/>
    <w:rsid w:val="00A62789"/>
    <w:rsid w:val="00A67943"/>
    <w:rsid w:val="00A706C1"/>
    <w:rsid w:val="00A72F22"/>
    <w:rsid w:val="00A748A6"/>
    <w:rsid w:val="00A753E8"/>
    <w:rsid w:val="00A7612F"/>
    <w:rsid w:val="00A80013"/>
    <w:rsid w:val="00A8566A"/>
    <w:rsid w:val="00A8574D"/>
    <w:rsid w:val="00A879A4"/>
    <w:rsid w:val="00A90FA1"/>
    <w:rsid w:val="00A91070"/>
    <w:rsid w:val="00A91DF9"/>
    <w:rsid w:val="00A945F6"/>
    <w:rsid w:val="00A9548B"/>
    <w:rsid w:val="00A95924"/>
    <w:rsid w:val="00A95F7F"/>
    <w:rsid w:val="00AA09DB"/>
    <w:rsid w:val="00AA5664"/>
    <w:rsid w:val="00AA69DD"/>
    <w:rsid w:val="00AA6D93"/>
    <w:rsid w:val="00AB1F47"/>
    <w:rsid w:val="00AB623D"/>
    <w:rsid w:val="00AB72F4"/>
    <w:rsid w:val="00AC145F"/>
    <w:rsid w:val="00AC1BE0"/>
    <w:rsid w:val="00AC340D"/>
    <w:rsid w:val="00AC5176"/>
    <w:rsid w:val="00AC69BD"/>
    <w:rsid w:val="00AD000B"/>
    <w:rsid w:val="00AD0AF7"/>
    <w:rsid w:val="00AD1709"/>
    <w:rsid w:val="00AD183A"/>
    <w:rsid w:val="00AD2E07"/>
    <w:rsid w:val="00AD3C0D"/>
    <w:rsid w:val="00AD4C59"/>
    <w:rsid w:val="00AD5BC2"/>
    <w:rsid w:val="00AD700E"/>
    <w:rsid w:val="00AD7FA7"/>
    <w:rsid w:val="00AE1204"/>
    <w:rsid w:val="00AE1257"/>
    <w:rsid w:val="00AE1717"/>
    <w:rsid w:val="00AE76E6"/>
    <w:rsid w:val="00AF27C3"/>
    <w:rsid w:val="00AF2975"/>
    <w:rsid w:val="00AF7D06"/>
    <w:rsid w:val="00B03316"/>
    <w:rsid w:val="00B04B28"/>
    <w:rsid w:val="00B05090"/>
    <w:rsid w:val="00B071D7"/>
    <w:rsid w:val="00B1001A"/>
    <w:rsid w:val="00B14220"/>
    <w:rsid w:val="00B16E21"/>
    <w:rsid w:val="00B176F9"/>
    <w:rsid w:val="00B20608"/>
    <w:rsid w:val="00B20B24"/>
    <w:rsid w:val="00B21B03"/>
    <w:rsid w:val="00B222DA"/>
    <w:rsid w:val="00B22978"/>
    <w:rsid w:val="00B248BE"/>
    <w:rsid w:val="00B26063"/>
    <w:rsid w:val="00B30179"/>
    <w:rsid w:val="00B3164F"/>
    <w:rsid w:val="00B33EC0"/>
    <w:rsid w:val="00B4673C"/>
    <w:rsid w:val="00B501C3"/>
    <w:rsid w:val="00B52969"/>
    <w:rsid w:val="00B52E98"/>
    <w:rsid w:val="00B531F3"/>
    <w:rsid w:val="00B5428E"/>
    <w:rsid w:val="00B611B5"/>
    <w:rsid w:val="00B61A90"/>
    <w:rsid w:val="00B61B82"/>
    <w:rsid w:val="00B6391C"/>
    <w:rsid w:val="00B64C09"/>
    <w:rsid w:val="00B66F68"/>
    <w:rsid w:val="00B6782E"/>
    <w:rsid w:val="00B7073E"/>
    <w:rsid w:val="00B72922"/>
    <w:rsid w:val="00B7498D"/>
    <w:rsid w:val="00B7714B"/>
    <w:rsid w:val="00B81E12"/>
    <w:rsid w:val="00B827D9"/>
    <w:rsid w:val="00B83864"/>
    <w:rsid w:val="00B846C3"/>
    <w:rsid w:val="00B85B40"/>
    <w:rsid w:val="00B878AC"/>
    <w:rsid w:val="00B9125D"/>
    <w:rsid w:val="00B91DE7"/>
    <w:rsid w:val="00B92755"/>
    <w:rsid w:val="00B93CCB"/>
    <w:rsid w:val="00B962B8"/>
    <w:rsid w:val="00BA0232"/>
    <w:rsid w:val="00BA17BD"/>
    <w:rsid w:val="00BA1D9F"/>
    <w:rsid w:val="00BA3710"/>
    <w:rsid w:val="00BA4485"/>
    <w:rsid w:val="00BA5549"/>
    <w:rsid w:val="00BB232A"/>
    <w:rsid w:val="00BB29ED"/>
    <w:rsid w:val="00BB33B2"/>
    <w:rsid w:val="00BB5A7D"/>
    <w:rsid w:val="00BB5B7F"/>
    <w:rsid w:val="00BB7E37"/>
    <w:rsid w:val="00BC2ED7"/>
    <w:rsid w:val="00BC2F4C"/>
    <w:rsid w:val="00BC3668"/>
    <w:rsid w:val="00BC4C71"/>
    <w:rsid w:val="00BC74E9"/>
    <w:rsid w:val="00BC7E30"/>
    <w:rsid w:val="00BD55BB"/>
    <w:rsid w:val="00BD5831"/>
    <w:rsid w:val="00BD634C"/>
    <w:rsid w:val="00BD79F9"/>
    <w:rsid w:val="00BE05CC"/>
    <w:rsid w:val="00BE2E2B"/>
    <w:rsid w:val="00BE4F74"/>
    <w:rsid w:val="00BE618E"/>
    <w:rsid w:val="00BE68F7"/>
    <w:rsid w:val="00BE7DA3"/>
    <w:rsid w:val="00BE7EFA"/>
    <w:rsid w:val="00BF6EC2"/>
    <w:rsid w:val="00C05C7F"/>
    <w:rsid w:val="00C0787E"/>
    <w:rsid w:val="00C07A57"/>
    <w:rsid w:val="00C10643"/>
    <w:rsid w:val="00C106DC"/>
    <w:rsid w:val="00C1276D"/>
    <w:rsid w:val="00C137B9"/>
    <w:rsid w:val="00C15DB8"/>
    <w:rsid w:val="00C16024"/>
    <w:rsid w:val="00C170F1"/>
    <w:rsid w:val="00C17699"/>
    <w:rsid w:val="00C209DE"/>
    <w:rsid w:val="00C22EDA"/>
    <w:rsid w:val="00C300D4"/>
    <w:rsid w:val="00C30CF2"/>
    <w:rsid w:val="00C32DFD"/>
    <w:rsid w:val="00C333A1"/>
    <w:rsid w:val="00C358DD"/>
    <w:rsid w:val="00C4052C"/>
    <w:rsid w:val="00C44523"/>
    <w:rsid w:val="00C463DD"/>
    <w:rsid w:val="00C47298"/>
    <w:rsid w:val="00C472F7"/>
    <w:rsid w:val="00C60090"/>
    <w:rsid w:val="00C60F1F"/>
    <w:rsid w:val="00C615AA"/>
    <w:rsid w:val="00C66370"/>
    <w:rsid w:val="00C70183"/>
    <w:rsid w:val="00C70ACB"/>
    <w:rsid w:val="00C71069"/>
    <w:rsid w:val="00C738B1"/>
    <w:rsid w:val="00C73E98"/>
    <w:rsid w:val="00C745C3"/>
    <w:rsid w:val="00C76538"/>
    <w:rsid w:val="00C80036"/>
    <w:rsid w:val="00C84E21"/>
    <w:rsid w:val="00C91DA4"/>
    <w:rsid w:val="00C9372D"/>
    <w:rsid w:val="00C938EF"/>
    <w:rsid w:val="00C95165"/>
    <w:rsid w:val="00CA04BC"/>
    <w:rsid w:val="00CA3734"/>
    <w:rsid w:val="00CA3DE1"/>
    <w:rsid w:val="00CA54E0"/>
    <w:rsid w:val="00CA7CFF"/>
    <w:rsid w:val="00CB09D5"/>
    <w:rsid w:val="00CB3E2D"/>
    <w:rsid w:val="00CC66E7"/>
    <w:rsid w:val="00CC73B4"/>
    <w:rsid w:val="00CC73D8"/>
    <w:rsid w:val="00CD3499"/>
    <w:rsid w:val="00CD3D8F"/>
    <w:rsid w:val="00CD4BA4"/>
    <w:rsid w:val="00CD78B8"/>
    <w:rsid w:val="00CE08B9"/>
    <w:rsid w:val="00CE1538"/>
    <w:rsid w:val="00CE4A8F"/>
    <w:rsid w:val="00CE4F7E"/>
    <w:rsid w:val="00CE517D"/>
    <w:rsid w:val="00CE751D"/>
    <w:rsid w:val="00CF387D"/>
    <w:rsid w:val="00CF5974"/>
    <w:rsid w:val="00D06FC6"/>
    <w:rsid w:val="00D072D9"/>
    <w:rsid w:val="00D1049E"/>
    <w:rsid w:val="00D118BA"/>
    <w:rsid w:val="00D15D64"/>
    <w:rsid w:val="00D2031B"/>
    <w:rsid w:val="00D20B75"/>
    <w:rsid w:val="00D22CF8"/>
    <w:rsid w:val="00D2528A"/>
    <w:rsid w:val="00D25FE2"/>
    <w:rsid w:val="00D26776"/>
    <w:rsid w:val="00D26F50"/>
    <w:rsid w:val="00D270D1"/>
    <w:rsid w:val="00D317BB"/>
    <w:rsid w:val="00D328FC"/>
    <w:rsid w:val="00D3451F"/>
    <w:rsid w:val="00D3770A"/>
    <w:rsid w:val="00D415AE"/>
    <w:rsid w:val="00D42DBD"/>
    <w:rsid w:val="00D43252"/>
    <w:rsid w:val="00D45423"/>
    <w:rsid w:val="00D47455"/>
    <w:rsid w:val="00D4789B"/>
    <w:rsid w:val="00D478F4"/>
    <w:rsid w:val="00D51766"/>
    <w:rsid w:val="00D52495"/>
    <w:rsid w:val="00D527B1"/>
    <w:rsid w:val="00D55D3C"/>
    <w:rsid w:val="00D56F16"/>
    <w:rsid w:val="00D60D9D"/>
    <w:rsid w:val="00D63BB6"/>
    <w:rsid w:val="00D64201"/>
    <w:rsid w:val="00D67600"/>
    <w:rsid w:val="00D70EBE"/>
    <w:rsid w:val="00D7122A"/>
    <w:rsid w:val="00D7415C"/>
    <w:rsid w:val="00D76DD3"/>
    <w:rsid w:val="00D774F3"/>
    <w:rsid w:val="00D77547"/>
    <w:rsid w:val="00D8068D"/>
    <w:rsid w:val="00D83DB2"/>
    <w:rsid w:val="00D86463"/>
    <w:rsid w:val="00D86DC4"/>
    <w:rsid w:val="00D95C9B"/>
    <w:rsid w:val="00D96B97"/>
    <w:rsid w:val="00D96F2A"/>
    <w:rsid w:val="00D978C6"/>
    <w:rsid w:val="00D97D2B"/>
    <w:rsid w:val="00DA1BAF"/>
    <w:rsid w:val="00DA6554"/>
    <w:rsid w:val="00DA67AD"/>
    <w:rsid w:val="00DA705C"/>
    <w:rsid w:val="00DB072B"/>
    <w:rsid w:val="00DB0B5B"/>
    <w:rsid w:val="00DB200D"/>
    <w:rsid w:val="00DB4100"/>
    <w:rsid w:val="00DB5D0F"/>
    <w:rsid w:val="00DC3440"/>
    <w:rsid w:val="00DC3D40"/>
    <w:rsid w:val="00DC5051"/>
    <w:rsid w:val="00DC5F89"/>
    <w:rsid w:val="00DD0283"/>
    <w:rsid w:val="00DD13E5"/>
    <w:rsid w:val="00DD2609"/>
    <w:rsid w:val="00DD7A0D"/>
    <w:rsid w:val="00DE1963"/>
    <w:rsid w:val="00DE32D0"/>
    <w:rsid w:val="00DE3F53"/>
    <w:rsid w:val="00DE571C"/>
    <w:rsid w:val="00DE6A76"/>
    <w:rsid w:val="00DE6AD9"/>
    <w:rsid w:val="00DF0F82"/>
    <w:rsid w:val="00DF12F7"/>
    <w:rsid w:val="00DF2B6F"/>
    <w:rsid w:val="00DF2F15"/>
    <w:rsid w:val="00DF3FC8"/>
    <w:rsid w:val="00DF43EE"/>
    <w:rsid w:val="00DF75E8"/>
    <w:rsid w:val="00E02C81"/>
    <w:rsid w:val="00E1057D"/>
    <w:rsid w:val="00E130AB"/>
    <w:rsid w:val="00E22079"/>
    <w:rsid w:val="00E26381"/>
    <w:rsid w:val="00E34097"/>
    <w:rsid w:val="00E343A3"/>
    <w:rsid w:val="00E3517E"/>
    <w:rsid w:val="00E353E6"/>
    <w:rsid w:val="00E356EC"/>
    <w:rsid w:val="00E37F50"/>
    <w:rsid w:val="00E41C6E"/>
    <w:rsid w:val="00E43C63"/>
    <w:rsid w:val="00E52BDF"/>
    <w:rsid w:val="00E56E5B"/>
    <w:rsid w:val="00E573B3"/>
    <w:rsid w:val="00E606DC"/>
    <w:rsid w:val="00E62721"/>
    <w:rsid w:val="00E67DA6"/>
    <w:rsid w:val="00E71A41"/>
    <w:rsid w:val="00E7222B"/>
    <w:rsid w:val="00E7260F"/>
    <w:rsid w:val="00E7408D"/>
    <w:rsid w:val="00E74C15"/>
    <w:rsid w:val="00E74CEA"/>
    <w:rsid w:val="00E7528F"/>
    <w:rsid w:val="00E80AD6"/>
    <w:rsid w:val="00E80B8B"/>
    <w:rsid w:val="00E814C6"/>
    <w:rsid w:val="00E825B1"/>
    <w:rsid w:val="00E83C6D"/>
    <w:rsid w:val="00E8722A"/>
    <w:rsid w:val="00E87921"/>
    <w:rsid w:val="00E9125F"/>
    <w:rsid w:val="00E91BEB"/>
    <w:rsid w:val="00E94435"/>
    <w:rsid w:val="00E958EE"/>
    <w:rsid w:val="00E95F9B"/>
    <w:rsid w:val="00E96630"/>
    <w:rsid w:val="00EA0A23"/>
    <w:rsid w:val="00EA2A95"/>
    <w:rsid w:val="00EA3462"/>
    <w:rsid w:val="00EA715E"/>
    <w:rsid w:val="00EC08D3"/>
    <w:rsid w:val="00EC0AEF"/>
    <w:rsid w:val="00EC46EF"/>
    <w:rsid w:val="00EC478C"/>
    <w:rsid w:val="00EC48E1"/>
    <w:rsid w:val="00EC6AD4"/>
    <w:rsid w:val="00EC7BF8"/>
    <w:rsid w:val="00ED1E7A"/>
    <w:rsid w:val="00ED574C"/>
    <w:rsid w:val="00ED7A2A"/>
    <w:rsid w:val="00ED7E99"/>
    <w:rsid w:val="00EE34C2"/>
    <w:rsid w:val="00EF01A3"/>
    <w:rsid w:val="00EF07B0"/>
    <w:rsid w:val="00EF19E3"/>
    <w:rsid w:val="00EF1D7F"/>
    <w:rsid w:val="00EF2AD6"/>
    <w:rsid w:val="00F0072A"/>
    <w:rsid w:val="00F01F3D"/>
    <w:rsid w:val="00F02266"/>
    <w:rsid w:val="00F02D56"/>
    <w:rsid w:val="00F02F3A"/>
    <w:rsid w:val="00F04969"/>
    <w:rsid w:val="00F15EAE"/>
    <w:rsid w:val="00F17D11"/>
    <w:rsid w:val="00F20223"/>
    <w:rsid w:val="00F23517"/>
    <w:rsid w:val="00F24F9C"/>
    <w:rsid w:val="00F26614"/>
    <w:rsid w:val="00F26689"/>
    <w:rsid w:val="00F2776A"/>
    <w:rsid w:val="00F33ECA"/>
    <w:rsid w:val="00F345E3"/>
    <w:rsid w:val="00F348C6"/>
    <w:rsid w:val="00F36233"/>
    <w:rsid w:val="00F36270"/>
    <w:rsid w:val="00F3687C"/>
    <w:rsid w:val="00F36B90"/>
    <w:rsid w:val="00F37240"/>
    <w:rsid w:val="00F417F7"/>
    <w:rsid w:val="00F41CBB"/>
    <w:rsid w:val="00F41D4C"/>
    <w:rsid w:val="00F53EDA"/>
    <w:rsid w:val="00F5438B"/>
    <w:rsid w:val="00F54D2A"/>
    <w:rsid w:val="00F558A3"/>
    <w:rsid w:val="00F62075"/>
    <w:rsid w:val="00F6703E"/>
    <w:rsid w:val="00F712A2"/>
    <w:rsid w:val="00F742EA"/>
    <w:rsid w:val="00F751D4"/>
    <w:rsid w:val="00F765FD"/>
    <w:rsid w:val="00F7753D"/>
    <w:rsid w:val="00F776A5"/>
    <w:rsid w:val="00F77869"/>
    <w:rsid w:val="00F85275"/>
    <w:rsid w:val="00F85F34"/>
    <w:rsid w:val="00F86103"/>
    <w:rsid w:val="00F900CF"/>
    <w:rsid w:val="00F90424"/>
    <w:rsid w:val="00F9218E"/>
    <w:rsid w:val="00F93E78"/>
    <w:rsid w:val="00FA06F7"/>
    <w:rsid w:val="00FA0899"/>
    <w:rsid w:val="00FA3FBC"/>
    <w:rsid w:val="00FA3FBD"/>
    <w:rsid w:val="00FA4CBF"/>
    <w:rsid w:val="00FA5992"/>
    <w:rsid w:val="00FA5AED"/>
    <w:rsid w:val="00FB05C9"/>
    <w:rsid w:val="00FB087E"/>
    <w:rsid w:val="00FB0DA9"/>
    <w:rsid w:val="00FB171A"/>
    <w:rsid w:val="00FB1F81"/>
    <w:rsid w:val="00FB219B"/>
    <w:rsid w:val="00FB25CB"/>
    <w:rsid w:val="00FB31E5"/>
    <w:rsid w:val="00FB69A9"/>
    <w:rsid w:val="00FB7EAA"/>
    <w:rsid w:val="00FC105E"/>
    <w:rsid w:val="00FC5B52"/>
    <w:rsid w:val="00FC5CEF"/>
    <w:rsid w:val="00FC6611"/>
    <w:rsid w:val="00FC68B7"/>
    <w:rsid w:val="00FC79C2"/>
    <w:rsid w:val="00FD14FA"/>
    <w:rsid w:val="00FD3D8E"/>
    <w:rsid w:val="00FD6C80"/>
    <w:rsid w:val="00FD7BF6"/>
    <w:rsid w:val="00FE1D8B"/>
    <w:rsid w:val="00FE1FFD"/>
    <w:rsid w:val="00FE265F"/>
    <w:rsid w:val="00FE3E1B"/>
    <w:rsid w:val="00FE4F5E"/>
    <w:rsid w:val="00FF3ACC"/>
    <w:rsid w:val="00FF553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BC60B"/>
  <w15:docId w15:val="{13C5B990-3DEB-4FCA-8569-C3AD52C1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8BB"/>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semiHidden/>
    <w:qFormat/>
    <w:rsid w:val="00503228"/>
    <w:pPr>
      <w:spacing w:line="240" w:lineRule="auto"/>
      <w:outlineLvl w:val="1"/>
    </w:pPr>
  </w:style>
  <w:style w:type="paragraph" w:styleId="Heading3">
    <w:name w:val="heading 3"/>
    <w:basedOn w:val="Normal"/>
    <w:next w:val="Normal"/>
    <w:semiHidden/>
    <w:qFormat/>
    <w:rsid w:val="00503228"/>
    <w:pPr>
      <w:spacing w:line="240" w:lineRule="auto"/>
      <w:outlineLvl w:val="2"/>
    </w:pPr>
  </w:style>
  <w:style w:type="paragraph" w:styleId="Heading4">
    <w:name w:val="heading 4"/>
    <w:basedOn w:val="Normal"/>
    <w:next w:val="Normal"/>
    <w:semiHidden/>
    <w:qFormat/>
    <w:rsid w:val="00503228"/>
    <w:pPr>
      <w:spacing w:line="240" w:lineRule="auto"/>
      <w:outlineLvl w:val="3"/>
    </w:pPr>
  </w:style>
  <w:style w:type="paragraph" w:styleId="Heading5">
    <w:name w:val="heading 5"/>
    <w:basedOn w:val="Normal"/>
    <w:next w:val="Normal"/>
    <w:semiHidden/>
    <w:qFormat/>
    <w:rsid w:val="00503228"/>
    <w:pPr>
      <w:spacing w:line="240" w:lineRule="auto"/>
      <w:outlineLvl w:val="4"/>
    </w:pPr>
  </w:style>
  <w:style w:type="paragraph" w:styleId="Heading6">
    <w:name w:val="heading 6"/>
    <w:basedOn w:val="Normal"/>
    <w:next w:val="Normal"/>
    <w:semiHidden/>
    <w:qFormat/>
    <w:rsid w:val="00503228"/>
    <w:pPr>
      <w:spacing w:line="240" w:lineRule="auto"/>
      <w:outlineLvl w:val="5"/>
    </w:pPr>
  </w:style>
  <w:style w:type="paragraph" w:styleId="Heading7">
    <w:name w:val="heading 7"/>
    <w:basedOn w:val="Normal"/>
    <w:next w:val="Normal"/>
    <w:semiHidden/>
    <w:qFormat/>
    <w:rsid w:val="00503228"/>
    <w:pPr>
      <w:spacing w:line="240" w:lineRule="auto"/>
      <w:outlineLvl w:val="6"/>
    </w:pPr>
  </w:style>
  <w:style w:type="paragraph" w:styleId="Heading8">
    <w:name w:val="heading 8"/>
    <w:basedOn w:val="Normal"/>
    <w:next w:val="Normal"/>
    <w:semiHidden/>
    <w:qFormat/>
    <w:rsid w:val="00503228"/>
    <w:pPr>
      <w:spacing w:line="240" w:lineRule="auto"/>
      <w:outlineLvl w:val="7"/>
    </w:pPr>
  </w:style>
  <w:style w:type="paragraph" w:styleId="Heading9">
    <w:name w:val="heading 9"/>
    <w:basedOn w:val="Normal"/>
    <w:next w:val="Normal"/>
    <w:semiHidden/>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qFormat/>
    <w:rsid w:val="00503228"/>
    <w:pPr>
      <w:pBdr>
        <w:bottom w:val="single" w:sz="4" w:space="4" w:color="auto"/>
      </w:pBdr>
      <w:spacing w:line="240" w:lineRule="auto"/>
    </w:pPr>
    <w:rPr>
      <w:b/>
      <w:sz w:val="18"/>
    </w:rPr>
  </w:style>
  <w:style w:type="table" w:styleId="TableGrid">
    <w:name w:val="Table Grid"/>
    <w:basedOn w:val="TableNormal"/>
    <w:semiHidden/>
    <w:rsid w:val="00DC5F8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9408A5"/>
    <w:rPr>
      <w:color w:val="0000FF"/>
      <w:u w:val="none"/>
    </w:rPr>
  </w:style>
  <w:style w:type="character" w:styleId="FollowedHyperlink">
    <w:name w:val="FollowedHyperlink"/>
    <w:basedOn w:val="DefaultParagraphFont"/>
    <w:rsid w:val="009408A5"/>
    <w:rPr>
      <w:color w:val="0000FF"/>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F9218E"/>
    <w:pPr>
      <w:numPr>
        <w:numId w:val="3"/>
      </w:numPr>
      <w:suppressAutoHyphens w:val="0"/>
    </w:pPr>
  </w:style>
  <w:style w:type="character" w:customStyle="1" w:styleId="SingleTxtGChar">
    <w:name w:val="_ Single Txt_G Char"/>
    <w:link w:val="SingleTxtG"/>
    <w:qFormat/>
    <w:rsid w:val="00CB3E2D"/>
    <w:rPr>
      <w:lang w:val="en-GB"/>
    </w:rPr>
  </w:style>
  <w:style w:type="character" w:customStyle="1" w:styleId="H1GChar">
    <w:name w:val="_ H_1_G Char"/>
    <w:link w:val="H1G"/>
    <w:rsid w:val="00CB3E2D"/>
    <w:rPr>
      <w:b/>
      <w:sz w:val="24"/>
      <w:lang w:val="en-GB"/>
    </w:rPr>
  </w:style>
  <w:style w:type="character" w:customStyle="1" w:styleId="HChGChar">
    <w:name w:val="_ H _Ch_G Char"/>
    <w:link w:val="HChG"/>
    <w:rsid w:val="00CB3E2D"/>
    <w:rPr>
      <w:b/>
      <w:sz w:val="28"/>
      <w:lang w:val="en-GB"/>
    </w:rPr>
  </w:style>
  <w:style w:type="paragraph" w:styleId="ListNumber4">
    <w:name w:val="List Number 4"/>
    <w:basedOn w:val="Normal"/>
    <w:semiHidden/>
    <w:rsid w:val="00667A31"/>
    <w:pPr>
      <w:numPr>
        <w:numId w:val="5"/>
      </w:numPr>
    </w:pPr>
    <w:rPr>
      <w:lang w:val="fr-CH" w:eastAsia="en-US"/>
    </w:rPr>
  </w:style>
  <w:style w:type="character" w:styleId="UnresolvedMention">
    <w:name w:val="Unresolved Mention"/>
    <w:basedOn w:val="DefaultParagraphFont"/>
    <w:uiPriority w:val="99"/>
    <w:unhideWhenUsed/>
    <w:rsid w:val="00EA715E"/>
    <w:rPr>
      <w:color w:val="605E5C"/>
      <w:shd w:val="clear" w:color="auto" w:fill="E1DFDD"/>
    </w:rPr>
  </w:style>
  <w:style w:type="character" w:styleId="CommentReference">
    <w:name w:val="annotation reference"/>
    <w:basedOn w:val="DefaultParagraphFont"/>
    <w:semiHidden/>
    <w:unhideWhenUsed/>
    <w:rsid w:val="006426C6"/>
    <w:rPr>
      <w:sz w:val="16"/>
      <w:szCs w:val="16"/>
    </w:rPr>
  </w:style>
  <w:style w:type="paragraph" w:styleId="CommentText">
    <w:name w:val="annotation text"/>
    <w:basedOn w:val="Normal"/>
    <w:link w:val="CommentTextChar"/>
    <w:unhideWhenUsed/>
    <w:rsid w:val="006426C6"/>
    <w:pPr>
      <w:spacing w:line="240" w:lineRule="auto"/>
    </w:pPr>
  </w:style>
  <w:style w:type="character" w:customStyle="1" w:styleId="CommentTextChar">
    <w:name w:val="Comment Text Char"/>
    <w:basedOn w:val="DefaultParagraphFont"/>
    <w:link w:val="CommentText"/>
    <w:rsid w:val="006426C6"/>
    <w:rPr>
      <w:lang w:val="en-GB"/>
    </w:rPr>
  </w:style>
  <w:style w:type="paragraph" w:styleId="CommentSubject">
    <w:name w:val="annotation subject"/>
    <w:basedOn w:val="CommentText"/>
    <w:next w:val="CommentText"/>
    <w:link w:val="CommentSubjectChar"/>
    <w:semiHidden/>
    <w:unhideWhenUsed/>
    <w:rsid w:val="006426C6"/>
    <w:rPr>
      <w:b/>
      <w:bCs/>
    </w:rPr>
  </w:style>
  <w:style w:type="character" w:customStyle="1" w:styleId="CommentSubjectChar">
    <w:name w:val="Comment Subject Char"/>
    <w:basedOn w:val="CommentTextChar"/>
    <w:link w:val="CommentSubject"/>
    <w:semiHidden/>
    <w:rsid w:val="006426C6"/>
    <w:rPr>
      <w:b/>
      <w:bCs/>
      <w:lang w:val="en-GB"/>
    </w:rPr>
  </w:style>
  <w:style w:type="paragraph" w:styleId="Revision">
    <w:name w:val="Revision"/>
    <w:hidden/>
    <w:uiPriority w:val="99"/>
    <w:semiHidden/>
    <w:rsid w:val="006426C6"/>
    <w:rPr>
      <w:lang w:val="en-GB"/>
    </w:rPr>
  </w:style>
  <w:style w:type="paragraph" w:styleId="BalloonText">
    <w:name w:val="Balloon Text"/>
    <w:basedOn w:val="Normal"/>
    <w:link w:val="BalloonTextChar"/>
    <w:semiHidden/>
    <w:unhideWhenUsed/>
    <w:rsid w:val="006426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426C6"/>
    <w:rPr>
      <w:rFonts w:ascii="Segoe UI" w:hAnsi="Segoe UI" w:cs="Segoe UI"/>
      <w:sz w:val="18"/>
      <w:szCs w:val="18"/>
      <w:lang w:val="en-GB"/>
    </w:rPr>
  </w:style>
  <w:style w:type="paragraph" w:styleId="ListParagraph">
    <w:name w:val="List Paragraph"/>
    <w:basedOn w:val="Normal"/>
    <w:uiPriority w:val="34"/>
    <w:semiHidden/>
    <w:rsid w:val="008512D7"/>
    <w:pPr>
      <w:ind w:left="720"/>
      <w:contextualSpacing/>
    </w:pPr>
  </w:style>
  <w:style w:type="character" w:customStyle="1" w:styleId="FootnoteTextChar">
    <w:name w:val="Footnote Text Char"/>
    <w:aliases w:val="5_G Char"/>
    <w:link w:val="FootnoteText"/>
    <w:uiPriority w:val="99"/>
    <w:rsid w:val="009A25D0"/>
    <w:rPr>
      <w:sz w:val="18"/>
      <w:lang w:val="en-GB"/>
    </w:rPr>
  </w:style>
  <w:style w:type="character" w:customStyle="1" w:styleId="normaltextrun">
    <w:name w:val="normaltextrun"/>
    <w:basedOn w:val="DefaultParagraphFont"/>
    <w:rsid w:val="00D63BB6"/>
  </w:style>
  <w:style w:type="character" w:styleId="Mention">
    <w:name w:val="Mention"/>
    <w:basedOn w:val="DefaultParagraphFont"/>
    <w:uiPriority w:val="99"/>
    <w:unhideWhenUsed/>
    <w:rsid w:val="00FC105E"/>
    <w:rPr>
      <w:color w:val="2B579A"/>
      <w:shd w:val="clear" w:color="auto" w:fill="E1DFDD"/>
    </w:rPr>
  </w:style>
  <w:style w:type="paragraph" w:styleId="NormalWeb">
    <w:name w:val="Normal (Web)"/>
    <w:basedOn w:val="Normal"/>
    <w:uiPriority w:val="99"/>
    <w:semiHidden/>
    <w:unhideWhenUsed/>
    <w:rsid w:val="00C170F1"/>
    <w:pPr>
      <w:suppressAutoHyphens w:val="0"/>
      <w:spacing w:before="100" w:beforeAutospacing="1" w:after="100" w:afterAutospacing="1" w:line="240" w:lineRule="auto"/>
    </w:pPr>
    <w:rPr>
      <w:rFonts w:eastAsia="Times New Roman"/>
      <w:sz w:val="24"/>
      <w:szCs w:val="24"/>
      <w:lang w:eastAsia="zh-CN"/>
    </w:rPr>
  </w:style>
  <w:style w:type="character" w:styleId="Emphasis">
    <w:name w:val="Emphasis"/>
    <w:basedOn w:val="DefaultParagraphFont"/>
    <w:uiPriority w:val="20"/>
    <w:qFormat/>
    <w:rsid w:val="00C170F1"/>
    <w:rPr>
      <w:i/>
      <w:iCs/>
    </w:rPr>
  </w:style>
  <w:style w:type="character" w:styleId="Strong">
    <w:name w:val="Strong"/>
    <w:basedOn w:val="DefaultParagraphFont"/>
    <w:uiPriority w:val="22"/>
    <w:qFormat/>
    <w:rsid w:val="00C170F1"/>
    <w:rPr>
      <w:b/>
      <w:bCs/>
    </w:rPr>
  </w:style>
  <w:style w:type="character" w:customStyle="1" w:styleId="section-number">
    <w:name w:val="section-number"/>
    <w:basedOn w:val="DefaultParagraphFont"/>
    <w:rsid w:val="00BD634C"/>
  </w:style>
  <w:style w:type="character" w:customStyle="1" w:styleId="section-title">
    <w:name w:val="section-title"/>
    <w:basedOn w:val="DefaultParagraphFont"/>
    <w:rsid w:val="00BD634C"/>
  </w:style>
  <w:style w:type="paragraph" w:customStyle="1" w:styleId="trail">
    <w:name w:val="trail"/>
    <w:basedOn w:val="Normal"/>
    <w:rsid w:val="00BD634C"/>
    <w:pPr>
      <w:suppressAutoHyphens w:val="0"/>
      <w:spacing w:before="100" w:beforeAutospacing="1" w:after="100" w:afterAutospacing="1" w:line="240" w:lineRule="auto"/>
    </w:pPr>
    <w:rPr>
      <w:rFonts w:eastAsia="Times New Roman"/>
      <w:sz w:val="24"/>
      <w:szCs w:val="24"/>
      <w:lang w:eastAsia="zh-CN"/>
    </w:rPr>
  </w:style>
  <w:style w:type="character" w:customStyle="1" w:styleId="carrot">
    <w:name w:val="carrot"/>
    <w:basedOn w:val="DefaultParagraphFont"/>
    <w:rsid w:val="00BD634C"/>
  </w:style>
  <w:style w:type="paragraph" w:customStyle="1" w:styleId="paft">
    <w:name w:val="paft"/>
    <w:basedOn w:val="Normal"/>
    <w:rsid w:val="00BD634C"/>
    <w:pPr>
      <w:suppressAutoHyphens w:val="0"/>
      <w:spacing w:before="100" w:beforeAutospacing="1" w:after="100" w:afterAutospacing="1" w:line="240" w:lineRule="auto"/>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446">
      <w:bodyDiv w:val="1"/>
      <w:marLeft w:val="0"/>
      <w:marRight w:val="0"/>
      <w:marTop w:val="0"/>
      <w:marBottom w:val="0"/>
      <w:divBdr>
        <w:top w:val="none" w:sz="0" w:space="0" w:color="auto"/>
        <w:left w:val="none" w:sz="0" w:space="0" w:color="auto"/>
        <w:bottom w:val="none" w:sz="0" w:space="0" w:color="auto"/>
        <w:right w:val="none" w:sz="0" w:space="0" w:color="auto"/>
      </w:divBdr>
      <w:divsChild>
        <w:div w:id="2057851920">
          <w:marLeft w:val="0"/>
          <w:marRight w:val="0"/>
          <w:marTop w:val="0"/>
          <w:marBottom w:val="0"/>
          <w:divBdr>
            <w:top w:val="none" w:sz="0" w:space="0" w:color="auto"/>
            <w:left w:val="none" w:sz="0" w:space="0" w:color="auto"/>
            <w:bottom w:val="none" w:sz="0" w:space="0" w:color="auto"/>
            <w:right w:val="none" w:sz="0" w:space="0" w:color="auto"/>
          </w:divBdr>
        </w:div>
      </w:divsChild>
    </w:div>
    <w:div w:id="122427931">
      <w:bodyDiv w:val="1"/>
      <w:marLeft w:val="0"/>
      <w:marRight w:val="0"/>
      <w:marTop w:val="0"/>
      <w:marBottom w:val="0"/>
      <w:divBdr>
        <w:top w:val="none" w:sz="0" w:space="0" w:color="auto"/>
        <w:left w:val="none" w:sz="0" w:space="0" w:color="auto"/>
        <w:bottom w:val="none" w:sz="0" w:space="0" w:color="auto"/>
        <w:right w:val="none" w:sz="0" w:space="0" w:color="auto"/>
      </w:divBdr>
    </w:div>
    <w:div w:id="152185432">
      <w:bodyDiv w:val="1"/>
      <w:marLeft w:val="0"/>
      <w:marRight w:val="0"/>
      <w:marTop w:val="0"/>
      <w:marBottom w:val="0"/>
      <w:divBdr>
        <w:top w:val="none" w:sz="0" w:space="0" w:color="auto"/>
        <w:left w:val="none" w:sz="0" w:space="0" w:color="auto"/>
        <w:bottom w:val="none" w:sz="0" w:space="0" w:color="auto"/>
        <w:right w:val="none" w:sz="0" w:space="0" w:color="auto"/>
      </w:divBdr>
    </w:div>
    <w:div w:id="170487985">
      <w:bodyDiv w:val="1"/>
      <w:marLeft w:val="0"/>
      <w:marRight w:val="0"/>
      <w:marTop w:val="0"/>
      <w:marBottom w:val="0"/>
      <w:divBdr>
        <w:top w:val="none" w:sz="0" w:space="0" w:color="auto"/>
        <w:left w:val="none" w:sz="0" w:space="0" w:color="auto"/>
        <w:bottom w:val="none" w:sz="0" w:space="0" w:color="auto"/>
        <w:right w:val="none" w:sz="0" w:space="0" w:color="auto"/>
      </w:divBdr>
    </w:div>
    <w:div w:id="182209176">
      <w:bodyDiv w:val="1"/>
      <w:marLeft w:val="0"/>
      <w:marRight w:val="0"/>
      <w:marTop w:val="0"/>
      <w:marBottom w:val="0"/>
      <w:divBdr>
        <w:top w:val="none" w:sz="0" w:space="0" w:color="auto"/>
        <w:left w:val="none" w:sz="0" w:space="0" w:color="auto"/>
        <w:bottom w:val="none" w:sz="0" w:space="0" w:color="auto"/>
        <w:right w:val="none" w:sz="0" w:space="0" w:color="auto"/>
      </w:divBdr>
    </w:div>
    <w:div w:id="257715324">
      <w:bodyDiv w:val="1"/>
      <w:marLeft w:val="0"/>
      <w:marRight w:val="0"/>
      <w:marTop w:val="0"/>
      <w:marBottom w:val="0"/>
      <w:divBdr>
        <w:top w:val="none" w:sz="0" w:space="0" w:color="auto"/>
        <w:left w:val="none" w:sz="0" w:space="0" w:color="auto"/>
        <w:bottom w:val="none" w:sz="0" w:space="0" w:color="auto"/>
        <w:right w:val="none" w:sz="0" w:space="0" w:color="auto"/>
      </w:divBdr>
    </w:div>
    <w:div w:id="551892657">
      <w:bodyDiv w:val="1"/>
      <w:marLeft w:val="0"/>
      <w:marRight w:val="0"/>
      <w:marTop w:val="0"/>
      <w:marBottom w:val="0"/>
      <w:divBdr>
        <w:top w:val="none" w:sz="0" w:space="0" w:color="auto"/>
        <w:left w:val="none" w:sz="0" w:space="0" w:color="auto"/>
        <w:bottom w:val="none" w:sz="0" w:space="0" w:color="auto"/>
        <w:right w:val="none" w:sz="0" w:space="0" w:color="auto"/>
      </w:divBdr>
    </w:div>
    <w:div w:id="711343850">
      <w:bodyDiv w:val="1"/>
      <w:marLeft w:val="0"/>
      <w:marRight w:val="0"/>
      <w:marTop w:val="0"/>
      <w:marBottom w:val="0"/>
      <w:divBdr>
        <w:top w:val="none" w:sz="0" w:space="0" w:color="auto"/>
        <w:left w:val="none" w:sz="0" w:space="0" w:color="auto"/>
        <w:bottom w:val="none" w:sz="0" w:space="0" w:color="auto"/>
        <w:right w:val="none" w:sz="0" w:space="0" w:color="auto"/>
      </w:divBdr>
    </w:div>
    <w:div w:id="734550389">
      <w:bodyDiv w:val="1"/>
      <w:marLeft w:val="0"/>
      <w:marRight w:val="0"/>
      <w:marTop w:val="0"/>
      <w:marBottom w:val="0"/>
      <w:divBdr>
        <w:top w:val="none" w:sz="0" w:space="0" w:color="auto"/>
        <w:left w:val="none" w:sz="0" w:space="0" w:color="auto"/>
        <w:bottom w:val="none" w:sz="0" w:space="0" w:color="auto"/>
        <w:right w:val="none" w:sz="0" w:space="0" w:color="auto"/>
      </w:divBdr>
    </w:div>
    <w:div w:id="750129043">
      <w:bodyDiv w:val="1"/>
      <w:marLeft w:val="0"/>
      <w:marRight w:val="0"/>
      <w:marTop w:val="0"/>
      <w:marBottom w:val="0"/>
      <w:divBdr>
        <w:top w:val="none" w:sz="0" w:space="0" w:color="auto"/>
        <w:left w:val="none" w:sz="0" w:space="0" w:color="auto"/>
        <w:bottom w:val="none" w:sz="0" w:space="0" w:color="auto"/>
        <w:right w:val="none" w:sz="0" w:space="0" w:color="auto"/>
      </w:divBdr>
    </w:div>
    <w:div w:id="779104021">
      <w:bodyDiv w:val="1"/>
      <w:marLeft w:val="0"/>
      <w:marRight w:val="0"/>
      <w:marTop w:val="0"/>
      <w:marBottom w:val="0"/>
      <w:divBdr>
        <w:top w:val="none" w:sz="0" w:space="0" w:color="auto"/>
        <w:left w:val="none" w:sz="0" w:space="0" w:color="auto"/>
        <w:bottom w:val="none" w:sz="0" w:space="0" w:color="auto"/>
        <w:right w:val="none" w:sz="0" w:space="0" w:color="auto"/>
      </w:divBdr>
      <w:divsChild>
        <w:div w:id="1531215095">
          <w:marLeft w:val="0"/>
          <w:marRight w:val="0"/>
          <w:marTop w:val="0"/>
          <w:marBottom w:val="0"/>
          <w:divBdr>
            <w:top w:val="none" w:sz="0" w:space="0" w:color="auto"/>
            <w:left w:val="none" w:sz="0" w:space="0" w:color="auto"/>
            <w:bottom w:val="none" w:sz="0" w:space="0" w:color="auto"/>
            <w:right w:val="none" w:sz="0" w:space="0" w:color="auto"/>
          </w:divBdr>
          <w:divsChild>
            <w:div w:id="4043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79470">
      <w:bodyDiv w:val="1"/>
      <w:marLeft w:val="0"/>
      <w:marRight w:val="0"/>
      <w:marTop w:val="0"/>
      <w:marBottom w:val="0"/>
      <w:divBdr>
        <w:top w:val="none" w:sz="0" w:space="0" w:color="auto"/>
        <w:left w:val="none" w:sz="0" w:space="0" w:color="auto"/>
        <w:bottom w:val="none" w:sz="0" w:space="0" w:color="auto"/>
        <w:right w:val="none" w:sz="0" w:space="0" w:color="auto"/>
      </w:divBdr>
    </w:div>
    <w:div w:id="993533427">
      <w:bodyDiv w:val="1"/>
      <w:marLeft w:val="0"/>
      <w:marRight w:val="0"/>
      <w:marTop w:val="0"/>
      <w:marBottom w:val="0"/>
      <w:divBdr>
        <w:top w:val="none" w:sz="0" w:space="0" w:color="auto"/>
        <w:left w:val="none" w:sz="0" w:space="0" w:color="auto"/>
        <w:bottom w:val="none" w:sz="0" w:space="0" w:color="auto"/>
        <w:right w:val="none" w:sz="0" w:space="0" w:color="auto"/>
      </w:divBdr>
    </w:div>
    <w:div w:id="995106710">
      <w:bodyDiv w:val="1"/>
      <w:marLeft w:val="0"/>
      <w:marRight w:val="0"/>
      <w:marTop w:val="0"/>
      <w:marBottom w:val="0"/>
      <w:divBdr>
        <w:top w:val="none" w:sz="0" w:space="0" w:color="auto"/>
        <w:left w:val="none" w:sz="0" w:space="0" w:color="auto"/>
        <w:bottom w:val="none" w:sz="0" w:space="0" w:color="auto"/>
        <w:right w:val="none" w:sz="0" w:space="0" w:color="auto"/>
      </w:divBdr>
    </w:div>
    <w:div w:id="997419177">
      <w:bodyDiv w:val="1"/>
      <w:marLeft w:val="0"/>
      <w:marRight w:val="0"/>
      <w:marTop w:val="0"/>
      <w:marBottom w:val="0"/>
      <w:divBdr>
        <w:top w:val="none" w:sz="0" w:space="0" w:color="auto"/>
        <w:left w:val="none" w:sz="0" w:space="0" w:color="auto"/>
        <w:bottom w:val="none" w:sz="0" w:space="0" w:color="auto"/>
        <w:right w:val="none" w:sz="0" w:space="0" w:color="auto"/>
      </w:divBdr>
    </w:div>
    <w:div w:id="1063410049">
      <w:bodyDiv w:val="1"/>
      <w:marLeft w:val="0"/>
      <w:marRight w:val="0"/>
      <w:marTop w:val="0"/>
      <w:marBottom w:val="0"/>
      <w:divBdr>
        <w:top w:val="none" w:sz="0" w:space="0" w:color="auto"/>
        <w:left w:val="none" w:sz="0" w:space="0" w:color="auto"/>
        <w:bottom w:val="none" w:sz="0" w:space="0" w:color="auto"/>
        <w:right w:val="none" w:sz="0" w:space="0" w:color="auto"/>
      </w:divBdr>
    </w:div>
    <w:div w:id="1112164601">
      <w:bodyDiv w:val="1"/>
      <w:marLeft w:val="0"/>
      <w:marRight w:val="0"/>
      <w:marTop w:val="0"/>
      <w:marBottom w:val="0"/>
      <w:divBdr>
        <w:top w:val="none" w:sz="0" w:space="0" w:color="auto"/>
        <w:left w:val="none" w:sz="0" w:space="0" w:color="auto"/>
        <w:bottom w:val="none" w:sz="0" w:space="0" w:color="auto"/>
        <w:right w:val="none" w:sz="0" w:space="0" w:color="auto"/>
      </w:divBdr>
    </w:div>
    <w:div w:id="1136726865">
      <w:bodyDiv w:val="1"/>
      <w:marLeft w:val="0"/>
      <w:marRight w:val="0"/>
      <w:marTop w:val="0"/>
      <w:marBottom w:val="0"/>
      <w:divBdr>
        <w:top w:val="none" w:sz="0" w:space="0" w:color="auto"/>
        <w:left w:val="none" w:sz="0" w:space="0" w:color="auto"/>
        <w:bottom w:val="none" w:sz="0" w:space="0" w:color="auto"/>
        <w:right w:val="none" w:sz="0" w:space="0" w:color="auto"/>
      </w:divBdr>
    </w:div>
    <w:div w:id="1166169174">
      <w:bodyDiv w:val="1"/>
      <w:marLeft w:val="0"/>
      <w:marRight w:val="0"/>
      <w:marTop w:val="0"/>
      <w:marBottom w:val="0"/>
      <w:divBdr>
        <w:top w:val="none" w:sz="0" w:space="0" w:color="auto"/>
        <w:left w:val="none" w:sz="0" w:space="0" w:color="auto"/>
        <w:bottom w:val="none" w:sz="0" w:space="0" w:color="auto"/>
        <w:right w:val="none" w:sz="0" w:space="0" w:color="auto"/>
      </w:divBdr>
    </w:div>
    <w:div w:id="1170830758">
      <w:bodyDiv w:val="1"/>
      <w:marLeft w:val="0"/>
      <w:marRight w:val="0"/>
      <w:marTop w:val="0"/>
      <w:marBottom w:val="0"/>
      <w:divBdr>
        <w:top w:val="none" w:sz="0" w:space="0" w:color="auto"/>
        <w:left w:val="none" w:sz="0" w:space="0" w:color="auto"/>
        <w:bottom w:val="none" w:sz="0" w:space="0" w:color="auto"/>
        <w:right w:val="none" w:sz="0" w:space="0" w:color="auto"/>
      </w:divBdr>
    </w:div>
    <w:div w:id="1172450258">
      <w:bodyDiv w:val="1"/>
      <w:marLeft w:val="0"/>
      <w:marRight w:val="0"/>
      <w:marTop w:val="0"/>
      <w:marBottom w:val="0"/>
      <w:divBdr>
        <w:top w:val="none" w:sz="0" w:space="0" w:color="auto"/>
        <w:left w:val="none" w:sz="0" w:space="0" w:color="auto"/>
        <w:bottom w:val="none" w:sz="0" w:space="0" w:color="auto"/>
        <w:right w:val="none" w:sz="0" w:space="0" w:color="auto"/>
      </w:divBdr>
    </w:div>
    <w:div w:id="1182235721">
      <w:bodyDiv w:val="1"/>
      <w:marLeft w:val="0"/>
      <w:marRight w:val="0"/>
      <w:marTop w:val="0"/>
      <w:marBottom w:val="0"/>
      <w:divBdr>
        <w:top w:val="none" w:sz="0" w:space="0" w:color="auto"/>
        <w:left w:val="none" w:sz="0" w:space="0" w:color="auto"/>
        <w:bottom w:val="none" w:sz="0" w:space="0" w:color="auto"/>
        <w:right w:val="none" w:sz="0" w:space="0" w:color="auto"/>
      </w:divBdr>
    </w:div>
    <w:div w:id="1231618877">
      <w:bodyDiv w:val="1"/>
      <w:marLeft w:val="0"/>
      <w:marRight w:val="0"/>
      <w:marTop w:val="0"/>
      <w:marBottom w:val="0"/>
      <w:divBdr>
        <w:top w:val="none" w:sz="0" w:space="0" w:color="auto"/>
        <w:left w:val="none" w:sz="0" w:space="0" w:color="auto"/>
        <w:bottom w:val="none" w:sz="0" w:space="0" w:color="auto"/>
        <w:right w:val="none" w:sz="0" w:space="0" w:color="auto"/>
      </w:divBdr>
    </w:div>
    <w:div w:id="1234048936">
      <w:bodyDiv w:val="1"/>
      <w:marLeft w:val="0"/>
      <w:marRight w:val="0"/>
      <w:marTop w:val="0"/>
      <w:marBottom w:val="0"/>
      <w:divBdr>
        <w:top w:val="none" w:sz="0" w:space="0" w:color="auto"/>
        <w:left w:val="none" w:sz="0" w:space="0" w:color="auto"/>
        <w:bottom w:val="none" w:sz="0" w:space="0" w:color="auto"/>
        <w:right w:val="none" w:sz="0" w:space="0" w:color="auto"/>
      </w:divBdr>
    </w:div>
    <w:div w:id="1239050797">
      <w:bodyDiv w:val="1"/>
      <w:marLeft w:val="0"/>
      <w:marRight w:val="0"/>
      <w:marTop w:val="0"/>
      <w:marBottom w:val="0"/>
      <w:divBdr>
        <w:top w:val="none" w:sz="0" w:space="0" w:color="auto"/>
        <w:left w:val="none" w:sz="0" w:space="0" w:color="auto"/>
        <w:bottom w:val="none" w:sz="0" w:space="0" w:color="auto"/>
        <w:right w:val="none" w:sz="0" w:space="0" w:color="auto"/>
      </w:divBdr>
    </w:div>
    <w:div w:id="1244488238">
      <w:bodyDiv w:val="1"/>
      <w:marLeft w:val="0"/>
      <w:marRight w:val="0"/>
      <w:marTop w:val="0"/>
      <w:marBottom w:val="0"/>
      <w:divBdr>
        <w:top w:val="none" w:sz="0" w:space="0" w:color="auto"/>
        <w:left w:val="none" w:sz="0" w:space="0" w:color="auto"/>
        <w:bottom w:val="none" w:sz="0" w:space="0" w:color="auto"/>
        <w:right w:val="none" w:sz="0" w:space="0" w:color="auto"/>
      </w:divBdr>
    </w:div>
    <w:div w:id="1563952849">
      <w:bodyDiv w:val="1"/>
      <w:marLeft w:val="0"/>
      <w:marRight w:val="0"/>
      <w:marTop w:val="0"/>
      <w:marBottom w:val="0"/>
      <w:divBdr>
        <w:top w:val="none" w:sz="0" w:space="0" w:color="auto"/>
        <w:left w:val="none" w:sz="0" w:space="0" w:color="auto"/>
        <w:bottom w:val="none" w:sz="0" w:space="0" w:color="auto"/>
        <w:right w:val="none" w:sz="0" w:space="0" w:color="auto"/>
      </w:divBdr>
    </w:div>
    <w:div w:id="1588079266">
      <w:bodyDiv w:val="1"/>
      <w:marLeft w:val="0"/>
      <w:marRight w:val="0"/>
      <w:marTop w:val="0"/>
      <w:marBottom w:val="0"/>
      <w:divBdr>
        <w:top w:val="none" w:sz="0" w:space="0" w:color="auto"/>
        <w:left w:val="none" w:sz="0" w:space="0" w:color="auto"/>
        <w:bottom w:val="none" w:sz="0" w:space="0" w:color="auto"/>
        <w:right w:val="none" w:sz="0" w:space="0" w:color="auto"/>
      </w:divBdr>
    </w:div>
    <w:div w:id="1625427556">
      <w:bodyDiv w:val="1"/>
      <w:marLeft w:val="0"/>
      <w:marRight w:val="0"/>
      <w:marTop w:val="0"/>
      <w:marBottom w:val="0"/>
      <w:divBdr>
        <w:top w:val="none" w:sz="0" w:space="0" w:color="auto"/>
        <w:left w:val="none" w:sz="0" w:space="0" w:color="auto"/>
        <w:bottom w:val="none" w:sz="0" w:space="0" w:color="auto"/>
        <w:right w:val="none" w:sz="0" w:space="0" w:color="auto"/>
      </w:divBdr>
    </w:div>
    <w:div w:id="1708484826">
      <w:bodyDiv w:val="1"/>
      <w:marLeft w:val="0"/>
      <w:marRight w:val="0"/>
      <w:marTop w:val="0"/>
      <w:marBottom w:val="0"/>
      <w:divBdr>
        <w:top w:val="none" w:sz="0" w:space="0" w:color="auto"/>
        <w:left w:val="none" w:sz="0" w:space="0" w:color="auto"/>
        <w:bottom w:val="none" w:sz="0" w:space="0" w:color="auto"/>
        <w:right w:val="none" w:sz="0" w:space="0" w:color="auto"/>
      </w:divBdr>
    </w:div>
    <w:div w:id="1834563696">
      <w:bodyDiv w:val="1"/>
      <w:marLeft w:val="0"/>
      <w:marRight w:val="0"/>
      <w:marTop w:val="0"/>
      <w:marBottom w:val="0"/>
      <w:divBdr>
        <w:top w:val="none" w:sz="0" w:space="0" w:color="auto"/>
        <w:left w:val="none" w:sz="0" w:space="0" w:color="auto"/>
        <w:bottom w:val="none" w:sz="0" w:space="0" w:color="auto"/>
        <w:right w:val="none" w:sz="0" w:space="0" w:color="auto"/>
      </w:divBdr>
    </w:div>
    <w:div w:id="1976059631">
      <w:bodyDiv w:val="1"/>
      <w:marLeft w:val="0"/>
      <w:marRight w:val="0"/>
      <w:marTop w:val="0"/>
      <w:marBottom w:val="0"/>
      <w:divBdr>
        <w:top w:val="none" w:sz="0" w:space="0" w:color="auto"/>
        <w:left w:val="none" w:sz="0" w:space="0" w:color="auto"/>
        <w:bottom w:val="none" w:sz="0" w:space="0" w:color="auto"/>
        <w:right w:val="none" w:sz="0" w:space="0" w:color="auto"/>
      </w:divBdr>
    </w:div>
    <w:div w:id="2092122569">
      <w:bodyDiv w:val="1"/>
      <w:marLeft w:val="0"/>
      <w:marRight w:val="0"/>
      <w:marTop w:val="0"/>
      <w:marBottom w:val="0"/>
      <w:divBdr>
        <w:top w:val="none" w:sz="0" w:space="0" w:color="auto"/>
        <w:left w:val="none" w:sz="0" w:space="0" w:color="auto"/>
        <w:bottom w:val="none" w:sz="0" w:space="0" w:color="auto"/>
        <w:right w:val="none" w:sz="0" w:space="0" w:color="auto"/>
      </w:divBdr>
    </w:div>
    <w:div w:id="20977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indico.un.org/event/1002016/" TargetMode="External"/><Relationship Id="rId2" Type="http://schemas.openxmlformats.org/officeDocument/2006/relationships/hyperlink" Target="http://www.unece.org/transport/events/itc-inland-transport-committee-85th-session" TargetMode="External"/><Relationship Id="rId1" Type="http://schemas.openxmlformats.org/officeDocument/2006/relationships/hyperlink" Target="https://unece.org/info/Transport/Transport-of-Perishable-Foodstuffs/events/357984" TargetMode="External"/><Relationship Id="rId4" Type="http://schemas.openxmlformats.org/officeDocument/2006/relationships/hyperlink" Target="http://www.unece.org/practical-information-delega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EB4CB-3DA5-4934-AED7-07FFC7C0412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2CB6956F-A2ED-465D-B3F9-616A85FD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708A2-9E1B-4C13-8710-FED1A5A9C64B}">
  <ds:schemaRefs>
    <ds:schemaRef ds:uri="http://schemas.openxmlformats.org/officeDocument/2006/bibliography"/>
  </ds:schemaRefs>
</ds:datastoreItem>
</file>

<file path=customXml/itemProps4.xml><?xml version="1.0" encoding="utf-8"?>
<ds:datastoreItem xmlns:ds="http://schemas.openxmlformats.org/officeDocument/2006/customXml" ds:itemID="{1B74203B-ADD9-4DBE-8EBB-DC0D41378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8857</Words>
  <Characters>51380</Characters>
  <Application>Microsoft Office Word</Application>
  <DocSecurity>0</DocSecurity>
  <Lines>892</Lines>
  <Paragraphs>317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Informal document No. 4</vt:lpstr>
      <vt:lpstr/>
    </vt:vector>
  </TitlesOfParts>
  <Company>CSD</Company>
  <LinksUpToDate>false</LinksUpToDate>
  <CharactersWithSpaces>60063</CharactersWithSpaces>
  <SharedDoc>false</SharedDoc>
  <HLinks>
    <vt:vector size="6" baseType="variant">
      <vt:variant>
        <vt:i4>4063306</vt:i4>
      </vt:variant>
      <vt:variant>
        <vt:i4>0</vt:i4>
      </vt:variant>
      <vt:variant>
        <vt:i4>0</vt:i4>
      </vt:variant>
      <vt:variant>
        <vt:i4>5</vt:i4>
      </vt:variant>
      <vt:variant>
        <vt:lpwstr>mailto:francesco.dionori@un.org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ECE/TRANS/327/Add.1</dc:title>
  <dc:subject>2227684</dc:subject>
  <dc:creator>Anastasia Barinova</dc:creator>
  <cp:keywords/>
  <dc:description/>
  <cp:lastModifiedBy>Maria Rosario Corazon Gatmaytan</cp:lastModifiedBy>
  <cp:revision>2</cp:revision>
  <cp:lastPrinted>2022-12-05T11:23:00Z</cp:lastPrinted>
  <dcterms:created xsi:type="dcterms:W3CDTF">2022-12-12T12:35:00Z</dcterms:created>
  <dcterms:modified xsi:type="dcterms:W3CDTF">2022-12-12T12:35:00Z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3226200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