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764512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260900B" w14:textId="77777777" w:rsidR="002D5AAC" w:rsidRDefault="002D5AAC" w:rsidP="001759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D82CD9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E15DA4B" w14:textId="30345FD4" w:rsidR="002D5AAC" w:rsidRDefault="00175934" w:rsidP="00175934">
            <w:pPr>
              <w:jc w:val="right"/>
            </w:pPr>
            <w:r w:rsidRPr="00175934">
              <w:rPr>
                <w:sz w:val="40"/>
              </w:rPr>
              <w:t>ECE</w:t>
            </w:r>
            <w:r>
              <w:t>/TRANS/2023/25</w:t>
            </w:r>
          </w:p>
        </w:tc>
      </w:tr>
      <w:tr w:rsidR="002D5AAC" w14:paraId="3C36AF8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8B14B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9B53CD" wp14:editId="3EEA8DB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A5D95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6BA28A3" w14:textId="77777777" w:rsidR="002D5AAC" w:rsidRDefault="0017593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44D58E1" w14:textId="77777777" w:rsidR="00175934" w:rsidRDefault="00175934" w:rsidP="001759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December 2022</w:t>
            </w:r>
          </w:p>
          <w:p w14:paraId="1DC83EE8" w14:textId="77777777" w:rsidR="00175934" w:rsidRDefault="00175934" w:rsidP="001759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D8FAEED" w14:textId="050D3F3E" w:rsidR="00175934" w:rsidRPr="008D53B6" w:rsidRDefault="00175934" w:rsidP="001759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8F8005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7BABAB2" w14:textId="77777777" w:rsidR="00175934" w:rsidRPr="00175934" w:rsidRDefault="00175934" w:rsidP="00175934">
      <w:pPr>
        <w:spacing w:before="120"/>
        <w:rPr>
          <w:sz w:val="28"/>
          <w:szCs w:val="28"/>
        </w:rPr>
      </w:pPr>
      <w:r w:rsidRPr="00175934">
        <w:rPr>
          <w:sz w:val="28"/>
          <w:szCs w:val="28"/>
        </w:rPr>
        <w:t>Комитет по внутреннему транспорту</w:t>
      </w:r>
    </w:p>
    <w:p w14:paraId="71990924" w14:textId="77777777" w:rsidR="00175934" w:rsidRPr="00A23BC4" w:rsidRDefault="00175934" w:rsidP="00175934">
      <w:pPr>
        <w:spacing w:before="120"/>
        <w:rPr>
          <w:b/>
          <w:bCs/>
        </w:rPr>
      </w:pPr>
      <w:r>
        <w:rPr>
          <w:b/>
          <w:bCs/>
        </w:rPr>
        <w:t>Восемьдесят пятая сессия</w:t>
      </w:r>
    </w:p>
    <w:p w14:paraId="1700990D" w14:textId="2E34DCB4" w:rsidR="00175934" w:rsidRPr="00A23BC4" w:rsidRDefault="00175934" w:rsidP="00175934">
      <w:pPr>
        <w:rPr>
          <w:b/>
          <w:bCs/>
        </w:rPr>
      </w:pPr>
      <w:r>
        <w:t>Женева, 21–24 февраля 2023 года</w:t>
      </w:r>
      <w:r>
        <w:br/>
        <w:t>Пункт 7 k) предварительной повестки дня</w:t>
      </w:r>
      <w:r>
        <w:br/>
      </w:r>
      <w:r>
        <w:rPr>
          <w:b/>
          <w:bCs/>
        </w:rPr>
        <w:t>Стратегические вопросы горизонтальной</w:t>
      </w:r>
      <w:r w:rsidR="00517230">
        <w:rPr>
          <w:b/>
          <w:bCs/>
        </w:rPr>
        <w:br/>
      </w:r>
      <w:r>
        <w:rPr>
          <w:b/>
          <w:bCs/>
        </w:rPr>
        <w:t>и межсекторальной</w:t>
      </w:r>
      <w:r w:rsidR="00517230" w:rsidRPr="00517230">
        <w:rPr>
          <w:b/>
          <w:bCs/>
        </w:rPr>
        <w:t xml:space="preserve"> </w:t>
      </w:r>
      <w:r>
        <w:rPr>
          <w:b/>
          <w:bCs/>
        </w:rPr>
        <w:t>политики или</w:t>
      </w:r>
      <w:r w:rsidRPr="00175934">
        <w:rPr>
          <w:b/>
          <w:bCs/>
        </w:rPr>
        <w:t xml:space="preserve"> </w:t>
      </w:r>
      <w:r>
        <w:rPr>
          <w:b/>
          <w:bCs/>
        </w:rPr>
        <w:t>нормативного характера:</w:t>
      </w:r>
      <w:r w:rsidR="00517230">
        <w:rPr>
          <w:b/>
          <w:bCs/>
        </w:rPr>
        <w:br/>
      </w:r>
      <w:r>
        <w:rPr>
          <w:b/>
          <w:bCs/>
        </w:rPr>
        <w:t>Согласование правил в области транспортных средств</w:t>
      </w:r>
    </w:p>
    <w:p w14:paraId="0CFC3BA7" w14:textId="77777777" w:rsidR="00175934" w:rsidRPr="00A23BC4" w:rsidRDefault="00175934" w:rsidP="00175934">
      <w:pPr>
        <w:pStyle w:val="HChG"/>
      </w:pPr>
      <w:r>
        <w:tab/>
      </w:r>
      <w:r>
        <w:tab/>
      </w:r>
      <w:r>
        <w:rPr>
          <w:bCs/>
        </w:rPr>
        <w:t>Последние изменения в правилах, касающихся транспортных средств</w:t>
      </w:r>
    </w:p>
    <w:p w14:paraId="4389246C" w14:textId="3D03BF88" w:rsidR="00175934" w:rsidRDefault="00175934" w:rsidP="00175934">
      <w:pPr>
        <w:pStyle w:val="H1G"/>
        <w:rPr>
          <w:bCs/>
        </w:rPr>
      </w:pPr>
      <w:r>
        <w:tab/>
      </w:r>
      <w:r>
        <w:tab/>
      </w:r>
      <w:r>
        <w:rPr>
          <w:bCs/>
        </w:rPr>
        <w:t>Записка секретариата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517230" w:rsidRPr="00517230" w14:paraId="48C52CE3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6871F36" w14:textId="77777777" w:rsidR="00517230" w:rsidRPr="00517230" w:rsidRDefault="00517230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517230">
              <w:rPr>
                <w:rFonts w:cs="Times New Roman"/>
              </w:rPr>
              <w:tab/>
            </w:r>
            <w:r w:rsidRPr="00517230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517230" w:rsidRPr="00517230" w14:paraId="7AE856C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F57EB3D" w14:textId="0D8608E9" w:rsidR="00517230" w:rsidRPr="00517230" w:rsidRDefault="00517230" w:rsidP="00517230">
            <w:pPr>
              <w:pStyle w:val="SingleTxtG"/>
              <w:ind w:firstLine="567"/>
            </w:pPr>
            <w:r w:rsidRPr="00517230">
              <w:t>Работа Всемирного форума для согласования правил в области транспортных средств (WP.29) по-прежнему направлена на укрепление безопасности транспортных средств и охраны окружающей среды, в результате чего появились многочисленные новые правила и были внесены поправки в уже существующие правила и предписания в области транспортных средств в рамках соглашений 1958, 1997 и 1998 годов.</w:t>
            </w:r>
          </w:p>
        </w:tc>
      </w:tr>
      <w:tr w:rsidR="00517230" w:rsidRPr="00517230" w14:paraId="3A68E68D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19BA07F" w14:textId="422698E6" w:rsidR="00517230" w:rsidRPr="00517230" w:rsidRDefault="00517230" w:rsidP="00517230">
            <w:pPr>
              <w:pStyle w:val="SingleTxtG"/>
              <w:ind w:firstLine="567"/>
            </w:pPr>
            <w:r w:rsidRPr="00517230">
              <w:t>Важными темами в 2022 году были разработка свода правил ООН, прилагаемых к Соглашению 1958 года, для улучшения защиты уязвимых участников дорожного движения, Правил № 160 ООН (регистратор данных о событиях) для более углубленного анализа аварий, свода правил ООН для совершенствования положений, касающихся противоугонных устройств, а также реализация и дальнейшее развитие Соглашения 1998 года и периодических технических осмотров (ПТО) в рамках Соглашения 1997 года с разработкой целостной системы для обеспечения соблюдения требований в течение всего срока службы транспортных средств.</w:t>
            </w:r>
          </w:p>
        </w:tc>
      </w:tr>
      <w:tr w:rsidR="00517230" w:rsidRPr="00517230" w14:paraId="721B1761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958E377" w14:textId="7F011AF5" w:rsidR="00517230" w:rsidRPr="00517230" w:rsidRDefault="00517230" w:rsidP="00517230">
            <w:pPr>
              <w:pStyle w:val="SingleTxtG"/>
              <w:ind w:firstLine="567"/>
            </w:pPr>
            <w:r w:rsidRPr="00517230">
              <w:t xml:space="preserve">Комитету по внутреннему транспорту (КВТ) </w:t>
            </w:r>
            <w:r w:rsidRPr="00517230">
              <w:rPr>
                <w:b/>
                <w:bCs/>
              </w:rPr>
              <w:t>предлагается</w:t>
            </w:r>
            <w:r w:rsidRPr="00517230">
              <w:t>:</w:t>
            </w:r>
          </w:p>
        </w:tc>
      </w:tr>
      <w:tr w:rsidR="00517230" w:rsidRPr="00517230" w14:paraId="504AF998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41E0FA5" w14:textId="0A233E6C" w:rsidR="00517230" w:rsidRPr="00517230" w:rsidRDefault="00517230" w:rsidP="00517230">
            <w:pPr>
              <w:pStyle w:val="SingleTxtG"/>
              <w:ind w:left="1553"/>
            </w:pPr>
            <w:r w:rsidRPr="00517230">
              <w:t>•</w:t>
            </w:r>
            <w:r w:rsidRPr="00517230">
              <w:tab/>
            </w:r>
            <w:r w:rsidRPr="00517230">
              <w:rPr>
                <w:b/>
                <w:bCs/>
              </w:rPr>
              <w:t>одобрить</w:t>
            </w:r>
            <w:r w:rsidRPr="00517230">
              <w:t xml:space="preserve"> виды деятельности, перечисленные в настоящем документе;</w:t>
            </w:r>
          </w:p>
        </w:tc>
      </w:tr>
      <w:tr w:rsidR="00517230" w:rsidRPr="00517230" w14:paraId="3A558CA3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C39393B" w14:textId="0ECE8710" w:rsidR="00517230" w:rsidRPr="00517230" w:rsidRDefault="00517230" w:rsidP="00517230">
            <w:pPr>
              <w:pStyle w:val="SingleTxtG"/>
              <w:ind w:left="1701" w:hanging="148"/>
            </w:pPr>
            <w:r w:rsidRPr="00517230">
              <w:t>•</w:t>
            </w:r>
            <w:r w:rsidRPr="00517230">
              <w:tab/>
            </w:r>
            <w:r w:rsidRPr="00517230">
              <w:rPr>
                <w:b/>
                <w:bCs/>
              </w:rPr>
              <w:t xml:space="preserve">приветствовать </w:t>
            </w:r>
            <w:r w:rsidRPr="00517230">
              <w:t>разработку свода правил ООН по улучшению защиты уязвимых участников дорожного движения, автоматизации транспортных средств, а также свое участие в подготовке оценки жизненного цикла (ОЖЦ) в контексте потребления энергии и выбросов углерода с акцентом на транспортные средства с электрическим приводом;</w:t>
            </w:r>
          </w:p>
        </w:tc>
      </w:tr>
      <w:tr w:rsidR="00517230" w:rsidRPr="00517230" w14:paraId="542C2E85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A08F1AC" w14:textId="21EAB3A7" w:rsidR="00517230" w:rsidRPr="00517230" w:rsidRDefault="00517230" w:rsidP="00517230">
            <w:pPr>
              <w:pStyle w:val="SingleTxtG"/>
              <w:ind w:left="1701" w:hanging="148"/>
            </w:pPr>
            <w:r w:rsidRPr="00517230">
              <w:t>•</w:t>
            </w:r>
            <w:r w:rsidRPr="00517230">
              <w:tab/>
            </w:r>
            <w:r w:rsidRPr="00517230">
              <w:rPr>
                <w:b/>
                <w:bCs/>
              </w:rPr>
              <w:t>принять к сведению</w:t>
            </w:r>
            <w:r w:rsidRPr="00517230">
              <w:t xml:space="preserve"> ограничения, установленные в отношении сессий WP.29 и его вспомогательных органов в связи с реакцией на последствия COVID-19, а также </w:t>
            </w:r>
            <w:r w:rsidRPr="00517230">
              <w:rPr>
                <w:b/>
                <w:bCs/>
              </w:rPr>
              <w:t xml:space="preserve">поддержать </w:t>
            </w:r>
            <w:r w:rsidRPr="00517230">
              <w:t xml:space="preserve">настоятельный призыв WP.29 к государствам-членам обратиться с просьбой о выделении достаточного бюджетного финансирования для продолжения обеспечения полного устного перевода на смешанных </w:t>
            </w:r>
            <w:r w:rsidRPr="00517230">
              <w:lastRenderedPageBreak/>
              <w:t>совещаниях, с тем чтобы и впредь предоставлять делегациям из стран с низким и средним уровнем дохода возможность лично или дистанционно участвовать в работе WP.29. Продолжение в полном объеме практики организации смешанных совещаний соответствует глобальному стремлению к сокращению выбросов углекислого газа, о чем свидетельствует Конференция</w:t>
            </w:r>
            <w:r w:rsidR="00AD34BA">
              <w:br/>
            </w:r>
            <w:r w:rsidRPr="00517230">
              <w:t>Cторон (КС 27), состоявшаяся в Египте. Делегациям было предложено довести эти рекомендации до сведения своих правительств, а также представительств при ООН в Женеве и Нью-Йорке;</w:t>
            </w:r>
          </w:p>
        </w:tc>
      </w:tr>
      <w:tr w:rsidR="00517230" w:rsidRPr="00517230" w14:paraId="32C85D2E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C06FA97" w14:textId="43FAE2B6" w:rsidR="00517230" w:rsidRPr="00517230" w:rsidRDefault="00517230" w:rsidP="00517230">
            <w:pPr>
              <w:pStyle w:val="SingleTxtG"/>
              <w:ind w:left="1701" w:hanging="148"/>
            </w:pPr>
            <w:r w:rsidRPr="00517230">
              <w:lastRenderedPageBreak/>
              <w:t>•</w:t>
            </w:r>
            <w:r w:rsidRPr="00517230">
              <w:tab/>
            </w:r>
            <w:r w:rsidRPr="00517230">
              <w:rPr>
                <w:b/>
                <w:bCs/>
              </w:rPr>
              <w:t>принять к сведению</w:t>
            </w:r>
            <w:r w:rsidRPr="00517230">
              <w:t xml:space="preserve"> желание Рабочей группы по автоматизированным/</w:t>
            </w:r>
            <w:r w:rsidR="00AD34BA">
              <w:br/>
            </w:r>
            <w:r w:rsidRPr="00517230">
              <w:t>автономным и подключенным транспортным средствам (GRVA) провести одну из своих ежегодных сессий за пределами Женевы.</w:t>
            </w:r>
          </w:p>
        </w:tc>
      </w:tr>
      <w:tr w:rsidR="00517230" w:rsidRPr="00517230" w14:paraId="1191BC35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E26CCF5" w14:textId="2A99C9B0" w:rsidR="00517230" w:rsidRPr="00517230" w:rsidRDefault="00517230" w:rsidP="00517230">
            <w:pPr>
              <w:pStyle w:val="SingleTxtG"/>
              <w:ind w:left="1701" w:hanging="148"/>
            </w:pPr>
            <w:r w:rsidRPr="00517230">
              <w:t>•</w:t>
            </w:r>
            <w:r w:rsidRPr="00517230">
              <w:tab/>
            </w:r>
            <w:r w:rsidRPr="00517230">
              <w:rPr>
                <w:b/>
                <w:bCs/>
              </w:rPr>
              <w:t>поблагодарить</w:t>
            </w:r>
            <w:r w:rsidRPr="00517230">
              <w:t xml:space="preserve"> Германию за временное размещение ДЕТА.</w:t>
            </w:r>
          </w:p>
        </w:tc>
      </w:tr>
      <w:tr w:rsidR="00517230" w:rsidRPr="00517230" w14:paraId="051A3D07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3E560568" w14:textId="77777777" w:rsidR="00517230" w:rsidRPr="00517230" w:rsidRDefault="00517230" w:rsidP="00850215">
            <w:pPr>
              <w:rPr>
                <w:rFonts w:cs="Times New Roman"/>
              </w:rPr>
            </w:pPr>
          </w:p>
        </w:tc>
      </w:tr>
    </w:tbl>
    <w:p w14:paraId="69264E39" w14:textId="77777777" w:rsidR="00175934" w:rsidRPr="00367D83" w:rsidRDefault="00175934" w:rsidP="00175934">
      <w:pPr>
        <w:pStyle w:val="HChG"/>
        <w:rPr>
          <w:strike/>
        </w:rPr>
      </w:pPr>
      <w:r>
        <w:rPr>
          <w:bCs/>
        </w:rPr>
        <w:tab/>
        <w:t>I.</w:t>
      </w:r>
      <w:r>
        <w:tab/>
      </w:r>
      <w:r>
        <w:rPr>
          <w:bCs/>
        </w:rPr>
        <w:t>Общие соображения</w:t>
      </w:r>
    </w:p>
    <w:p w14:paraId="7D93C2EF" w14:textId="77777777" w:rsidR="00175934" w:rsidRPr="009004DD" w:rsidRDefault="00175934" w:rsidP="00175934">
      <w:pPr>
        <w:pStyle w:val="SingleTxtG"/>
      </w:pPr>
      <w:r>
        <w:t>1.</w:t>
      </w:r>
      <w:r>
        <w:tab/>
        <w:t>Пандемия COVID-19 серьезным образом повлияла на работу WP.29 и его вспомогательных органов (РГ). После вспышки пандемии COVID-19 проведение очных совещаний стало невозможным, а услуги по синхронному переводу для виртуальных совещаний предоставлялись только в весьма незначительном объеме. Кроме того, чтобы обеспечить возможность для участия делегатов со всех континентов и из разных часовых поясов, сессии пришлось проводить только в начале второй половины дня (по женевскому времени). В частности, это привело к тому, что продолжительность сессий WP.29 была ограничена двумя часами, в связи с чем повестки дня были сокращены до необходимого минимума, с тем чтобы обеспечить возможность для принятия решений/голосования. Кроме того, для нескольких сессий РГ конференционные службы Отделения ООН в Женеве предоставили только два часа устного перевода. Помимо этого, необходимость соблюдения процедур «отсутствия возражений», введенных Исполнительным комитетом, привела к увеличению административного бремени.</w:t>
      </w:r>
    </w:p>
    <w:p w14:paraId="28AA500C" w14:textId="77777777" w:rsidR="00175934" w:rsidRPr="00A23BC4" w:rsidRDefault="00175934" w:rsidP="00175934">
      <w:pPr>
        <w:pStyle w:val="SingleTxtG"/>
      </w:pPr>
      <w:r>
        <w:t>2.</w:t>
      </w:r>
      <w:r>
        <w:tab/>
        <w:t>Отметив решение Центральных учреждений Организации Объединенных Наций перейти с 1 января 2023 года на очные заседания, WP.29 настоятельно призвал государства-члены обратиться с просьбой о выделении достаточного бюджетного финансирования для продолжения обеспечения полного устного перевода на смешанных совещаниях, с тем чтобы и впредь предоставлять делегациям из стран с низким и средним уровнем дохода возможность лично или дистанционно участвовать в работе WP.29. Продолжение в полном объеме практики организации смешанных совещаний соответствует глобальному стремлению к сокращению выбросов углекислого газа, о чем свидетельствует Конференция Cторон (КС 27), состоявшаяся в Египте. Делегациям было предложено довести эти рекомендации до сведения своих правительств, а также представительств при ООН в Женеве и Нью-Йорке.</w:t>
      </w:r>
    </w:p>
    <w:p w14:paraId="28CDB4B4" w14:textId="77777777" w:rsidR="00175934" w:rsidRPr="00A23BC4" w:rsidRDefault="00175934" w:rsidP="00175934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Автоматизация транспортных средств</w:t>
      </w:r>
    </w:p>
    <w:p w14:paraId="769A16C8" w14:textId="02FBDC26" w:rsidR="00175934" w:rsidRPr="00A23BC4" w:rsidRDefault="00175934" w:rsidP="00175934">
      <w:pPr>
        <w:pStyle w:val="SingleTxtG"/>
      </w:pPr>
      <w:r>
        <w:t>3.</w:t>
      </w:r>
      <w:r>
        <w:tab/>
        <w:t>После реструктуризации WP.29 в июне 2018 года в целях выполнения решения</w:t>
      </w:r>
      <w:r w:rsidR="00517230">
        <w:rPr>
          <w:lang w:val="en-US"/>
        </w:rPr>
        <w:t> </w:t>
      </w:r>
      <w:r>
        <w:t xml:space="preserve">№ 19 КВТ от 2018 года и создания Рабочей группы по автоматизированным/автономным и подключенным транспортным средствам (GRVA) WP.29 и его вспомогательные органы действовали в соответствии с Рамочным документом по автоматизированным/автономным транспортным средствам (ECE/TRANS/WP.29/2019/34/Rev.2), который был одобрен КВТ на его восемьдесят второй сессии и служит ориентиром для работы в области автоматизированных транспортных средств. Эта работа под руководством сопредседателей из Америки, Азии и Европы проводится в соответствии с концепцией безопасности, ключевыми элементами безопасности, руководящими указаниями, содержащимися в рамочном документе для рабочих групп WP.29, и в соответствии с прилагаемой к нему </w:t>
      </w:r>
      <w:r>
        <w:lastRenderedPageBreak/>
        <w:t>программой деятельности, которая предназначена для стран, использующих систему официального утверждения типа, и стран, применяющих систему самосертификации. Эти мероприятия формируют новаторскую инициативу, направленную на согласование на глобальном уровне правил в области автоматизированных транспортных средств и создание более продуктивной среды для инноваций. К</w:t>
      </w:r>
      <w:r w:rsidR="00517230">
        <w:rPr>
          <w:lang w:val="en-US"/>
        </w:rPr>
        <w:t> </w:t>
      </w:r>
      <w:r>
        <w:t>основным результатам, достигнутым в 2022 году в работе по Рамочному документу, относятся первая итерация «Основного документа о новом методе оценки/испытания для автоматизированного вождения (НАТМ)», а также проект рекомендаций относительно кибербезопасности и обновления программного обеспечения автотранспортных средств.</w:t>
      </w:r>
    </w:p>
    <w:p w14:paraId="1068FC1B" w14:textId="77777777" w:rsidR="00175934" w:rsidRPr="00A23BC4" w:rsidRDefault="00175934" w:rsidP="00175934">
      <w:pPr>
        <w:pStyle w:val="SingleTxtG"/>
      </w:pPr>
      <w:r>
        <w:t>4.</w:t>
      </w:r>
      <w:r>
        <w:tab/>
        <w:t>Упомянутые выше примеры успешной деятельности дополняют достижения 2021 года, когда были приняты основные поправки к первым правилам ООН по автоматизированным транспортным средствам (Правила № 157 ООН, касающиеся автоматизированной системы удержания в полосе движения), которые вступили в силу 22 января 2021 года. Данная поправка к Правилам № 157 ООН, касающимся автоматизированной системы удержания в полосе движения, предусматривает увеличение максимальной рабочей скорости до 130 км/ч, а также включение положений о смене полосы движения. Эти новые положения обеспечивают возможность полностью автоматизированного вождения на автомагистралях, что позволяет водителю выполнять другие задачи, помимо вождения (см. также резолюцию Рабочей группы по безопасности дорожного движения о соображениях безопасности при выполнении водителем действий, не связанных с вождением, когда автоматизированная система вождения, выдавая запросы на передачу управления, осуществляет динамическое управление), при условии, что сохраняется способность водителя принять на себя управление по запросу системы.</w:t>
      </w:r>
    </w:p>
    <w:p w14:paraId="269C5E9E" w14:textId="1339418C" w:rsidR="00175934" w:rsidRPr="004A3656" w:rsidRDefault="00175934" w:rsidP="00175934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Соглашение 1958 года</w:t>
      </w:r>
    </w:p>
    <w:p w14:paraId="57E69FD3" w14:textId="77777777" w:rsidR="00175934" w:rsidRPr="00A23BC4" w:rsidRDefault="00175934" w:rsidP="00175934">
      <w:pPr>
        <w:pStyle w:val="SingleTxtG"/>
      </w:pPr>
      <w:r>
        <w:t>5.</w:t>
      </w:r>
      <w:r>
        <w:tab/>
        <w:t>WP.29 разработал на сессии в марте 2022 года новые Правила № 164 ООН, касающиеся ошипованных шин в отношении их характеристик на снегу, которые вступили в силу 30 сентября 2022 года;</w:t>
      </w:r>
    </w:p>
    <w:p w14:paraId="458E45FB" w14:textId="77777777" w:rsidR="00175934" w:rsidRPr="00A23BC4" w:rsidRDefault="00175934" w:rsidP="00175934">
      <w:pPr>
        <w:pStyle w:val="SingleTxtG"/>
      </w:pPr>
      <w:r>
        <w:t>6.</w:t>
      </w:r>
      <w:r>
        <w:tab/>
        <w:t>WP.29 продолжил свою нормотворческую работу в области защиты уязвимых участников дорожного движения и подготовил на сессии в июне 2022 года новые Правила № 165 ООН, касающиеся предупреждения о движении задним ходом, а на сессии в ноябре 2022 года — следующие два новых правила ООН:</w:t>
      </w:r>
    </w:p>
    <w:p w14:paraId="7E1F9056" w14:textId="77777777" w:rsidR="00175934" w:rsidRPr="00A23BC4" w:rsidRDefault="00175934" w:rsidP="00175934">
      <w:pPr>
        <w:pStyle w:val="SingleTxtG"/>
        <w:ind w:firstLine="567"/>
      </w:pPr>
      <w:r>
        <w:t>a)</w:t>
      </w:r>
      <w:r>
        <w:tab/>
        <w:t xml:space="preserve">Правила № [166] ООН, касающиеся присутствия уязвимых участников дорожного движения в непосредственной близости спереди и сбоку; </w:t>
      </w:r>
    </w:p>
    <w:p w14:paraId="1BF13180" w14:textId="77777777" w:rsidR="00175934" w:rsidRPr="00A23BC4" w:rsidRDefault="00175934" w:rsidP="00175934">
      <w:pPr>
        <w:pStyle w:val="SingleTxtG"/>
        <w:ind w:firstLine="567"/>
      </w:pPr>
      <w:r>
        <w:t>b)</w:t>
      </w:r>
      <w:r>
        <w:tab/>
        <w:t>Правила № [167] ООН, касающиеся прямого обзора уязвимых участников дорожного движения.</w:t>
      </w:r>
    </w:p>
    <w:p w14:paraId="0F04B187" w14:textId="77777777" w:rsidR="00175934" w:rsidRPr="00A23BC4" w:rsidRDefault="00175934" w:rsidP="00175934">
      <w:pPr>
        <w:pStyle w:val="SingleTxtG"/>
      </w:pPr>
      <w:r>
        <w:t>7.</w:t>
      </w:r>
      <w:r>
        <w:tab/>
        <w:t xml:space="preserve">В уже существующие Правила ООН и соответствующие резолюции были внесены 120 поправок, что позволило привести правила в соответствие с самыми последними техническими достижениями и включить в них более строгие ограничения, нацеленные как на повышение безопасности транспортных средств, так и на улучшение их экологических характеристик. </w:t>
      </w:r>
    </w:p>
    <w:p w14:paraId="421B3A18" w14:textId="2A0B0DFE" w:rsidR="00175934" w:rsidRPr="00A23BC4" w:rsidRDefault="00175934" w:rsidP="00175934">
      <w:pPr>
        <w:pStyle w:val="SingleTxtG"/>
      </w:pPr>
      <w:r>
        <w:t>8.</w:t>
      </w:r>
      <w:r>
        <w:tab/>
        <w:t xml:space="preserve">Поскольку финансирование для размещения </w:t>
      </w:r>
      <w:r w:rsidR="00AD34BA">
        <w:t>ДЕТА</w:t>
      </w:r>
      <w:r>
        <w:t xml:space="preserve"> на площадях ЕЭК до сих пор не удалось получить ни из регулярного бюджета, ни из внебюджетных источников, WP.29 выразил благодарность Германии, которая в настоящее время размещает систему на временной основе. WP.29 продолжит изучать вопрос о поиске возможных устойчивых решений для финансирования размещения ДЕТА.</w:t>
      </w:r>
    </w:p>
    <w:p w14:paraId="29909172" w14:textId="77777777" w:rsidR="00175934" w:rsidRPr="00A23BC4" w:rsidRDefault="00175934" w:rsidP="00175934">
      <w:pPr>
        <w:pStyle w:val="SingleTxtG"/>
      </w:pPr>
      <w:r>
        <w:t>9.</w:t>
      </w:r>
      <w:r>
        <w:tab/>
        <w:t xml:space="preserve">Что касается разработки дополнительных функций/модулей ДЕТА, то Международный комитет по техническому осмотру автотранспортных средств подтвердил готовность финансировать разработку модуля, касающегося декларации о соответствии (ДоС). Отраслевые ассоциации — Европейская ассоциация поставщиков автомобильных деталей, Европейская техническая организация по вопросам пневматических шин и ободьев колес и Международная организация предприятий </w:t>
      </w:r>
      <w:r>
        <w:lastRenderedPageBreak/>
        <w:t xml:space="preserve">автомобильной промышленности — подтвердили свое намерение финансировать работу над модулем для уникального идентификатора (UI), когда будут решены текущие контрактные вопросы. </w:t>
      </w:r>
    </w:p>
    <w:p w14:paraId="2A289D61" w14:textId="77777777" w:rsidR="00175934" w:rsidRPr="00A23BC4" w:rsidRDefault="00175934" w:rsidP="00175934">
      <w:pPr>
        <w:pStyle w:val="HChG"/>
        <w:rPr>
          <w:szCs w:val="24"/>
        </w:rPr>
      </w:pPr>
      <w:r>
        <w:rPr>
          <w:bCs/>
        </w:rPr>
        <w:tab/>
        <w:t>IV.</w:t>
      </w:r>
      <w:r>
        <w:tab/>
      </w:r>
      <w:r>
        <w:rPr>
          <w:bCs/>
        </w:rPr>
        <w:t>Соглашение 1997 года</w:t>
      </w:r>
    </w:p>
    <w:p w14:paraId="732A5958" w14:textId="77777777" w:rsidR="00175934" w:rsidRPr="00A23BC4" w:rsidRDefault="00175934" w:rsidP="00175934">
      <w:pPr>
        <w:pStyle w:val="SingleTxtG"/>
      </w:pPr>
      <w:r>
        <w:t>10.</w:t>
      </w:r>
      <w:r>
        <w:tab/>
        <w:t xml:space="preserve">На своей сто восемьдесят седьмой сессии WP.29 в принципе согласовал проект рамочного документа по соблюдению требований в течение всего срока службы транспортных средств, который предусматривает режим соблюдения требований для транспортных средств с момента официального утверждения типа, включающий периодические технические осмотры и технические осмотры на дорогах, до окончания срока службы и утилизации транспортного средства на основе целостного подхода. </w:t>
      </w:r>
    </w:p>
    <w:p w14:paraId="3AB26D45" w14:textId="77777777" w:rsidR="00175934" w:rsidRPr="00A23BC4" w:rsidRDefault="00175934" w:rsidP="00175934">
      <w:pPr>
        <w:pStyle w:val="HChG"/>
        <w:rPr>
          <w:szCs w:val="24"/>
        </w:rPr>
      </w:pPr>
      <w:r>
        <w:rPr>
          <w:bCs/>
        </w:rPr>
        <w:tab/>
        <w:t>V.</w:t>
      </w:r>
      <w:r>
        <w:tab/>
      </w:r>
      <w:r>
        <w:rPr>
          <w:bCs/>
        </w:rPr>
        <w:t>Соглашение 1998 года</w:t>
      </w:r>
    </w:p>
    <w:p w14:paraId="6A16C3E9" w14:textId="77777777" w:rsidR="00175934" w:rsidRPr="00A23BC4" w:rsidRDefault="00175934" w:rsidP="00175934">
      <w:pPr>
        <w:pStyle w:val="SingleTxtG"/>
      </w:pPr>
      <w:r>
        <w:t>11.</w:t>
      </w:r>
      <w:r>
        <w:tab/>
        <w:t>В 2022 году WP.29 завершил многолетнюю работу по подготовке и принятию двух новых глобальных технических правил (ГТП ООН):</w:t>
      </w:r>
    </w:p>
    <w:p w14:paraId="0666A54E" w14:textId="169463FE" w:rsidR="00175934" w:rsidRPr="00A23BC4" w:rsidRDefault="00175934" w:rsidP="00175934">
      <w:pPr>
        <w:pStyle w:val="SingleTxtG"/>
        <w:ind w:firstLine="567"/>
      </w:pPr>
      <w:r>
        <w:t>a)</w:t>
      </w:r>
      <w:r>
        <w:tab/>
        <w:t xml:space="preserve">ГТП № 22 ООН, касающихся долговечности бортовых батарей электромобилей; </w:t>
      </w:r>
    </w:p>
    <w:p w14:paraId="2AE044C7" w14:textId="55CCC05E" w:rsidR="00175934" w:rsidRPr="00A23BC4" w:rsidRDefault="00175934" w:rsidP="00175934">
      <w:pPr>
        <w:pStyle w:val="SingleTxtG"/>
        <w:ind w:firstLine="567"/>
      </w:pPr>
      <w:r>
        <w:t>b)</w:t>
      </w:r>
      <w:r>
        <w:tab/>
        <w:t>ГТП № 23 ООН, касающихся долговечности устройств ограничения загрязнения.</w:t>
      </w:r>
    </w:p>
    <w:p w14:paraId="78BB5CE8" w14:textId="77777777" w:rsidR="00175934" w:rsidRPr="00A23BC4" w:rsidRDefault="00175934" w:rsidP="00175934">
      <w:pPr>
        <w:pStyle w:val="SingleTxtG"/>
        <w:rPr>
          <w:rFonts w:asciiTheme="majorBidi" w:hAnsiTheme="majorBidi" w:cstheme="majorBidi"/>
        </w:rPr>
      </w:pPr>
      <w:r>
        <w:t>12.</w:t>
      </w:r>
      <w:r>
        <w:tab/>
        <w:t xml:space="preserve">WP.29 ввел поправку к Глобальным техническим правилам № 2 ООН (всемирный цикл испытаний мотоциклов на выбросы загрязняющих веществ) и одну поправку к Общей резолюции № 1 (ОР.1), касающейся описания и эксплуатационных качеств испытательных инструментов и устройств, которые необходимы для оценки соответствия колесных транспортных средств, предметов оборудования и частей техническим предписаниям, указанным в правилах ООН и глобальных технических правилах ООН. Это позволит привести ГТП ООН в соответствие с самыми последними техническими достижениями и включить в них более строгие требования, нацеленные как на повышение безопасности транспортных средств, так и на улучшение их экологических характеристик. </w:t>
      </w:r>
    </w:p>
    <w:p w14:paraId="46E82F96" w14:textId="77777777" w:rsidR="00175934" w:rsidRPr="00A23BC4" w:rsidRDefault="00175934" w:rsidP="00175934">
      <w:pPr>
        <w:pStyle w:val="HChG"/>
      </w:pPr>
      <w:r>
        <w:rPr>
          <w:bCs/>
        </w:rPr>
        <w:tab/>
        <w:t>VI.</w:t>
      </w:r>
      <w:r>
        <w:tab/>
      </w:r>
      <w:r>
        <w:rPr>
          <w:bCs/>
        </w:rPr>
        <w:t>Связь с Повесткой дня в области устойчивого развития на период до 2030 года</w:t>
      </w:r>
    </w:p>
    <w:p w14:paraId="54765858" w14:textId="77777777" w:rsidR="00175934" w:rsidRPr="00A23BC4" w:rsidRDefault="00175934" w:rsidP="00175934">
      <w:pPr>
        <w:pStyle w:val="SingleTxtG"/>
      </w:pPr>
      <w:r>
        <w:t>13.</w:t>
      </w:r>
      <w:r>
        <w:tab/>
        <w:t>Присоединение к соглашениям Организации Объединенных Наций в области транспортных средств и соблюдение прилагаемых к ним правил ООН, предписаний ООН и ГТП ООН могут способствовать прогрессу в решении задач 3.6, 3.9, 7.3, 9.1, 11.2 и 13.2, установленных Целями устойчивого развития.</w:t>
      </w:r>
    </w:p>
    <w:p w14:paraId="5B28136A" w14:textId="77777777" w:rsidR="00175934" w:rsidRPr="00A23BC4" w:rsidRDefault="00175934" w:rsidP="00175934">
      <w:pPr>
        <w:spacing w:before="240"/>
        <w:jc w:val="center"/>
        <w:rPr>
          <w:u w:val="single"/>
        </w:rPr>
      </w:pPr>
      <w:r w:rsidRPr="00A23BC4">
        <w:rPr>
          <w:u w:val="single"/>
        </w:rPr>
        <w:tab/>
      </w:r>
      <w:r w:rsidRPr="00A23BC4">
        <w:rPr>
          <w:u w:val="single"/>
        </w:rPr>
        <w:tab/>
      </w:r>
      <w:r w:rsidRPr="00A23BC4">
        <w:rPr>
          <w:u w:val="single"/>
        </w:rPr>
        <w:tab/>
      </w:r>
    </w:p>
    <w:p w14:paraId="60C18E4A" w14:textId="77777777" w:rsidR="00E12C5F" w:rsidRPr="008D53B6" w:rsidRDefault="00E12C5F" w:rsidP="00D9145B"/>
    <w:sectPr w:rsidR="00E12C5F" w:rsidRPr="008D53B6" w:rsidSect="0017593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17B2" w14:textId="77777777" w:rsidR="00F94496" w:rsidRPr="00A312BC" w:rsidRDefault="00F94496" w:rsidP="00A312BC"/>
  </w:endnote>
  <w:endnote w:type="continuationSeparator" w:id="0">
    <w:p w14:paraId="6668C030" w14:textId="77777777" w:rsidR="00F94496" w:rsidRPr="00A312BC" w:rsidRDefault="00F9449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8F31" w14:textId="6C974669" w:rsidR="00175934" w:rsidRPr="00175934" w:rsidRDefault="00175934">
    <w:pPr>
      <w:pStyle w:val="a8"/>
    </w:pPr>
    <w:r w:rsidRPr="00175934">
      <w:rPr>
        <w:b/>
        <w:sz w:val="18"/>
      </w:rPr>
      <w:fldChar w:fldCharType="begin"/>
    </w:r>
    <w:r w:rsidRPr="00175934">
      <w:rPr>
        <w:b/>
        <w:sz w:val="18"/>
      </w:rPr>
      <w:instrText xml:space="preserve"> PAGE  \* MERGEFORMAT </w:instrText>
    </w:r>
    <w:r w:rsidRPr="00175934">
      <w:rPr>
        <w:b/>
        <w:sz w:val="18"/>
      </w:rPr>
      <w:fldChar w:fldCharType="separate"/>
    </w:r>
    <w:r w:rsidRPr="00175934">
      <w:rPr>
        <w:b/>
        <w:noProof/>
        <w:sz w:val="18"/>
      </w:rPr>
      <w:t>2</w:t>
    </w:r>
    <w:r w:rsidRPr="00175934">
      <w:rPr>
        <w:b/>
        <w:sz w:val="18"/>
      </w:rPr>
      <w:fldChar w:fldCharType="end"/>
    </w:r>
    <w:r>
      <w:rPr>
        <w:b/>
        <w:sz w:val="18"/>
      </w:rPr>
      <w:tab/>
    </w:r>
    <w:r>
      <w:t>GE.22-28054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BF6B" w14:textId="76789E49" w:rsidR="00175934" w:rsidRPr="00175934" w:rsidRDefault="00175934" w:rsidP="00175934">
    <w:pPr>
      <w:pStyle w:val="a8"/>
      <w:tabs>
        <w:tab w:val="clear" w:pos="9639"/>
        <w:tab w:val="right" w:pos="9638"/>
      </w:tabs>
      <w:rPr>
        <w:b/>
        <w:sz w:val="18"/>
      </w:rPr>
    </w:pPr>
    <w:r>
      <w:t>GE.22-28054</w:t>
    </w:r>
    <w:r>
      <w:tab/>
    </w:r>
    <w:r w:rsidRPr="00175934">
      <w:rPr>
        <w:b/>
        <w:sz w:val="18"/>
      </w:rPr>
      <w:fldChar w:fldCharType="begin"/>
    </w:r>
    <w:r w:rsidRPr="00175934">
      <w:rPr>
        <w:b/>
        <w:sz w:val="18"/>
      </w:rPr>
      <w:instrText xml:space="preserve"> PAGE  \* MERGEFORMAT </w:instrText>
    </w:r>
    <w:r w:rsidRPr="00175934">
      <w:rPr>
        <w:b/>
        <w:sz w:val="18"/>
      </w:rPr>
      <w:fldChar w:fldCharType="separate"/>
    </w:r>
    <w:r w:rsidRPr="00175934">
      <w:rPr>
        <w:b/>
        <w:noProof/>
        <w:sz w:val="18"/>
      </w:rPr>
      <w:t>3</w:t>
    </w:r>
    <w:r w:rsidRPr="0017593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7C05" w14:textId="76ED11C0" w:rsidR="00042B72" w:rsidRPr="00175934" w:rsidRDefault="00175934" w:rsidP="0017593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1599525" wp14:editId="771F850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22-28054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604BFD1" wp14:editId="7E17511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271222  281222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0F01" w14:textId="77777777" w:rsidR="00F94496" w:rsidRPr="001075E9" w:rsidRDefault="00F9449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B2D05D" w14:textId="77777777" w:rsidR="00F94496" w:rsidRDefault="00F9449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B5EF" w14:textId="06F8DB67" w:rsidR="00175934" w:rsidRPr="00175934" w:rsidRDefault="00175934">
    <w:pPr>
      <w:pStyle w:val="a5"/>
    </w:pPr>
    <w:fldSimple w:instr=" TITLE  \* MERGEFORMAT ">
      <w:r w:rsidR="007819EF">
        <w:t>ECE/TRANS/2023/25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5F75" w14:textId="38D15803" w:rsidR="00175934" w:rsidRPr="00175934" w:rsidRDefault="00175934" w:rsidP="00175934">
    <w:pPr>
      <w:pStyle w:val="a5"/>
      <w:jc w:val="right"/>
    </w:pPr>
    <w:fldSimple w:instr=" TITLE  \* MERGEFORMAT ">
      <w:r w:rsidR="007819EF">
        <w:t>ECE/TRANS/2023/25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96643B"/>
    <w:multiLevelType w:val="multilevel"/>
    <w:tmpl w:val="FFA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9F329B"/>
    <w:multiLevelType w:val="hybridMultilevel"/>
    <w:tmpl w:val="98E04A14"/>
    <w:lvl w:ilvl="0" w:tplc="08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SS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3"/>
  </w:num>
  <w:num w:numId="18">
    <w:abstractNumId w:val="16"/>
  </w:num>
  <w:num w:numId="19">
    <w:abstractNumId w:val="18"/>
  </w:num>
  <w:num w:numId="20">
    <w:abstractNumId w:val="13"/>
  </w:num>
  <w:num w:numId="21">
    <w:abstractNumId w:val="16"/>
  </w:num>
  <w:num w:numId="22">
    <w:abstractNumId w:val="17"/>
  </w:num>
  <w:num w:numId="23">
    <w:abstractNumId w:val="11"/>
  </w:num>
  <w:num w:numId="2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9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5934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4C41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230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19EF"/>
    <w:rsid w:val="00783106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34BA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4496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451C6F"/>
  <w15:docId w15:val="{C0A30729-3A1E-4C8F-9E38-98421178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175934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17593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1462</Words>
  <Characters>10034</Characters>
  <Application>Microsoft Office Word</Application>
  <DocSecurity>0</DocSecurity>
  <Lines>912</Lines>
  <Paragraphs>383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ECE/TRANS/2023/25</vt:lpstr>
      <vt:lpstr>A/</vt:lpstr>
      <vt:lpstr>A/</vt:lpstr>
    </vt:vector>
  </TitlesOfParts>
  <Company>DCM</Company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ECE/TRANS/2023/25</dc:title>
  <dc:subject/>
  <dc:creator>Uliana ANTIPOVA</dc:creator>
  <cp:keywords/>
  <cp:lastModifiedBy>Uliana Antipova</cp:lastModifiedBy>
  <cp:revision>3</cp:revision>
  <cp:lastPrinted>2022-12-28T11:17:00Z</cp:lastPrinted>
  <dcterms:created xsi:type="dcterms:W3CDTF">2022-12-28T11:17:00Z</dcterms:created>
  <dcterms:modified xsi:type="dcterms:W3CDTF">2022-12-28T11:18:00Z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