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6A9A8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ABC17F" w14:textId="77777777" w:rsidR="002D5AAC" w:rsidRDefault="002D5AAC" w:rsidP="002563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2AE9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4B939C" w14:textId="62B7C5C6" w:rsidR="002D5AAC" w:rsidRDefault="002563E7" w:rsidP="002563E7">
            <w:pPr>
              <w:jc w:val="right"/>
            </w:pPr>
            <w:r w:rsidRPr="002563E7">
              <w:rPr>
                <w:sz w:val="40"/>
              </w:rPr>
              <w:t>ECE</w:t>
            </w:r>
            <w:r>
              <w:t>/TRANS/2023/2</w:t>
            </w:r>
          </w:p>
        </w:tc>
      </w:tr>
      <w:tr w:rsidR="002D5AAC" w:rsidRPr="007D50EC" w14:paraId="2ACFA2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B79C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E1DC3D" wp14:editId="44CAC4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F39BE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817D3B" w14:textId="77777777" w:rsidR="002D5AAC" w:rsidRDefault="002563E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889172" w14:textId="77777777" w:rsidR="002563E7" w:rsidRDefault="002563E7" w:rsidP="002563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2023</w:t>
            </w:r>
          </w:p>
          <w:p w14:paraId="1CFFC812" w14:textId="77777777" w:rsidR="002563E7" w:rsidRDefault="002563E7" w:rsidP="002563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B0984D" w14:textId="0F89FB7F" w:rsidR="002563E7" w:rsidRPr="008D53B6" w:rsidRDefault="002563E7" w:rsidP="002563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93612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D117A2" w14:textId="77777777" w:rsidR="002563E7" w:rsidRPr="002563E7" w:rsidRDefault="002563E7" w:rsidP="002563E7">
      <w:pPr>
        <w:spacing w:before="120"/>
        <w:rPr>
          <w:sz w:val="28"/>
          <w:szCs w:val="28"/>
        </w:rPr>
      </w:pPr>
      <w:r w:rsidRPr="002563E7">
        <w:rPr>
          <w:sz w:val="28"/>
          <w:szCs w:val="28"/>
        </w:rPr>
        <w:t>Комитет по внутреннему транспорту</w:t>
      </w:r>
    </w:p>
    <w:p w14:paraId="698490D1" w14:textId="77777777" w:rsidR="002563E7" w:rsidRPr="00D102AA" w:rsidRDefault="002563E7" w:rsidP="002563E7">
      <w:pPr>
        <w:spacing w:before="120"/>
        <w:rPr>
          <w:b/>
          <w:bCs/>
        </w:rPr>
      </w:pPr>
      <w:r w:rsidRPr="00D102AA">
        <w:rPr>
          <w:b/>
          <w:bCs/>
        </w:rPr>
        <w:t>Восемьдесят пятая сессия</w:t>
      </w:r>
    </w:p>
    <w:p w14:paraId="1DB4A281" w14:textId="77777777" w:rsidR="002563E7" w:rsidRPr="00D102AA" w:rsidRDefault="002563E7" w:rsidP="002563E7">
      <w:r w:rsidRPr="00D102AA">
        <w:t>Женева, 21–24 февраля 2023 года</w:t>
      </w:r>
    </w:p>
    <w:p w14:paraId="35CAFD04" w14:textId="77777777" w:rsidR="002563E7" w:rsidRPr="00D102AA" w:rsidRDefault="002563E7" w:rsidP="002563E7">
      <w:r w:rsidRPr="00D102AA">
        <w:t>Пункт 2 предварительной повестки дня</w:t>
      </w:r>
    </w:p>
    <w:p w14:paraId="4759473D" w14:textId="451C3C7C" w:rsidR="002563E7" w:rsidRPr="00D102AA" w:rsidRDefault="002563E7" w:rsidP="002563E7">
      <w:pPr>
        <w:rPr>
          <w:b/>
          <w:bCs/>
        </w:rPr>
      </w:pPr>
      <w:r w:rsidRPr="00D102AA">
        <w:rPr>
          <w:b/>
          <w:bCs/>
        </w:rPr>
        <w:t>Действия сектора внутреннего транспорта</w:t>
      </w:r>
      <w:r>
        <w:rPr>
          <w:b/>
          <w:bCs/>
        </w:rPr>
        <w:br/>
      </w:r>
      <w:r w:rsidRPr="00D102AA">
        <w:rPr>
          <w:b/>
          <w:bCs/>
        </w:rPr>
        <w:t>по присоединению к глобальной борьбе</w:t>
      </w:r>
      <w:r>
        <w:rPr>
          <w:b/>
          <w:bCs/>
        </w:rPr>
        <w:br/>
      </w:r>
      <w:r w:rsidRPr="00D102AA">
        <w:rPr>
          <w:b/>
          <w:bCs/>
        </w:rPr>
        <w:t>с изменением климата</w:t>
      </w:r>
    </w:p>
    <w:p w14:paraId="470EBF42" w14:textId="7FD7E2F6" w:rsidR="002563E7" w:rsidRPr="00D102AA" w:rsidRDefault="002563E7" w:rsidP="002563E7">
      <w:pPr>
        <w:pStyle w:val="HChG"/>
      </w:pPr>
      <w:r w:rsidRPr="00D102AA">
        <w:tab/>
      </w:r>
      <w:r w:rsidRPr="00D102AA">
        <w:tab/>
      </w:r>
      <w:r w:rsidRPr="00D102AA">
        <w:rPr>
          <w:bCs/>
        </w:rPr>
        <w:t>Проект министерской декларации «Задействование всего потенциала решений в области внутреннего транспорта в</w:t>
      </w:r>
      <w:r>
        <w:rPr>
          <w:bCs/>
          <w:lang w:val="en-US"/>
        </w:rPr>
        <w:t> </w:t>
      </w:r>
      <w:r w:rsidRPr="00D102AA">
        <w:rPr>
          <w:bCs/>
        </w:rPr>
        <w:t>рамках глобальной борьбы с изменением климата»</w:t>
      </w:r>
    </w:p>
    <w:p w14:paraId="1BCC277D" w14:textId="77777777" w:rsidR="002563E7" w:rsidRPr="00D102AA" w:rsidRDefault="002563E7" w:rsidP="002563E7">
      <w:pPr>
        <w:pStyle w:val="H1G"/>
      </w:pPr>
      <w:r w:rsidRPr="00D102AA">
        <w:tab/>
      </w:r>
      <w:r w:rsidRPr="00D102AA">
        <w:tab/>
      </w:r>
      <w:r w:rsidRPr="00D102AA">
        <w:rPr>
          <w:bCs/>
        </w:rPr>
        <w:t>Записка секретариата</w:t>
      </w:r>
      <w:r w:rsidRPr="002563E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2139817" w14:textId="77777777" w:rsidR="002563E7" w:rsidRPr="00D102AA" w:rsidRDefault="002563E7" w:rsidP="002563E7">
      <w:pPr>
        <w:pStyle w:val="HChG"/>
      </w:pPr>
      <w:r w:rsidRPr="00D102AA">
        <w:tab/>
      </w:r>
      <w:r w:rsidRPr="00D102AA">
        <w:tab/>
      </w:r>
      <w:r w:rsidRPr="00D102AA">
        <w:rPr>
          <w:bCs/>
        </w:rPr>
        <w:t>Справочная информация</w:t>
      </w:r>
    </w:p>
    <w:p w14:paraId="44BE6E3E" w14:textId="77777777" w:rsidR="002563E7" w:rsidRPr="00D102AA" w:rsidRDefault="002563E7" w:rsidP="002563E7">
      <w:pPr>
        <w:pStyle w:val="SingleTxtG"/>
      </w:pPr>
      <w:r w:rsidRPr="00D102AA">
        <w:t>1.</w:t>
      </w:r>
      <w:r w:rsidRPr="00D102AA">
        <w:tab/>
        <w:t>На восемьдесят четвертой сессии 22 февраля 2022 года Комитет по внутреннему транспорту отметил свою семьдесят пятую годовщину и принял резолюцию на уровне министров, озаглавленную «Вступая в десятилетие свершений в интересах устойчивого внутреннего транспорта и устойчивого развития</w:t>
      </w:r>
      <w:bookmarkStart w:id="0" w:name="_Hlk126660587"/>
      <w:r w:rsidRPr="00D102AA">
        <w:t>»</w:t>
      </w:r>
      <w:bookmarkEnd w:id="0"/>
      <w:r w:rsidRPr="00D102AA">
        <w:t xml:space="preserve">. В этой резолюции Комитет, среди прочего, признал, что беспрецедентное сочетание глобальных чрезвычайных ситуаций и вызовов, включая изменение климата, угрожает сорвать реализацию Повестки дня в области устойчивого развития на период до 2030 года, и подтвердил свою решимость предпринимать шаги, необходимые для полного и своевременного осуществления Повестки дня на период до 2030 года. В той же резолюции Комитет, среди прочего, постановил задействовать в срочном порядке свои соответствующие функции в области регулирования и выработки стратегических рекомендаций в целях сокращения вредных выбросов и энергопотребления, особенно на автомобильном транспорте, поддержки интермодальности и согласованных подходов для решения проблем, связанных с климатом и ухудшением состояния окружающей среды, а также для оптимизации комбинированного использования видов транспорта в ходе пассажирских и грузовых перевозок, с тем чтобы повысить вклад сектора внутреннего транспорта в реализацию целей и задач Рамочной конвенции Организации Объединенных Наций об изменении климата и Парижского соглашения, уделяя при этом особое внимание потребностям малых островных развивающихся государств, наименее развитых стран и развивающихся стран, не имеющих выхода к морю, для достижения </w:t>
      </w:r>
      <w:r w:rsidRPr="00D102AA">
        <w:rPr>
          <w:rFonts w:eastAsiaTheme="minorEastAsia"/>
          <w:lang w:eastAsia="zh-CN" w:bidi="ar-TN"/>
        </w:rPr>
        <w:t xml:space="preserve">поставленных ими </w:t>
      </w:r>
      <w:r w:rsidRPr="00D102AA">
        <w:t xml:space="preserve">целей в области развития устойчивых транспортных систем с низким уровнем выбросов. </w:t>
      </w:r>
    </w:p>
    <w:p w14:paraId="589809BB" w14:textId="7B7B86FC" w:rsidR="002563E7" w:rsidRDefault="002563E7" w:rsidP="002563E7">
      <w:pPr>
        <w:pStyle w:val="SingleTxtG"/>
      </w:pPr>
      <w:r w:rsidRPr="00D102AA">
        <w:lastRenderedPageBreak/>
        <w:t>2.</w:t>
      </w:r>
      <w:r w:rsidRPr="00D102AA">
        <w:tab/>
        <w:t>По окончании сегмента высокого уровня восемьдесят пятой сессии Комитета министрам и другим главам делегаций договаривающихся сторон конвенций Организации Объединенных Наций, относящихся к ведению Комитета по внутреннему транспорту, будет предложено выразить свою поддержку декларации «Задействование всего потенциала решений в области внутреннего транспорта в рамках глобальной борьбы с изменением климата» (см. приложение). Эта декларация определит направление работы Комитета в качестве платформы Организации Объединенных Наций по внутреннему транспорту, а также его вспомогательных органов, тем самым способствуя вступлению в десятилетие свершений в сфер</w:t>
      </w:r>
      <w:r w:rsidRPr="00D102AA">
        <w:rPr>
          <w:rFonts w:eastAsiaTheme="minorEastAsia"/>
          <w:lang w:eastAsia="zh-CN" w:bidi="ar-TN"/>
        </w:rPr>
        <w:t>е</w:t>
      </w:r>
      <w:r w:rsidRPr="00D102AA">
        <w:t xml:space="preserve"> борьбы с изменением климата.</w:t>
      </w:r>
    </w:p>
    <w:p w14:paraId="4CF67113" w14:textId="255CC5BD" w:rsidR="002563E7" w:rsidRDefault="002563E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BBA272B" w14:textId="77777777" w:rsidR="002563E7" w:rsidRPr="00D102AA" w:rsidRDefault="002563E7" w:rsidP="002563E7">
      <w:pPr>
        <w:pStyle w:val="HChG"/>
        <w:ind w:left="0" w:firstLine="0"/>
      </w:pPr>
      <w:r w:rsidRPr="00D102AA">
        <w:lastRenderedPageBreak/>
        <w:tab/>
      </w:r>
      <w:r w:rsidRPr="00D102AA">
        <w:rPr>
          <w:bCs/>
        </w:rPr>
        <w:t>Приложение</w:t>
      </w:r>
    </w:p>
    <w:p w14:paraId="0F7D8D77" w14:textId="003C7A9D" w:rsidR="002563E7" w:rsidRPr="00D102AA" w:rsidRDefault="002563E7" w:rsidP="002563E7">
      <w:pPr>
        <w:pStyle w:val="HChG"/>
      </w:pPr>
      <w:r w:rsidRPr="00D102AA">
        <w:tab/>
      </w:r>
      <w:r w:rsidRPr="00D102AA">
        <w:tab/>
      </w:r>
      <w:r w:rsidRPr="00D102AA">
        <w:rPr>
          <w:bCs/>
        </w:rPr>
        <w:t>Задействование всего потенциала решений в области внутреннего транспорта в рамках глобальной борьбы с</w:t>
      </w:r>
      <w:r>
        <w:rPr>
          <w:bCs/>
          <w:lang w:val="en-US"/>
        </w:rPr>
        <w:t> </w:t>
      </w:r>
      <w:r w:rsidRPr="00D102AA">
        <w:rPr>
          <w:bCs/>
        </w:rPr>
        <w:t>изменением климата</w:t>
      </w:r>
    </w:p>
    <w:p w14:paraId="5EA8D6D6" w14:textId="77777777" w:rsidR="002563E7" w:rsidRPr="00D102AA" w:rsidRDefault="002563E7" w:rsidP="002563E7">
      <w:pPr>
        <w:pStyle w:val="H1G"/>
      </w:pPr>
      <w:r w:rsidRPr="00D102AA">
        <w:tab/>
      </w:r>
      <w:r w:rsidRPr="00D102AA">
        <w:tab/>
      </w:r>
      <w:r w:rsidRPr="00D102AA">
        <w:rPr>
          <w:bCs/>
        </w:rPr>
        <w:t>Проект декларации министров</w:t>
      </w:r>
      <w:r w:rsidRPr="00D102AA">
        <w:t xml:space="preserve"> </w:t>
      </w:r>
    </w:p>
    <w:p w14:paraId="0E46A9F6" w14:textId="77777777" w:rsidR="002563E7" w:rsidRPr="00D102AA" w:rsidRDefault="002563E7" w:rsidP="002563E7">
      <w:pPr>
        <w:pStyle w:val="SingleTxtG"/>
        <w:spacing w:line="220" w:lineRule="atLeast"/>
        <w:ind w:firstLine="567"/>
        <w:rPr>
          <w:i/>
          <w:iCs/>
        </w:rPr>
      </w:pPr>
      <w:r w:rsidRPr="00D102AA">
        <w:rPr>
          <w:i/>
          <w:iCs/>
        </w:rPr>
        <w:t>Мы, министры и другие главы делегаций договаривающихся сторон конвенций Организации Объединенных Наций, относящихся к ведению Комитета по внутреннему транспорту, участвующие в работе его восемьдесят пятой сессии,</w:t>
      </w:r>
      <w:bookmarkStart w:id="1" w:name="_Hlk125724811"/>
    </w:p>
    <w:bookmarkEnd w:id="1"/>
    <w:p w14:paraId="47F2EA27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[</w:t>
      </w:r>
      <w:r w:rsidRPr="00D102AA">
        <w:rPr>
          <w:i/>
          <w:iCs/>
        </w:rPr>
        <w:t xml:space="preserve">ссылаясь </w:t>
      </w:r>
      <w:r w:rsidRPr="00D102AA">
        <w:t>на Устав Организации Объединенных Наций, в частности на одну из его основных целей, состоящую в том, чтобы «поддерживать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и проводить мирными средствами, в согласии с принципами справедливости и международного права, улаживание или разрешение международных споров или ситуаций, которые могут привести к нарушению мира»,]</w:t>
      </w:r>
    </w:p>
    <w:p w14:paraId="4D0DC551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ссылаясь </w:t>
      </w:r>
      <w:r w:rsidRPr="00D102AA">
        <w:t xml:space="preserve">на резолюции Генеральной Ассамблеи 74/219 от 19 декабря 2019 года, 75/217 от 21 декабря 2020 года и 76/205 от 17 декабря 2021 года об охране глобального климата в интересах нынешнего и будущих поколений человечества, </w:t>
      </w:r>
    </w:p>
    <w:p w14:paraId="24578487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напоминая также</w:t>
      </w:r>
      <w:r w:rsidRPr="00D102AA">
        <w:t xml:space="preserve"> о нашей приверженности выполнению резолюции министров, принятой по случаю празднования семьдесят пятой годовщины создания Комитета по внутреннему транспорту и озаглавленной «Вступая в десятилетие свершений в интересах устойчивого внутреннего транспорта и устойчивого развития», в частности решения, содержащегося в подпункте l) этой резолюции,</w:t>
      </w:r>
    </w:p>
    <w:p w14:paraId="4C83E930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будучи встревожены</w:t>
      </w:r>
      <w:r w:rsidRPr="00D102AA">
        <w:t xml:space="preserve"> растущими социальными и экономическими издержками, связанными с разрушительными климатическими бедствиями, и их негативным воздействием на социальную и экономическую жизнь нынешнего и будущих поколений во всем мире,</w:t>
      </w:r>
    </w:p>
    <w:p w14:paraId="7B95AE7A" w14:textId="77777777" w:rsidR="002563E7" w:rsidRPr="00D102AA" w:rsidRDefault="002563E7" w:rsidP="002563E7">
      <w:pPr>
        <w:pStyle w:val="SingleTxtG"/>
        <w:spacing w:line="220" w:lineRule="atLeast"/>
        <w:ind w:firstLine="567"/>
        <w:rPr>
          <w:i/>
          <w:iCs/>
        </w:rPr>
      </w:pPr>
      <w:r w:rsidRPr="00D102AA">
        <w:rPr>
          <w:i/>
          <w:iCs/>
        </w:rPr>
        <w:t xml:space="preserve">будучи встревожены также </w:t>
      </w:r>
      <w:r w:rsidRPr="00D102AA">
        <w:t xml:space="preserve">растущим воздействием изменения климата на бесперебойную работу внутренних видов транспорта, которое ставит под угрозу устойчивость цепей поставок, и выражая в этой связи признательность вспомогательным органам Комитета за их деятельность по вопросам адаптации к изменению климата, </w:t>
      </w:r>
    </w:p>
    <w:p w14:paraId="38536892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всецело поддерживая </w:t>
      </w:r>
      <w:r w:rsidRPr="00D102AA">
        <w:t>продолжение усилий по ограничению роста температуры до 1,5 °С сверх доиндустриальных уровней,</w:t>
      </w:r>
    </w:p>
    <w:p w14:paraId="72DF7264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будучи серьезно обеспокоены</w:t>
      </w:r>
      <w:r w:rsidRPr="00D102AA">
        <w:t xml:space="preserve"> продолжающимся ростом выбросов парниковых газов в транспортном секторе,</w:t>
      </w:r>
    </w:p>
    <w:p w14:paraId="01345FDE" w14:textId="30685250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сознавая</w:t>
      </w:r>
      <w:r w:rsidRPr="00D102AA">
        <w:t>, что прямые выбросы парниковых газов в результате работы транспортного сектора составляют 23</w:t>
      </w:r>
      <w:r w:rsidRPr="002563E7">
        <w:t xml:space="preserve"> </w:t>
      </w:r>
      <w:r w:rsidRPr="00D102AA">
        <w:t>% глобальных выбросов углерода, связанных с энергетикой, и что более 71</w:t>
      </w:r>
      <w:r w:rsidRPr="002563E7">
        <w:t xml:space="preserve"> </w:t>
      </w:r>
      <w:r w:rsidRPr="00D102AA">
        <w:t xml:space="preserve">% прямых выбросов парниковых газов от транспортного сектора приходится на внутренний транспорт, </w:t>
      </w:r>
    </w:p>
    <w:p w14:paraId="514E6CBD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подчеркивая </w:t>
      </w:r>
      <w:r w:rsidRPr="00D102AA">
        <w:t>необходимость расширения усилий Комитета по борьбе с загрязнением атмосферного воздуха, особенно в городских районах, а также шумовым загрязнением от транспорта, и подчеркивая важность этой деятельности в контексте глобальных усилий по борьбе со смертностью от неинфекционных заболеваний и обеспечению того, чтобы люди по всему миру жили более здоровой жизнью,</w:t>
      </w:r>
    </w:p>
    <w:p w14:paraId="48AE6521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полностью сознавая </w:t>
      </w:r>
      <w:r w:rsidRPr="00D102AA">
        <w:t>в этой связи, что смягчение последствий глобального изменения климата не может быть достигнуто без трансформационных изменений в транспортном секторе и что стратегии смягчения, связанные с факторами спроса и предложения в транспортном секторе, имеют ключевое значение для таких изменений,</w:t>
      </w:r>
    </w:p>
    <w:p w14:paraId="656A7974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lastRenderedPageBreak/>
        <w:t xml:space="preserve">подчеркивая </w:t>
      </w:r>
      <w:r w:rsidRPr="00D102AA">
        <w:t>важность разработки и реализации политики и стратегий, которые направлены на смягчение последствий изменения климата, являются социально инклюзивными для всех, включая лиц с особыми потребностями в плане мобильности, с учетом экономической уязвимости людей перед ростом цен на топливо, и способствуют региональной и глобальной интеграции, экономическому росту и устойчивому развитию,</w:t>
      </w:r>
    </w:p>
    <w:p w14:paraId="40C24882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подтверждая </w:t>
      </w:r>
      <w:r w:rsidRPr="00D102AA">
        <w:t>роль Комитета в поддержке на внутрирегиональном и межрегиональном уровнях устойчивого транспорта и мобильности, экологическая и климатическая устойчивость которых приносит пользу всем странам, независимо от уровня их развития,</w:t>
      </w:r>
    </w:p>
    <w:p w14:paraId="7864763E" w14:textId="7038CD90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отмечая</w:t>
      </w:r>
      <w:r w:rsidRPr="00D102AA">
        <w:t>, что электромобильность за счет электрической энергии, производимой с нулевым или низким уровнем выбросов, поддерживаемая соответствующей инфраструктурой зарядки, может позволить быстро сократить выбросы парниковых газов, в частности от автомобильного транспорта,</w:t>
      </w:r>
    </w:p>
    <w:p w14:paraId="4119329E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принимая к сведению</w:t>
      </w:r>
      <w:r w:rsidRPr="00D102AA">
        <w:t xml:space="preserve"> стремление участников прорывной повестки дня для автомобильного транспорта на период до 2030 года в рамках КС-26 сделать транспортные средства с нулевым уровнем выбросов новой нормой путем обеспечения их ценовой приемлемости, доступности и устойчивости во всех регионах к 2030 году,</w:t>
      </w:r>
    </w:p>
    <w:p w14:paraId="7EB7A83E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выражая признательность</w:t>
      </w:r>
      <w:r w:rsidRPr="00D102AA">
        <w:t xml:space="preserve"> в связи с масштабны</w:t>
      </w:r>
      <w:r>
        <w:t>ми</w:t>
      </w:r>
      <w:r w:rsidRPr="00D102AA">
        <w:t xml:space="preserve"> цел</w:t>
      </w:r>
      <w:r>
        <w:t>ями</w:t>
      </w:r>
      <w:r w:rsidRPr="00D102AA">
        <w:t xml:space="preserve"> по переходу на электромобили,</w:t>
      </w:r>
      <w:r w:rsidRPr="00053854">
        <w:t xml:space="preserve"> </w:t>
      </w:r>
      <w:r>
        <w:t xml:space="preserve">поставленными </w:t>
      </w:r>
      <w:r w:rsidRPr="00D102AA">
        <w:t>ряд</w:t>
      </w:r>
      <w:r>
        <w:t>ом</w:t>
      </w:r>
      <w:r w:rsidRPr="00D102AA">
        <w:t xml:space="preserve"> государств-членов</w:t>
      </w:r>
      <w:r>
        <w:t>,</w:t>
      </w:r>
    </w:p>
    <w:p w14:paraId="66BE5259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выражая признательность также </w:t>
      </w:r>
      <w:r w:rsidRPr="00D102AA">
        <w:t xml:space="preserve">в связи с </w:t>
      </w:r>
      <w:r>
        <w:t xml:space="preserve">целями по </w:t>
      </w:r>
      <w:r w:rsidRPr="00D102AA">
        <w:t>сокращению выбросов парниковых газов и загрязнителей воздуха на внутреннем водном транспорте</w:t>
      </w:r>
      <w:r>
        <w:t>, поставленными</w:t>
      </w:r>
      <w:r w:rsidRPr="00D102AA">
        <w:t xml:space="preserve"> рядом государств-членов,</w:t>
      </w:r>
    </w:p>
    <w:p w14:paraId="2E6A1C0A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признавая</w:t>
      </w:r>
      <w:r w:rsidRPr="00D102AA">
        <w:t>, что новые технологии и инновации в области альтернативных источников энергии, цифровизации, автоматизации и интеллектуальных транспортных систем, дополненные принципами циклической экономики, могут поддерживать системные изменения и ускорить сокращение выбросов парниковых газов, но еще не полностью внедрены,</w:t>
      </w:r>
    </w:p>
    <w:p w14:paraId="37C28134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признавая </w:t>
      </w:r>
      <w:r w:rsidRPr="00D102AA">
        <w:t>стратегическую важность перехода на более экологичные виды грузового, пассажирского и общественного транспорта и увеличения доли железнодорожного и внутреннего водного транспорта и активной мобильности, а также обеспечения того, чтобы этот переход был основан как на принципах циклической экономики, так и на социальных и экологических стандартах,</w:t>
      </w:r>
    </w:p>
    <w:p w14:paraId="3BE36C00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подтверждая</w:t>
      </w:r>
      <w:r w:rsidRPr="00D102AA">
        <w:t>, что надлежащая и отвечающая должным требованиям инфраструктура для безопасного передвижения пешеходов и велосипедистов в сочетании с совершенствованием городского проектирования, качественными услугами общественного транспорта и концепциями совместной мобильности может внести значительный вклад в снижение спроса на личный автотранспорт, особенно на автомобили с высоким уровнем выбросов,</w:t>
      </w:r>
    </w:p>
    <w:p w14:paraId="1EB31A1D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>признавая</w:t>
      </w:r>
      <w:r w:rsidRPr="00D102AA">
        <w:t>, что решения для реализации потенциального вклада внутреннего транспорта в глобальные усилия по смягчению последствий изменения климата существуют и что их масштабирование для решения этой задачи является не только вопросом политической воли, технологических решений и финансирования на национальном уровне, но и зависит от должным образом разработанных международных нормативных решений, которые позволяют безопасно, эффективно и действенно принимать согласованные и совместные меры на национальном, региональном и межрегиональном уровнях,</w:t>
      </w:r>
    </w:p>
    <w:p w14:paraId="57FD8368" w14:textId="54665261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подтверждая </w:t>
      </w:r>
      <w:r w:rsidRPr="00D102AA">
        <w:t>нашу приверженность проведению второго Десятилетия действий по обеспечению безопасности дорожного движения (2021–2030 годы) с акцентом на связь между безопасностью дорожного движения и решениями в области климата, что также было подчеркнуто на первом Совещании высокого уровня 2022</w:t>
      </w:r>
      <w:r>
        <w:rPr>
          <w:lang w:val="en-US"/>
        </w:rPr>
        <w:t> </w:t>
      </w:r>
      <w:r w:rsidRPr="00D102AA">
        <w:t>года по вопросу о повышении безопасности дорожного движения во всем мире,</w:t>
      </w:r>
    </w:p>
    <w:p w14:paraId="33A70174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rPr>
          <w:i/>
          <w:iCs/>
        </w:rPr>
        <w:t xml:space="preserve">выражая </w:t>
      </w:r>
      <w:r w:rsidRPr="00D102AA">
        <w:t xml:space="preserve">в этой связи </w:t>
      </w:r>
      <w:r w:rsidRPr="00D102AA">
        <w:rPr>
          <w:i/>
          <w:iCs/>
        </w:rPr>
        <w:t xml:space="preserve">признательность </w:t>
      </w:r>
      <w:r w:rsidRPr="00D102AA">
        <w:t xml:space="preserve">за уникальную роль и вклад Комитета как центра Организации Объединенных Наций, выполняющего функции всеобъемлющей платформы для рассмотрения всех аспектов развития и </w:t>
      </w:r>
      <w:r w:rsidRPr="00D102AA">
        <w:lastRenderedPageBreak/>
        <w:t>сотрудничества в области внутреннего транспорта и уделяющего особое внимание межрегиональному и внутрирегиональному регулированию на основе конвенций Организации Объединенных Наций по транспорту и других средств,</w:t>
      </w:r>
    </w:p>
    <w:p w14:paraId="28EF7C5C" w14:textId="4AC90A9E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[</w:t>
      </w:r>
      <w:r w:rsidRPr="00D102AA">
        <w:rPr>
          <w:i/>
          <w:iCs/>
        </w:rPr>
        <w:t xml:space="preserve">заявляем </w:t>
      </w:r>
      <w:r w:rsidRPr="00D102AA">
        <w:t xml:space="preserve">о нерушимом соблюдении Принципов Объединенных Наций, а именно, что все </w:t>
      </w:r>
      <w:r w:rsidR="0027566C">
        <w:t>ч</w:t>
      </w:r>
      <w:r w:rsidRPr="00D102AA">
        <w:t>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государства, так и каким-либо другим образом, несовместимым с Целями Объединенных Наций;]</w:t>
      </w:r>
    </w:p>
    <w:p w14:paraId="06829843" w14:textId="747328A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1.</w:t>
      </w:r>
      <w:r w:rsidRPr="00D102AA">
        <w:tab/>
      </w:r>
      <w:r w:rsidRPr="00D102AA">
        <w:rPr>
          <w:i/>
          <w:iCs/>
        </w:rPr>
        <w:t xml:space="preserve">заявляем </w:t>
      </w:r>
      <w:r w:rsidRPr="00D102AA">
        <w:t>о твердой поддержке целей и задач Повестки дня в области устойчивого развития на период до 2030 года и, в частности, Рамочной конвенции Организации Объединенных Наций об изменении климата и Парижского соглашения, для реализации наших решений в области борьбы с изменением климата, а также ускорения перехода к декарбонизированной мобильности и достижения чистого нулевого или низкого уровня выбросов в секторе внутреннего транспорта;</w:t>
      </w:r>
    </w:p>
    <w:p w14:paraId="5B17F6B7" w14:textId="00EB9192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2.</w:t>
      </w:r>
      <w:r w:rsidRPr="00D102AA">
        <w:tab/>
      </w:r>
      <w:r w:rsidRPr="00D102AA">
        <w:rPr>
          <w:i/>
          <w:iCs/>
        </w:rPr>
        <w:t xml:space="preserve">призываем </w:t>
      </w:r>
      <w:r w:rsidRPr="00D102AA">
        <w:t xml:space="preserve">государства-члены, когда это необходимо для достижения указанных целей и задач, содействовать принятию новых национальных обязательств, инициатив и мер, направленных на быстрое и значительное сокращение выбросов парниковых газов и загрязнителей воздуха от внутреннего транспорта; </w:t>
      </w:r>
      <w:bookmarkStart w:id="2" w:name="_Hlk118186398"/>
      <w:bookmarkEnd w:id="2"/>
    </w:p>
    <w:p w14:paraId="4160A30C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3.</w:t>
      </w:r>
      <w:r w:rsidRPr="00D102AA">
        <w:tab/>
      </w:r>
      <w:r w:rsidRPr="00D102AA">
        <w:rPr>
          <w:i/>
          <w:iCs/>
        </w:rPr>
        <w:t>рекомендуем</w:t>
      </w:r>
      <w:r w:rsidRPr="00D102AA">
        <w:t xml:space="preserve"> государствам-членам включать в определяемый на национальном уровне вклад меры по сокращению выбросов от внутреннего транспорта, опираясь на технические обсуждения целевых показателей, согласованных в рамках Комитета по внутреннему транспорту; </w:t>
      </w:r>
    </w:p>
    <w:p w14:paraId="335BD1A9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4.</w:t>
      </w:r>
      <w:r w:rsidRPr="00D102AA">
        <w:tab/>
      </w:r>
      <w:r w:rsidRPr="00D102AA">
        <w:rPr>
          <w:i/>
          <w:iCs/>
        </w:rPr>
        <w:t xml:space="preserve">постановляем </w:t>
      </w:r>
      <w:r w:rsidRPr="00D102AA">
        <w:t>и впредь проводить на будущих сессиях Комитета регулярные политические диалоги высокого уровня по новым целям, стратегиям, планам, проблемам и решениям, связанным с задачей</w:t>
      </w:r>
      <w:r>
        <w:t xml:space="preserve"> </w:t>
      </w:r>
      <w:r w:rsidRPr="00D102AA">
        <w:t>сокращения выбросов парниковых газов в секторе внутреннего транспорта, чтобы обеспечить систематическое рассмотрение Комитетом этой важной темы и тем самым укрепить его роль и вклад в этой связи;</w:t>
      </w:r>
    </w:p>
    <w:p w14:paraId="6487131D" w14:textId="6C8D20E6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5.</w:t>
      </w:r>
      <w:r w:rsidRPr="00D102AA">
        <w:tab/>
      </w:r>
      <w:r w:rsidRPr="00D102AA">
        <w:rPr>
          <w:i/>
          <w:iCs/>
        </w:rPr>
        <w:t xml:space="preserve">рекомендуем </w:t>
      </w:r>
      <w:r w:rsidRPr="00D102AA">
        <w:t>Комитету продолжать рассмотрение направлений своей деятельности и, при необходимости, адаптировать их, с тем чтобы и далее увязывать свои методы работы с конкретными мерами и «дорожными картами», которые помогут сектору внутреннего транспорта сократить выбросы парниковых газов к 2030</w:t>
      </w:r>
      <w:r>
        <w:rPr>
          <w:lang w:val="en-US"/>
        </w:rPr>
        <w:t> </w:t>
      </w:r>
      <w:r w:rsidRPr="00D102AA">
        <w:t xml:space="preserve">году, путем применения конкретного набора правил, инструментов, рекомендаций и образцов передовой практики; </w:t>
      </w:r>
    </w:p>
    <w:p w14:paraId="2CF52DC2" w14:textId="4E22119B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6.</w:t>
      </w:r>
      <w:r w:rsidRPr="00D102AA">
        <w:tab/>
      </w:r>
      <w:r w:rsidRPr="00D102AA">
        <w:rPr>
          <w:i/>
          <w:iCs/>
        </w:rPr>
        <w:t xml:space="preserve">просим </w:t>
      </w:r>
      <w:r w:rsidRPr="00D102AA">
        <w:t>Комитет и его соответствующие вспомогательные органы продолжать усилия по дальнейшему согласованию эксплуатационных требований и принципов, связанных с интеллектуальными транспортными системами, и усилия, направленные на непосредственное содействие сокращению выбросов парниковых газов за счет эффективного использования энергии, например, путем оптимизации маршрутов и практик вождения, ускоренной замены транспортных средств, работающих на обычном топливе, транспортными средствами с нулевым уровнем выбросов, эффективного использования транспортных сетей и, как следствие, эффективного перемещения людей и грузов, отказа от использования личных автомобилей в пользу общественного транспорта и совместной мобильности, когда это возможно, гибкой нагрузки на электросеть и ресурсов хранения</w:t>
      </w:r>
      <w:r>
        <w:br/>
      </w:r>
      <w:r w:rsidRPr="00D102AA">
        <w:t xml:space="preserve">энергии (для электромобилей) и автоматизации; </w:t>
      </w:r>
    </w:p>
    <w:p w14:paraId="54E9265F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7.</w:t>
      </w:r>
      <w:r w:rsidRPr="00D102AA">
        <w:tab/>
      </w:r>
      <w:r w:rsidRPr="00D102AA">
        <w:rPr>
          <w:i/>
          <w:iCs/>
        </w:rPr>
        <w:t xml:space="preserve">просим </w:t>
      </w:r>
      <w:r w:rsidRPr="00D102AA">
        <w:t xml:space="preserve">Комитет и его вспомогательные органы, а также договорные органы активизировать усилия в области цифровизации в рамках основных конвенций по внутреннему транспорту, в частности тех, которые касаются книжек, транспортных документов и свидетельств, что послужит косвенным, но весомым вкладом в усилия соответствующих стран по значительному сокращению выбросов парниковых газов за счет отказа от колоссальных объемов бумажной документации и существенного уменьшения скопления частных и коммерческих транспортных средств в очередях в ожидании предъявления и валидации этих документов; </w:t>
      </w:r>
    </w:p>
    <w:p w14:paraId="0F71DB83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8.</w:t>
      </w:r>
      <w:r w:rsidRPr="00D102AA">
        <w:tab/>
      </w:r>
      <w:r w:rsidRPr="00D102AA">
        <w:rPr>
          <w:i/>
          <w:iCs/>
        </w:rPr>
        <w:t xml:space="preserve">призываем </w:t>
      </w:r>
      <w:r w:rsidRPr="00D102AA">
        <w:t xml:space="preserve">Комитет и его соответствующие вспомогательные органы активизировать усилия по облегчению пересечения границ путем реализации таких </w:t>
      </w:r>
      <w:r w:rsidRPr="00D102AA">
        <w:lastRenderedPageBreak/>
        <w:t xml:space="preserve">конвенций, как Международная конвенция о согласовании условий проведения контроля грузов на границах, благодаря которым границы в конечном счете смогут служить мостами, потому как длительные и обременительные процедуры пересечения границ приводят к большим скоплениям транспортных средств у международных границ в нескольких странах и оборачиваются в этих случаях высокими уровнями выбросов от многочисленных легковых и грузовых автомобилей; </w:t>
      </w:r>
    </w:p>
    <w:p w14:paraId="1DFEF1A1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9.</w:t>
      </w:r>
      <w:r w:rsidRPr="00D102AA">
        <w:tab/>
      </w:r>
      <w:r w:rsidRPr="00D102AA">
        <w:rPr>
          <w:i/>
          <w:iCs/>
        </w:rPr>
        <w:t>призываем также</w:t>
      </w:r>
      <w:r w:rsidRPr="00D102AA">
        <w:t xml:space="preserve"> Комитет и его соответствующие вспомогательные органы и неофициальные рабочие группы проанализировать с точки зрения экологичности и энергоэффективности использование автоматизированных транспортных средств в дорожном движении; </w:t>
      </w:r>
    </w:p>
    <w:p w14:paraId="58887A70" w14:textId="0AC080E1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10.</w:t>
      </w:r>
      <w:r w:rsidRPr="00D102AA">
        <w:tab/>
      </w:r>
      <w:r w:rsidRPr="00D102AA">
        <w:rPr>
          <w:i/>
          <w:iCs/>
        </w:rPr>
        <w:t xml:space="preserve">призываем далее </w:t>
      </w:r>
      <w:r w:rsidRPr="00D102AA">
        <w:t xml:space="preserve">Комитет и его соответствующие вспомогательные органы активизировать усилия по переходу к экологически эффективному транспорту путем поддержки </w:t>
      </w:r>
      <w:r w:rsidR="00E56768">
        <w:t>—</w:t>
      </w:r>
      <w:r w:rsidRPr="00D102AA">
        <w:t xml:space="preserve"> в рамках направлений своей деятельности </w:t>
      </w:r>
      <w:r>
        <w:t>—</w:t>
      </w:r>
      <w:r w:rsidRPr="00D102AA">
        <w:t xml:space="preserve"> разработки правил и политики, способствующих перераспределению пассажиро- и грузопотоков в пользу автомобильного транспорта с нулевым уровнем выбросов, железнодорожного и внутреннего водного транспорта и интермодальных перевозок, наряду с продвижением активной мобильности, и поддерживать мониторинг этого перераспределения с помощью соответствующих данных, собираемых в рамках существующих механизмов, и с учетом внешних затрат, связанных с этим перераспределением;</w:t>
      </w:r>
    </w:p>
    <w:p w14:paraId="06CE096F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11.</w:t>
      </w:r>
      <w:r w:rsidRPr="00D102AA">
        <w:tab/>
      </w:r>
      <w:r w:rsidRPr="00D102AA">
        <w:rPr>
          <w:i/>
          <w:iCs/>
        </w:rPr>
        <w:t xml:space="preserve">просим </w:t>
      </w:r>
      <w:r w:rsidRPr="00D102AA">
        <w:t>Комитет выразить активную поддержку в отношении инициированной Рабочей группой по проблемам энергии и загрязнения окружающей среды задачи по разработке глобально согласованной методологии определения углеродного следа для всего жизненного цикла дорожных транспортных средств, включая выбросы парниковых газов при добыче сырья, производстве транспортных средств и комплектующих и эксплуатации транспортных средств, а также с точки зрения процессов и возможности утилизации</w:t>
      </w:r>
      <w:r w:rsidRPr="00D102AA">
        <w:rPr>
          <w:rStyle w:val="aa"/>
        </w:rPr>
        <w:footnoteReference w:id="2"/>
      </w:r>
      <w:r w:rsidRPr="00D102AA">
        <w:t xml:space="preserve"> по окончании срока службы, и признать выбросы в течение жизненного цикла, связанные со средствами, строительством и обслуживанием транспортной инфраструктуры, важными составляющими общего воздействия перевозок на окружающую среду;</w:t>
      </w:r>
    </w:p>
    <w:p w14:paraId="294CACA2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12.</w:t>
      </w:r>
      <w:r w:rsidRPr="00D102AA">
        <w:tab/>
      </w:r>
      <w:r w:rsidRPr="00D102AA">
        <w:rPr>
          <w:i/>
          <w:iCs/>
        </w:rPr>
        <w:t xml:space="preserve">просим </w:t>
      </w:r>
      <w:r w:rsidRPr="00D102AA">
        <w:t xml:space="preserve">соответствующие вспомогательные органы Комитета и договорные органы уделять приоритетное внимание своевременному внесению поправок в правовые документы Организации Объединенных Наций по внутреннему транспорту для поддержки безопасной и эффективной реализации целей, обязательств и решений в области изменения климата; </w:t>
      </w:r>
    </w:p>
    <w:p w14:paraId="7D879D5D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13.</w:t>
      </w:r>
      <w:r w:rsidRPr="00D102AA">
        <w:tab/>
      </w:r>
      <w:r w:rsidRPr="00D102AA">
        <w:rPr>
          <w:i/>
          <w:iCs/>
        </w:rPr>
        <w:t xml:space="preserve">просим </w:t>
      </w:r>
      <w:r w:rsidRPr="00D102AA">
        <w:t>соответствующие вспомогательные органы Комитета содействовать усилиям по сокращению спроса на ископаемые виды топлива, повышению энергоэффективности, разработке альтернативных видов топлива и соответствующей топливной инфраструктуры, дальнейшей разработке новых транспортных средств на альтернативных источниках энергии, экологизации внутреннего флота, повышению уровня автоматизации и подключенности, содействию цифровизации, внедрению принципов циклической экономики и стимулированию пешеходного и велосипедного движения, например, путем обмена передовым опытом в сфере создания надлежащей и достаточной инфраструктуры для безопасного передвижения пешеходов и велосипедистов;</w:t>
      </w:r>
      <w:bookmarkStart w:id="3" w:name="_Hlk118186589"/>
      <w:bookmarkEnd w:id="3"/>
    </w:p>
    <w:p w14:paraId="56ACE2CF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14.</w:t>
      </w:r>
      <w:r w:rsidRPr="00D102AA">
        <w:tab/>
      </w:r>
      <w:r w:rsidRPr="00D102AA">
        <w:rPr>
          <w:i/>
          <w:iCs/>
        </w:rPr>
        <w:t>просим</w:t>
      </w:r>
      <w:r w:rsidRPr="00D102AA">
        <w:t xml:space="preserve"> Комитет представлять двухгодичные доклады о его последних наработках в области внутреннего транспорта с точки зрения вклада в глобальную борьбу с изменением климата;</w:t>
      </w:r>
    </w:p>
    <w:p w14:paraId="4185F9F0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15.</w:t>
      </w:r>
      <w:r w:rsidRPr="00D102AA">
        <w:tab/>
      </w:r>
      <w:r w:rsidRPr="00D102AA">
        <w:rPr>
          <w:i/>
          <w:iCs/>
        </w:rPr>
        <w:t xml:space="preserve">рекомендуем </w:t>
      </w:r>
      <w:r w:rsidRPr="00D102AA">
        <w:t>продолжать усилия по линии Общеевропейской программы по транспорту, окружающей среде и охране здоровья, направленные на экологизацию транспорта и мобильности, и обмениваться передовым опытом с другими сторонами;</w:t>
      </w:r>
    </w:p>
    <w:p w14:paraId="4BD244C1" w14:textId="7D0EBFF0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16.</w:t>
      </w:r>
      <w:r w:rsidRPr="00D102AA">
        <w:tab/>
      </w:r>
      <w:r w:rsidRPr="00D102AA">
        <w:rPr>
          <w:i/>
          <w:iCs/>
        </w:rPr>
        <w:t xml:space="preserve">призываем </w:t>
      </w:r>
      <w:r w:rsidRPr="00D102AA">
        <w:t xml:space="preserve">секретариат оказывать государствам-членам по их просьбе надлежащую техническую помощь и содействие в укреплении потенциала и продвигать передовую практику в поддержку потребностей государств </w:t>
      </w:r>
      <w:r>
        <w:t>—</w:t>
      </w:r>
      <w:r w:rsidRPr="00D102AA">
        <w:t xml:space="preserve"> членов Комитета в реализации их целей и обязательств, связанных с климатом;</w:t>
      </w:r>
    </w:p>
    <w:p w14:paraId="5CA46E69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lastRenderedPageBreak/>
        <w:t>17.</w:t>
      </w:r>
      <w:r w:rsidRPr="00D102AA">
        <w:tab/>
      </w:r>
      <w:r w:rsidRPr="00D102AA">
        <w:rPr>
          <w:i/>
          <w:iCs/>
        </w:rPr>
        <w:t xml:space="preserve">просим </w:t>
      </w:r>
      <w:r w:rsidRPr="00D102AA">
        <w:t>секретариат в тесном сотрудничестве с Бюро Комитета и соответствующими вспомогательными органами и на основе международных правовых документов Организации Объединенных Наций, относящихся к ведению Комитета, разработать стратегический документ по сокращению выбросов парниковых газов на внутреннем транспорте с приоритетными действиями для Комитета и всех его соответствующих вспомогательных органов для рассмотрения Комитетом на его восемьдесят шестой сессии;</w:t>
      </w:r>
    </w:p>
    <w:p w14:paraId="2B2CAB3B" w14:textId="77777777" w:rsidR="002563E7" w:rsidRPr="00D102AA" w:rsidRDefault="002563E7" w:rsidP="002563E7">
      <w:pPr>
        <w:pStyle w:val="SingleTxtG"/>
        <w:spacing w:line="220" w:lineRule="atLeast"/>
        <w:ind w:firstLine="567"/>
      </w:pPr>
      <w:r w:rsidRPr="00D102AA">
        <w:t>18.</w:t>
      </w:r>
      <w:r w:rsidRPr="00D102AA">
        <w:tab/>
      </w:r>
      <w:r w:rsidRPr="00D102AA">
        <w:rPr>
          <w:i/>
          <w:iCs/>
        </w:rPr>
        <w:t>настоятельно призываем</w:t>
      </w:r>
      <w:r w:rsidRPr="00D102AA">
        <w:t xml:space="preserve"> Объединенные Арабские Эмираты и секретариат Рамочной конвенции Организации Объединенных Наций об изменении климата подчеркнуть существенную роль транспорта, включая внутренний транспорт, и роль Комитета по внутреннему транспорту на двадцать восьмой Конференции Сторон, которая состоится в Объединенных Арабских Эмиратах.</w:t>
      </w:r>
    </w:p>
    <w:p w14:paraId="6BB1BE4A" w14:textId="77777777" w:rsidR="002563E7" w:rsidRPr="00D102AA" w:rsidRDefault="002563E7" w:rsidP="002563E7">
      <w:pPr>
        <w:spacing w:before="240" w:line="220" w:lineRule="atLeast"/>
        <w:ind w:left="1134" w:right="1134"/>
        <w:jc w:val="center"/>
        <w:rPr>
          <w:u w:val="single"/>
        </w:rPr>
      </w:pPr>
      <w:r w:rsidRPr="00D102AA">
        <w:rPr>
          <w:u w:val="single"/>
        </w:rPr>
        <w:tab/>
      </w:r>
      <w:r w:rsidRPr="00D102AA">
        <w:rPr>
          <w:u w:val="single"/>
        </w:rPr>
        <w:tab/>
      </w:r>
      <w:r w:rsidRPr="00D102AA">
        <w:rPr>
          <w:u w:val="single"/>
        </w:rPr>
        <w:tab/>
      </w:r>
      <w:r w:rsidRPr="00D102AA">
        <w:rPr>
          <w:u w:val="single"/>
        </w:rPr>
        <w:tab/>
      </w:r>
    </w:p>
    <w:p w14:paraId="5AD35B81" w14:textId="77777777" w:rsidR="00E12C5F" w:rsidRPr="008D53B6" w:rsidRDefault="00E12C5F" w:rsidP="00D9145B"/>
    <w:sectPr w:rsidR="00E12C5F" w:rsidRPr="008D53B6" w:rsidSect="002563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3FCA" w14:textId="77777777" w:rsidR="000A4E8D" w:rsidRPr="00A312BC" w:rsidRDefault="000A4E8D" w:rsidP="00A312BC"/>
  </w:endnote>
  <w:endnote w:type="continuationSeparator" w:id="0">
    <w:p w14:paraId="32B626EF" w14:textId="77777777" w:rsidR="000A4E8D" w:rsidRPr="00A312BC" w:rsidRDefault="000A4E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BB97" w14:textId="3F8BB8A4" w:rsidR="002563E7" w:rsidRPr="002563E7" w:rsidRDefault="002563E7">
    <w:pPr>
      <w:pStyle w:val="a8"/>
    </w:pPr>
    <w:r w:rsidRPr="002563E7">
      <w:rPr>
        <w:b/>
        <w:sz w:val="18"/>
      </w:rPr>
      <w:fldChar w:fldCharType="begin"/>
    </w:r>
    <w:r w:rsidRPr="002563E7">
      <w:rPr>
        <w:b/>
        <w:sz w:val="18"/>
      </w:rPr>
      <w:instrText xml:space="preserve"> PAGE  \* MERGEFORMAT </w:instrText>
    </w:r>
    <w:r w:rsidRPr="002563E7">
      <w:rPr>
        <w:b/>
        <w:sz w:val="18"/>
      </w:rPr>
      <w:fldChar w:fldCharType="separate"/>
    </w:r>
    <w:r w:rsidRPr="002563E7">
      <w:rPr>
        <w:b/>
        <w:noProof/>
        <w:sz w:val="18"/>
      </w:rPr>
      <w:t>2</w:t>
    </w:r>
    <w:r w:rsidRPr="002563E7">
      <w:rPr>
        <w:b/>
        <w:sz w:val="18"/>
      </w:rPr>
      <w:fldChar w:fldCharType="end"/>
    </w:r>
    <w:r>
      <w:rPr>
        <w:b/>
        <w:sz w:val="18"/>
      </w:rPr>
      <w:tab/>
    </w:r>
    <w:r>
      <w:t>GE.23-01482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D455" w14:textId="357F6B15" w:rsidR="002563E7" w:rsidRPr="002563E7" w:rsidRDefault="002563E7" w:rsidP="002563E7">
    <w:pPr>
      <w:pStyle w:val="a8"/>
      <w:tabs>
        <w:tab w:val="clear" w:pos="9639"/>
        <w:tab w:val="right" w:pos="9638"/>
      </w:tabs>
      <w:rPr>
        <w:b/>
        <w:sz w:val="18"/>
      </w:rPr>
    </w:pPr>
    <w:r>
      <w:t>GE.23-01482</w:t>
    </w:r>
    <w:r>
      <w:tab/>
    </w:r>
    <w:r w:rsidRPr="002563E7">
      <w:rPr>
        <w:b/>
        <w:sz w:val="18"/>
      </w:rPr>
      <w:fldChar w:fldCharType="begin"/>
    </w:r>
    <w:r w:rsidRPr="002563E7">
      <w:rPr>
        <w:b/>
        <w:sz w:val="18"/>
      </w:rPr>
      <w:instrText xml:space="preserve"> PAGE  \* MERGEFORMAT </w:instrText>
    </w:r>
    <w:r w:rsidRPr="002563E7">
      <w:rPr>
        <w:b/>
        <w:sz w:val="18"/>
      </w:rPr>
      <w:fldChar w:fldCharType="separate"/>
    </w:r>
    <w:r w:rsidRPr="002563E7">
      <w:rPr>
        <w:b/>
        <w:noProof/>
        <w:sz w:val="18"/>
      </w:rPr>
      <w:t>3</w:t>
    </w:r>
    <w:r w:rsidRPr="002563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B4C2" w14:textId="78D877FB" w:rsidR="00042B72" w:rsidRPr="002563E7" w:rsidRDefault="002563E7" w:rsidP="002563E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527C0B" wp14:editId="17E604F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01482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A33ACC" wp14:editId="63415F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090223  160223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4AF1" w14:textId="77777777" w:rsidR="000A4E8D" w:rsidRPr="001075E9" w:rsidRDefault="000A4E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733412" w14:textId="77777777" w:rsidR="000A4E8D" w:rsidRDefault="000A4E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DDFE24" w14:textId="77777777" w:rsidR="002563E7" w:rsidRPr="00685F80" w:rsidRDefault="002563E7" w:rsidP="002563E7">
      <w:pPr>
        <w:pStyle w:val="ad"/>
      </w:pPr>
      <w:r>
        <w:tab/>
      </w:r>
      <w:r w:rsidRPr="002563E7">
        <w:rPr>
          <w:sz w:val="20"/>
        </w:rPr>
        <w:t>*</w:t>
      </w:r>
      <w:r>
        <w:tab/>
        <w:t>Настоящий документ представлен с опозданием ввиду задержек с получением материалов из других источников.</w:t>
      </w:r>
    </w:p>
  </w:footnote>
  <w:footnote w:id="2">
    <w:p w14:paraId="0B6B7C3B" w14:textId="4D96243C" w:rsidR="002563E7" w:rsidRPr="00685F80" w:rsidRDefault="002563E7" w:rsidP="002563E7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hyperlink r:id="rId1" w:history="1">
        <w:r w:rsidRPr="00E56768">
          <w:rPr>
            <w:rStyle w:val="af1"/>
          </w:rPr>
          <w:t>ECE/TRAN/ITC/2023/21</w:t>
        </w:r>
      </w:hyperlink>
      <w:r>
        <w:t>, приложение III.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E3F4" w14:textId="5423FF1D" w:rsidR="002563E7" w:rsidRPr="002563E7" w:rsidRDefault="0006439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EA7F71">
      <w:t>ECE/TRANS/2023/2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C792" w14:textId="633E0AAF" w:rsidR="002563E7" w:rsidRPr="002563E7" w:rsidRDefault="00064398" w:rsidP="002563E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A7F71">
      <w:t>ECE/TRANS/2023/2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B2070"/>
    <w:multiLevelType w:val="hybridMultilevel"/>
    <w:tmpl w:val="FFEA4A40"/>
    <w:lvl w:ilvl="0" w:tplc="A99C61A8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25917424">
    <w:abstractNumId w:val="17"/>
  </w:num>
  <w:num w:numId="2" w16cid:durableId="1289431005">
    <w:abstractNumId w:val="12"/>
  </w:num>
  <w:num w:numId="3" w16cid:durableId="1715502489">
    <w:abstractNumId w:val="11"/>
  </w:num>
  <w:num w:numId="4" w16cid:durableId="486824735">
    <w:abstractNumId w:val="18"/>
  </w:num>
  <w:num w:numId="5" w16cid:durableId="685256256">
    <w:abstractNumId w:val="14"/>
  </w:num>
  <w:num w:numId="6" w16cid:durableId="833446964">
    <w:abstractNumId w:val="8"/>
  </w:num>
  <w:num w:numId="7" w16cid:durableId="667246486">
    <w:abstractNumId w:val="3"/>
  </w:num>
  <w:num w:numId="8" w16cid:durableId="848519259">
    <w:abstractNumId w:val="2"/>
  </w:num>
  <w:num w:numId="9" w16cid:durableId="1349021918">
    <w:abstractNumId w:val="1"/>
  </w:num>
  <w:num w:numId="10" w16cid:durableId="1987586647">
    <w:abstractNumId w:val="0"/>
  </w:num>
  <w:num w:numId="11" w16cid:durableId="2039770545">
    <w:abstractNumId w:val="9"/>
  </w:num>
  <w:num w:numId="12" w16cid:durableId="890577350">
    <w:abstractNumId w:val="7"/>
  </w:num>
  <w:num w:numId="13" w16cid:durableId="203563508">
    <w:abstractNumId w:val="6"/>
  </w:num>
  <w:num w:numId="14" w16cid:durableId="1557399128">
    <w:abstractNumId w:val="5"/>
  </w:num>
  <w:num w:numId="15" w16cid:durableId="1192769607">
    <w:abstractNumId w:val="4"/>
  </w:num>
  <w:num w:numId="16" w16cid:durableId="384566449">
    <w:abstractNumId w:val="16"/>
  </w:num>
  <w:num w:numId="17" w16cid:durableId="882447431">
    <w:abstractNumId w:val="13"/>
  </w:num>
  <w:num w:numId="18" w16cid:durableId="411633365">
    <w:abstractNumId w:val="15"/>
  </w:num>
  <w:num w:numId="19" w16cid:durableId="2067948428">
    <w:abstractNumId w:val="16"/>
  </w:num>
  <w:num w:numId="20" w16cid:durableId="76170922">
    <w:abstractNumId w:val="13"/>
  </w:num>
  <w:num w:numId="21" w16cid:durableId="1573154162">
    <w:abstractNumId w:val="15"/>
  </w:num>
  <w:num w:numId="22" w16cid:durableId="1238770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D"/>
    <w:rsid w:val="00033EE1"/>
    <w:rsid w:val="00042B72"/>
    <w:rsid w:val="000558BD"/>
    <w:rsid w:val="000A4E8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63E7"/>
    <w:rsid w:val="0027151D"/>
    <w:rsid w:val="0027566C"/>
    <w:rsid w:val="0029003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0E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6768"/>
    <w:rsid w:val="00E73F76"/>
    <w:rsid w:val="00EA2C9F"/>
    <w:rsid w:val="00EA420E"/>
    <w:rsid w:val="00EA7F71"/>
    <w:rsid w:val="00ED0BDA"/>
    <w:rsid w:val="00ED7E80"/>
    <w:rsid w:val="00EE142A"/>
    <w:rsid w:val="00EF04A2"/>
    <w:rsid w:val="00EF1360"/>
    <w:rsid w:val="00EF3220"/>
    <w:rsid w:val="00F01ED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205A8"/>
  <w15:docId w15:val="{C4C65BCF-CF13-4131-9160-F39A891F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563E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563E7"/>
    <w:rPr>
      <w:lang w:val="ru-RU" w:eastAsia="en-US"/>
    </w:rPr>
  </w:style>
  <w:style w:type="character" w:customStyle="1" w:styleId="H1GChar">
    <w:name w:val="_ H_1_G Char"/>
    <w:link w:val="H1G"/>
    <w:rsid w:val="002563E7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E5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ECE/TRAN/ITC/2023/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57EF9-ADDE-4287-9610-CC48E34282B3}"/>
</file>

<file path=customXml/itemProps2.xml><?xml version="1.0" encoding="utf-8"?>
<ds:datastoreItem xmlns:ds="http://schemas.openxmlformats.org/officeDocument/2006/customXml" ds:itemID="{5E515327-3CBA-4863-9E9B-89FE744F221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2259</Words>
  <Characters>16179</Characters>
  <Application>Microsoft Office Word</Application>
  <DocSecurity>0</DocSecurity>
  <Lines>288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ECE/TRANS/2023/2</vt:lpstr>
      <vt:lpstr>A/</vt:lpstr>
      <vt:lpstr>A/</vt:lpstr>
    </vt:vector>
  </TitlesOfParts>
  <Company>DCM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ECE/TRANS/2023/2</dc:title>
  <dc:subject/>
  <dc:creator>Uliana ANTIPOVA</dc:creator>
  <cp:keywords/>
  <cp:lastModifiedBy>Uliana Antipova</cp:lastModifiedBy>
  <cp:revision>3</cp:revision>
  <cp:lastPrinted>2023-02-16T08:58:00Z</cp:lastPrinted>
  <dcterms:created xsi:type="dcterms:W3CDTF">2023-02-16T08:58:00Z</dcterms:created>
  <dcterms:modified xsi:type="dcterms:W3CDTF">2023-02-16T08:58:00Z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