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6BB870D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1A1ED0BA" w:rsidR="009E6CB7" w:rsidRPr="00D47EEA" w:rsidRDefault="00C02976" w:rsidP="00C02976">
            <w:pPr>
              <w:jc w:val="right"/>
            </w:pPr>
            <w:r w:rsidRPr="00C02976">
              <w:rPr>
                <w:sz w:val="40"/>
              </w:rPr>
              <w:t>ECE</w:t>
            </w:r>
            <w:r>
              <w:t>/TRANS/202</w:t>
            </w:r>
            <w:r w:rsidR="00960121">
              <w:t>4</w:t>
            </w:r>
            <w:r>
              <w:t>/</w:t>
            </w:r>
            <w:r w:rsidR="00495A66">
              <w:t>5</w:t>
            </w:r>
          </w:p>
        </w:tc>
      </w:tr>
      <w:tr w:rsidR="009E6CB7" w14:paraId="0F5625B8" w14:textId="77777777" w:rsidTr="6BB870D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A3588A" w:rsidRDefault="009E6CB7" w:rsidP="00B20551">
            <w:pPr>
              <w:spacing w:before="120" w:line="420" w:lineRule="exact"/>
              <w:rPr>
                <w:sz w:val="40"/>
                <w:szCs w:val="40"/>
              </w:rPr>
            </w:pPr>
            <w:r w:rsidRPr="00A3588A">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A3588A" w:rsidRDefault="00C02976" w:rsidP="00C02976">
            <w:pPr>
              <w:spacing w:before="240" w:line="240" w:lineRule="exact"/>
            </w:pPr>
            <w:r w:rsidRPr="00A3588A">
              <w:t>Distr.: General</w:t>
            </w:r>
          </w:p>
          <w:p w14:paraId="1B69B993" w14:textId="74420DAE" w:rsidR="00C02976" w:rsidRPr="00A3588A" w:rsidRDefault="00122CDF" w:rsidP="00C02976">
            <w:pPr>
              <w:spacing w:line="240" w:lineRule="exact"/>
            </w:pPr>
            <w:r>
              <w:t>11</w:t>
            </w:r>
            <w:r w:rsidR="00A3588A" w:rsidRPr="00A3588A">
              <w:t xml:space="preserve"> </w:t>
            </w:r>
            <w:r w:rsidR="009F4054" w:rsidRPr="00A3588A">
              <w:t>December</w:t>
            </w:r>
            <w:r w:rsidR="00C02976" w:rsidRPr="00A3588A">
              <w:t xml:space="preserve"> 202</w:t>
            </w:r>
            <w:r w:rsidR="00960121" w:rsidRPr="00A3588A">
              <w:t>3</w:t>
            </w:r>
          </w:p>
          <w:p w14:paraId="384A448F" w14:textId="77777777" w:rsidR="00C02976" w:rsidRPr="00A3588A" w:rsidRDefault="00C02976" w:rsidP="00C02976">
            <w:pPr>
              <w:spacing w:line="240" w:lineRule="exact"/>
            </w:pPr>
          </w:p>
          <w:p w14:paraId="3BD256BB" w14:textId="1434F26D" w:rsidR="00C02976" w:rsidRPr="00A3588A" w:rsidRDefault="00C02976" w:rsidP="00C02976">
            <w:pPr>
              <w:spacing w:line="240" w:lineRule="exact"/>
            </w:pPr>
            <w:r w:rsidRPr="00A3588A">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7A23E558" w:rsidR="00943748" w:rsidRDefault="008312DD" w:rsidP="00943748">
      <w:pPr>
        <w:spacing w:before="120"/>
        <w:rPr>
          <w:b/>
          <w:bCs/>
          <w:lang w:val="en-US"/>
        </w:rPr>
      </w:pPr>
      <w:r w:rsidRPr="00FF02F5">
        <w:rPr>
          <w:b/>
          <w:bCs/>
        </w:rPr>
        <w:t>Eighty-</w:t>
      </w:r>
      <w:r w:rsidR="00960121">
        <w:rPr>
          <w:b/>
          <w:bCs/>
        </w:rPr>
        <w:t>sixth</w:t>
      </w:r>
      <w:r w:rsidR="00943748">
        <w:rPr>
          <w:b/>
          <w:bCs/>
          <w:lang w:val="en-US"/>
        </w:rPr>
        <w:t xml:space="preserve"> </w:t>
      </w:r>
      <w:r w:rsidR="00943748" w:rsidRPr="007D68EB">
        <w:rPr>
          <w:b/>
          <w:bCs/>
          <w:lang w:val="en-US"/>
        </w:rPr>
        <w:t>session</w:t>
      </w:r>
    </w:p>
    <w:p w14:paraId="35F95455" w14:textId="7C4F7AF8" w:rsidR="00943748" w:rsidRDefault="00943748" w:rsidP="00943748">
      <w:r w:rsidRPr="007D68EB">
        <w:t>Geneva</w:t>
      </w:r>
      <w:r>
        <w:t xml:space="preserve">, </w:t>
      </w:r>
      <w:r w:rsidR="008312DD">
        <w:t>2</w:t>
      </w:r>
      <w:r w:rsidR="00960121">
        <w:t>0</w:t>
      </w:r>
      <w:r w:rsidR="008312DD">
        <w:t>-2</w:t>
      </w:r>
      <w:r w:rsidR="00960121">
        <w:t>3</w:t>
      </w:r>
      <w:r w:rsidR="008312DD">
        <w:t xml:space="preserve"> February 202</w:t>
      </w:r>
      <w:r w:rsidR="00960121">
        <w:t>4</w:t>
      </w:r>
    </w:p>
    <w:p w14:paraId="4E5AA5F2" w14:textId="79B81BE5" w:rsidR="001C6663" w:rsidRDefault="00943748" w:rsidP="00C02976">
      <w:r w:rsidRPr="004C2966">
        <w:t xml:space="preserve">Item </w:t>
      </w:r>
      <w:r w:rsidR="007B73B8">
        <w:t>4</w:t>
      </w:r>
      <w:r>
        <w:t xml:space="preserve"> </w:t>
      </w:r>
      <w:r w:rsidRPr="004C2966">
        <w:t>of the provisional agenda</w:t>
      </w:r>
    </w:p>
    <w:p w14:paraId="01C21F89" w14:textId="7270CE3D" w:rsidR="007B73B8" w:rsidRPr="00C206D6" w:rsidRDefault="007B73B8" w:rsidP="007B73B8">
      <w:pPr>
        <w:rPr>
          <w:b/>
          <w:bCs/>
        </w:rPr>
      </w:pPr>
      <w:r>
        <w:rPr>
          <w:b/>
          <w:bCs/>
        </w:rPr>
        <w:t xml:space="preserve">Meeting on the </w:t>
      </w:r>
      <w:r w:rsidR="00CB4B97">
        <w:rPr>
          <w:b/>
          <w:bCs/>
        </w:rPr>
        <w:t xml:space="preserve">adoption </w:t>
      </w:r>
      <w:r>
        <w:rPr>
          <w:b/>
          <w:bCs/>
        </w:rPr>
        <w:t>of the</w:t>
      </w:r>
      <w:r>
        <w:rPr>
          <w:b/>
          <w:bCs/>
        </w:rPr>
        <w:br/>
        <w:t>Inland Transport Committee Strategy for Reducing</w:t>
      </w:r>
      <w:r>
        <w:rPr>
          <w:b/>
          <w:bCs/>
        </w:rPr>
        <w:br/>
        <w:t>Greenhouse Gas Emissions from Inland Transport</w:t>
      </w:r>
      <w:r>
        <w:rPr>
          <w:b/>
          <w:bCs/>
        </w:rPr>
        <w:br/>
        <w:t>for Government Delegates only with the Participation</w:t>
      </w:r>
      <w:r>
        <w:rPr>
          <w:b/>
          <w:bCs/>
        </w:rPr>
        <w:br/>
        <w:t>of the Chairs of the Committee’s Subsidiary Bodies</w:t>
      </w:r>
    </w:p>
    <w:p w14:paraId="406889DC" w14:textId="2D7F61D3" w:rsidR="001A561E" w:rsidRDefault="00DB311C" w:rsidP="00C206D6">
      <w:pPr>
        <w:pStyle w:val="HChG"/>
        <w:ind w:firstLine="0"/>
      </w:pPr>
      <w:r>
        <w:t>In-depth Report on Inland Transport and Climate Change</w:t>
      </w:r>
      <w:r w:rsidR="002C0F75">
        <w:t xml:space="preserve">, </w:t>
      </w:r>
      <w:r w:rsidR="0039136A">
        <w:t>P</w:t>
      </w:r>
      <w:r w:rsidR="002C0F75">
        <w:t>art 2</w:t>
      </w:r>
      <w:r>
        <w:t xml:space="preserve">: </w:t>
      </w:r>
      <w:r w:rsidR="00495A66">
        <w:t>Decarbonization Policy Commitments, Challenges and Opportunities</w:t>
      </w:r>
    </w:p>
    <w:p w14:paraId="3697D5DE" w14:textId="77777777" w:rsidR="00CB4B97" w:rsidRDefault="00CB4B97" w:rsidP="00CB4B97">
      <w:pPr>
        <w:pStyle w:val="H1G"/>
      </w:pPr>
      <w:r>
        <w:tab/>
      </w:r>
      <w:r>
        <w:tab/>
        <w:t>Note by the secretariat</w:t>
      </w:r>
      <w:r w:rsidRPr="00BF3BAC">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B4B97" w14:paraId="74DB64DF" w14:textId="77777777" w:rsidTr="00CB4B97">
        <w:trPr>
          <w:jc w:val="center"/>
        </w:trPr>
        <w:tc>
          <w:tcPr>
            <w:tcW w:w="9629" w:type="dxa"/>
            <w:shd w:val="clear" w:color="auto" w:fill="auto"/>
          </w:tcPr>
          <w:p w14:paraId="72670298" w14:textId="77777777" w:rsidR="00CB4B97" w:rsidRPr="00C6263E" w:rsidRDefault="00CB4B97" w:rsidP="006E5E26">
            <w:pPr>
              <w:spacing w:before="240" w:after="120"/>
              <w:ind w:left="255"/>
              <w:rPr>
                <w:i/>
                <w:sz w:val="24"/>
              </w:rPr>
            </w:pPr>
            <w:r w:rsidRPr="00C6263E">
              <w:rPr>
                <w:i/>
                <w:sz w:val="24"/>
              </w:rPr>
              <w:t>Summary</w:t>
            </w:r>
          </w:p>
        </w:tc>
      </w:tr>
      <w:tr w:rsidR="00CB4B97" w14:paraId="31880E25" w14:textId="77777777" w:rsidTr="00CB4B97">
        <w:trPr>
          <w:jc w:val="center"/>
        </w:trPr>
        <w:tc>
          <w:tcPr>
            <w:tcW w:w="9629" w:type="dxa"/>
            <w:shd w:val="clear" w:color="auto" w:fill="auto"/>
          </w:tcPr>
          <w:p w14:paraId="5FC2639D" w14:textId="16AFFD03" w:rsidR="00CB4B97" w:rsidRDefault="00CB4B97" w:rsidP="00CB4B97">
            <w:pPr>
              <w:pStyle w:val="SingleTxtG"/>
            </w:pPr>
            <w:r>
              <w:tab/>
            </w:r>
            <w:r>
              <w:tab/>
              <w:t>Two in-depth reports have been prepared by the secretariat with the support of an external consultant (Nikola Medimorec) as background material to the draft Inland Transport Committee strategy to reduce Greenhouse gas (GHG) emissions from in land transport.</w:t>
            </w:r>
          </w:p>
          <w:p w14:paraId="3F746057" w14:textId="67B70EFA" w:rsidR="00CB4B97" w:rsidRDefault="00CB4B97" w:rsidP="00CB4B97">
            <w:pPr>
              <w:pStyle w:val="SingleTxtG"/>
            </w:pPr>
            <w:r>
              <w:tab/>
            </w:r>
            <w:r>
              <w:tab/>
              <w:t>This second in-depth report provides detailed analysis of the commitments of countries to decarbonize their inland transport sector, specially scrutinizing Nationally Determined Contributions (NDCs), Long-Term Strategies (LTS) under the UN Framework Convention on Climate Change (UNFCCC) and Voluntary National Reviews (VNRs) under the Sustainable Development Goals.</w:t>
            </w:r>
          </w:p>
          <w:p w14:paraId="6EA0CF6E" w14:textId="7F08FD43" w:rsidR="00CB4B97" w:rsidRDefault="00CB4B97" w:rsidP="00CB4B97">
            <w:pPr>
              <w:pStyle w:val="SingleTxtG"/>
            </w:pPr>
            <w:r>
              <w:tab/>
            </w:r>
            <w:r>
              <w:tab/>
              <w:t>It then looks at actions and commitments taken at the national level to support the timely reduction of GHG emissions from inland transport. Despite enormous progress done in the recent past, the inland transport sector is not on track to meet the objectives set by the Paris Agreement.</w:t>
            </w:r>
          </w:p>
          <w:p w14:paraId="1FB9AF55" w14:textId="03945912" w:rsidR="00CB4B97" w:rsidRDefault="00CB4B97" w:rsidP="00CB4B97">
            <w:pPr>
              <w:pStyle w:val="SingleTxtG"/>
            </w:pPr>
            <w:r>
              <w:tab/>
            </w:r>
            <w:r>
              <w:tab/>
              <w:t>Finally, the report highlights major regional trends and challenges to further decarbonize inland transport, showing that regional and national situations are diverse and the type of actions taken and their effectiveness are likely to depend on the regional and national context.</w:t>
            </w:r>
          </w:p>
        </w:tc>
      </w:tr>
      <w:tr w:rsidR="00CB4B97" w14:paraId="7399EE93" w14:textId="77777777" w:rsidTr="00CB4B97">
        <w:trPr>
          <w:jc w:val="center"/>
        </w:trPr>
        <w:tc>
          <w:tcPr>
            <w:tcW w:w="9629" w:type="dxa"/>
            <w:shd w:val="clear" w:color="auto" w:fill="auto"/>
          </w:tcPr>
          <w:p w14:paraId="4B93791B" w14:textId="77777777" w:rsidR="00CB4B97" w:rsidRDefault="00CB4B97" w:rsidP="006E5E26"/>
        </w:tc>
      </w:tr>
    </w:tbl>
    <w:p w14:paraId="048AEDB8" w14:textId="77777777" w:rsidR="00C206D6" w:rsidRDefault="00C206D6" w:rsidP="00BF5682">
      <w:pPr>
        <w:spacing w:before="240"/>
        <w:jc w:val="center"/>
        <w:rPr>
          <w:u w:val="single"/>
        </w:rPr>
      </w:pPr>
    </w:p>
    <w:p w14:paraId="270C92CE" w14:textId="58EF7290" w:rsidR="00127EE0" w:rsidRDefault="00127EE0">
      <w:pPr>
        <w:suppressAutoHyphens w:val="0"/>
        <w:spacing w:line="240" w:lineRule="auto"/>
        <w:rPr>
          <w:u w:val="single"/>
        </w:rPr>
      </w:pPr>
      <w:r>
        <w:rPr>
          <w:u w:val="single"/>
        </w:rPr>
        <w:br w:type="page"/>
      </w:r>
    </w:p>
    <w:p w14:paraId="6B6D4130" w14:textId="4514BA6F" w:rsidR="00127EE0" w:rsidRDefault="00677C2B" w:rsidP="00195F0C">
      <w:pPr>
        <w:pStyle w:val="HChG"/>
        <w:ind w:left="0" w:firstLine="0"/>
      </w:pPr>
      <w:r>
        <w:lastRenderedPageBreak/>
        <w:tab/>
        <w:t>I.</w:t>
      </w:r>
      <w:r>
        <w:tab/>
      </w:r>
      <w:r w:rsidR="00127EE0">
        <w:t xml:space="preserve">Policy </w:t>
      </w:r>
      <w:r w:rsidR="00A3588A">
        <w:t>C</w:t>
      </w:r>
      <w:r w:rsidR="00127EE0">
        <w:t>ommitments by Member States</w:t>
      </w:r>
    </w:p>
    <w:p w14:paraId="70C883DC" w14:textId="0AF6C32A" w:rsidR="00127EE0" w:rsidRPr="00FC2134" w:rsidRDefault="00D06BF4" w:rsidP="00FC2134">
      <w:pPr>
        <w:pStyle w:val="H1G"/>
      </w:pPr>
      <w:bookmarkStart w:id="0" w:name="_35nkun2" w:colFirst="0" w:colLast="0"/>
      <w:bookmarkEnd w:id="0"/>
      <w:r>
        <w:tab/>
        <w:t>A.</w:t>
      </w:r>
      <w:r>
        <w:tab/>
      </w:r>
      <w:r w:rsidR="00127EE0">
        <w:t>Inland Transport in Nationally Determined Contributions</w:t>
      </w:r>
      <w:r w:rsidR="00760775">
        <w:t xml:space="preserve"> </w:t>
      </w:r>
      <w:r w:rsidR="00127EE0">
        <w:t xml:space="preserve">and </w:t>
      </w:r>
      <w:r w:rsidR="003B0ABD">
        <w:t>L</w:t>
      </w:r>
      <w:r w:rsidR="00127EE0">
        <w:t xml:space="preserve">ong-term </w:t>
      </w:r>
      <w:r w:rsidR="003B0ABD">
        <w:t>S</w:t>
      </w:r>
      <w:r w:rsidR="00127EE0">
        <w:t>trategies</w:t>
      </w:r>
    </w:p>
    <w:p w14:paraId="577772BA" w14:textId="2442C78D" w:rsidR="00127EE0" w:rsidRPr="00FC2134" w:rsidRDefault="00FC2134" w:rsidP="0011107C">
      <w:pPr>
        <w:pStyle w:val="H23G"/>
        <w:ind w:left="709" w:firstLine="0"/>
      </w:pPr>
      <w:r w:rsidRPr="00FC2134">
        <w:t>1.</w:t>
      </w:r>
      <w:r w:rsidR="0011107C">
        <w:tab/>
      </w:r>
      <w:r w:rsidR="00127EE0" w:rsidRPr="00FC2134">
        <w:t xml:space="preserve">Global </w:t>
      </w:r>
      <w:r w:rsidR="00760775">
        <w:t>S</w:t>
      </w:r>
      <w:r w:rsidR="00127EE0" w:rsidRPr="00FC2134">
        <w:t>ituation</w:t>
      </w:r>
    </w:p>
    <w:p w14:paraId="1C792150" w14:textId="00AF613F" w:rsidR="00127EE0" w:rsidRPr="0031283B" w:rsidRDefault="0011107C" w:rsidP="0031283B">
      <w:pPr>
        <w:pStyle w:val="SingleTxtG"/>
        <w:spacing w:after="0" w:line="220" w:lineRule="exact"/>
        <w:ind w:right="0"/>
        <w:jc w:val="left"/>
        <w:rPr>
          <w:sz w:val="18"/>
        </w:rPr>
      </w:pPr>
      <w:r>
        <w:t>1.</w:t>
      </w:r>
      <w:r w:rsidR="00BE25B4">
        <w:tab/>
      </w:r>
      <w:r w:rsidR="00127EE0">
        <w:t xml:space="preserve">Most countries (169 countries in total) submitted second-generation </w:t>
      </w:r>
      <w:r w:rsidR="00760775">
        <w:t>nationally determined contributions (</w:t>
      </w:r>
      <w:r w:rsidR="00127EE0">
        <w:t>NDCs</w:t>
      </w:r>
      <w:r w:rsidR="00760775">
        <w:t>)</w:t>
      </w:r>
      <w:r w:rsidR="00127EE0">
        <w:t xml:space="preserve"> before the end of 2022 and strengthened their </w:t>
      </w:r>
      <w:r w:rsidR="00127EE0" w:rsidRPr="0080309B">
        <w:t>overall</w:t>
      </w:r>
      <w:r w:rsidR="00127EE0">
        <w:t xml:space="preserve"> climate ambitions. Of the second-generation NDCs, 16</w:t>
      </w:r>
      <w:r w:rsidR="000500E4">
        <w:t xml:space="preserve"> per cent</w:t>
      </w:r>
      <w:r w:rsidR="00127EE0">
        <w:t xml:space="preserve"> of the countries (23 countries), predominantly European and African countries, had a target for mitigating transport greenhouse gas</w:t>
      </w:r>
      <w:r w:rsidR="000500E4">
        <w:t xml:space="preserve"> (GHG)</w:t>
      </w:r>
      <w:r w:rsidR="00127EE0">
        <w:t xml:space="preserve"> emissions for the year 2030. This was up from only 13 first-generation NDCs (or 8</w:t>
      </w:r>
      <w:r w:rsidR="009E7A4F">
        <w:t xml:space="preserve"> per cent</w:t>
      </w:r>
      <w:r w:rsidR="00127EE0">
        <w:t xml:space="preserve">) (see Annex </w:t>
      </w:r>
      <w:r w:rsidR="002B3A31">
        <w:t>I</w:t>
      </w:r>
      <w:r w:rsidR="00127EE0">
        <w:t>).</w:t>
      </w:r>
    </w:p>
    <w:p w14:paraId="46395A1B" w14:textId="220381C8" w:rsidR="008141D4" w:rsidRDefault="00127EE0" w:rsidP="008141D4">
      <w:pPr>
        <w:pStyle w:val="Heading1"/>
      </w:pPr>
      <w:r>
        <w:t xml:space="preserve">Figure </w:t>
      </w:r>
      <w:r w:rsidR="00C04331">
        <w:t>I</w:t>
      </w:r>
    </w:p>
    <w:p w14:paraId="08B94A61" w14:textId="328C2A23" w:rsidR="00127EE0" w:rsidRPr="008141D4" w:rsidRDefault="00127EE0" w:rsidP="008141D4">
      <w:pPr>
        <w:pStyle w:val="SingleTxtG"/>
        <w:rPr>
          <w:b/>
          <w:bCs/>
        </w:rPr>
      </w:pPr>
      <w:r w:rsidRPr="008141D4">
        <w:rPr>
          <w:b/>
          <w:bCs/>
        </w:rPr>
        <w:t>Transport targets, by type, in second-generation NDCs</w:t>
      </w:r>
    </w:p>
    <w:p w14:paraId="47672F0C" w14:textId="77777777" w:rsidR="00127EE0" w:rsidRDefault="00127EE0" w:rsidP="00127EE0">
      <w:r>
        <w:rPr>
          <w:noProof/>
        </w:rPr>
        <w:drawing>
          <wp:inline distT="114300" distB="114300" distL="114300" distR="114300" wp14:anchorId="7AC1CAC6" wp14:editId="778D0896">
            <wp:extent cx="5731200" cy="2616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731200" cy="2616200"/>
                    </a:xfrm>
                    <a:prstGeom prst="rect">
                      <a:avLst/>
                    </a:prstGeom>
                    <a:ln/>
                  </pic:spPr>
                </pic:pic>
              </a:graphicData>
            </a:graphic>
          </wp:inline>
        </w:drawing>
      </w:r>
    </w:p>
    <w:p w14:paraId="61A77010" w14:textId="472C8A2D" w:rsidR="00933C32" w:rsidRPr="00933C32" w:rsidRDefault="00FD5483" w:rsidP="0031283B">
      <w:pPr>
        <w:pStyle w:val="SingleTxtG"/>
        <w:spacing w:before="120" w:after="240"/>
        <w:ind w:firstLine="170"/>
        <w:rPr>
          <w:sz w:val="18"/>
          <w:szCs w:val="18"/>
        </w:rPr>
      </w:pPr>
      <w:r w:rsidRPr="00247C2E">
        <w:rPr>
          <w:i/>
          <w:iCs/>
          <w:sz w:val="18"/>
          <w:szCs w:val="18"/>
        </w:rPr>
        <w:t>Source</w:t>
      </w:r>
      <w:r w:rsidRPr="00247C2E">
        <w:rPr>
          <w:sz w:val="18"/>
          <w:szCs w:val="18"/>
        </w:rPr>
        <w:t xml:space="preserve">: </w:t>
      </w:r>
      <w:r>
        <w:rPr>
          <w:sz w:val="18"/>
          <w:szCs w:val="18"/>
        </w:rPr>
        <w:t>S</w:t>
      </w:r>
      <w:r w:rsidR="00933C32">
        <w:rPr>
          <w:sz w:val="18"/>
          <w:szCs w:val="18"/>
        </w:rPr>
        <w:t>LOCAT</w:t>
      </w:r>
      <w:r w:rsidRPr="00247C2E">
        <w:rPr>
          <w:sz w:val="18"/>
          <w:szCs w:val="18"/>
        </w:rPr>
        <w:t>.</w:t>
      </w:r>
    </w:p>
    <w:p w14:paraId="683769B0" w14:textId="1C3147C2" w:rsidR="00127EE0" w:rsidRDefault="005935EA" w:rsidP="00BB6FE1">
      <w:pPr>
        <w:pStyle w:val="SingleTxtG"/>
      </w:pPr>
      <w:r>
        <w:t>2.</w:t>
      </w:r>
      <w:r>
        <w:tab/>
      </w:r>
      <w:r w:rsidR="00127EE0">
        <w:t xml:space="preserve">The main focus of the NDCs and </w:t>
      </w:r>
      <w:r w:rsidR="00290950">
        <w:t>long-term strategies (</w:t>
      </w:r>
      <w:r w:rsidR="00127EE0">
        <w:t>LTS</w:t>
      </w:r>
      <w:r w:rsidR="00290950">
        <w:t>)</w:t>
      </w:r>
      <w:r w:rsidR="00127EE0">
        <w:t xml:space="preserve"> is on inland transport. Among the over 800 transport mitigation actions identified in second-generation NDCs, as of July 2023, less than 5</w:t>
      </w:r>
      <w:r w:rsidR="000356AB">
        <w:t xml:space="preserve"> per cent</w:t>
      </w:r>
      <w:r w:rsidR="00127EE0">
        <w:t xml:space="preserve"> are associated with aviation or maritime transport.</w:t>
      </w:r>
      <w:r w:rsidR="00127EE0">
        <w:rPr>
          <w:vertAlign w:val="superscript"/>
        </w:rPr>
        <w:footnoteReference w:id="3"/>
      </w:r>
    </w:p>
    <w:p w14:paraId="63280D70" w14:textId="6C0DC6B9" w:rsidR="00127EE0" w:rsidRDefault="00C87D47" w:rsidP="00BB6FE1">
      <w:pPr>
        <w:pStyle w:val="SingleTxtG"/>
        <w:rPr>
          <w:vertAlign w:val="superscript"/>
        </w:rPr>
      </w:pPr>
      <w:r>
        <w:t>3.</w:t>
      </w:r>
      <w:r>
        <w:tab/>
      </w:r>
      <w:r w:rsidR="00127EE0">
        <w:t xml:space="preserve">An analysis of the Avoid-Shift-Improve (A-S-I) measures set out in the second generation of NDCs shows a greater imbalance across the measures compared to the first generation of NDCs. </w:t>
      </w:r>
      <w:r w:rsidR="0080309B">
        <w:t>“</w:t>
      </w:r>
      <w:r w:rsidR="00127EE0">
        <w:t>Avoid</w:t>
      </w:r>
      <w:r w:rsidR="0080309B">
        <w:t>”</w:t>
      </w:r>
      <w:r w:rsidR="00127EE0">
        <w:t xml:space="preserve"> only represents 4</w:t>
      </w:r>
      <w:r w:rsidR="0080309B">
        <w:t xml:space="preserve"> per cent</w:t>
      </w:r>
      <w:r w:rsidR="00127EE0">
        <w:t xml:space="preserve"> of transport mitigation actions, while </w:t>
      </w:r>
      <w:r w:rsidR="0080309B">
        <w:t>“</w:t>
      </w:r>
      <w:r w:rsidR="00127EE0">
        <w:t>Shif</w:t>
      </w:r>
      <w:r w:rsidR="0080309B">
        <w:t>t”</w:t>
      </w:r>
      <w:r w:rsidR="00127EE0">
        <w:t xml:space="preserve"> has a 25</w:t>
      </w:r>
      <w:r w:rsidR="0080309B">
        <w:t xml:space="preserve"> per cent</w:t>
      </w:r>
      <w:r w:rsidR="00127EE0">
        <w:t xml:space="preserve"> share in second-generation NDCs. The large majority of actions are, however, associated with </w:t>
      </w:r>
      <w:r w:rsidR="0080309B">
        <w:t>“</w:t>
      </w:r>
      <w:r w:rsidR="00127EE0">
        <w:t>Improve</w:t>
      </w:r>
      <w:r w:rsidR="0080309B">
        <w:t>”</w:t>
      </w:r>
      <w:r w:rsidR="00127EE0">
        <w:t xml:space="preserve"> (60</w:t>
      </w:r>
      <w:r w:rsidR="0080309B">
        <w:t xml:space="preserve"> per cent</w:t>
      </w:r>
      <w:r w:rsidR="00127EE0">
        <w:t>). In the first-generation NDCs, Avoid, Shift and Improve measures represent 3</w:t>
      </w:r>
      <w:r w:rsidR="0080309B" w:rsidRPr="0080309B">
        <w:t xml:space="preserve"> </w:t>
      </w:r>
      <w:r w:rsidR="0080309B">
        <w:t>per cent</w:t>
      </w:r>
      <w:r w:rsidR="00127EE0">
        <w:t>, 32</w:t>
      </w:r>
      <w:r w:rsidR="0080309B" w:rsidRPr="0080309B">
        <w:t xml:space="preserve"> </w:t>
      </w:r>
      <w:r w:rsidR="0080309B">
        <w:t>per cent</w:t>
      </w:r>
      <w:r w:rsidR="00127EE0">
        <w:t xml:space="preserve"> and 54</w:t>
      </w:r>
      <w:r w:rsidR="0080309B" w:rsidRPr="0080309B">
        <w:t xml:space="preserve"> </w:t>
      </w:r>
      <w:r w:rsidR="0080309B">
        <w:t>per cent</w:t>
      </w:r>
      <w:r w:rsidR="00127EE0">
        <w:t xml:space="preserve"> respectively</w:t>
      </w:r>
      <w:r w:rsidR="007B245F">
        <w:t>, the rest being cross-cutting</w:t>
      </w:r>
      <w:r w:rsidR="00127EE0">
        <w:t>.</w:t>
      </w:r>
      <w:r w:rsidR="00127EE0">
        <w:rPr>
          <w:vertAlign w:val="superscript"/>
        </w:rPr>
        <w:footnoteReference w:id="4"/>
      </w:r>
    </w:p>
    <w:p w14:paraId="7E182C61" w14:textId="5FAF85FB" w:rsidR="00127EE0" w:rsidRDefault="00C87D47" w:rsidP="00BB6FE1">
      <w:pPr>
        <w:pStyle w:val="SingleTxtG"/>
      </w:pPr>
      <w:r>
        <w:t>4.</w:t>
      </w:r>
      <w:r>
        <w:tab/>
      </w:r>
      <w:r w:rsidR="00127EE0">
        <w:t>In both generations of NDCs, there were very few explicit mentions of freight-related actions. Around two-thirds of the transport mitigation actions in each generation of NDCs did not explicitly mention freight or passengers, while 25</w:t>
      </w:r>
      <w:r w:rsidR="00BB6FE1" w:rsidRPr="00BB6FE1">
        <w:t xml:space="preserve"> </w:t>
      </w:r>
      <w:r w:rsidR="00BB6FE1">
        <w:t>per cent</w:t>
      </w:r>
      <w:r w:rsidR="00127EE0">
        <w:t xml:space="preserve"> mentioned passenger transport and only around 5</w:t>
      </w:r>
      <w:r w:rsidR="00BB6FE1" w:rsidRPr="00BB6FE1">
        <w:t xml:space="preserve"> </w:t>
      </w:r>
      <w:r w:rsidR="00BB6FE1">
        <w:t>per cent</w:t>
      </w:r>
      <w:r w:rsidR="00127EE0">
        <w:t xml:space="preserve"> mentioned freight transport.</w:t>
      </w:r>
    </w:p>
    <w:p w14:paraId="36082786" w14:textId="0C9E075E" w:rsidR="00127EE0" w:rsidRDefault="00C87D47" w:rsidP="00BB6FE1">
      <w:pPr>
        <w:pStyle w:val="SingleTxtG"/>
      </w:pPr>
      <w:r>
        <w:t>5.</w:t>
      </w:r>
      <w:r>
        <w:tab/>
      </w:r>
      <w:r w:rsidR="00127EE0">
        <w:t xml:space="preserve">Adaptation was still neglected </w:t>
      </w:r>
      <w:r w:rsidR="000E1F08">
        <w:t>for the</w:t>
      </w:r>
      <w:r w:rsidR="00127EE0">
        <w:t xml:space="preserve"> transport</w:t>
      </w:r>
      <w:r w:rsidR="000E1F08">
        <w:t xml:space="preserve"> sector</w:t>
      </w:r>
      <w:r w:rsidR="00127EE0">
        <w:t xml:space="preserve">, as few second-generation NDCs feature transport adaptation targets and actions. While there were on average 5.2 mitigation actions per second-generation NDC, there were only 1.2 </w:t>
      </w:r>
      <w:r w:rsidR="002D6252">
        <w:t xml:space="preserve">adaptation </w:t>
      </w:r>
      <w:r w:rsidR="00127EE0">
        <w:t xml:space="preserve">actions per </w:t>
      </w:r>
      <w:r w:rsidR="00127EE0">
        <w:lastRenderedPageBreak/>
        <w:t>second-generation NDC. Only 6 second-generation NDCs (Antigua and Barbuda, Burundi, Cambodia, Kenya, Liberia and Papua New Guinea) had transport adaptation targets.</w:t>
      </w:r>
      <w:r w:rsidR="00127EE0">
        <w:rPr>
          <w:vertAlign w:val="superscript"/>
        </w:rPr>
        <w:footnoteReference w:id="5"/>
      </w:r>
    </w:p>
    <w:p w14:paraId="64DBF218" w14:textId="55252423" w:rsidR="00127EE0" w:rsidRDefault="003B700C" w:rsidP="00BB6FE1">
      <w:pPr>
        <w:pStyle w:val="SingleTxtG"/>
      </w:pPr>
      <w:r>
        <w:t>6.</w:t>
      </w:r>
      <w:r>
        <w:tab/>
      </w:r>
      <w:r w:rsidR="00127EE0">
        <w:t>NDCs focus on climate action at the national level, but it is essential that subnational governments/cities are considered and supported in decarbonisation efforts. However, second-generation NDCs do not consider supporting frameworks for urban transport.</w:t>
      </w:r>
      <w:r w:rsidR="00127EE0">
        <w:rPr>
          <w:vertAlign w:val="superscript"/>
        </w:rPr>
        <w:footnoteReference w:id="6"/>
      </w:r>
      <w:r w:rsidR="00127EE0">
        <w:t xml:space="preserve"> Several actions across A-S-I require local action.</w:t>
      </w:r>
    </w:p>
    <w:p w14:paraId="065372B9" w14:textId="37A68280" w:rsidR="00127EE0" w:rsidRDefault="003B700C" w:rsidP="00BB6FE1">
      <w:pPr>
        <w:pStyle w:val="SingleTxtG"/>
      </w:pPr>
      <w:r>
        <w:t>7.</w:t>
      </w:r>
      <w:r>
        <w:tab/>
      </w:r>
      <w:r w:rsidR="00127EE0">
        <w:t xml:space="preserve">By the end of 2022, only a quarter of the world’s countries (58 countries) had developed LTS. 11 countries (see </w:t>
      </w:r>
      <w:r w:rsidR="002B3A31" w:rsidRPr="000E7A8E">
        <w:t>Annex II</w:t>
      </w:r>
      <w:r w:rsidR="00127EE0" w:rsidRPr="008F6DBB">
        <w:t>)</w:t>
      </w:r>
      <w:r w:rsidR="00127EE0">
        <w:t xml:space="preserve"> outline transport targets in their LTS (representing 21</w:t>
      </w:r>
      <w:r w:rsidR="009E7A4F">
        <w:t xml:space="preserve"> per cent</w:t>
      </w:r>
      <w:r w:rsidR="00127EE0">
        <w:t xml:space="preserve"> of submitted LTS by end of 2022). Nearly every LTS features transport actions but with a similar imbalance of A-S-I as the second-generation NDCs.</w:t>
      </w:r>
      <w:r w:rsidR="00127EE0">
        <w:rPr>
          <w:vertAlign w:val="superscript"/>
        </w:rPr>
        <w:footnoteReference w:id="7"/>
      </w:r>
    </w:p>
    <w:p w14:paraId="4A64CC0B" w14:textId="1A7A595C" w:rsidR="00127EE0" w:rsidRDefault="00A64242" w:rsidP="00A64242">
      <w:pPr>
        <w:pStyle w:val="H23G"/>
        <w:rPr>
          <w:b w:val="0"/>
          <w:sz w:val="24"/>
          <w:szCs w:val="24"/>
        </w:rPr>
      </w:pPr>
      <w:r>
        <w:tab/>
        <w:t>2.</w:t>
      </w:r>
      <w:r>
        <w:tab/>
      </w:r>
      <w:r w:rsidR="00127EE0">
        <w:t xml:space="preserve">Situation in </w:t>
      </w:r>
      <w:r w:rsidR="00BB6FE1">
        <w:t>D</w:t>
      </w:r>
      <w:r w:rsidR="00127EE0">
        <w:t>ifferent</w:t>
      </w:r>
      <w:r w:rsidR="00BB6FE1">
        <w:t xml:space="preserve"> R</w:t>
      </w:r>
      <w:r w:rsidR="00127EE0">
        <w:t>egions</w:t>
      </w:r>
    </w:p>
    <w:p w14:paraId="4F229D4B" w14:textId="25F4AF60" w:rsidR="00BE102C" w:rsidRPr="00BE25B4" w:rsidRDefault="00BE25B4" w:rsidP="00BE25B4">
      <w:pPr>
        <w:pStyle w:val="H23G"/>
      </w:pPr>
      <w:r>
        <w:tab/>
      </w:r>
      <w:r w:rsidR="00EC23BA">
        <w:t>(a)</w:t>
      </w:r>
      <w:r>
        <w:tab/>
      </w:r>
      <w:r w:rsidR="00127EE0">
        <w:t>Africa</w:t>
      </w:r>
    </w:p>
    <w:p w14:paraId="63C6A839" w14:textId="3A0D2BBD" w:rsidR="00127EE0" w:rsidRDefault="00EC23BA" w:rsidP="00BE25B4">
      <w:pPr>
        <w:pStyle w:val="SingleTxtG"/>
      </w:pPr>
      <w:r>
        <w:t>8.</w:t>
      </w:r>
      <w:r>
        <w:tab/>
      </w:r>
      <w:r w:rsidR="00127EE0">
        <w:t>As of the end of 2022, Africa accounted for 43</w:t>
      </w:r>
      <w:r w:rsidR="00BE25B4" w:rsidRPr="00BE25B4">
        <w:t xml:space="preserve"> </w:t>
      </w:r>
      <w:r w:rsidR="00BE25B4">
        <w:t>per cent</w:t>
      </w:r>
      <w:r w:rsidR="00127EE0">
        <w:t xml:space="preserve"> of the countries that included time-bound targets for reducing transport greenhouse gas emissions in their second-generation NDCs. The African countries – representing 10 out of the 23 total countries – were Burkina Faso, Egypt, Gambia, Guinea, Liberia, Mauritania, Mauritius, Seychelles, South Sudan and Uganda. Several African NDCs also included other types of transport targets, such as for vehicle efficiency, zero-emission vehicles, mode share, biofuels and transport infrastructure.</w:t>
      </w:r>
      <w:r w:rsidR="00127EE0">
        <w:rPr>
          <w:vertAlign w:val="superscript"/>
        </w:rPr>
        <w:footnoteReference w:id="8"/>
      </w:r>
    </w:p>
    <w:p w14:paraId="4992EC19" w14:textId="056E5501" w:rsidR="00975088" w:rsidRPr="00BE25B4" w:rsidRDefault="00BE25B4" w:rsidP="00BE25B4">
      <w:pPr>
        <w:pStyle w:val="H23G"/>
      </w:pPr>
      <w:r>
        <w:tab/>
      </w:r>
      <w:r w:rsidR="00BE102C">
        <w:t>(b)</w:t>
      </w:r>
      <w:r>
        <w:tab/>
      </w:r>
      <w:r w:rsidR="00127EE0">
        <w:t>Asia</w:t>
      </w:r>
    </w:p>
    <w:p w14:paraId="6C28194E" w14:textId="41AD9EA7" w:rsidR="00BE102C" w:rsidRPr="00BE25B4" w:rsidRDefault="00BE102C" w:rsidP="00BE25B4">
      <w:pPr>
        <w:pStyle w:val="SingleTxtG"/>
      </w:pPr>
      <w:r>
        <w:t>9.</w:t>
      </w:r>
      <w:r>
        <w:tab/>
      </w:r>
      <w:r w:rsidR="00127EE0">
        <w:t>The NDCs of six Asian countries – Bangladesh, Georgia, Israel, Japan, Sri Lanka and the United Arab Emirates – are among the 23 second-generation NDCs submitted under the Paris Agreement that feature targets for transport greenhouse gas mitigation. This is the second highest share by region after Africa.</w:t>
      </w:r>
      <w:r w:rsidR="00127EE0">
        <w:rPr>
          <w:vertAlign w:val="superscript"/>
        </w:rPr>
        <w:footnoteReference w:id="9"/>
      </w:r>
    </w:p>
    <w:p w14:paraId="15829968" w14:textId="7E653B10" w:rsidR="00127EE0" w:rsidRDefault="00BE102C" w:rsidP="005D7E6E">
      <w:pPr>
        <w:pStyle w:val="SingleTxtG"/>
        <w:spacing w:after="240"/>
      </w:pPr>
      <w:r>
        <w:t>10.</w:t>
      </w:r>
      <w:r>
        <w:tab/>
      </w:r>
      <w:r w:rsidR="00127EE0">
        <w:t>As of 2022, at least 14 Asian countries had made economy-wide pledges towards net zero</w:t>
      </w:r>
      <w:r w:rsidR="00995C14">
        <w:t>-</w:t>
      </w:r>
      <w:r w:rsidR="00127EE0">
        <w:t>emissions in addition to transport targets (which mostly aimed at electric mobility).</w:t>
      </w:r>
    </w:p>
    <w:tbl>
      <w:tblPr>
        <w:tblW w:w="7938"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8"/>
      </w:tblGrid>
      <w:tr w:rsidR="00127EE0" w14:paraId="78A82BFB" w14:textId="77777777" w:rsidTr="003E2B37">
        <w:tc>
          <w:tcPr>
            <w:tcW w:w="7938" w:type="dxa"/>
            <w:shd w:val="clear" w:color="auto" w:fill="auto"/>
            <w:tcMar>
              <w:top w:w="100" w:type="dxa"/>
              <w:left w:w="100" w:type="dxa"/>
              <w:bottom w:w="100" w:type="dxa"/>
              <w:right w:w="100" w:type="dxa"/>
            </w:tcMar>
          </w:tcPr>
          <w:p w14:paraId="1CEBD910" w14:textId="6AE6A737" w:rsidR="00127EE0" w:rsidRDefault="00127EE0" w:rsidP="003E2B37">
            <w:pPr>
              <w:widowControl w:val="0"/>
              <w:spacing w:line="240" w:lineRule="auto"/>
              <w:ind w:left="287" w:right="850" w:hanging="101"/>
              <w:rPr>
                <w:b/>
              </w:rPr>
            </w:pPr>
            <w:r>
              <w:rPr>
                <w:b/>
              </w:rPr>
              <w:t xml:space="preserve">Box 1. Singapore’s LTS </w:t>
            </w:r>
          </w:p>
          <w:p w14:paraId="1EF30E82" w14:textId="77777777" w:rsidR="00127EE0" w:rsidRDefault="00127EE0" w:rsidP="003E2B37">
            <w:pPr>
              <w:widowControl w:val="0"/>
              <w:spacing w:line="240" w:lineRule="auto"/>
              <w:ind w:left="287" w:right="850" w:hanging="101"/>
            </w:pPr>
          </w:p>
          <w:p w14:paraId="6D8066F1" w14:textId="77777777" w:rsidR="00127EE0" w:rsidRDefault="00127EE0" w:rsidP="00BE25B4">
            <w:pPr>
              <w:widowControl w:val="0"/>
              <w:spacing w:line="240" w:lineRule="auto"/>
              <w:ind w:left="287" w:right="461" w:hanging="101"/>
            </w:pPr>
            <w:r>
              <w:t>Singapore made strong linkages between transport and land use planning:</w:t>
            </w:r>
          </w:p>
          <w:p w14:paraId="28D44848" w14:textId="77777777" w:rsidR="00BE25B4" w:rsidRDefault="00127EE0" w:rsidP="00BE25B4">
            <w:pPr>
              <w:pStyle w:val="Bullet1G"/>
              <w:tabs>
                <w:tab w:val="clear" w:pos="1701"/>
              </w:tabs>
              <w:ind w:left="323" w:right="461"/>
            </w:pPr>
            <w:r>
              <w:t>Establish active mobility, public and shared mobility as preferred way of travel</w:t>
            </w:r>
          </w:p>
          <w:p w14:paraId="7426CC43" w14:textId="77777777" w:rsidR="00BE25B4" w:rsidRDefault="00127EE0" w:rsidP="00BE25B4">
            <w:pPr>
              <w:pStyle w:val="Bullet1G"/>
              <w:tabs>
                <w:tab w:val="clear" w:pos="1701"/>
              </w:tabs>
              <w:ind w:left="323" w:right="461"/>
            </w:pPr>
            <w:r>
              <w:t>Develop 20-minute cities supporting walking, cycling, riding and 40-minute cities (mostly for commuting) with public transport</w:t>
            </w:r>
          </w:p>
          <w:p w14:paraId="4084AD47" w14:textId="77777777" w:rsidR="00BE25B4" w:rsidRDefault="00127EE0" w:rsidP="00BE25B4">
            <w:pPr>
              <w:pStyle w:val="Bullet1G"/>
              <w:tabs>
                <w:tab w:val="clear" w:pos="1701"/>
              </w:tabs>
              <w:ind w:left="323" w:right="461"/>
            </w:pPr>
            <w:r>
              <w:t>Expand active mobility network</w:t>
            </w:r>
          </w:p>
          <w:p w14:paraId="2DF032AE" w14:textId="77777777" w:rsidR="00BE25B4" w:rsidRDefault="00127EE0" w:rsidP="00BE25B4">
            <w:pPr>
              <w:pStyle w:val="Bullet1G"/>
              <w:tabs>
                <w:tab w:val="clear" w:pos="1701"/>
              </w:tabs>
              <w:ind w:left="323" w:right="461"/>
            </w:pPr>
            <w:r>
              <w:t>Expand and improve mass public transport and shared transport</w:t>
            </w:r>
          </w:p>
          <w:p w14:paraId="0607E9FC" w14:textId="029875EA" w:rsidR="00127EE0" w:rsidRDefault="00127EE0" w:rsidP="00BE25B4">
            <w:pPr>
              <w:pStyle w:val="Bullet1G"/>
              <w:tabs>
                <w:tab w:val="clear" w:pos="1701"/>
              </w:tabs>
              <w:ind w:left="323" w:right="461"/>
            </w:pPr>
            <w:r>
              <w:t>Promote zero-emission vehicles and phase out sales of internal combustion engine vehicles by 2040</w:t>
            </w:r>
          </w:p>
        </w:tc>
      </w:tr>
    </w:tbl>
    <w:p w14:paraId="7593165E" w14:textId="7A4B989C" w:rsidR="00127EE0" w:rsidRDefault="001866E5" w:rsidP="001866E5">
      <w:pPr>
        <w:pStyle w:val="H23G"/>
      </w:pPr>
      <w:r>
        <w:lastRenderedPageBreak/>
        <w:tab/>
      </w:r>
      <w:r w:rsidR="00BE102C">
        <w:t>(c)</w:t>
      </w:r>
      <w:r>
        <w:tab/>
        <w:t>E</w:t>
      </w:r>
      <w:r w:rsidR="00127EE0">
        <w:t>urope</w:t>
      </w:r>
    </w:p>
    <w:p w14:paraId="4AB3353C" w14:textId="7E5CC3E6" w:rsidR="00127EE0" w:rsidRPr="001866E5" w:rsidRDefault="00BE102C" w:rsidP="001866E5">
      <w:pPr>
        <w:pStyle w:val="SingleTxtG"/>
      </w:pPr>
      <w:r>
        <w:t>11.</w:t>
      </w:r>
      <w:r>
        <w:tab/>
      </w:r>
      <w:r w:rsidR="00127EE0">
        <w:t xml:space="preserve">In Europe, the EU </w:t>
      </w:r>
      <w:r w:rsidR="00FB6EF1" w:rsidRPr="00FB6EF1">
        <w:t>(European Union)</w:t>
      </w:r>
      <w:r w:rsidR="00127EE0" w:rsidRPr="00FB6EF1">
        <w:t xml:space="preserve"> </w:t>
      </w:r>
      <w:r w:rsidR="00127EE0">
        <w:t>submitted a second-generation NDC on behalf of its 27 member states. The second-generation NDC of 2020 points to the binding CO</w:t>
      </w:r>
      <w:r w:rsidR="00127EE0">
        <w:rPr>
          <w:vertAlign w:val="subscript"/>
        </w:rPr>
        <w:t>2</w:t>
      </w:r>
      <w:r w:rsidR="00127EE0">
        <w:t xml:space="preserve"> performance targets for road transport until 2030.</w:t>
      </w:r>
      <w:r w:rsidR="00127EE0">
        <w:rPr>
          <w:vertAlign w:val="superscript"/>
        </w:rPr>
        <w:footnoteReference w:id="10"/>
      </w:r>
    </w:p>
    <w:p w14:paraId="59E6A01F" w14:textId="5825EEE5" w:rsidR="006547C1" w:rsidRDefault="001866E5" w:rsidP="00911B84">
      <w:pPr>
        <w:pStyle w:val="H23G"/>
      </w:pPr>
      <w:r>
        <w:tab/>
      </w:r>
      <w:r w:rsidR="00BE102C">
        <w:t>(d)</w:t>
      </w:r>
      <w:r w:rsidR="00BE102C">
        <w:tab/>
      </w:r>
      <w:r w:rsidR="00127EE0">
        <w:t>Latin America and the Caribbean</w:t>
      </w:r>
    </w:p>
    <w:p w14:paraId="2D9230E2" w14:textId="3AA4BAD4" w:rsidR="00127EE0" w:rsidRDefault="001544A0" w:rsidP="005D7E6E">
      <w:pPr>
        <w:pStyle w:val="SingleTxtG"/>
        <w:spacing w:after="240"/>
      </w:pPr>
      <w:r>
        <w:t>12.</w:t>
      </w:r>
      <w:r>
        <w:tab/>
      </w:r>
      <w:r w:rsidR="00127EE0">
        <w:t xml:space="preserve">Nearly all LAC </w:t>
      </w:r>
      <w:r w:rsidR="00FB6EF1">
        <w:t xml:space="preserve">(Latin America and the Caribbean) </w:t>
      </w:r>
      <w:r w:rsidR="00127EE0">
        <w:t>countries (90</w:t>
      </w:r>
      <w:r w:rsidR="00911B84" w:rsidRPr="00911B84">
        <w:t xml:space="preserve"> </w:t>
      </w:r>
      <w:r w:rsidR="00911B84">
        <w:t>per cent</w:t>
      </w:r>
      <w:r w:rsidR="00127EE0">
        <w:t>) had submitted a second-generation NDC, while only 20</w:t>
      </w:r>
      <w:r w:rsidR="00911B84" w:rsidRPr="00911B84">
        <w:t xml:space="preserve"> </w:t>
      </w:r>
      <w:r w:rsidR="00911B84">
        <w:t>per cent</w:t>
      </w:r>
      <w:r w:rsidR="00127EE0">
        <w:t xml:space="preserve"> of countries had submitted Long-Term Strategies. Countries in the region show the strongest linkages to renewable energy in transport globally, with nearly 12</w:t>
      </w:r>
      <w:r w:rsidR="009E7A4F">
        <w:t xml:space="preserve"> per cent</w:t>
      </w:r>
      <w:r w:rsidR="00127EE0">
        <w:t xml:space="preserve"> of their NDC</w:t>
      </w:r>
      <w:r w:rsidR="00127EE0">
        <w:rPr>
          <w:sz w:val="16"/>
          <w:szCs w:val="16"/>
        </w:rPr>
        <w:t xml:space="preserve"> </w:t>
      </w:r>
      <w:r w:rsidR="00127EE0">
        <w:t>actions associated with alternative fuels. Four countries (Belize, Dominica, El Salvador and Grenada) included targets for reducing transport greenhouse gas emissions in their second-generation NDCs. Eight countries in the region (Antigua and Barbuda, Barbados, Bolivia, Chile, Colombia, Costa Rica, Dominica and Panama) included e-mobility targets in their second-generation NDCs</w:t>
      </w:r>
      <w:r w:rsidR="00302AE7">
        <w:t xml:space="preserve"> (see </w:t>
      </w:r>
      <w:r w:rsidR="00302AE7" w:rsidRPr="000E7A8E">
        <w:t>Annex II</w:t>
      </w:r>
      <w:r w:rsidR="00302AE7">
        <w:t>I)</w:t>
      </w:r>
      <w:r w:rsidR="00127EE0">
        <w:t>.</w:t>
      </w:r>
      <w:r w:rsidR="00127EE0">
        <w:rPr>
          <w:vertAlign w:val="superscript"/>
        </w:rPr>
        <w:footnoteReference w:id="11"/>
      </w:r>
    </w:p>
    <w:tbl>
      <w:tblPr>
        <w:tblW w:w="737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1"/>
      </w:tblGrid>
      <w:tr w:rsidR="00127EE0" w14:paraId="46A1C0DC" w14:textId="77777777" w:rsidTr="002F568A">
        <w:tc>
          <w:tcPr>
            <w:tcW w:w="7371" w:type="dxa"/>
            <w:shd w:val="clear" w:color="auto" w:fill="auto"/>
            <w:tcMar>
              <w:top w:w="100" w:type="dxa"/>
              <w:left w:w="100" w:type="dxa"/>
              <w:bottom w:w="100" w:type="dxa"/>
              <w:right w:w="100" w:type="dxa"/>
            </w:tcMar>
          </w:tcPr>
          <w:p w14:paraId="6D211606" w14:textId="62CF44D1" w:rsidR="00127EE0" w:rsidRDefault="00127EE0" w:rsidP="00C36083">
            <w:pPr>
              <w:widowControl w:val="0"/>
              <w:pBdr>
                <w:top w:val="nil"/>
                <w:left w:val="nil"/>
                <w:bottom w:val="nil"/>
                <w:right w:val="nil"/>
                <w:between w:val="nil"/>
              </w:pBdr>
              <w:spacing w:line="240" w:lineRule="auto"/>
              <w:ind w:right="1134"/>
              <w:rPr>
                <w:b/>
              </w:rPr>
            </w:pPr>
            <w:r>
              <w:rPr>
                <w:b/>
              </w:rPr>
              <w:t>Box 2. Updated NDC by Colombia</w:t>
            </w:r>
            <w:r>
              <w:rPr>
                <w:b/>
                <w:vertAlign w:val="superscript"/>
              </w:rPr>
              <w:footnoteReference w:id="12"/>
            </w:r>
          </w:p>
          <w:p w14:paraId="2956E79B" w14:textId="77777777" w:rsidR="00127EE0" w:rsidRDefault="00127EE0" w:rsidP="00C36083">
            <w:pPr>
              <w:widowControl w:val="0"/>
              <w:pBdr>
                <w:top w:val="nil"/>
                <w:left w:val="nil"/>
                <w:bottom w:val="nil"/>
                <w:right w:val="nil"/>
                <w:between w:val="nil"/>
              </w:pBdr>
              <w:spacing w:line="240" w:lineRule="auto"/>
              <w:ind w:right="41"/>
            </w:pPr>
          </w:p>
          <w:p w14:paraId="05FFEFDE" w14:textId="5864FF66" w:rsidR="00127EE0" w:rsidRDefault="00127EE0" w:rsidP="00C36083">
            <w:pPr>
              <w:widowControl w:val="0"/>
              <w:pBdr>
                <w:top w:val="nil"/>
                <w:left w:val="nil"/>
                <w:bottom w:val="nil"/>
                <w:right w:val="nil"/>
                <w:between w:val="nil"/>
              </w:pBdr>
              <w:spacing w:line="240" w:lineRule="auto"/>
              <w:ind w:right="41"/>
              <w:jc w:val="both"/>
            </w:pPr>
            <w:r>
              <w:t>The updated NDC by Colombia features a variety of transport mitigation actions that can be associated with “Avoid”, “Shift” and “Improve” pillars. Urban planning will be enhanced by working towards compact cities taking into favour of proximity and the human scale. Such a paradigm will ensure benefits for public transport, walking and cycling. Freight transport emissions will be tackled through logistics optimisation strategies, vehicle emission standards. A shift from road to inland waterways for goods transport is being envisioned by improving the navigability along major rivers. Colombia takes a comprehensive approach applying regulatory and financial frameworks in support of electric mobility. The NDC features the target to have 600,000 electric vehicles (buses, taxis, trucks, government fleets) by 2030.</w:t>
            </w:r>
          </w:p>
        </w:tc>
      </w:tr>
    </w:tbl>
    <w:p w14:paraId="3EB03F8A" w14:textId="24716776" w:rsidR="006547C1" w:rsidRPr="002241D1" w:rsidRDefault="002241D1" w:rsidP="002241D1">
      <w:pPr>
        <w:pStyle w:val="H23G"/>
      </w:pPr>
      <w:r>
        <w:tab/>
      </w:r>
      <w:r w:rsidR="007E3DC8">
        <w:t>(e)</w:t>
      </w:r>
      <w:r w:rsidR="007E3DC8">
        <w:tab/>
      </w:r>
      <w:r w:rsidR="00127EE0">
        <w:t>North America</w:t>
      </w:r>
    </w:p>
    <w:p w14:paraId="4B11C245" w14:textId="79F6A600" w:rsidR="00127EE0" w:rsidRDefault="007E3DC8" w:rsidP="002241D1">
      <w:pPr>
        <w:pStyle w:val="SingleTxtG"/>
      </w:pPr>
      <w:r>
        <w:t>13.</w:t>
      </w:r>
      <w:r>
        <w:tab/>
      </w:r>
      <w:r w:rsidR="00127EE0">
        <w:t>The NDC by the U</w:t>
      </w:r>
      <w:r w:rsidR="002427B9">
        <w:t xml:space="preserve">nited </w:t>
      </w:r>
      <w:r w:rsidR="00127EE0">
        <w:t>S</w:t>
      </w:r>
      <w:r w:rsidR="002427B9">
        <w:t>tates of America</w:t>
      </w:r>
      <w:r w:rsidR="00675601">
        <w:t xml:space="preserve"> (USA)</w:t>
      </w:r>
      <w:r w:rsidR="00127EE0">
        <w:t xml:space="preserve"> includes the target to reduce economy-wide emissions 50-52</w:t>
      </w:r>
      <w:r w:rsidR="00973355" w:rsidRPr="00973355">
        <w:t xml:space="preserve"> </w:t>
      </w:r>
      <w:r w:rsidR="00973355">
        <w:t>per cent</w:t>
      </w:r>
      <w:r w:rsidR="00127EE0">
        <w:t xml:space="preserve"> below 2005 levels by 2030.</w:t>
      </w:r>
      <w:r w:rsidR="00127EE0">
        <w:rPr>
          <w:vertAlign w:val="superscript"/>
        </w:rPr>
        <w:footnoteReference w:id="13"/>
      </w:r>
      <w:r w:rsidR="00127EE0">
        <w:rPr>
          <w:vertAlign w:val="superscript"/>
        </w:rPr>
        <w:t xml:space="preserve"> </w:t>
      </w:r>
      <w:r w:rsidR="00127EE0" w:rsidRPr="00973355">
        <w:t>Canada aims to reduce emissions by 40-45</w:t>
      </w:r>
      <w:r w:rsidR="00973355" w:rsidRPr="00973355">
        <w:t xml:space="preserve"> </w:t>
      </w:r>
      <w:r w:rsidR="00973355">
        <w:t>per cent</w:t>
      </w:r>
      <w:r w:rsidR="00127EE0" w:rsidRPr="00973355">
        <w:t xml:space="preserve"> below 2005 levels by 2030.</w:t>
      </w:r>
      <w:r w:rsidR="00127EE0">
        <w:rPr>
          <w:vertAlign w:val="superscript"/>
        </w:rPr>
        <w:footnoteReference w:id="14"/>
      </w:r>
    </w:p>
    <w:p w14:paraId="054C9079" w14:textId="66686EAB" w:rsidR="006547C1" w:rsidRPr="002241D1" w:rsidRDefault="002241D1" w:rsidP="002241D1">
      <w:pPr>
        <w:pStyle w:val="H23G"/>
      </w:pPr>
      <w:r>
        <w:tab/>
      </w:r>
      <w:r w:rsidR="007E3DC8">
        <w:t>(f)</w:t>
      </w:r>
      <w:r w:rsidR="007E3DC8">
        <w:tab/>
      </w:r>
      <w:r w:rsidR="00127EE0">
        <w:t>Oceania</w:t>
      </w:r>
    </w:p>
    <w:p w14:paraId="17812C92" w14:textId="7349BBAB" w:rsidR="00127EE0" w:rsidRPr="002241D1" w:rsidRDefault="007E3DC8" w:rsidP="002241D1">
      <w:pPr>
        <w:pStyle w:val="SingleTxtG"/>
        <w:rPr>
          <w:vertAlign w:val="superscript"/>
        </w:rPr>
      </w:pPr>
      <w:r>
        <w:t>14.</w:t>
      </w:r>
      <w:r>
        <w:tab/>
      </w:r>
      <w:r w:rsidR="00127EE0">
        <w:t>Oceania countries’ NDC offer a wide-ranging set of climate change mitigation and adaptation activities. The only second-generation NDC with a transport greenhouse gas mitigation target in this region was submitted by Samoa. Only five countries in the region (Australia, Fiji, Marshall Islands, New Zealand and Tonga), or 33</w:t>
      </w:r>
      <w:r w:rsidR="00973355" w:rsidRPr="00973355">
        <w:t xml:space="preserve"> </w:t>
      </w:r>
      <w:r w:rsidR="00973355">
        <w:t>per cent</w:t>
      </w:r>
      <w:r w:rsidR="00127EE0">
        <w:t>, had submitted Long-Term Strategies under the Paris Agreement as of the end of 2022.</w:t>
      </w:r>
      <w:r w:rsidR="00127EE0">
        <w:rPr>
          <w:vertAlign w:val="superscript"/>
        </w:rPr>
        <w:footnoteReference w:id="15"/>
      </w:r>
    </w:p>
    <w:p w14:paraId="5197893F" w14:textId="1EAC2C83" w:rsidR="00127EE0" w:rsidRDefault="002E2DD6" w:rsidP="002E2DD6">
      <w:pPr>
        <w:pStyle w:val="H23G"/>
      </w:pPr>
      <w:r>
        <w:tab/>
        <w:t>(g)</w:t>
      </w:r>
      <w:r>
        <w:tab/>
      </w:r>
      <w:r w:rsidR="00127EE0" w:rsidRPr="002E2DD6">
        <w:t>Practices from NDCs and LTS on “Avoid”, “Shift” and “Improve”</w:t>
      </w:r>
    </w:p>
    <w:p w14:paraId="6954591E" w14:textId="55DA74C1" w:rsidR="00127EE0" w:rsidRDefault="002E2DD6" w:rsidP="004F1AF1">
      <w:pPr>
        <w:pStyle w:val="SingleTxtG"/>
      </w:pPr>
      <w:r>
        <w:t>15.</w:t>
      </w:r>
      <w:r>
        <w:tab/>
      </w:r>
      <w:r w:rsidR="00127EE0">
        <w:t xml:space="preserve">The following overview shows illustrative examples on each of the three elements of the A-S-I framework. The examples are based on all LTS submissions and the current </w:t>
      </w:r>
      <w:r w:rsidR="00127EE0">
        <w:lastRenderedPageBreak/>
        <w:t>second-generation NDCs. The association to “Avoid”, “Shift” and “Improve” depends on the context and how it is stated within the policy document.</w:t>
      </w:r>
    </w:p>
    <w:p w14:paraId="63EBCA82" w14:textId="6C4E136E" w:rsidR="00127EE0" w:rsidRDefault="008948EC" w:rsidP="0004747D">
      <w:pPr>
        <w:pStyle w:val="H4G"/>
      </w:pPr>
      <w:r>
        <w:tab/>
      </w:r>
      <w:r w:rsidR="0004747D">
        <w:t>(i)</w:t>
      </w:r>
      <w:r>
        <w:tab/>
      </w:r>
      <w:r w:rsidR="00127EE0">
        <w:t xml:space="preserve">Avoid </w:t>
      </w:r>
      <w:r w:rsidR="001732FF">
        <w:t>A</w:t>
      </w:r>
      <w:r w:rsidR="00127EE0">
        <w:t xml:space="preserve">ctions </w:t>
      </w:r>
    </w:p>
    <w:p w14:paraId="42D31570" w14:textId="1645F479" w:rsidR="00127EE0" w:rsidRDefault="00127EE0" w:rsidP="0004747D">
      <w:pPr>
        <w:pStyle w:val="Bullet1G"/>
      </w:pPr>
      <w:r>
        <w:t>Chile’s LTS: Low</w:t>
      </w:r>
      <w:r w:rsidR="00021B68">
        <w:t>-</w:t>
      </w:r>
      <w:r>
        <w:t xml:space="preserve"> and zero</w:t>
      </w:r>
      <w:r w:rsidR="00995C14">
        <w:t>-</w:t>
      </w:r>
      <w:r>
        <w:t>emission mobility practices will be considered in territorial planning on all government levels. The goals are to improve accessibility and to reduce travel times and distances.</w:t>
      </w:r>
    </w:p>
    <w:p w14:paraId="30A11246" w14:textId="77777777" w:rsidR="00127EE0" w:rsidRDefault="00127EE0" w:rsidP="0004747D">
      <w:pPr>
        <w:pStyle w:val="Bullet1G"/>
      </w:pPr>
      <w:r>
        <w:t>France’s LTS: It is being pursued to develop high-density urban areas supported through transport. Land use mix should avoid urban sprawl. New ways of working will be encouraged, taking into consideration changed travel patterns.</w:t>
      </w:r>
    </w:p>
    <w:p w14:paraId="46073EB1" w14:textId="1CF9A7A4" w:rsidR="00127EE0" w:rsidRDefault="00127EE0" w:rsidP="0004747D">
      <w:pPr>
        <w:pStyle w:val="Bullet1G"/>
      </w:pPr>
      <w:r>
        <w:t>Singapore’s updated NDC: The need for travel will be minimised, commuting distances and times reduced.</w:t>
      </w:r>
      <w:r w:rsidR="00CA2760">
        <w:t xml:space="preserve"> </w:t>
      </w:r>
      <w:r>
        <w:t>Financing instruments will be changed to charge road users based on vehicle travel and also introduce a fuel-based carbon tax and improve parking management.</w:t>
      </w:r>
    </w:p>
    <w:p w14:paraId="1EFCF50E" w14:textId="5C9F74BB" w:rsidR="00127EE0" w:rsidRDefault="00D373BB" w:rsidP="0004747D">
      <w:pPr>
        <w:pStyle w:val="H4G"/>
      </w:pPr>
      <w:r>
        <w:tab/>
      </w:r>
      <w:r w:rsidR="0004747D">
        <w:t>(ii)</w:t>
      </w:r>
      <w:r w:rsidR="0004747D">
        <w:tab/>
      </w:r>
      <w:r w:rsidR="00127EE0">
        <w:t xml:space="preserve">Shift </w:t>
      </w:r>
      <w:r w:rsidR="001732FF">
        <w:t>A</w:t>
      </w:r>
      <w:r w:rsidR="00127EE0">
        <w:t>ctions</w:t>
      </w:r>
    </w:p>
    <w:p w14:paraId="7CCF76FF" w14:textId="77777777" w:rsidR="00127EE0" w:rsidRDefault="00127EE0" w:rsidP="0004747D">
      <w:pPr>
        <w:pStyle w:val="Bullet1G"/>
      </w:pPr>
      <w:r>
        <w:t>Ethiopia’s LTS: To increase the share of rail transport for freight and passenger transport. Public transport, walking and cycling will be enhanced as well through new services and more dedicated infrastructure.</w:t>
      </w:r>
    </w:p>
    <w:p w14:paraId="2E3A039D" w14:textId="77777777" w:rsidR="00127EE0" w:rsidRDefault="00127EE0" w:rsidP="0004747D">
      <w:pPr>
        <w:pStyle w:val="Bullet1G"/>
      </w:pPr>
      <w:r>
        <w:t>India’s LTS: Transport will be integrated with urban planning, multi-modal connectivity, and enhanced railway capacity to achieve a modal shift towards public transport.</w:t>
      </w:r>
    </w:p>
    <w:p w14:paraId="0AEC1886" w14:textId="1C8F282E" w:rsidR="00127EE0" w:rsidRDefault="00127EE0" w:rsidP="0004747D">
      <w:pPr>
        <w:pStyle w:val="Bullet1G"/>
      </w:pPr>
      <w:r>
        <w:t>United Arab Emirates’ second NDC: A 1,200 kilometres long freight rail network is being constructed since 2014 to shift road freight to rail. The Dubai metro network will be expanded from the current 89 kilometres to 379 kilometres.</w:t>
      </w:r>
    </w:p>
    <w:p w14:paraId="1ECD78AB" w14:textId="7C2858B6" w:rsidR="00127EE0" w:rsidRPr="0004747D" w:rsidRDefault="00F8007F" w:rsidP="00F8007F">
      <w:pPr>
        <w:pStyle w:val="H4G"/>
      </w:pPr>
      <w:r>
        <w:tab/>
      </w:r>
      <w:r w:rsidR="0004747D">
        <w:t>(iii)</w:t>
      </w:r>
      <w:r w:rsidR="0004747D">
        <w:tab/>
      </w:r>
      <w:r w:rsidR="00127EE0" w:rsidRPr="0004747D">
        <w:t xml:space="preserve">Improve </w:t>
      </w:r>
      <w:r w:rsidR="001732FF">
        <w:t>A</w:t>
      </w:r>
      <w:r w:rsidR="00127EE0" w:rsidRPr="0004747D">
        <w:t>ctions</w:t>
      </w:r>
    </w:p>
    <w:p w14:paraId="4B9AFC61" w14:textId="019CAD3F" w:rsidR="00127EE0" w:rsidRDefault="00127EE0" w:rsidP="00F8007F">
      <w:pPr>
        <w:pStyle w:val="Bullet1G"/>
      </w:pPr>
      <w:r>
        <w:t xml:space="preserve">China’s updated NDC: Green logistics will be scaled up through efficiency measures. New energy </w:t>
      </w:r>
      <w:r w:rsidRPr="00F8007F">
        <w:t>road</w:t>
      </w:r>
      <w:r>
        <w:t xml:space="preserve"> vehicles and railway electrification will be expanded</w:t>
      </w:r>
      <w:r w:rsidR="00CA2760" w:rsidRPr="003E2B37">
        <w:t>.</w:t>
      </w:r>
      <w:r>
        <w:t xml:space="preserve"> </w:t>
      </w:r>
    </w:p>
    <w:p w14:paraId="16040D78" w14:textId="77777777" w:rsidR="00127EE0" w:rsidRDefault="00127EE0" w:rsidP="00F8007F">
      <w:pPr>
        <w:pStyle w:val="Bullet1G"/>
      </w:pPr>
      <w:r>
        <w:t>Guatemala’s updated NDC: A fleet renewal program will target the private vehicle fleet by enacting vehicle regulations, tax credits and other fiscal measures to scale up the purchase of more efficient vehicles.</w:t>
      </w:r>
    </w:p>
    <w:p w14:paraId="7544F8B0" w14:textId="6A12B9B0" w:rsidR="00127EE0" w:rsidRDefault="00127EE0" w:rsidP="00F8007F">
      <w:pPr>
        <w:pStyle w:val="Bullet1G"/>
      </w:pPr>
      <w:r>
        <w:t>Marshall Islands’ LTS: Electrification actions will include tax incentives for the import of electric vehicles, transition of the government fleet and taxis as well as electric bicycles.</w:t>
      </w:r>
    </w:p>
    <w:p w14:paraId="71BEFA4E" w14:textId="4BD1025F" w:rsidR="00127EE0" w:rsidRPr="00535846" w:rsidRDefault="00C36083" w:rsidP="009D379F">
      <w:pPr>
        <w:pStyle w:val="H1G"/>
        <w:ind w:right="0"/>
      </w:pPr>
      <w:bookmarkStart w:id="1" w:name="_1ksv4uv" w:colFirst="0" w:colLast="0"/>
      <w:bookmarkEnd w:id="1"/>
      <w:r>
        <w:tab/>
        <w:t>B.</w:t>
      </w:r>
      <w:r>
        <w:tab/>
      </w:r>
      <w:r w:rsidR="00127EE0">
        <w:t>Inland Transport in Voluntary National Reviews under the S</w:t>
      </w:r>
      <w:r w:rsidR="0015029A">
        <w:t>ustainable Development Goals</w:t>
      </w:r>
    </w:p>
    <w:p w14:paraId="02A10E2A" w14:textId="62F4DE1A" w:rsidR="00B22897" w:rsidRPr="00B22897" w:rsidRDefault="007B34AF" w:rsidP="005D7E6E">
      <w:pPr>
        <w:pStyle w:val="SingleTxtG"/>
        <w:rPr>
          <w:vertAlign w:val="superscript"/>
        </w:rPr>
      </w:pPr>
      <w:r>
        <w:t>16.</w:t>
      </w:r>
      <w:r>
        <w:tab/>
      </w:r>
      <w:r w:rsidR="00127EE0">
        <w:t>Sustainable, low carbon mobility is a powerful driver for positive, systemic transformation of our societies. This transformation is outlined in the 2030 Agenda for Sustainable Development and its 17 Sustainable Development Goals (</w:t>
      </w:r>
      <w:r w:rsidR="009E7A4F">
        <w:t>Sustainable Development Goals</w:t>
      </w:r>
      <w:r w:rsidR="00127EE0">
        <w:t xml:space="preserve">), the global ‘blueprint to achieve a better and more sustainable future for all by 2030’. The 2030 Agenda was designed to be a cross-cutting and interconnected agenda, with the achievement of one </w:t>
      </w:r>
      <w:r w:rsidR="009E7A4F">
        <w:t>Sustainable Development Goal</w:t>
      </w:r>
      <w:r w:rsidR="00127EE0">
        <w:t xml:space="preserve"> often dependent on the achievement of a series of others. While sustainable, low carbon transport and mobility is not represented by a stand-alone </w:t>
      </w:r>
      <w:r w:rsidR="009E7A4F">
        <w:t>Sustainable Development Goal</w:t>
      </w:r>
      <w:r w:rsidR="00127EE0">
        <w:t xml:space="preserve">, its successful implementation supports the achievement of almost every </w:t>
      </w:r>
      <w:r w:rsidR="009E7A4F">
        <w:t>Sustainable Development Goal</w:t>
      </w:r>
      <w:r w:rsidR="00127EE0">
        <w:t>.</w:t>
      </w:r>
      <w:r w:rsidR="00127EE0">
        <w:rPr>
          <w:vertAlign w:val="superscript"/>
        </w:rPr>
        <w:footnoteReference w:id="16"/>
      </w:r>
    </w:p>
    <w:tbl>
      <w:tblPr>
        <w:tblW w:w="737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1"/>
      </w:tblGrid>
      <w:tr w:rsidR="00127EE0" w14:paraId="4BD31A00" w14:textId="77777777" w:rsidTr="004275A9">
        <w:tc>
          <w:tcPr>
            <w:tcW w:w="7371" w:type="dxa"/>
            <w:shd w:val="clear" w:color="auto" w:fill="auto"/>
            <w:tcMar>
              <w:top w:w="100" w:type="dxa"/>
              <w:left w:w="100" w:type="dxa"/>
              <w:bottom w:w="100" w:type="dxa"/>
              <w:right w:w="100" w:type="dxa"/>
            </w:tcMar>
          </w:tcPr>
          <w:p w14:paraId="4FCFFA1A" w14:textId="33846CE6" w:rsidR="00127EE0" w:rsidRDefault="00127EE0" w:rsidP="00703E9D">
            <w:pPr>
              <w:widowControl w:val="0"/>
              <w:spacing w:line="240" w:lineRule="auto"/>
              <w:rPr>
                <w:b/>
              </w:rPr>
            </w:pPr>
            <w:r>
              <w:rPr>
                <w:b/>
              </w:rPr>
              <w:lastRenderedPageBreak/>
              <w:t>Box 3. Croatia’s 2023 V</w:t>
            </w:r>
            <w:r w:rsidR="006667CC">
              <w:rPr>
                <w:b/>
              </w:rPr>
              <w:t xml:space="preserve">oluntary </w:t>
            </w:r>
            <w:r>
              <w:rPr>
                <w:b/>
              </w:rPr>
              <w:t>N</w:t>
            </w:r>
            <w:r w:rsidR="006667CC">
              <w:rPr>
                <w:b/>
              </w:rPr>
              <w:t xml:space="preserve">ational </w:t>
            </w:r>
            <w:r>
              <w:rPr>
                <w:b/>
              </w:rPr>
              <w:t>R</w:t>
            </w:r>
            <w:r w:rsidR="006667CC">
              <w:rPr>
                <w:b/>
              </w:rPr>
              <w:t>eview (VNR)</w:t>
            </w:r>
            <w:r>
              <w:rPr>
                <w:b/>
                <w:vertAlign w:val="superscript"/>
              </w:rPr>
              <w:footnoteReference w:id="17"/>
            </w:r>
          </w:p>
          <w:p w14:paraId="78BAA7C2" w14:textId="77777777" w:rsidR="00127EE0" w:rsidRDefault="00127EE0" w:rsidP="00703E9D">
            <w:pPr>
              <w:widowControl w:val="0"/>
              <w:spacing w:line="240" w:lineRule="auto"/>
            </w:pPr>
          </w:p>
          <w:p w14:paraId="2BC2C865" w14:textId="77777777" w:rsidR="00127EE0" w:rsidRDefault="00127EE0" w:rsidP="00703E9D">
            <w:pPr>
              <w:widowControl w:val="0"/>
              <w:spacing w:line="240" w:lineRule="auto"/>
            </w:pPr>
            <w:r>
              <w:t>Croatia intends to support the 2030 Agenda for Sustainable Development by implementing transport actions on infrastructure, rail transport, inland water and digital connectivity. The country aims to establish a competitive and carbon-neutral transport infrastructure.</w:t>
            </w:r>
          </w:p>
          <w:p w14:paraId="6A8E9B89" w14:textId="77777777" w:rsidR="00127EE0" w:rsidRDefault="00127EE0" w:rsidP="00703E9D">
            <w:pPr>
              <w:widowControl w:val="0"/>
              <w:spacing w:line="240" w:lineRule="auto"/>
            </w:pPr>
          </w:p>
          <w:p w14:paraId="07C280C7" w14:textId="067BB3D6" w:rsidR="00127EE0" w:rsidRDefault="00127EE0" w:rsidP="00703E9D">
            <w:pPr>
              <w:widowControl w:val="0"/>
              <w:spacing w:line="240" w:lineRule="auto"/>
            </w:pPr>
            <w:r>
              <w:t xml:space="preserve">Transport activities in Croatia’s VNR connect to several </w:t>
            </w:r>
            <w:r w:rsidR="009E7A4F">
              <w:t>Sustainable Development Goals</w:t>
            </w:r>
            <w:r>
              <w:t xml:space="preserve"> (</w:t>
            </w:r>
            <w:r w:rsidR="009E7A4F">
              <w:t>Sustainable Development Goal</w:t>
            </w:r>
            <w:r>
              <w:t xml:space="preserve"> </w:t>
            </w:r>
            <w:r>
              <w:rPr>
                <w:color w:val="0C0C0C"/>
              </w:rPr>
              <w:t xml:space="preserve">1 Poverty, </w:t>
            </w:r>
            <w:r w:rsidR="009E7A4F">
              <w:rPr>
                <w:color w:val="0C0C0C"/>
              </w:rPr>
              <w:t>Sustainable Development Goal</w:t>
            </w:r>
            <w:r>
              <w:rPr>
                <w:color w:val="0C0C0C"/>
              </w:rPr>
              <w:t xml:space="preserve"> 4 Education, </w:t>
            </w:r>
            <w:r w:rsidR="009E7A4F">
              <w:rPr>
                <w:color w:val="0C0C0C"/>
              </w:rPr>
              <w:t>Sustainable Development Goal</w:t>
            </w:r>
            <w:r>
              <w:rPr>
                <w:color w:val="0C0C0C"/>
              </w:rPr>
              <w:t xml:space="preserve"> 7 Energy, </w:t>
            </w:r>
            <w:r w:rsidR="009E7A4F">
              <w:rPr>
                <w:color w:val="0C0C0C"/>
              </w:rPr>
              <w:t>Sustainable Development Goal</w:t>
            </w:r>
            <w:r>
              <w:rPr>
                <w:color w:val="0C0C0C"/>
              </w:rPr>
              <w:t xml:space="preserve"> 8 Work, </w:t>
            </w:r>
            <w:r w:rsidR="009E7A4F">
              <w:rPr>
                <w:color w:val="0C0C0C"/>
              </w:rPr>
              <w:t>Sustainable Development Goal</w:t>
            </w:r>
            <w:r>
              <w:rPr>
                <w:color w:val="0C0C0C"/>
              </w:rPr>
              <w:t xml:space="preserve"> 9 Infrastructure, </w:t>
            </w:r>
            <w:r w:rsidR="009E7A4F">
              <w:rPr>
                <w:color w:val="0C0C0C"/>
              </w:rPr>
              <w:t>Sustainable Development Goal</w:t>
            </w:r>
            <w:r>
              <w:rPr>
                <w:color w:val="0C0C0C"/>
              </w:rPr>
              <w:t xml:space="preserve"> 10 Inequalities, </w:t>
            </w:r>
            <w:r w:rsidR="009E7A4F">
              <w:rPr>
                <w:color w:val="0C0C0C"/>
              </w:rPr>
              <w:t>Sustainable Development Goal</w:t>
            </w:r>
            <w:r>
              <w:rPr>
                <w:color w:val="0C0C0C"/>
              </w:rPr>
              <w:t xml:space="preserve"> 12 Consumption (via fossil fuels subsidies), </w:t>
            </w:r>
            <w:r w:rsidR="009E7A4F">
              <w:rPr>
                <w:color w:val="0C0C0C"/>
              </w:rPr>
              <w:t>Sustainable Development Goal</w:t>
            </w:r>
            <w:r>
              <w:rPr>
                <w:color w:val="0C0C0C"/>
              </w:rPr>
              <w:t xml:space="preserve"> 13 Climate and </w:t>
            </w:r>
            <w:r w:rsidR="009E7A4F">
              <w:rPr>
                <w:color w:val="0C0C0C"/>
              </w:rPr>
              <w:t>Sustainable Development Goal</w:t>
            </w:r>
            <w:r>
              <w:rPr>
                <w:color w:val="0C0C0C"/>
              </w:rPr>
              <w:t xml:space="preserve"> 14 Below water.</w:t>
            </w:r>
          </w:p>
        </w:tc>
      </w:tr>
    </w:tbl>
    <w:p w14:paraId="1F053408" w14:textId="33B194CF" w:rsidR="00127EE0" w:rsidRDefault="007B34AF" w:rsidP="005D7E6E">
      <w:pPr>
        <w:pStyle w:val="SingleTxtG"/>
        <w:spacing w:before="240" w:after="240"/>
        <w:rPr>
          <w:vertAlign w:val="superscript"/>
        </w:rPr>
      </w:pPr>
      <w:r>
        <w:t>17.</w:t>
      </w:r>
      <w:r>
        <w:tab/>
      </w:r>
      <w:r w:rsidR="00127EE0">
        <w:t>Enabling sustainable, low carbon transport and mobility worldwide has explicit as well as implicit implications for the success of the entire 2030 Agenda, with social, environmental and economic ‘multiplier effects’ that go well beyond the scale of financial investment. Some areas where transport has the greatest positive impacts include: ending poverty (</w:t>
      </w:r>
      <w:r w:rsidR="009E7A4F">
        <w:t>Sustainable Development Goal</w:t>
      </w:r>
      <w:r w:rsidR="00127EE0">
        <w:t xml:space="preserve"> 1); ending hunger (</w:t>
      </w:r>
      <w:r w:rsidR="009E7A4F">
        <w:t>Sustainable Development Goal</w:t>
      </w:r>
      <w:r w:rsidR="00127EE0">
        <w:t xml:space="preserve"> 2); promoting healthy lifestyles and well-being (</w:t>
      </w:r>
      <w:r w:rsidR="009E7A4F">
        <w:t>Sustainable Development Goal</w:t>
      </w:r>
      <w:r w:rsidR="00127EE0">
        <w:t xml:space="preserve"> 3); empowering women and girls (</w:t>
      </w:r>
      <w:r w:rsidR="009E7A4F">
        <w:t>Sustainable Development Goal</w:t>
      </w:r>
      <w:r w:rsidR="00127EE0">
        <w:t xml:space="preserve"> 5); ensuring sustainable and modern energy (</w:t>
      </w:r>
      <w:r w:rsidR="009E7A4F">
        <w:t>Sustainable Development Goal</w:t>
      </w:r>
      <w:r w:rsidR="00127EE0">
        <w:t xml:space="preserve"> 7); building resilient infrastructure (</w:t>
      </w:r>
      <w:r w:rsidR="009E7A4F">
        <w:t>Sustainable Development Goal</w:t>
      </w:r>
      <w:r w:rsidR="00127EE0">
        <w:t xml:space="preserve"> 9); making cities sustainable (</w:t>
      </w:r>
      <w:r w:rsidR="009E7A4F">
        <w:t>Sustainable Development Goal</w:t>
      </w:r>
      <w:r w:rsidR="00127EE0">
        <w:t xml:space="preserve"> 11) and taking action to combat climate change and its impacts (</w:t>
      </w:r>
      <w:r w:rsidR="009E7A4F">
        <w:t>Sustainable Development Goal</w:t>
      </w:r>
      <w:r w:rsidR="00127EE0">
        <w:t xml:space="preserve"> 13).</w:t>
      </w:r>
      <w:r w:rsidR="00127EE0">
        <w:rPr>
          <w:vertAlign w:val="superscript"/>
        </w:rPr>
        <w:footnoteReference w:id="18"/>
      </w:r>
    </w:p>
    <w:tbl>
      <w:tblPr>
        <w:tblW w:w="737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1"/>
      </w:tblGrid>
      <w:tr w:rsidR="00127EE0" w14:paraId="2E7B0BBD" w14:textId="77777777" w:rsidTr="004275A9">
        <w:trPr>
          <w:trHeight w:val="518"/>
        </w:trPr>
        <w:tc>
          <w:tcPr>
            <w:tcW w:w="7371" w:type="dxa"/>
            <w:shd w:val="clear" w:color="auto" w:fill="auto"/>
            <w:tcMar>
              <w:top w:w="100" w:type="dxa"/>
              <w:left w:w="100" w:type="dxa"/>
              <w:bottom w:w="100" w:type="dxa"/>
              <w:right w:w="100" w:type="dxa"/>
            </w:tcMar>
          </w:tcPr>
          <w:p w14:paraId="56A6A277" w14:textId="7FBAF311" w:rsidR="00127EE0" w:rsidRDefault="00127EE0" w:rsidP="004275A9">
            <w:pPr>
              <w:widowControl w:val="0"/>
              <w:spacing w:line="240" w:lineRule="auto"/>
              <w:rPr>
                <w:b/>
              </w:rPr>
            </w:pPr>
            <w:bookmarkStart w:id="2" w:name="_y2umijrhhxxi" w:colFirst="0" w:colLast="0"/>
            <w:bookmarkEnd w:id="2"/>
            <w:r w:rsidRPr="005D7E6E">
              <w:rPr>
                <w:b/>
              </w:rPr>
              <w:t>Box 4. Bahrain’s 2023 VNR</w:t>
            </w:r>
          </w:p>
          <w:p w14:paraId="420BCF2F" w14:textId="77777777" w:rsidR="005D7E6E" w:rsidRPr="005D7E6E" w:rsidRDefault="005D7E6E" w:rsidP="004275A9">
            <w:pPr>
              <w:widowControl w:val="0"/>
              <w:spacing w:line="240" w:lineRule="auto"/>
              <w:rPr>
                <w:b/>
              </w:rPr>
            </w:pPr>
          </w:p>
          <w:p w14:paraId="51B38A0B" w14:textId="7EACD64C" w:rsidR="00127EE0" w:rsidRDefault="00127EE0" w:rsidP="004275A9">
            <w:pPr>
              <w:widowControl w:val="0"/>
              <w:spacing w:line="240" w:lineRule="auto"/>
              <w:contextualSpacing/>
              <w:jc w:val="both"/>
            </w:pPr>
            <w:r w:rsidRPr="004275A9">
              <w:t xml:space="preserve">Transport activities in Bahrain’s 2023 VNR align to several </w:t>
            </w:r>
            <w:r w:rsidR="009E7A4F">
              <w:t>Sustainable Development Goals</w:t>
            </w:r>
            <w:r w:rsidRPr="004275A9">
              <w:t xml:space="preserve"> including </w:t>
            </w:r>
            <w:r w:rsidR="009E7A4F">
              <w:t>Sustainable Development Goal</w:t>
            </w:r>
            <w:r w:rsidRPr="004275A9">
              <w:t xml:space="preserve"> 3 Health, </w:t>
            </w:r>
            <w:r w:rsidR="009E7A4F">
              <w:t>Sustainable Development Goal</w:t>
            </w:r>
            <w:r w:rsidRPr="004275A9">
              <w:t xml:space="preserve"> 4 Education, </w:t>
            </w:r>
            <w:r w:rsidR="009E7A4F">
              <w:t>Sustainable Development Goal</w:t>
            </w:r>
            <w:r w:rsidRPr="004275A9">
              <w:t xml:space="preserve"> 7 Energy, </w:t>
            </w:r>
            <w:r w:rsidR="009E7A4F">
              <w:t>Sustainable Development Goal</w:t>
            </w:r>
            <w:r w:rsidRPr="004275A9">
              <w:t xml:space="preserve"> 9 Infrastructure, </w:t>
            </w:r>
            <w:r w:rsidR="009E7A4F">
              <w:t>Sustainable Development Goal</w:t>
            </w:r>
            <w:r w:rsidRPr="004275A9">
              <w:t xml:space="preserve"> 11 Cities, </w:t>
            </w:r>
            <w:r w:rsidR="009E7A4F">
              <w:t>Sustainable Development Goal</w:t>
            </w:r>
            <w:r w:rsidRPr="004275A9">
              <w:t xml:space="preserve"> 12 Consumption (via fossil fuel subsidies) and </w:t>
            </w:r>
            <w:r w:rsidR="009E7A4F">
              <w:t>Sustainable Development Goal</w:t>
            </w:r>
            <w:r w:rsidRPr="004275A9">
              <w:t xml:space="preserve"> 13 Climate, covering both passenger and freight transport.</w:t>
            </w:r>
          </w:p>
          <w:p w14:paraId="4653FE2D" w14:textId="77777777" w:rsidR="00347CA2" w:rsidRPr="004275A9" w:rsidRDefault="00347CA2" w:rsidP="004275A9">
            <w:pPr>
              <w:widowControl w:val="0"/>
              <w:spacing w:line="240" w:lineRule="auto"/>
              <w:contextualSpacing/>
              <w:jc w:val="both"/>
            </w:pPr>
          </w:p>
          <w:p w14:paraId="3FFED696" w14:textId="77777777" w:rsidR="00127EE0" w:rsidRPr="007B34AF" w:rsidRDefault="00127EE0" w:rsidP="004275A9">
            <w:pPr>
              <w:widowControl w:val="0"/>
              <w:spacing w:line="240" w:lineRule="auto"/>
              <w:contextualSpacing/>
              <w:jc w:val="both"/>
              <w:rPr>
                <w:sz w:val="24"/>
                <w:szCs w:val="24"/>
                <w:vertAlign w:val="superscript"/>
              </w:rPr>
            </w:pPr>
            <w:r w:rsidRPr="004275A9">
              <w:t>The VNR reported on the implementation of electric vehicle regulations and strategies to promote transport in a sustainable manner (mainly by deploying solar as an upstream source of electricity), setting up electric vehicle charging stations among others. Bahrain also announced plans to develop a network of bike and electric bicycle lanes throughout the country, recognising the role of cycling to healthier lifestyles, safe environment for cyclists and sustainable transportation. The Bahrain metro is also expected to be completed in 2027 (109 km), with the first phase being implemented using an integrated public-private partnership model.</w:t>
            </w:r>
          </w:p>
        </w:tc>
      </w:tr>
    </w:tbl>
    <w:p w14:paraId="1F354C3C" w14:textId="1D777479" w:rsidR="00127EE0" w:rsidRDefault="00526E9A" w:rsidP="005D7E6E">
      <w:pPr>
        <w:pStyle w:val="SingleTxtG"/>
        <w:spacing w:before="240"/>
      </w:pPr>
      <w:r>
        <w:t>18.</w:t>
      </w:r>
      <w:r w:rsidR="00791500">
        <w:t xml:space="preserve"> </w:t>
      </w:r>
      <w:r w:rsidR="004275A9">
        <w:tab/>
      </w:r>
      <w:r w:rsidR="00127EE0">
        <w:t>The VNRs from 2016 to 2022 revealed consensus on the role of transport as a key contributor to implementation of the Sustainable Development Goals</w:t>
      </w:r>
      <w:r w:rsidR="00967428">
        <w:t xml:space="preserve">. </w:t>
      </w:r>
      <w:r w:rsidR="00127EE0">
        <w:t>In the first VNR reporting cycle (2016-2019), 92</w:t>
      </w:r>
      <w:r w:rsidR="009E7A4F">
        <w:t xml:space="preserve"> per cent</w:t>
      </w:r>
      <w:r w:rsidR="00127EE0">
        <w:t xml:space="preserve"> of VNRs highlighted progress in the transport sector, and 18</w:t>
      </w:r>
      <w:r w:rsidR="009E7A4F">
        <w:t xml:space="preserve"> per cent</w:t>
      </w:r>
      <w:r w:rsidR="00127EE0">
        <w:t xml:space="preserve"> of VNRs reported specific targets covering 12 areas in sustainable transport. The transport dimension of the VNRs reported between 2020 and 2022 revealed consensus around transport as a key contributor to implementation of the </w:t>
      </w:r>
      <w:r w:rsidR="00967428">
        <w:t>Sustainable Development Goals</w:t>
      </w:r>
      <w:r w:rsidR="00127EE0">
        <w:t xml:space="preserve">, largely following a pattern similar to the first reporting cycle (2016-2019). All 40 VNRs submitted in 2021 included references to sustainable transport policies and, for the first time since the inaugural High-Level Political Forum in 2016, they also </w:t>
      </w:r>
      <w:r w:rsidR="00127EE0">
        <w:lastRenderedPageBreak/>
        <w:t>included transport measures. In 2022, the number of VNRs mentioning transport decreased to 36 out of the 42 submitted VNRs, or 86</w:t>
      </w:r>
      <w:r w:rsidR="009E7A4F">
        <w:t xml:space="preserve"> per cent</w:t>
      </w:r>
      <w:r w:rsidR="00127EE0">
        <w:t>, the lowest share since 2017. However, the share of specific transport targets in VNRs stayed at a similar level: In 2022, 21</w:t>
      </w:r>
      <w:r w:rsidR="009E7A4F">
        <w:t xml:space="preserve"> per cent</w:t>
      </w:r>
      <w:r w:rsidR="00127EE0">
        <w:t xml:space="preserve"> of the VNRs (9 out of 42 VNRs) mentioned specific transport targets, similar to 22</w:t>
      </w:r>
      <w:r w:rsidR="009E7A4F">
        <w:t xml:space="preserve"> per cent</w:t>
      </w:r>
      <w:r w:rsidR="00127EE0">
        <w:t xml:space="preserve"> (9 out of 40) in 2021 and 17</w:t>
      </w:r>
      <w:r w:rsidR="009E7A4F">
        <w:t xml:space="preserve"> per cent</w:t>
      </w:r>
      <w:r w:rsidR="00127EE0">
        <w:t xml:space="preserve"> (8 out of 47) in 2020.</w:t>
      </w:r>
      <w:r w:rsidR="00127EE0">
        <w:rPr>
          <w:vertAlign w:val="superscript"/>
        </w:rPr>
        <w:footnoteReference w:id="19"/>
      </w:r>
    </w:p>
    <w:tbl>
      <w:tblPr>
        <w:tblW w:w="737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1"/>
      </w:tblGrid>
      <w:tr w:rsidR="00127EE0" w14:paraId="600C5C15" w14:textId="77777777" w:rsidTr="0073068B">
        <w:tc>
          <w:tcPr>
            <w:tcW w:w="7371" w:type="dxa"/>
            <w:shd w:val="clear" w:color="auto" w:fill="auto"/>
            <w:tcMar>
              <w:top w:w="100" w:type="dxa"/>
              <w:left w:w="100" w:type="dxa"/>
              <w:bottom w:w="100" w:type="dxa"/>
              <w:right w:w="100" w:type="dxa"/>
            </w:tcMar>
          </w:tcPr>
          <w:p w14:paraId="1ECD7839" w14:textId="5795AF98" w:rsidR="00127EE0" w:rsidRDefault="00127EE0" w:rsidP="00967428">
            <w:pPr>
              <w:widowControl w:val="0"/>
              <w:spacing w:line="240" w:lineRule="auto"/>
              <w:rPr>
                <w:b/>
              </w:rPr>
            </w:pPr>
            <w:bookmarkStart w:id="3" w:name="_x30knm97v51k" w:colFirst="0" w:colLast="0"/>
            <w:bookmarkEnd w:id="3"/>
            <w:r w:rsidRPr="004275A9">
              <w:rPr>
                <w:b/>
              </w:rPr>
              <w:t>Box 5</w:t>
            </w:r>
            <w:r w:rsidR="00EE5871">
              <w:rPr>
                <w:b/>
              </w:rPr>
              <w:t>.</w:t>
            </w:r>
            <w:r w:rsidRPr="004275A9">
              <w:rPr>
                <w:b/>
              </w:rPr>
              <w:t xml:space="preserve"> Morocco’s 2020 VNR</w:t>
            </w:r>
          </w:p>
          <w:p w14:paraId="762B21D5" w14:textId="77777777" w:rsidR="00967428" w:rsidRPr="00967428" w:rsidRDefault="00967428" w:rsidP="00967428">
            <w:pPr>
              <w:widowControl w:val="0"/>
              <w:spacing w:line="240" w:lineRule="auto"/>
              <w:rPr>
                <w:b/>
              </w:rPr>
            </w:pPr>
          </w:p>
          <w:p w14:paraId="4B89E58B" w14:textId="35721FEA" w:rsidR="00127EE0" w:rsidRPr="004275A9" w:rsidRDefault="00127EE0" w:rsidP="00703E9D">
            <w:pPr>
              <w:widowControl w:val="0"/>
              <w:spacing w:line="240" w:lineRule="auto"/>
              <w:jc w:val="both"/>
              <w:rPr>
                <w:bCs/>
              </w:rPr>
            </w:pPr>
            <w:r w:rsidRPr="004275A9">
              <w:rPr>
                <w:bCs/>
              </w:rPr>
              <w:t xml:space="preserve">Morocco’s 2020 VNR is aligned with several </w:t>
            </w:r>
            <w:r w:rsidR="009E7A4F">
              <w:rPr>
                <w:bCs/>
              </w:rPr>
              <w:t>Sustainable Development Goals</w:t>
            </w:r>
            <w:r w:rsidRPr="004275A9">
              <w:rPr>
                <w:bCs/>
              </w:rPr>
              <w:t xml:space="preserve"> including </w:t>
            </w:r>
            <w:r w:rsidR="009E7A4F">
              <w:rPr>
                <w:bCs/>
              </w:rPr>
              <w:t>Sustainable Development Goal</w:t>
            </w:r>
            <w:r w:rsidRPr="004275A9">
              <w:rPr>
                <w:bCs/>
              </w:rPr>
              <w:t xml:space="preserve"> 3 Health,</w:t>
            </w:r>
            <w:r w:rsidR="003E7161" w:rsidRPr="004275A9">
              <w:rPr>
                <w:bCs/>
              </w:rPr>
              <w:t xml:space="preserve"> </w:t>
            </w:r>
            <w:r w:rsidR="009E7A4F">
              <w:rPr>
                <w:bCs/>
              </w:rPr>
              <w:t>Sustainable Development Goal</w:t>
            </w:r>
            <w:r w:rsidRPr="004275A9">
              <w:rPr>
                <w:bCs/>
              </w:rPr>
              <w:t xml:space="preserve"> 4 Education, </w:t>
            </w:r>
            <w:r w:rsidR="009E7A4F">
              <w:rPr>
                <w:bCs/>
              </w:rPr>
              <w:t>Sustainable Development Goal</w:t>
            </w:r>
            <w:r w:rsidRPr="004275A9">
              <w:rPr>
                <w:bCs/>
              </w:rPr>
              <w:t xml:space="preserve"> 7 Energy, </w:t>
            </w:r>
            <w:r w:rsidR="009E7A4F">
              <w:rPr>
                <w:bCs/>
              </w:rPr>
              <w:t>Sustainable Development Goal</w:t>
            </w:r>
            <w:r w:rsidRPr="004275A9">
              <w:rPr>
                <w:bCs/>
              </w:rPr>
              <w:t xml:space="preserve"> 9 Infrastructure, </w:t>
            </w:r>
            <w:r w:rsidR="009E7A4F">
              <w:rPr>
                <w:bCs/>
              </w:rPr>
              <w:t>Sustainable Development Goal</w:t>
            </w:r>
            <w:r w:rsidRPr="004275A9">
              <w:rPr>
                <w:bCs/>
              </w:rPr>
              <w:t xml:space="preserve"> 11 Cities, and SDG13 Climate, covering both passenger and freight transportation (aviation, railway, rural transport, marine transport, and urban transport).</w:t>
            </w:r>
          </w:p>
          <w:p w14:paraId="0437E03D" w14:textId="77777777" w:rsidR="00127EE0" w:rsidRPr="004275A9" w:rsidRDefault="00127EE0" w:rsidP="00703E9D">
            <w:pPr>
              <w:widowControl w:val="0"/>
              <w:spacing w:line="240" w:lineRule="auto"/>
              <w:jc w:val="both"/>
              <w:rPr>
                <w:bCs/>
              </w:rPr>
            </w:pPr>
          </w:p>
          <w:p w14:paraId="6EA2365C" w14:textId="77777777" w:rsidR="00127EE0" w:rsidRDefault="00127EE0" w:rsidP="00703E9D">
            <w:pPr>
              <w:widowControl w:val="0"/>
              <w:spacing w:line="240" w:lineRule="auto"/>
              <w:jc w:val="both"/>
              <w:rPr>
                <w:b/>
                <w:sz w:val="24"/>
                <w:szCs w:val="24"/>
              </w:rPr>
            </w:pPr>
            <w:r w:rsidRPr="004275A9">
              <w:rPr>
                <w:bCs/>
              </w:rPr>
              <w:t xml:space="preserve">Morocco reported vast infrastructure development programs and the liberalisation of different modes of transport, in support of the country's economic development. Several master plans for 2030-2035 have been defined with a focus on inland transport modes. There have been efforts to improve energy efficiency through several sector-specific measures, such as a ban on imports of old vehicles. Morocco also adopted a pollution abatement standard equivalent to the “Euro IV'' standard for the approval of new vehicles, which has resulted in a substantial reduction in fuel consumption and an improvement in air quality. </w:t>
            </w:r>
          </w:p>
        </w:tc>
      </w:tr>
    </w:tbl>
    <w:p w14:paraId="0348671F" w14:textId="230E8704" w:rsidR="00127EE0" w:rsidRPr="005D3634" w:rsidRDefault="00B408AC" w:rsidP="00350422">
      <w:pPr>
        <w:pStyle w:val="H1G"/>
        <w:rPr>
          <w:szCs w:val="24"/>
        </w:rPr>
      </w:pPr>
      <w:bookmarkStart w:id="4" w:name="_fyt9ms6w69t1" w:colFirst="0" w:colLast="0"/>
      <w:bookmarkStart w:id="5" w:name="_qyet6sefuans" w:colFirst="0" w:colLast="0"/>
      <w:bookmarkStart w:id="6" w:name="_44sinio" w:colFirst="0" w:colLast="0"/>
      <w:bookmarkStart w:id="7" w:name="_2jxsxqh" w:colFirst="0" w:colLast="0"/>
      <w:bookmarkEnd w:id="4"/>
      <w:bookmarkEnd w:id="5"/>
      <w:bookmarkEnd w:id="6"/>
      <w:bookmarkEnd w:id="7"/>
      <w:r w:rsidRPr="00350422">
        <w:tab/>
      </w:r>
      <w:r w:rsidR="00D642A8" w:rsidRPr="00C04331">
        <w:t>C</w:t>
      </w:r>
      <w:r w:rsidR="00332047" w:rsidRPr="00C04331">
        <w:t>.</w:t>
      </w:r>
      <w:r w:rsidRPr="00141329">
        <w:tab/>
      </w:r>
      <w:r w:rsidR="00127EE0" w:rsidRPr="00141329">
        <w:t xml:space="preserve">Major </w:t>
      </w:r>
      <w:r w:rsidR="00185558">
        <w:t>N</w:t>
      </w:r>
      <w:r w:rsidR="00127EE0" w:rsidRPr="00141329">
        <w:t xml:space="preserve">ational and </w:t>
      </w:r>
      <w:r w:rsidR="00185558">
        <w:t>R</w:t>
      </w:r>
      <w:r w:rsidR="00127EE0" w:rsidRPr="00141329">
        <w:t xml:space="preserve">egional </w:t>
      </w:r>
      <w:r w:rsidR="00185558">
        <w:t>C</w:t>
      </w:r>
      <w:r w:rsidR="00127EE0" w:rsidRPr="00141329">
        <w:t xml:space="preserve">ommitments advancing </w:t>
      </w:r>
      <w:r w:rsidR="00185558">
        <w:t>T</w:t>
      </w:r>
      <w:r w:rsidR="00127EE0" w:rsidRPr="00141329">
        <w:t xml:space="preserve">ransport </w:t>
      </w:r>
      <w:r w:rsidR="00185558">
        <w:rPr>
          <w:szCs w:val="24"/>
        </w:rPr>
        <w:t>D</w:t>
      </w:r>
      <w:r w:rsidR="00127EE0" w:rsidRPr="005D3634">
        <w:rPr>
          <w:szCs w:val="24"/>
        </w:rPr>
        <w:t>ecarbonisation</w:t>
      </w:r>
    </w:p>
    <w:p w14:paraId="664725DD" w14:textId="668840C7" w:rsidR="00127EE0" w:rsidRPr="00350422" w:rsidRDefault="00B408AC" w:rsidP="00350422">
      <w:pPr>
        <w:pStyle w:val="H23G"/>
        <w:rPr>
          <w:i/>
        </w:rPr>
      </w:pPr>
      <w:r>
        <w:tab/>
      </w:r>
      <w:r w:rsidR="00332047">
        <w:t>1.</w:t>
      </w:r>
      <w:r w:rsidR="009929FC">
        <w:tab/>
      </w:r>
      <w:r w:rsidR="00127EE0" w:rsidRPr="00B408AC">
        <w:t xml:space="preserve">Avoid-related </w:t>
      </w:r>
      <w:r w:rsidR="00185558">
        <w:t>C</w:t>
      </w:r>
      <w:r w:rsidR="00127EE0" w:rsidRPr="00B408AC">
        <w:t>ommitments</w:t>
      </w:r>
    </w:p>
    <w:p w14:paraId="7FEC8F09" w14:textId="77252ED8" w:rsidR="009929FC" w:rsidRDefault="00112895" w:rsidP="00350422">
      <w:pPr>
        <w:pStyle w:val="SingleTxtG"/>
      </w:pPr>
      <w:r>
        <w:t>19</w:t>
      </w:r>
      <w:r w:rsidR="00B408AC">
        <w:t>.</w:t>
      </w:r>
      <w:r w:rsidR="00B408AC">
        <w:tab/>
      </w:r>
      <w:r w:rsidR="00127EE0">
        <w:t>Integrated land-use and transport planning reflects the change of an automobile-focused planning approach towards focusing on people’s ability to reach goods, services and activities. The new approach embraces vehicle-travel reduction strategies in order to enhance the mobility needs of people and achieve a better quality of life. Tools supporting this approach are Sustainable Urban Mobility Plans (SUMPs), National Urban Mobility Plans (NUMPs), transit-oriented development and low-emission zones.</w:t>
      </w:r>
    </w:p>
    <w:p w14:paraId="25A0ECBA" w14:textId="04A93FAC" w:rsidR="009929FC" w:rsidRDefault="009929FC" w:rsidP="00350422">
      <w:pPr>
        <w:pStyle w:val="SingleTxtG"/>
      </w:pPr>
      <w:r>
        <w:t>2</w:t>
      </w:r>
      <w:r w:rsidR="00112895">
        <w:t>0</w:t>
      </w:r>
      <w:r>
        <w:t>.</w:t>
      </w:r>
      <w:r>
        <w:tab/>
      </w:r>
      <w:r w:rsidR="00127EE0">
        <w:t>SUMPs have been a well</w:t>
      </w:r>
      <w:r w:rsidR="00926E2E">
        <w:t>-</w:t>
      </w:r>
      <w:r w:rsidR="00127EE0">
        <w:t>established planning tool in European cities since 2013. Over 1,000 cities in Europe have implemented SUMPs as of 2018.</w:t>
      </w:r>
      <w:r w:rsidR="00127EE0">
        <w:rPr>
          <w:vertAlign w:val="superscript"/>
        </w:rPr>
        <w:footnoteReference w:id="20"/>
      </w:r>
      <w:r w:rsidR="00127EE0">
        <w:t xml:space="preserve"> As of the end of 2022, 343 Brazilian municipalities had finalised SUMPs, and 90 of these cities have more 250,000 inhabitants.</w:t>
      </w:r>
      <w:r w:rsidR="00127EE0">
        <w:rPr>
          <w:vertAlign w:val="superscript"/>
        </w:rPr>
        <w:footnoteReference w:id="21"/>
      </w:r>
    </w:p>
    <w:p w14:paraId="43E2B425" w14:textId="493F954B" w:rsidR="009929FC" w:rsidRDefault="00D21FEF" w:rsidP="00350422">
      <w:pPr>
        <w:pStyle w:val="SingleTxtG"/>
      </w:pPr>
      <w:r>
        <w:t>2</w:t>
      </w:r>
      <w:r w:rsidR="00112895">
        <w:t>1</w:t>
      </w:r>
      <w:r w:rsidR="009929FC">
        <w:t>.</w:t>
      </w:r>
      <w:r w:rsidR="009929FC">
        <w:tab/>
      </w:r>
      <w:r w:rsidR="00127EE0">
        <w:t xml:space="preserve">The global expansion of SUMPs and NUMPs is being supported by the </w:t>
      </w:r>
      <w:proofErr w:type="spellStart"/>
      <w:r w:rsidR="00127EE0">
        <w:t>MobiliseYourCity</w:t>
      </w:r>
      <w:proofErr w:type="spellEnd"/>
      <w:r w:rsidR="00127EE0">
        <w:t xml:space="preserve"> Partnership, which had supported the preparation of 12 SUMPs in Africa, 8 in Asia, 8 in Latin America and 3 in Eastern Europe, while NUMPs were prepared in 2 African countries, 2 in Asia and 5 in Latin America.</w:t>
      </w:r>
      <w:r w:rsidR="00127EE0">
        <w:rPr>
          <w:vertAlign w:val="superscript"/>
        </w:rPr>
        <w:footnoteReference w:id="22"/>
      </w:r>
    </w:p>
    <w:p w14:paraId="4407A453" w14:textId="69ABEEF1" w:rsidR="009929FC" w:rsidRDefault="00112895" w:rsidP="00350422">
      <w:pPr>
        <w:pStyle w:val="SingleTxtG"/>
      </w:pPr>
      <w:r>
        <w:t>22</w:t>
      </w:r>
      <w:r w:rsidR="009929FC">
        <w:t>.</w:t>
      </w:r>
      <w:r w:rsidR="009929FC">
        <w:tab/>
      </w:r>
      <w:r w:rsidR="00127EE0">
        <w:t xml:space="preserve">Transit-oriented development is in place in many regions, as decision makers recognise that encouraging the use of public transport and active travel can greatly reduce </w:t>
      </w:r>
      <w:r w:rsidR="00127EE0">
        <w:lastRenderedPageBreak/>
        <w:t>transport emissions.</w:t>
      </w:r>
      <w:r w:rsidR="00127EE0">
        <w:rPr>
          <w:vertAlign w:val="superscript"/>
        </w:rPr>
        <w:footnoteReference w:id="23"/>
      </w:r>
      <w:r w:rsidR="00127EE0">
        <w:t xml:space="preserve"> The impact of transit-oriented development on emissions can be significant, as such development is typically designed to be compact, walkable and mixed-use to minimise the need for car ownership and use.</w:t>
      </w:r>
    </w:p>
    <w:p w14:paraId="62E00522" w14:textId="18605136" w:rsidR="009929FC" w:rsidRPr="00350422" w:rsidRDefault="00112895" w:rsidP="00350422">
      <w:pPr>
        <w:pStyle w:val="SingleTxtG"/>
        <w:rPr>
          <w:vertAlign w:val="superscript"/>
        </w:rPr>
      </w:pPr>
      <w:r>
        <w:t>23</w:t>
      </w:r>
      <w:r w:rsidR="009929FC">
        <w:t>.</w:t>
      </w:r>
      <w:r w:rsidR="009929FC">
        <w:tab/>
      </w:r>
      <w:r w:rsidR="00127EE0">
        <w:t>Transit-oriented development is a key pillar of urban planning in many Eastern Asian cities. Indian cities are in the process of mainstreaming this planning tool. Chandigarh, the Pune Municipal Corporation and Navi Mumbai have successfully implemented transit-oriented development in their urban planning masterplans.</w:t>
      </w:r>
      <w:r w:rsidR="00127EE0">
        <w:rPr>
          <w:vertAlign w:val="superscript"/>
        </w:rPr>
        <w:footnoteReference w:id="24"/>
      </w:r>
    </w:p>
    <w:p w14:paraId="0AC50664" w14:textId="1CB6D15A" w:rsidR="009929FC" w:rsidRDefault="00112895" w:rsidP="00350422">
      <w:pPr>
        <w:pStyle w:val="SingleTxtG"/>
      </w:pPr>
      <w:r>
        <w:t>24</w:t>
      </w:r>
      <w:r w:rsidR="009929FC">
        <w:t>.</w:t>
      </w:r>
      <w:r w:rsidR="009929FC">
        <w:tab/>
      </w:r>
      <w:r w:rsidR="00127EE0">
        <w:t>The US</w:t>
      </w:r>
      <w:r w:rsidR="007D79A0">
        <w:t>A</w:t>
      </w:r>
      <w:r w:rsidR="00127EE0">
        <w:t xml:space="preserve"> government announced USD 13.1 million in grants in late 2022 to help cities plan for transit-oriented development, while the US</w:t>
      </w:r>
      <w:r w:rsidR="00BD29FD">
        <w:t>A</w:t>
      </w:r>
      <w:r w:rsidR="00127EE0">
        <w:t xml:space="preserve"> state of California and British Columbia (Canada) revised laws to support it.</w:t>
      </w:r>
      <w:r w:rsidR="00127EE0">
        <w:rPr>
          <w:vertAlign w:val="superscript"/>
        </w:rPr>
        <w:footnoteReference w:id="25"/>
      </w:r>
      <w:r w:rsidR="00127EE0">
        <w:t>In recent years the concept of proximity planning has received momentum through the “15-minute city” in Paris (France) and the “super blocks” in Barcelona (Spain).</w:t>
      </w:r>
      <w:r w:rsidR="00127EE0">
        <w:rPr>
          <w:vertAlign w:val="superscript"/>
        </w:rPr>
        <w:footnoteReference w:id="26"/>
      </w:r>
    </w:p>
    <w:p w14:paraId="3D61C7BD" w14:textId="313B2720" w:rsidR="00127EE0" w:rsidRPr="00350422" w:rsidRDefault="00112895" w:rsidP="00350422">
      <w:pPr>
        <w:pStyle w:val="SingleTxtG"/>
      </w:pPr>
      <w:r>
        <w:t>25</w:t>
      </w:r>
      <w:r w:rsidR="009929FC">
        <w:t>.</w:t>
      </w:r>
      <w:r w:rsidR="009929FC">
        <w:tab/>
      </w:r>
      <w:r w:rsidR="00127EE0">
        <w:t>There are 320 low</w:t>
      </w:r>
      <w:r w:rsidR="00021B68">
        <w:t>-</w:t>
      </w:r>
      <w:r w:rsidR="00127EE0">
        <w:t>emission zones (LEZs) in Europe, as of 2022.</w:t>
      </w:r>
      <w:r w:rsidR="00127EE0">
        <w:rPr>
          <w:vertAlign w:val="superscript"/>
        </w:rPr>
        <w:footnoteReference w:id="27"/>
      </w:r>
      <w:r w:rsidR="00127EE0">
        <w:t xml:space="preserve"> Outside of Europe, LEZs are being implemented in China and India.</w:t>
      </w:r>
      <w:r w:rsidR="00127EE0">
        <w:rPr>
          <w:vertAlign w:val="superscript"/>
        </w:rPr>
        <w:footnoteReference w:id="28"/>
      </w:r>
      <w:r w:rsidR="00127EE0">
        <w:t xml:space="preserve"> China has implemented zero-emission freight zones in addition to LEZ policies to advance zero-emission freight vehicles and reduce congestion.</w:t>
      </w:r>
      <w:r w:rsidR="00127EE0">
        <w:rPr>
          <w:vertAlign w:val="superscript"/>
        </w:rPr>
        <w:footnoteReference w:id="29"/>
      </w:r>
      <w:r w:rsidR="00127EE0">
        <w:t xml:space="preserve"> LEZs emerge in LAC with Medellín and Rio de Janeiro being in the processes of implementing LEZs throughout 2023.</w:t>
      </w:r>
      <w:r w:rsidR="00127EE0">
        <w:rPr>
          <w:vertAlign w:val="superscript"/>
        </w:rPr>
        <w:footnoteReference w:id="30"/>
      </w:r>
    </w:p>
    <w:p w14:paraId="70027E88" w14:textId="49368B68" w:rsidR="00127EE0" w:rsidRDefault="00350422" w:rsidP="00350422">
      <w:pPr>
        <w:pStyle w:val="H23G"/>
      </w:pPr>
      <w:r>
        <w:tab/>
      </w:r>
      <w:r w:rsidR="003D4B79">
        <w:t>2.</w:t>
      </w:r>
      <w:r w:rsidR="009929FC">
        <w:tab/>
      </w:r>
      <w:r w:rsidR="00127EE0" w:rsidRPr="009929FC">
        <w:t>Shift-related</w:t>
      </w:r>
      <w:r w:rsidR="00C04331">
        <w:t xml:space="preserve"> C</w:t>
      </w:r>
      <w:r w:rsidR="00127EE0" w:rsidRPr="009929FC">
        <w:t>ommitments</w:t>
      </w:r>
    </w:p>
    <w:p w14:paraId="34636BE7" w14:textId="110FCCDE" w:rsidR="00127EE0" w:rsidRDefault="00112895" w:rsidP="00350422">
      <w:pPr>
        <w:pStyle w:val="SingleTxtG"/>
      </w:pPr>
      <w:r>
        <w:t>26</w:t>
      </w:r>
      <w:r w:rsidR="009929FC">
        <w:t>.</w:t>
      </w:r>
      <w:r w:rsidR="009929FC">
        <w:tab/>
      </w:r>
      <w:r w:rsidR="00127EE0">
        <w:t>Among the major public transport modes (bus rapid transit, metro and light rail), metro systems showed the strongest growth between 2015 and 2021.</w:t>
      </w:r>
      <w:r w:rsidR="00467B6B">
        <w:t xml:space="preserve">  </w:t>
      </w:r>
      <w:r w:rsidR="00127EE0">
        <w:t>Despite budget cuts, delays, and low ridership, public transport expansion projects continued during 2020-2021 in all major regions, with the opening of dozens of new train, bus, light rail and tram lines.</w:t>
      </w:r>
      <w:r w:rsidR="00127EE0">
        <w:rPr>
          <w:vertAlign w:val="superscript"/>
        </w:rPr>
        <w:footnoteReference w:id="31"/>
      </w:r>
      <w:r w:rsidR="00127EE0">
        <w:t xml:space="preserve"> New public transport services were opened in Algiers (Algeria), Cairo (Egypt), several Chinese cities, Dakar (Senegal), Lagos (Nigeria), London (United Kingdom), Paris (France), Quito (Ecuador), Washington, D.C. (US) among many others.</w:t>
      </w:r>
      <w:r w:rsidR="00127EE0">
        <w:rPr>
          <w:vertAlign w:val="superscript"/>
        </w:rPr>
        <w:footnoteReference w:id="32"/>
      </w:r>
    </w:p>
    <w:p w14:paraId="654834D3" w14:textId="32454686" w:rsidR="00127EE0" w:rsidRPr="00350422" w:rsidRDefault="00112895" w:rsidP="00350422">
      <w:pPr>
        <w:pStyle w:val="SingleTxtG"/>
        <w:rPr>
          <w:vertAlign w:val="superscript"/>
        </w:rPr>
      </w:pPr>
      <w:r>
        <w:lastRenderedPageBreak/>
        <w:t>27</w:t>
      </w:r>
      <w:r w:rsidR="009929FC">
        <w:t>.</w:t>
      </w:r>
      <w:r w:rsidR="009929FC">
        <w:tab/>
      </w:r>
      <w:r w:rsidR="00127EE0">
        <w:t xml:space="preserve">Active travel such as walking and cycling seems to have benefited from behavioural changes instilled during the pandemic. The unprecedented rapid development in supportive infrastructure and policies – such as “pop-up” bike lanes, </w:t>
      </w:r>
      <w:r w:rsidR="00BE78F3">
        <w:t>pedestrianizing</w:t>
      </w:r>
      <w:r w:rsidR="00127EE0">
        <w:t xml:space="preserve"> streets, and removal of on-street parking in many cities – has increased space for people rather than cars.</w:t>
      </w:r>
      <w:r w:rsidR="00127EE0">
        <w:rPr>
          <w:vertAlign w:val="superscript"/>
        </w:rPr>
        <w:footnoteReference w:id="33"/>
      </w:r>
      <w:r w:rsidR="00127EE0">
        <w:t xml:space="preserve"> Similarly, the use of shared mobility has continued to increase in many places – due in part to people moving away from public transport during the pandemic and from personal vehicles experiencing rising fuel costs – although it remains minimal relative to overall vehicle use.</w:t>
      </w:r>
      <w:r w:rsidR="00127EE0">
        <w:rPr>
          <w:vertAlign w:val="superscript"/>
        </w:rPr>
        <w:footnoteReference w:id="34"/>
      </w:r>
    </w:p>
    <w:p w14:paraId="397BC246" w14:textId="27020ADB" w:rsidR="00127EE0" w:rsidRDefault="00350422" w:rsidP="00350422">
      <w:pPr>
        <w:pStyle w:val="H23G"/>
      </w:pPr>
      <w:r>
        <w:tab/>
      </w:r>
      <w:r w:rsidR="003D4B79">
        <w:t>3.</w:t>
      </w:r>
      <w:r w:rsidR="005D18BA" w:rsidRPr="005D18BA">
        <w:tab/>
      </w:r>
      <w:r w:rsidR="00127EE0" w:rsidRPr="005D18BA">
        <w:t xml:space="preserve">Improve-related </w:t>
      </w:r>
      <w:r w:rsidR="00C04331">
        <w:t>C</w:t>
      </w:r>
      <w:r w:rsidR="00127EE0" w:rsidRPr="005D18BA">
        <w:t>ommitments</w:t>
      </w:r>
    </w:p>
    <w:p w14:paraId="28E6A9F9" w14:textId="3953652F" w:rsidR="00127EE0" w:rsidRDefault="00112895" w:rsidP="00350422">
      <w:pPr>
        <w:pStyle w:val="SingleTxtG"/>
      </w:pPr>
      <w:r>
        <w:t>28</w:t>
      </w:r>
      <w:r w:rsidR="005D18BA">
        <w:t>.</w:t>
      </w:r>
      <w:r w:rsidR="005D18BA">
        <w:tab/>
      </w:r>
      <w:r w:rsidR="00127EE0">
        <w:t xml:space="preserve">Electrification across all transport modes is a key activity under the “Improve” pillar. The International Energy Agency </w:t>
      </w:r>
      <w:r w:rsidR="00095A63">
        <w:t>(IEA)</w:t>
      </w:r>
      <w:r w:rsidR="00127EE0">
        <w:t xml:space="preserve"> considers electric vehicles to be the only transport-related area that is on track with global scenarios for net zero emissions.</w:t>
      </w:r>
      <w:r w:rsidR="00127EE0">
        <w:rPr>
          <w:vertAlign w:val="superscript"/>
        </w:rPr>
        <w:footnoteReference w:id="35"/>
      </w:r>
    </w:p>
    <w:p w14:paraId="68E6BC66" w14:textId="18E08291" w:rsidR="00127EE0" w:rsidRDefault="00112895" w:rsidP="00350422">
      <w:pPr>
        <w:pStyle w:val="SingleTxtG"/>
      </w:pPr>
      <w:r>
        <w:t>29</w:t>
      </w:r>
      <w:r w:rsidR="005D18BA">
        <w:t>.</w:t>
      </w:r>
      <w:r w:rsidR="005D18BA">
        <w:tab/>
      </w:r>
      <w:r w:rsidR="00127EE0">
        <w:t>More jurisdictions (cities, subnational and countries) are setting targets for phasing out fossil-fuelled vehicles. As of April 2023, at least 41 countries or sub-national jurisdictions had set phase-out targets for light-duty vehicles with internal combustion engines, twice as many as in 2020. The majority of the countries are in Europe and North America (see Table</w:t>
      </w:r>
      <w:r w:rsidR="00C04331">
        <w:t> </w:t>
      </w:r>
      <w:r w:rsidR="001F48A3">
        <w:t>1</w:t>
      </w:r>
      <w:r w:rsidR="00127EE0">
        <w:t>).</w:t>
      </w:r>
    </w:p>
    <w:p w14:paraId="308B9456" w14:textId="77777777" w:rsidR="00C04331" w:rsidRDefault="00127EE0" w:rsidP="00C04331">
      <w:pPr>
        <w:pStyle w:val="Heading1"/>
      </w:pPr>
      <w:r w:rsidRPr="00A0272F">
        <w:t xml:space="preserve">Table </w:t>
      </w:r>
      <w:r w:rsidR="00D04732">
        <w:t>1</w:t>
      </w:r>
    </w:p>
    <w:p w14:paraId="76D6799B" w14:textId="20CE9735" w:rsidR="00127EE0" w:rsidRPr="00C04331" w:rsidRDefault="00127EE0" w:rsidP="00C04331">
      <w:pPr>
        <w:pStyle w:val="SingleTxtG"/>
        <w:rPr>
          <w:b/>
          <w:bCs/>
        </w:rPr>
      </w:pPr>
      <w:r w:rsidRPr="00C04331">
        <w:rPr>
          <w:b/>
          <w:bCs/>
        </w:rPr>
        <w:t>Governments with official targets to phase out the sales of vehicles with internal combustion engines</w:t>
      </w:r>
      <w:r w:rsidRPr="00C04331">
        <w:rPr>
          <w:b/>
          <w:bCs/>
          <w:vertAlign w:val="superscript"/>
        </w:rPr>
        <w:footnoteReference w:id="36"/>
      </w:r>
    </w:p>
    <w:tbl>
      <w:tblPr>
        <w:tblW w:w="7370" w:type="dxa"/>
        <w:tblInd w:w="1134" w:type="dxa"/>
        <w:tblLayout w:type="fixed"/>
        <w:tblCellMar>
          <w:left w:w="0" w:type="dxa"/>
          <w:right w:w="0" w:type="dxa"/>
        </w:tblCellMar>
        <w:tblLook w:val="0600" w:firstRow="0" w:lastRow="0" w:firstColumn="0" w:lastColumn="0" w:noHBand="1" w:noVBand="1"/>
      </w:tblPr>
      <w:tblGrid>
        <w:gridCol w:w="1776"/>
        <w:gridCol w:w="1097"/>
        <w:gridCol w:w="4497"/>
      </w:tblGrid>
      <w:tr w:rsidR="00127EE0" w:rsidRPr="00B74FF6" w14:paraId="54627AD5" w14:textId="77777777" w:rsidTr="00B74FF6">
        <w:trPr>
          <w:tblHeader/>
        </w:trPr>
        <w:tc>
          <w:tcPr>
            <w:tcW w:w="184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340D61D" w14:textId="77777777" w:rsidR="00127EE0" w:rsidRPr="00B74FF6" w:rsidRDefault="00127EE0" w:rsidP="00B74FF6">
            <w:pPr>
              <w:spacing w:before="80" w:after="80" w:line="200" w:lineRule="exact"/>
              <w:ind w:right="113"/>
              <w:rPr>
                <w:i/>
                <w:sz w:val="16"/>
              </w:rPr>
            </w:pPr>
            <w:r w:rsidRPr="00B74FF6">
              <w:rPr>
                <w:i/>
                <w:sz w:val="16"/>
              </w:rPr>
              <w:t>Target type</w:t>
            </w:r>
          </w:p>
        </w:tc>
        <w:tc>
          <w:tcPr>
            <w:tcW w:w="1134"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962FAF1" w14:textId="77777777" w:rsidR="00127EE0" w:rsidRPr="00B74FF6" w:rsidRDefault="00127EE0" w:rsidP="00B74FF6">
            <w:pPr>
              <w:spacing w:before="80" w:after="80" w:line="200" w:lineRule="exact"/>
              <w:ind w:right="113"/>
              <w:rPr>
                <w:i/>
                <w:sz w:val="16"/>
              </w:rPr>
            </w:pPr>
            <w:r w:rsidRPr="00B74FF6">
              <w:rPr>
                <w:i/>
                <w:sz w:val="16"/>
              </w:rPr>
              <w:t>Year</w:t>
            </w:r>
          </w:p>
        </w:tc>
        <w:tc>
          <w:tcPr>
            <w:tcW w:w="4678"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541B250" w14:textId="77777777" w:rsidR="00127EE0" w:rsidRPr="00B74FF6" w:rsidRDefault="00127EE0" w:rsidP="00B74FF6">
            <w:pPr>
              <w:spacing w:before="80" w:after="80" w:line="200" w:lineRule="exact"/>
              <w:ind w:right="113"/>
              <w:rPr>
                <w:i/>
                <w:sz w:val="16"/>
              </w:rPr>
            </w:pPr>
            <w:r w:rsidRPr="00B74FF6">
              <w:rPr>
                <w:i/>
                <w:sz w:val="16"/>
              </w:rPr>
              <w:t>Countries</w:t>
            </w:r>
          </w:p>
        </w:tc>
      </w:tr>
      <w:tr w:rsidR="00B74FF6" w:rsidRPr="00B74FF6" w14:paraId="004F6858" w14:textId="77777777" w:rsidTr="00B74FF6">
        <w:trPr>
          <w:trHeight w:hRule="exact" w:val="113"/>
        </w:trPr>
        <w:tc>
          <w:tcPr>
            <w:tcW w:w="1842" w:type="dxa"/>
            <w:tcBorders>
              <w:top w:val="single" w:sz="12" w:space="0" w:color="auto"/>
            </w:tcBorders>
            <w:shd w:val="clear" w:color="auto" w:fill="auto"/>
            <w:tcMar>
              <w:top w:w="100" w:type="dxa"/>
              <w:left w:w="100" w:type="dxa"/>
              <w:bottom w:w="100" w:type="dxa"/>
              <w:right w:w="100" w:type="dxa"/>
            </w:tcMar>
          </w:tcPr>
          <w:p w14:paraId="4D577568" w14:textId="77777777" w:rsidR="00B74FF6" w:rsidRPr="00B74FF6" w:rsidRDefault="00B74FF6" w:rsidP="00B74FF6">
            <w:pPr>
              <w:spacing w:before="40" w:after="120"/>
              <w:ind w:right="113"/>
            </w:pPr>
          </w:p>
        </w:tc>
        <w:tc>
          <w:tcPr>
            <w:tcW w:w="1134" w:type="dxa"/>
            <w:tcBorders>
              <w:top w:val="single" w:sz="12" w:space="0" w:color="auto"/>
            </w:tcBorders>
            <w:shd w:val="clear" w:color="auto" w:fill="auto"/>
            <w:tcMar>
              <w:top w:w="100" w:type="dxa"/>
              <w:left w:w="100" w:type="dxa"/>
              <w:bottom w:w="100" w:type="dxa"/>
              <w:right w:w="100" w:type="dxa"/>
            </w:tcMar>
          </w:tcPr>
          <w:p w14:paraId="2F3FF39E" w14:textId="77777777" w:rsidR="00B74FF6" w:rsidRPr="00B74FF6" w:rsidRDefault="00B74FF6" w:rsidP="00B74FF6">
            <w:pPr>
              <w:spacing w:before="40" w:after="120"/>
              <w:ind w:right="113"/>
            </w:pPr>
          </w:p>
        </w:tc>
        <w:tc>
          <w:tcPr>
            <w:tcW w:w="4678" w:type="dxa"/>
            <w:tcBorders>
              <w:top w:val="single" w:sz="12" w:space="0" w:color="auto"/>
            </w:tcBorders>
            <w:shd w:val="clear" w:color="auto" w:fill="auto"/>
            <w:tcMar>
              <w:top w:w="100" w:type="dxa"/>
              <w:left w:w="100" w:type="dxa"/>
              <w:bottom w:w="100" w:type="dxa"/>
              <w:right w:w="100" w:type="dxa"/>
            </w:tcMar>
          </w:tcPr>
          <w:p w14:paraId="4371D043" w14:textId="77777777" w:rsidR="00B74FF6" w:rsidRPr="00B74FF6" w:rsidRDefault="00B74FF6" w:rsidP="00B74FF6">
            <w:pPr>
              <w:spacing w:before="40" w:after="120"/>
              <w:ind w:right="113"/>
            </w:pPr>
          </w:p>
        </w:tc>
      </w:tr>
      <w:tr w:rsidR="00127EE0" w:rsidRPr="00B74FF6" w14:paraId="46185766" w14:textId="77777777" w:rsidTr="00B74FF6">
        <w:tc>
          <w:tcPr>
            <w:tcW w:w="1842" w:type="dxa"/>
            <w:vMerge w:val="restart"/>
            <w:shd w:val="clear" w:color="auto" w:fill="auto"/>
            <w:tcMar>
              <w:top w:w="100" w:type="dxa"/>
              <w:left w:w="100" w:type="dxa"/>
              <w:bottom w:w="100" w:type="dxa"/>
              <w:right w:w="100" w:type="dxa"/>
            </w:tcMar>
          </w:tcPr>
          <w:p w14:paraId="610F1A10" w14:textId="77777777" w:rsidR="00127EE0" w:rsidRPr="00B74FF6" w:rsidRDefault="00127EE0" w:rsidP="00B74FF6">
            <w:pPr>
              <w:spacing w:before="40" w:after="120"/>
              <w:ind w:right="113"/>
            </w:pPr>
            <w:r w:rsidRPr="00B74FF6">
              <w:t>Target to allow the sale of new BEVs and FCEVs only</w:t>
            </w:r>
          </w:p>
        </w:tc>
        <w:tc>
          <w:tcPr>
            <w:tcW w:w="1134" w:type="dxa"/>
            <w:shd w:val="clear" w:color="auto" w:fill="auto"/>
            <w:tcMar>
              <w:top w:w="100" w:type="dxa"/>
              <w:left w:w="100" w:type="dxa"/>
              <w:bottom w:w="100" w:type="dxa"/>
              <w:right w:w="100" w:type="dxa"/>
            </w:tcMar>
          </w:tcPr>
          <w:p w14:paraId="1B67CC1B" w14:textId="77777777" w:rsidR="00127EE0" w:rsidRPr="00B74FF6" w:rsidRDefault="00127EE0" w:rsidP="00B74FF6">
            <w:pPr>
              <w:spacing w:before="40" w:after="120"/>
              <w:ind w:right="113"/>
            </w:pPr>
            <w:r w:rsidRPr="00B74FF6">
              <w:t>2035</w:t>
            </w:r>
          </w:p>
        </w:tc>
        <w:tc>
          <w:tcPr>
            <w:tcW w:w="4678" w:type="dxa"/>
            <w:shd w:val="clear" w:color="auto" w:fill="auto"/>
            <w:tcMar>
              <w:top w:w="100" w:type="dxa"/>
              <w:left w:w="100" w:type="dxa"/>
              <w:bottom w:w="100" w:type="dxa"/>
              <w:right w:w="100" w:type="dxa"/>
            </w:tcMar>
          </w:tcPr>
          <w:p w14:paraId="780DD7AF" w14:textId="77777777" w:rsidR="00127EE0" w:rsidRPr="00B74FF6" w:rsidRDefault="00127EE0" w:rsidP="00B74FF6">
            <w:pPr>
              <w:spacing w:before="40" w:after="120"/>
              <w:ind w:right="113"/>
            </w:pPr>
            <w:r w:rsidRPr="00B74FF6">
              <w:t>Chile, Cabo Verde, European Economic Area, United Kingdom</w:t>
            </w:r>
          </w:p>
        </w:tc>
      </w:tr>
      <w:tr w:rsidR="00127EE0" w:rsidRPr="00B74FF6" w14:paraId="3743A87C" w14:textId="77777777" w:rsidTr="00B74FF6">
        <w:tc>
          <w:tcPr>
            <w:tcW w:w="1842" w:type="dxa"/>
            <w:vMerge/>
            <w:shd w:val="clear" w:color="auto" w:fill="auto"/>
            <w:tcMar>
              <w:top w:w="100" w:type="dxa"/>
              <w:left w:w="100" w:type="dxa"/>
              <w:bottom w:w="100" w:type="dxa"/>
              <w:right w:w="100" w:type="dxa"/>
            </w:tcMar>
          </w:tcPr>
          <w:p w14:paraId="2EDDC397" w14:textId="77777777" w:rsidR="00127EE0" w:rsidRPr="00B74FF6" w:rsidRDefault="00127EE0" w:rsidP="00B74FF6">
            <w:pPr>
              <w:spacing w:before="40" w:after="120"/>
              <w:ind w:right="113"/>
            </w:pPr>
          </w:p>
        </w:tc>
        <w:tc>
          <w:tcPr>
            <w:tcW w:w="1134" w:type="dxa"/>
            <w:shd w:val="clear" w:color="auto" w:fill="auto"/>
            <w:tcMar>
              <w:top w:w="100" w:type="dxa"/>
              <w:left w:w="100" w:type="dxa"/>
              <w:bottom w:w="100" w:type="dxa"/>
              <w:right w:w="100" w:type="dxa"/>
            </w:tcMar>
          </w:tcPr>
          <w:p w14:paraId="0CA5420A" w14:textId="77777777" w:rsidR="00127EE0" w:rsidRPr="00B74FF6" w:rsidRDefault="00127EE0" w:rsidP="00B74FF6">
            <w:pPr>
              <w:spacing w:before="40" w:after="120"/>
              <w:ind w:right="113"/>
            </w:pPr>
            <w:r w:rsidRPr="00B74FF6">
              <w:t>2050</w:t>
            </w:r>
          </w:p>
        </w:tc>
        <w:tc>
          <w:tcPr>
            <w:tcW w:w="4678" w:type="dxa"/>
            <w:shd w:val="clear" w:color="auto" w:fill="auto"/>
            <w:tcMar>
              <w:top w:w="100" w:type="dxa"/>
              <w:left w:w="100" w:type="dxa"/>
              <w:bottom w:w="100" w:type="dxa"/>
              <w:right w:w="100" w:type="dxa"/>
            </w:tcMar>
          </w:tcPr>
          <w:p w14:paraId="3AE3265E" w14:textId="77777777" w:rsidR="00127EE0" w:rsidRPr="00B74FF6" w:rsidRDefault="00127EE0" w:rsidP="00B74FF6">
            <w:pPr>
              <w:spacing w:before="40" w:after="120"/>
              <w:ind w:right="113"/>
            </w:pPr>
            <w:r w:rsidRPr="00B74FF6">
              <w:t>Costa Rica</w:t>
            </w:r>
          </w:p>
        </w:tc>
      </w:tr>
      <w:tr w:rsidR="00127EE0" w:rsidRPr="00B74FF6" w14:paraId="07E1C25A" w14:textId="77777777" w:rsidTr="00B74FF6">
        <w:tc>
          <w:tcPr>
            <w:tcW w:w="1842" w:type="dxa"/>
            <w:vMerge w:val="restart"/>
            <w:shd w:val="clear" w:color="auto" w:fill="auto"/>
            <w:tcMar>
              <w:top w:w="100" w:type="dxa"/>
              <w:left w:w="100" w:type="dxa"/>
              <w:bottom w:w="100" w:type="dxa"/>
              <w:right w:w="100" w:type="dxa"/>
            </w:tcMar>
          </w:tcPr>
          <w:p w14:paraId="39A369B3" w14:textId="77777777" w:rsidR="00127EE0" w:rsidRPr="00B74FF6" w:rsidRDefault="00127EE0" w:rsidP="00B74FF6">
            <w:pPr>
              <w:spacing w:before="40" w:after="120"/>
              <w:ind w:right="113"/>
            </w:pPr>
            <w:r w:rsidRPr="00B74FF6">
              <w:t>Target to allow the sale of new BEVs, FCEVs and PHEVs only</w:t>
            </w:r>
          </w:p>
        </w:tc>
        <w:tc>
          <w:tcPr>
            <w:tcW w:w="1134" w:type="dxa"/>
            <w:shd w:val="clear" w:color="auto" w:fill="auto"/>
            <w:tcMar>
              <w:top w:w="100" w:type="dxa"/>
              <w:left w:w="100" w:type="dxa"/>
              <w:bottom w:w="100" w:type="dxa"/>
              <w:right w:w="100" w:type="dxa"/>
            </w:tcMar>
          </w:tcPr>
          <w:p w14:paraId="4D1ACAE6" w14:textId="77777777" w:rsidR="00127EE0" w:rsidRPr="00B74FF6" w:rsidRDefault="00127EE0" w:rsidP="00B74FF6">
            <w:pPr>
              <w:spacing w:before="40" w:after="120"/>
              <w:ind w:right="113"/>
            </w:pPr>
            <w:r w:rsidRPr="00B74FF6">
              <w:t>2030</w:t>
            </w:r>
          </w:p>
        </w:tc>
        <w:tc>
          <w:tcPr>
            <w:tcW w:w="4678" w:type="dxa"/>
            <w:shd w:val="clear" w:color="auto" w:fill="auto"/>
            <w:tcMar>
              <w:top w:w="100" w:type="dxa"/>
              <w:left w:w="100" w:type="dxa"/>
              <w:bottom w:w="100" w:type="dxa"/>
              <w:right w:w="100" w:type="dxa"/>
            </w:tcMar>
          </w:tcPr>
          <w:p w14:paraId="17E6AF5A" w14:textId="77777777" w:rsidR="00127EE0" w:rsidRPr="00B74FF6" w:rsidRDefault="00127EE0" w:rsidP="00B74FF6">
            <w:pPr>
              <w:spacing w:before="40" w:after="120"/>
              <w:ind w:right="113"/>
            </w:pPr>
            <w:r w:rsidRPr="00B74FF6">
              <w:t>Singapore</w:t>
            </w:r>
          </w:p>
        </w:tc>
      </w:tr>
      <w:tr w:rsidR="00127EE0" w:rsidRPr="00B74FF6" w14:paraId="37C7D861" w14:textId="77777777" w:rsidTr="00B74FF6">
        <w:tc>
          <w:tcPr>
            <w:tcW w:w="1842" w:type="dxa"/>
            <w:vMerge/>
            <w:shd w:val="clear" w:color="auto" w:fill="auto"/>
            <w:tcMar>
              <w:top w:w="100" w:type="dxa"/>
              <w:left w:w="100" w:type="dxa"/>
              <w:bottom w:w="100" w:type="dxa"/>
              <w:right w:w="100" w:type="dxa"/>
            </w:tcMar>
          </w:tcPr>
          <w:p w14:paraId="7AE9A213" w14:textId="77777777" w:rsidR="00127EE0" w:rsidRPr="00B74FF6" w:rsidRDefault="00127EE0" w:rsidP="00B74FF6">
            <w:pPr>
              <w:spacing w:before="40" w:after="120"/>
              <w:ind w:right="113"/>
            </w:pPr>
          </w:p>
        </w:tc>
        <w:tc>
          <w:tcPr>
            <w:tcW w:w="1134" w:type="dxa"/>
            <w:shd w:val="clear" w:color="auto" w:fill="auto"/>
            <w:tcMar>
              <w:top w:w="100" w:type="dxa"/>
              <w:left w:w="100" w:type="dxa"/>
              <w:bottom w:w="100" w:type="dxa"/>
              <w:right w:w="100" w:type="dxa"/>
            </w:tcMar>
          </w:tcPr>
          <w:p w14:paraId="6FFBB99F" w14:textId="77777777" w:rsidR="00127EE0" w:rsidRPr="00B74FF6" w:rsidRDefault="00127EE0" w:rsidP="00B74FF6">
            <w:pPr>
              <w:spacing w:before="40" w:after="120"/>
              <w:ind w:right="113"/>
            </w:pPr>
            <w:r w:rsidRPr="00B74FF6">
              <w:t>2035</w:t>
            </w:r>
          </w:p>
        </w:tc>
        <w:tc>
          <w:tcPr>
            <w:tcW w:w="4678" w:type="dxa"/>
            <w:shd w:val="clear" w:color="auto" w:fill="auto"/>
            <w:tcMar>
              <w:top w:w="100" w:type="dxa"/>
              <w:left w:w="100" w:type="dxa"/>
              <w:bottom w:w="100" w:type="dxa"/>
              <w:right w:w="100" w:type="dxa"/>
            </w:tcMar>
          </w:tcPr>
          <w:p w14:paraId="270CF961" w14:textId="6352273A" w:rsidR="00127EE0" w:rsidRPr="00B74FF6" w:rsidRDefault="00127EE0" w:rsidP="00B74FF6">
            <w:pPr>
              <w:spacing w:before="40" w:after="120"/>
              <w:ind w:right="113"/>
            </w:pPr>
            <w:r w:rsidRPr="00B74FF6">
              <w:t>US</w:t>
            </w:r>
            <w:r w:rsidR="004A0F4B" w:rsidRPr="00B74FF6">
              <w:t>A</w:t>
            </w:r>
            <w:r w:rsidRPr="00B74FF6">
              <w:t xml:space="preserve"> states (California, Massachusetts, New York, Oregon, Vermont, Washington)</w:t>
            </w:r>
          </w:p>
        </w:tc>
      </w:tr>
      <w:tr w:rsidR="00127EE0" w:rsidRPr="00B74FF6" w14:paraId="196F2082" w14:textId="77777777" w:rsidTr="00B74FF6">
        <w:tc>
          <w:tcPr>
            <w:tcW w:w="1842" w:type="dxa"/>
            <w:shd w:val="clear" w:color="auto" w:fill="auto"/>
            <w:tcMar>
              <w:top w:w="100" w:type="dxa"/>
              <w:left w:w="100" w:type="dxa"/>
              <w:bottom w:w="100" w:type="dxa"/>
              <w:right w:w="100" w:type="dxa"/>
            </w:tcMar>
          </w:tcPr>
          <w:p w14:paraId="08C4C86D" w14:textId="77777777" w:rsidR="00127EE0" w:rsidRPr="00B74FF6" w:rsidRDefault="00127EE0" w:rsidP="00B74FF6">
            <w:pPr>
              <w:spacing w:before="40" w:after="120"/>
              <w:ind w:right="113"/>
            </w:pPr>
            <w:r w:rsidRPr="00B74FF6">
              <w:t>ZEV Declaration Governments</w:t>
            </w:r>
          </w:p>
        </w:tc>
        <w:tc>
          <w:tcPr>
            <w:tcW w:w="1134" w:type="dxa"/>
            <w:shd w:val="clear" w:color="auto" w:fill="auto"/>
            <w:tcMar>
              <w:top w:w="100" w:type="dxa"/>
              <w:left w:w="100" w:type="dxa"/>
              <w:bottom w:w="100" w:type="dxa"/>
              <w:right w:w="100" w:type="dxa"/>
            </w:tcMar>
          </w:tcPr>
          <w:p w14:paraId="0049A025" w14:textId="77777777" w:rsidR="00127EE0" w:rsidRPr="00B74FF6" w:rsidRDefault="00127EE0" w:rsidP="00B74FF6">
            <w:pPr>
              <w:spacing w:before="40" w:after="120"/>
              <w:ind w:right="113"/>
            </w:pPr>
            <w:r w:rsidRPr="00B74FF6">
              <w:t>2035-2040</w:t>
            </w:r>
          </w:p>
        </w:tc>
        <w:tc>
          <w:tcPr>
            <w:tcW w:w="4678" w:type="dxa"/>
            <w:shd w:val="clear" w:color="auto" w:fill="auto"/>
            <w:tcMar>
              <w:top w:w="100" w:type="dxa"/>
              <w:left w:w="100" w:type="dxa"/>
              <w:bottom w:w="100" w:type="dxa"/>
              <w:right w:w="100" w:type="dxa"/>
            </w:tcMar>
          </w:tcPr>
          <w:p w14:paraId="239154CE" w14:textId="77777777" w:rsidR="00127EE0" w:rsidRPr="00B74FF6" w:rsidRDefault="00127EE0" w:rsidP="00B74FF6">
            <w:pPr>
              <w:spacing w:before="40" w:after="120"/>
              <w:ind w:right="113"/>
            </w:pPr>
            <w:r w:rsidRPr="00B74FF6">
              <w:t>Azerbaijan, Israel, New Zealand, Uruguay</w:t>
            </w:r>
          </w:p>
        </w:tc>
      </w:tr>
      <w:tr w:rsidR="00127EE0" w:rsidRPr="00A0237C" w14:paraId="06AE4721" w14:textId="77777777" w:rsidTr="00B74FF6">
        <w:tc>
          <w:tcPr>
            <w:tcW w:w="1842" w:type="dxa"/>
            <w:tcBorders>
              <w:bottom w:val="single" w:sz="12" w:space="0" w:color="auto"/>
            </w:tcBorders>
            <w:shd w:val="clear" w:color="auto" w:fill="auto"/>
            <w:tcMar>
              <w:top w:w="100" w:type="dxa"/>
              <w:left w:w="100" w:type="dxa"/>
              <w:bottom w:w="100" w:type="dxa"/>
              <w:right w:w="100" w:type="dxa"/>
            </w:tcMar>
          </w:tcPr>
          <w:p w14:paraId="573EC988" w14:textId="77777777" w:rsidR="00127EE0" w:rsidRPr="00B74FF6" w:rsidRDefault="00127EE0" w:rsidP="00B74FF6">
            <w:pPr>
              <w:spacing w:before="40" w:after="120"/>
              <w:ind w:right="113"/>
            </w:pPr>
            <w:r w:rsidRPr="00B74FF6">
              <w:t>ZEV Declaration Governments in Emerging Markets and Developing Economies</w:t>
            </w:r>
          </w:p>
        </w:tc>
        <w:tc>
          <w:tcPr>
            <w:tcW w:w="1134" w:type="dxa"/>
            <w:tcBorders>
              <w:bottom w:val="single" w:sz="12" w:space="0" w:color="auto"/>
            </w:tcBorders>
            <w:shd w:val="clear" w:color="auto" w:fill="auto"/>
            <w:tcMar>
              <w:top w:w="100" w:type="dxa"/>
              <w:left w:w="100" w:type="dxa"/>
              <w:bottom w:w="100" w:type="dxa"/>
              <w:right w:w="100" w:type="dxa"/>
            </w:tcMar>
          </w:tcPr>
          <w:p w14:paraId="1EC649FD" w14:textId="77777777" w:rsidR="00127EE0" w:rsidRPr="00B74FF6" w:rsidRDefault="00127EE0" w:rsidP="00B74FF6">
            <w:pPr>
              <w:spacing w:before="40" w:after="120"/>
              <w:ind w:right="113"/>
            </w:pPr>
            <w:r w:rsidRPr="00B74FF6">
              <w:t>2040</w:t>
            </w:r>
          </w:p>
        </w:tc>
        <w:tc>
          <w:tcPr>
            <w:tcW w:w="4678" w:type="dxa"/>
            <w:tcBorders>
              <w:bottom w:val="single" w:sz="12" w:space="0" w:color="auto"/>
            </w:tcBorders>
            <w:shd w:val="clear" w:color="auto" w:fill="auto"/>
            <w:tcMar>
              <w:top w:w="100" w:type="dxa"/>
              <w:left w:w="100" w:type="dxa"/>
              <w:bottom w:w="100" w:type="dxa"/>
              <w:right w:w="100" w:type="dxa"/>
            </w:tcMar>
          </w:tcPr>
          <w:p w14:paraId="381131BF" w14:textId="4CF70618" w:rsidR="00127EE0" w:rsidRPr="00B74FF6" w:rsidRDefault="00127EE0" w:rsidP="00B74FF6">
            <w:pPr>
              <w:spacing w:before="40" w:after="120"/>
              <w:ind w:right="113"/>
              <w:rPr>
                <w:lang w:val="es-ES"/>
              </w:rPr>
            </w:pPr>
            <w:r w:rsidRPr="00B74FF6">
              <w:rPr>
                <w:lang w:val="es-ES"/>
              </w:rPr>
              <w:t xml:space="preserve">Ghana, India, </w:t>
            </w:r>
            <w:proofErr w:type="spellStart"/>
            <w:r w:rsidRPr="00B74FF6">
              <w:rPr>
                <w:lang w:val="es-ES"/>
              </w:rPr>
              <w:t>Kenya</w:t>
            </w:r>
            <w:proofErr w:type="spellEnd"/>
            <w:r w:rsidRPr="00B74FF6">
              <w:rPr>
                <w:lang w:val="es-ES"/>
              </w:rPr>
              <w:t xml:space="preserve">, </w:t>
            </w:r>
            <w:proofErr w:type="spellStart"/>
            <w:r w:rsidRPr="00B74FF6">
              <w:rPr>
                <w:lang w:val="es-ES"/>
              </w:rPr>
              <w:t>Mexico</w:t>
            </w:r>
            <w:proofErr w:type="spellEnd"/>
            <w:r w:rsidRPr="00B74FF6">
              <w:rPr>
                <w:lang w:val="es-ES"/>
              </w:rPr>
              <w:t xml:space="preserve">, </w:t>
            </w:r>
            <w:proofErr w:type="spellStart"/>
            <w:r w:rsidRPr="00B74FF6">
              <w:rPr>
                <w:lang w:val="es-ES"/>
              </w:rPr>
              <w:t>Morocco</w:t>
            </w:r>
            <w:proofErr w:type="spellEnd"/>
            <w:r w:rsidRPr="00B74FF6">
              <w:rPr>
                <w:lang w:val="es-ES"/>
              </w:rPr>
              <w:t xml:space="preserve">, Paraguay, </w:t>
            </w:r>
            <w:proofErr w:type="spellStart"/>
            <w:r w:rsidRPr="00B74FF6">
              <w:rPr>
                <w:lang w:val="es-ES"/>
              </w:rPr>
              <w:t>T</w:t>
            </w:r>
            <w:r w:rsidR="00780193" w:rsidRPr="00B74FF6">
              <w:rPr>
                <w:lang w:val="es-ES"/>
              </w:rPr>
              <w:t>ü</w:t>
            </w:r>
            <w:r w:rsidRPr="00B74FF6">
              <w:rPr>
                <w:lang w:val="es-ES"/>
              </w:rPr>
              <w:t>rk</w:t>
            </w:r>
            <w:r w:rsidR="004A0F4B" w:rsidRPr="00B74FF6">
              <w:rPr>
                <w:lang w:val="es-ES"/>
              </w:rPr>
              <w:t>i</w:t>
            </w:r>
            <w:r w:rsidRPr="00B74FF6">
              <w:rPr>
                <w:lang w:val="es-ES"/>
              </w:rPr>
              <w:t>y</w:t>
            </w:r>
            <w:r w:rsidR="004A0F4B" w:rsidRPr="00B74FF6">
              <w:rPr>
                <w:lang w:val="es-ES"/>
              </w:rPr>
              <w:t>e</w:t>
            </w:r>
            <w:proofErr w:type="spellEnd"/>
            <w:r w:rsidRPr="00B74FF6">
              <w:rPr>
                <w:lang w:val="es-ES"/>
              </w:rPr>
              <w:t xml:space="preserve">, </w:t>
            </w:r>
            <w:proofErr w:type="spellStart"/>
            <w:r w:rsidRPr="00B74FF6">
              <w:rPr>
                <w:lang w:val="es-ES"/>
              </w:rPr>
              <w:t>Ukraine</w:t>
            </w:r>
            <w:proofErr w:type="spellEnd"/>
          </w:p>
        </w:tc>
      </w:tr>
    </w:tbl>
    <w:p w14:paraId="7AFAADBB" w14:textId="4B4EFED6" w:rsidR="00CE1BB0" w:rsidRDefault="00CE1BB0">
      <w:pPr>
        <w:suppressAutoHyphens w:val="0"/>
        <w:spacing w:line="240" w:lineRule="auto"/>
        <w:rPr>
          <w:highlight w:val="yellow"/>
          <w:lang w:val="es-ES"/>
        </w:rPr>
      </w:pPr>
    </w:p>
    <w:tbl>
      <w:tblPr>
        <w:tblW w:w="7654"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tblGrid>
      <w:tr w:rsidR="00127EE0" w14:paraId="416AA47A" w14:textId="77777777" w:rsidTr="000E7A8E">
        <w:tc>
          <w:tcPr>
            <w:tcW w:w="7654" w:type="dxa"/>
            <w:shd w:val="clear" w:color="auto" w:fill="auto"/>
            <w:tcMar>
              <w:top w:w="100" w:type="dxa"/>
              <w:left w:w="100" w:type="dxa"/>
              <w:bottom w:w="100" w:type="dxa"/>
              <w:right w:w="100" w:type="dxa"/>
            </w:tcMar>
          </w:tcPr>
          <w:p w14:paraId="5FD3AD2A" w14:textId="10C6A560" w:rsidR="00127EE0" w:rsidRDefault="00127EE0" w:rsidP="00703E9D">
            <w:pPr>
              <w:rPr>
                <w:b/>
              </w:rPr>
            </w:pPr>
            <w:r>
              <w:rPr>
                <w:b/>
              </w:rPr>
              <w:t xml:space="preserve">Box 6. The EU’s Fit for 55 </w:t>
            </w:r>
            <w:r w:rsidR="00A0272F">
              <w:rPr>
                <w:b/>
              </w:rPr>
              <w:t>P</w:t>
            </w:r>
            <w:r>
              <w:rPr>
                <w:b/>
              </w:rPr>
              <w:t>ackage</w:t>
            </w:r>
          </w:p>
          <w:p w14:paraId="56A7127A" w14:textId="0ABC0247" w:rsidR="00127EE0" w:rsidRDefault="00127EE0" w:rsidP="00703E9D">
            <w:r>
              <w:t>The EU’s Fit for 55 package, introduced in 2021, targets reducing the region’s greenhouse gas emissions 55</w:t>
            </w:r>
            <w:r w:rsidR="009E7A4F">
              <w:t xml:space="preserve"> per cent</w:t>
            </w:r>
            <w:r>
              <w:t xml:space="preserve"> by 2030 and reaching climate neutrality by 2050; for the transport sector, this would mean that tailpipe CO₂ emissions from new cars would need to reach zero by 2035. In early 2023 the EU almost unanimously approved a ban on sales of internal combustion engine vehicles (with an exception for CO</w:t>
            </w:r>
            <w:r>
              <w:rPr>
                <w:vertAlign w:val="subscript"/>
              </w:rPr>
              <w:t>2</w:t>
            </w:r>
            <w:r>
              <w:t xml:space="preserve"> neutral fuels or carbon neutral fuels) as of 2035.</w:t>
            </w:r>
            <w:r>
              <w:rPr>
                <w:vertAlign w:val="superscript"/>
              </w:rPr>
              <w:footnoteReference w:id="37"/>
            </w:r>
          </w:p>
          <w:p w14:paraId="19A3F13E" w14:textId="280417D4" w:rsidR="00127EE0" w:rsidRDefault="00127EE0" w:rsidP="00B74FF6">
            <w:r>
              <w:t>By 2022, at least 9 European countries had adopted either a target for 100</w:t>
            </w:r>
            <w:r w:rsidR="009E7A4F">
              <w:t xml:space="preserve"> per cent</w:t>
            </w:r>
            <w:r>
              <w:t xml:space="preserve"> electric vehicles or a ban on internal combustion engine vehicles (typically targeting sales), while 11 countries had announced or made plans for such a target</w:t>
            </w:r>
            <w:r>
              <w:rPr>
                <w:sz w:val="24"/>
                <w:szCs w:val="24"/>
              </w:rPr>
              <w:t>.</w:t>
            </w:r>
            <w:r>
              <w:rPr>
                <w:sz w:val="24"/>
                <w:szCs w:val="24"/>
                <w:vertAlign w:val="superscript"/>
              </w:rPr>
              <w:footnoteReference w:id="38"/>
            </w:r>
          </w:p>
        </w:tc>
      </w:tr>
    </w:tbl>
    <w:p w14:paraId="13DAD329" w14:textId="2A125053" w:rsidR="00127EE0" w:rsidRDefault="007B77F2" w:rsidP="00B74FF6">
      <w:pPr>
        <w:pStyle w:val="SingleTxtG"/>
        <w:spacing w:before="240"/>
      </w:pPr>
      <w:r>
        <w:t>3</w:t>
      </w:r>
      <w:r w:rsidR="00112895">
        <w:t>0</w:t>
      </w:r>
      <w:r>
        <w:t>.</w:t>
      </w:r>
      <w:r>
        <w:tab/>
      </w:r>
      <w:r w:rsidR="00127EE0">
        <w:t xml:space="preserve">Emissions by light-duty vehicles need to be </w:t>
      </w:r>
      <w:r w:rsidR="0069631B">
        <w:t>closely looked at</w:t>
      </w:r>
      <w:r w:rsidR="00127EE0">
        <w:t xml:space="preserve"> as they are responsible for a major share in emissions by transport. Between 2019 and 2022, there was an annual improvement of 3.2</w:t>
      </w:r>
      <w:r w:rsidR="009E7A4F">
        <w:t xml:space="preserve"> per cent</w:t>
      </w:r>
      <w:r w:rsidR="00127EE0">
        <w:t xml:space="preserve"> in the sales-weighted specific energy consumption of light-duty vehicles in all major car markets. This results in an improvement rate twice as high as observed between 2005 and 2019 (1.6</w:t>
      </w:r>
      <w:r w:rsidR="009E7A4F">
        <w:t xml:space="preserve"> per cent</w:t>
      </w:r>
      <w:r w:rsidR="00127EE0">
        <w:t xml:space="preserve">). In 2022, the energy consumption was estimated at 6.9 </w:t>
      </w:r>
      <w:proofErr w:type="spellStart"/>
      <w:r w:rsidR="00127EE0">
        <w:t>Lge</w:t>
      </w:r>
      <w:proofErr w:type="spellEnd"/>
      <w:r w:rsidR="00127EE0">
        <w:t>/100 km, which is nearly 30</w:t>
      </w:r>
      <w:r w:rsidR="009E7A4F">
        <w:t xml:space="preserve"> per cent</w:t>
      </w:r>
      <w:r w:rsidR="00127EE0">
        <w:t xml:space="preserve"> lower than the value in 2005. Direct CO</w:t>
      </w:r>
      <w:r w:rsidR="00127EE0">
        <w:rPr>
          <w:vertAlign w:val="subscript"/>
        </w:rPr>
        <w:t>2</w:t>
      </w:r>
      <w:r w:rsidR="00127EE0">
        <w:t xml:space="preserve"> emissions by light-duty vehicles have declined even faster, at a rate of 2.1</w:t>
      </w:r>
      <w:r w:rsidR="009E7A4F">
        <w:t xml:space="preserve"> per cent</w:t>
      </w:r>
      <w:r w:rsidR="00127EE0">
        <w:t xml:space="preserve"> per year between 2005 and 2022. Overall, the current average annual rate of energy intensity reductions (4.2</w:t>
      </w:r>
      <w:r w:rsidR="009E7A4F">
        <w:t xml:space="preserve"> per cent</w:t>
      </w:r>
      <w:r w:rsidR="00127EE0">
        <w:t xml:space="preserve"> between 2020 and 2022) needs to be sustained until 2030 to comply with targets set by the Global Fuel Economy Initiative.</w:t>
      </w:r>
      <w:r w:rsidR="00127EE0">
        <w:rPr>
          <w:vertAlign w:val="superscript"/>
        </w:rPr>
        <w:footnoteReference w:id="39"/>
      </w:r>
    </w:p>
    <w:p w14:paraId="11A67145" w14:textId="3B1C0AB0" w:rsidR="00C04331" w:rsidRDefault="00127EE0" w:rsidP="00C04331">
      <w:pPr>
        <w:pStyle w:val="Heading1"/>
      </w:pPr>
      <w:r w:rsidRPr="007B77F2">
        <w:t xml:space="preserve">Figure </w:t>
      </w:r>
      <w:r w:rsidR="00072EF2">
        <w:t>II</w:t>
      </w:r>
    </w:p>
    <w:p w14:paraId="4CE38032" w14:textId="7001D71D" w:rsidR="00127EE0" w:rsidRPr="00C04331" w:rsidRDefault="00127EE0" w:rsidP="00C04331">
      <w:pPr>
        <w:pStyle w:val="SingleTxtG"/>
        <w:rPr>
          <w:b/>
          <w:bCs/>
        </w:rPr>
      </w:pPr>
      <w:r w:rsidRPr="00C04331">
        <w:rPr>
          <w:b/>
          <w:bCs/>
        </w:rPr>
        <w:t>Energy consumption trends for light-duty vehicles</w:t>
      </w:r>
    </w:p>
    <w:p w14:paraId="4EB9CFC3" w14:textId="77777777" w:rsidR="00127EE0" w:rsidRDefault="00127EE0" w:rsidP="00127EE0">
      <w:r>
        <w:rPr>
          <w:noProof/>
        </w:rPr>
        <w:drawing>
          <wp:inline distT="114300" distB="114300" distL="114300" distR="114300" wp14:anchorId="788F49AA" wp14:editId="2C0A039B">
            <wp:extent cx="5731200" cy="31877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731200" cy="3187700"/>
                    </a:xfrm>
                    <a:prstGeom prst="rect">
                      <a:avLst/>
                    </a:prstGeom>
                    <a:ln/>
                  </pic:spPr>
                </pic:pic>
              </a:graphicData>
            </a:graphic>
          </wp:inline>
        </w:drawing>
      </w:r>
    </w:p>
    <w:p w14:paraId="5AE16600" w14:textId="6F3EBD23" w:rsidR="00CD566C" w:rsidRDefault="00D21FEF" w:rsidP="00BE78F3">
      <w:pPr>
        <w:pStyle w:val="SingleTxtG"/>
      </w:pPr>
      <w:r>
        <w:lastRenderedPageBreak/>
        <w:t>3</w:t>
      </w:r>
      <w:r w:rsidR="00112895">
        <w:t>1</w:t>
      </w:r>
      <w:r w:rsidR="007B77F2">
        <w:t>.</w:t>
      </w:r>
      <w:r w:rsidR="007B77F2">
        <w:tab/>
      </w:r>
      <w:r w:rsidR="00127EE0">
        <w:t>Fuel economy and greenhouse gas emission standards for heavy-duty vehicles are an important instrument to decarbonise the freight sector, particularly given the challenges in finding alternative fuels and propulsion systems for long-distance road freight.</w:t>
      </w:r>
      <w:r w:rsidR="00127EE0">
        <w:rPr>
          <w:vertAlign w:val="superscript"/>
        </w:rPr>
        <w:footnoteReference w:id="40"/>
      </w:r>
      <w:r w:rsidR="00127EE0">
        <w:t xml:space="preserve"> </w:t>
      </w:r>
    </w:p>
    <w:p w14:paraId="748B124D" w14:textId="64304229" w:rsidR="00CD566C" w:rsidRDefault="00112895" w:rsidP="00BE78F3">
      <w:pPr>
        <w:pStyle w:val="SingleTxtG"/>
      </w:pPr>
      <w:r>
        <w:t>32</w:t>
      </w:r>
      <w:r w:rsidR="007B77F2">
        <w:t>.</w:t>
      </w:r>
      <w:r w:rsidR="007B77F2">
        <w:tab/>
      </w:r>
      <w:r w:rsidR="00127EE0">
        <w:t xml:space="preserve">However, policies to decarbonise heavy-duty vehicles generally lag behind policies for light-duty vehicles. As of 2022, just five countries – Canada, China, India, Japan and the United States </w:t>
      </w:r>
      <w:r w:rsidR="009004BD">
        <w:t xml:space="preserve">of America </w:t>
      </w:r>
      <w:r w:rsidR="00127EE0">
        <w:t>– had fuel economy standards that apply to heavy-duty vehicles. Despite the low number of countries with these standards, more than 70</w:t>
      </w:r>
      <w:r w:rsidR="009E7A4F">
        <w:t xml:space="preserve"> per cent</w:t>
      </w:r>
      <w:r w:rsidR="00127EE0">
        <w:t xml:space="preserve"> of trucks sold in 2022 were covered by fuel economy or vehicle efficiency regulations.</w:t>
      </w:r>
      <w:r w:rsidR="00127EE0">
        <w:rPr>
          <w:vertAlign w:val="superscript"/>
        </w:rPr>
        <w:footnoteReference w:id="41"/>
      </w:r>
      <w:r w:rsidR="00127EE0">
        <w:t xml:space="preserve"> </w:t>
      </w:r>
    </w:p>
    <w:p w14:paraId="107C489D" w14:textId="128EEAAB" w:rsidR="00127EE0" w:rsidRPr="00BE78F3" w:rsidRDefault="00112895" w:rsidP="00BE78F3">
      <w:pPr>
        <w:pStyle w:val="SingleTxtG"/>
        <w:rPr>
          <w:highlight w:val="yellow"/>
        </w:rPr>
      </w:pPr>
      <w:r>
        <w:t>33</w:t>
      </w:r>
      <w:r w:rsidR="007B77F2">
        <w:t>.</w:t>
      </w:r>
      <w:r w:rsidR="007B77F2">
        <w:tab/>
      </w:r>
      <w:r w:rsidR="00127EE0">
        <w:t>In 2023, the EU proposed enhanced standards for 2030 that would raise the efficiency improvement target to 45</w:t>
      </w:r>
      <w:r w:rsidR="009E7A4F">
        <w:t xml:space="preserve"> per cent</w:t>
      </w:r>
      <w:r w:rsidR="00127EE0">
        <w:t xml:space="preserve"> up from the current 30</w:t>
      </w:r>
      <w:r w:rsidR="009E7A4F">
        <w:t xml:space="preserve"> per cent</w:t>
      </w:r>
      <w:r w:rsidR="00127EE0">
        <w:t xml:space="preserve"> and reduce emissions 90</w:t>
      </w:r>
      <w:r w:rsidR="00467B6B">
        <w:t xml:space="preserve">  </w:t>
      </w:r>
      <w:r w:rsidR="009E7A4F">
        <w:t>per cent</w:t>
      </w:r>
      <w:r w:rsidR="00127EE0">
        <w:t xml:space="preserve"> by 2040.</w:t>
      </w:r>
      <w:r w:rsidR="00127EE0">
        <w:rPr>
          <w:vertAlign w:val="superscript"/>
        </w:rPr>
        <w:footnoteReference w:id="42"/>
      </w:r>
      <w:r w:rsidR="00127EE0">
        <w:t xml:space="preserve"> Chile’s Energy Efficiency Law introduces the first standards for medium- and heavy-duty vehicles, which for medium-duty vehicles would be defined in 2024 and take effect in 2026 (and for heavy-duty vehicles in 2026 and 2028, respectively)</w:t>
      </w:r>
      <w:r w:rsidR="00127EE0">
        <w:rPr>
          <w:vertAlign w:val="superscript"/>
        </w:rPr>
        <w:footnoteReference w:id="43"/>
      </w:r>
      <w:r w:rsidR="00127EE0">
        <w:t xml:space="preserve"> California (USA) enacted in 2020 the Advanced Clean Trucks regulation, the first regulation worldwide requiring manufacturers to increase the sales share of zero-emission trucks. By 2035, the rule requires a zero-emission share of 40</w:t>
      </w:r>
      <w:r w:rsidR="009E7A4F">
        <w:t xml:space="preserve"> per cent</w:t>
      </w:r>
      <w:r w:rsidR="00127EE0">
        <w:t xml:space="preserve"> for tractor trucks (class 7-8), 75</w:t>
      </w:r>
      <w:r w:rsidR="009E7A4F">
        <w:t xml:space="preserve"> per cent</w:t>
      </w:r>
      <w:r w:rsidR="00127EE0">
        <w:t xml:space="preserve"> for rigid trucks (class 4-8) and 55</w:t>
      </w:r>
      <w:r w:rsidR="009E7A4F">
        <w:t xml:space="preserve"> per cent</w:t>
      </w:r>
      <w:r w:rsidR="00127EE0">
        <w:t xml:space="preserve"> for pick-up trucks and vans (class 2b-3).</w:t>
      </w:r>
      <w:r w:rsidR="00127EE0">
        <w:rPr>
          <w:vertAlign w:val="superscript"/>
        </w:rPr>
        <w:footnoteReference w:id="44"/>
      </w:r>
    </w:p>
    <w:p w14:paraId="0EE53F9D" w14:textId="2C1CF1E0" w:rsidR="00127EE0" w:rsidRPr="004D592F" w:rsidRDefault="00B74FF6" w:rsidP="00B74FF6">
      <w:pPr>
        <w:pStyle w:val="HChG"/>
      </w:pPr>
      <w:bookmarkStart w:id="8" w:name="_z337ya" w:colFirst="0" w:colLast="0"/>
      <w:bookmarkEnd w:id="8"/>
      <w:r>
        <w:tab/>
      </w:r>
      <w:r w:rsidR="004D592F" w:rsidRPr="004D592F">
        <w:t>II</w:t>
      </w:r>
      <w:r w:rsidR="004D592F">
        <w:t>.</w:t>
      </w:r>
      <w:r w:rsidR="000D3A4E">
        <w:tab/>
      </w:r>
      <w:bookmarkStart w:id="9" w:name="_3j2qqm3" w:colFirst="0" w:colLast="0"/>
      <w:bookmarkEnd w:id="9"/>
      <w:r w:rsidR="00127EE0">
        <w:t xml:space="preserve">National </w:t>
      </w:r>
      <w:r w:rsidR="00BE78F3">
        <w:t>A</w:t>
      </w:r>
      <w:r w:rsidR="00127EE0">
        <w:t xml:space="preserve">ctions by Member States in </w:t>
      </w:r>
      <w:r w:rsidR="00BE78F3">
        <w:t>D</w:t>
      </w:r>
      <w:r w:rsidR="00127EE0">
        <w:t xml:space="preserve">ifferent </w:t>
      </w:r>
      <w:r w:rsidR="00BE78F3">
        <w:t>R</w:t>
      </w:r>
      <w:r w:rsidR="00127EE0">
        <w:t>egions</w:t>
      </w:r>
    </w:p>
    <w:p w14:paraId="73110F03" w14:textId="65996973" w:rsidR="003400D4" w:rsidRPr="00BE78F3" w:rsidRDefault="00112895" w:rsidP="00BE78F3">
      <w:pPr>
        <w:pStyle w:val="SingleTxtG"/>
        <w:rPr>
          <w:vertAlign w:val="superscript"/>
        </w:rPr>
      </w:pPr>
      <w:r>
        <w:t>34</w:t>
      </w:r>
      <w:r w:rsidR="003400D4">
        <w:t>.</w:t>
      </w:r>
      <w:r w:rsidR="003400D4">
        <w:tab/>
      </w:r>
      <w:r w:rsidR="00127EE0">
        <w:t>Climate action in the transport sector is still deeply insufficient, and the current policies announced or implemented are expected to contribute to average global temperature rise of 2.8°C by 2100.</w:t>
      </w:r>
      <w:r w:rsidR="00127EE0">
        <w:rPr>
          <w:vertAlign w:val="superscript"/>
        </w:rPr>
        <w:footnoteReference w:id="45"/>
      </w:r>
      <w:r w:rsidR="00127EE0">
        <w:t xml:space="preserve"> For example, even if the current NDC targets for mitigating transport emissions are met, emissions in the sector will still grow. This may be attributed to the bias towards ‘Improve’ measures instead of ‘Avoid’ and ‘Shift’ in both generations of NDCs.</w:t>
      </w:r>
      <w:r w:rsidR="00127EE0">
        <w:rPr>
          <w:vertAlign w:val="superscript"/>
        </w:rPr>
        <w:footnoteReference w:id="46"/>
      </w:r>
    </w:p>
    <w:p w14:paraId="0F7AB90F" w14:textId="53CB3E29" w:rsidR="00127EE0" w:rsidRDefault="00112895" w:rsidP="00BE78F3">
      <w:pPr>
        <w:pStyle w:val="SingleTxtG"/>
      </w:pPr>
      <w:r>
        <w:t>35</w:t>
      </w:r>
      <w:r w:rsidR="003400D4">
        <w:t>.</w:t>
      </w:r>
      <w:r w:rsidR="003400D4">
        <w:tab/>
      </w:r>
      <w:r w:rsidR="00127EE0">
        <w:t>The global passenger car fleet is projected to reach between 1.4 billion and 1.55 billion vehicles by 2050, up from nearly 1.2 billion vehicles in 2020.</w:t>
      </w:r>
      <w:r w:rsidR="00127EE0">
        <w:rPr>
          <w:vertAlign w:val="superscript"/>
        </w:rPr>
        <w:footnoteReference w:id="47"/>
      </w:r>
      <w:r w:rsidR="00127EE0">
        <w:t xml:space="preserve"> The ever-increasing passenger vehicle sizes have had a huge direct impact on increasing transport emissions.</w:t>
      </w:r>
      <w:r w:rsidR="00127EE0">
        <w:rPr>
          <w:b/>
        </w:rPr>
        <w:t xml:space="preserve"> </w:t>
      </w:r>
      <w:r w:rsidR="00127EE0">
        <w:t>Sport utility vehicles (SUVs) and large passenger trucks consume around 20</w:t>
      </w:r>
      <w:r w:rsidR="009E7A4F">
        <w:t xml:space="preserve"> per cent</w:t>
      </w:r>
      <w:r w:rsidR="00127EE0">
        <w:t xml:space="preserve"> more fuel than a medium-sized car and negate as much as 40</w:t>
      </w:r>
      <w:r w:rsidR="009E7A4F">
        <w:t xml:space="preserve"> per cent</w:t>
      </w:r>
      <w:r w:rsidR="00127EE0">
        <w:t xml:space="preserve"> of the recent improvements in vehicle efficiency; SUVs were the only sector – even beyond transport – where emissions </w:t>
      </w:r>
      <w:r w:rsidR="00127EE0">
        <w:lastRenderedPageBreak/>
        <w:t>increased during the height of the pandemic.</w:t>
      </w:r>
      <w:r w:rsidR="00127EE0">
        <w:rPr>
          <w:vertAlign w:val="superscript"/>
        </w:rPr>
        <w:footnoteReference w:id="48"/>
      </w:r>
      <w:r w:rsidR="00127EE0">
        <w:rPr>
          <w:vertAlign w:val="superscript"/>
        </w:rPr>
        <w:t xml:space="preserve"> </w:t>
      </w:r>
      <w:r w:rsidR="00127EE0">
        <w:t>While the overall size of vehicles grew 7</w:t>
      </w:r>
      <w:r w:rsidR="009E7A4F">
        <w:t xml:space="preserve"> per cent</w:t>
      </w:r>
      <w:r w:rsidR="00127EE0">
        <w:t xml:space="preserve"> on average between 2010 and 2019, since the onset of the pandemic some vehicle models have increased massively in size, growing nearly 30</w:t>
      </w:r>
      <w:r w:rsidR="009E7A4F">
        <w:t xml:space="preserve"> per cent</w:t>
      </w:r>
      <w:r w:rsidR="00127EE0">
        <w:t xml:space="preserve"> just between 2020 and 2021.</w:t>
      </w:r>
      <w:r w:rsidR="00127EE0">
        <w:rPr>
          <w:vertAlign w:val="superscript"/>
        </w:rPr>
        <w:footnoteReference w:id="49"/>
      </w:r>
      <w:r w:rsidR="00127EE0">
        <w:t xml:space="preserve"> </w:t>
      </w:r>
    </w:p>
    <w:p w14:paraId="70B9BDEC" w14:textId="39D2205A" w:rsidR="00127EE0" w:rsidRDefault="00112895" w:rsidP="00BE78F3">
      <w:pPr>
        <w:pStyle w:val="SingleTxtG"/>
      </w:pPr>
      <w:r>
        <w:t>36</w:t>
      </w:r>
      <w:r w:rsidR="003400D4">
        <w:t>.</w:t>
      </w:r>
      <w:r w:rsidR="003400D4">
        <w:tab/>
      </w:r>
      <w:r w:rsidR="00127EE0">
        <w:t>The World Bank estimates that countries’ expenditures on subsidising fossil fuel consumption are six times greater than the amount pledged in commitments under the Paris Agreement.</w:t>
      </w:r>
      <w:r w:rsidR="00127EE0">
        <w:rPr>
          <w:vertAlign w:val="superscript"/>
        </w:rPr>
        <w:footnoteReference w:id="50"/>
      </w:r>
      <w:r w:rsidR="00127EE0">
        <w:t xml:space="preserve"> With this background, fossil fuel dependence in road transport needs to decline drastically, from 95</w:t>
      </w:r>
      <w:r w:rsidR="009E7A4F">
        <w:t xml:space="preserve"> per cent</w:t>
      </w:r>
      <w:r w:rsidR="00127EE0">
        <w:t xml:space="preserve"> in 2020 to 10</w:t>
      </w:r>
      <w:r w:rsidR="009E7A4F">
        <w:t xml:space="preserve"> per cent</w:t>
      </w:r>
      <w:r w:rsidR="00127EE0">
        <w:t xml:space="preserve"> by 2050, with electricity becoming the dominant fuel in transport by the early 2040s. In the IEA Net Zero Scenario, advanced biofuels will play a role in the transition to a zero-emission vehicle fleet in the short to medium term.</w:t>
      </w:r>
      <w:r w:rsidR="00127EE0">
        <w:rPr>
          <w:vertAlign w:val="superscript"/>
        </w:rPr>
        <w:footnoteReference w:id="51"/>
      </w:r>
      <w:r w:rsidR="00127EE0">
        <w:t xml:space="preserve"> </w:t>
      </w:r>
    </w:p>
    <w:p w14:paraId="4CC70FC4" w14:textId="547073B5" w:rsidR="00127EE0" w:rsidRDefault="00112895" w:rsidP="00BE78F3">
      <w:pPr>
        <w:pStyle w:val="SingleTxtG"/>
        <w:rPr>
          <w:vertAlign w:val="superscript"/>
        </w:rPr>
      </w:pPr>
      <w:r>
        <w:t>37</w:t>
      </w:r>
      <w:r w:rsidR="003400D4">
        <w:t>.</w:t>
      </w:r>
      <w:r w:rsidR="003400D4">
        <w:tab/>
      </w:r>
      <w:r w:rsidR="00127EE0">
        <w:t>In this regard, global electric vehicle sales (including plug-in hybrids) increased 55</w:t>
      </w:r>
      <w:r w:rsidR="009E7A4F">
        <w:t xml:space="preserve"> per cent</w:t>
      </w:r>
      <w:r w:rsidR="00127EE0">
        <w:t xml:space="preserve"> in 2022 to exceed 10 million units, accounting for 14</w:t>
      </w:r>
      <w:r w:rsidR="009E7A4F">
        <w:t xml:space="preserve"> per cent</w:t>
      </w:r>
      <w:r w:rsidR="00127EE0">
        <w:t xml:space="preserve"> of total vehicle sales.</w:t>
      </w:r>
      <w:r w:rsidR="00127EE0">
        <w:rPr>
          <w:vertAlign w:val="superscript"/>
        </w:rPr>
        <w:footnoteReference w:id="52"/>
      </w:r>
      <w:r w:rsidR="00127EE0">
        <w:rPr>
          <w:vertAlign w:val="superscript"/>
        </w:rPr>
        <w:t xml:space="preserve"> </w:t>
      </w:r>
      <w:r w:rsidR="00127EE0">
        <w:t>Electrification continues to focus on passenger cars: The share of electric cars in all car sales globally increased from 9</w:t>
      </w:r>
      <w:r w:rsidR="009E7A4F">
        <w:t xml:space="preserve"> per cent</w:t>
      </w:r>
      <w:r w:rsidR="00127EE0">
        <w:t xml:space="preserve"> in 2021 to 14</w:t>
      </w:r>
      <w:r w:rsidR="009E7A4F">
        <w:t xml:space="preserve"> per cent</w:t>
      </w:r>
      <w:r w:rsidR="00127EE0">
        <w:t xml:space="preserve"> in 2022.</w:t>
      </w:r>
      <w:r w:rsidR="00467B6B">
        <w:t xml:space="preserve">  </w:t>
      </w:r>
      <w:r w:rsidR="00127EE0">
        <w:t>Around 60</w:t>
      </w:r>
      <w:r w:rsidR="009E7A4F">
        <w:t xml:space="preserve"> per cent</w:t>
      </w:r>
      <w:r w:rsidR="00127EE0">
        <w:t xml:space="preserve"> (6.2 million) of the electric cars sold in 2022 were in Asia, followed by 26</w:t>
      </w:r>
      <w:r w:rsidR="009E7A4F">
        <w:t xml:space="preserve"> per cent</w:t>
      </w:r>
      <w:r w:rsidR="00127EE0">
        <w:t xml:space="preserve"> in Europe and 11</w:t>
      </w:r>
      <w:r w:rsidR="009E7A4F">
        <w:t xml:space="preserve"> per cent</w:t>
      </w:r>
      <w:r w:rsidR="00127EE0">
        <w:t xml:space="preserve"> in North America. However, electric cars still accounted for only around 1</w:t>
      </w:r>
      <w:r w:rsidR="009E7A4F">
        <w:t xml:space="preserve"> per cent</w:t>
      </w:r>
      <w:r w:rsidR="00127EE0">
        <w:t xml:space="preserve"> of vehicles globally.</w:t>
      </w:r>
      <w:r w:rsidR="00127EE0">
        <w:rPr>
          <w:vertAlign w:val="superscript"/>
        </w:rPr>
        <w:footnoteReference w:id="53"/>
      </w:r>
    </w:p>
    <w:p w14:paraId="3F06302E" w14:textId="5712C161" w:rsidR="003400D4" w:rsidRDefault="00112895" w:rsidP="00BE78F3">
      <w:pPr>
        <w:pStyle w:val="SingleTxtG"/>
      </w:pPr>
      <w:r>
        <w:t>38</w:t>
      </w:r>
      <w:r w:rsidR="003400D4">
        <w:t>.</w:t>
      </w:r>
      <w:r w:rsidR="003400D4">
        <w:tab/>
      </w:r>
      <w:r w:rsidR="00127EE0">
        <w:t xml:space="preserve">The slow progress in reducing emissions in “hard-to-abate” sub-sectors, to which long-distance road freight belongs, has made it difficult to translate efficiency gains of the past years into absolute </w:t>
      </w:r>
      <w:r w:rsidR="00127EE0" w:rsidRPr="00BE78F3">
        <w:t>emission</w:t>
      </w:r>
      <w:r w:rsidR="00127EE0">
        <w:t xml:space="preserve"> reductions.</w:t>
      </w:r>
    </w:p>
    <w:p w14:paraId="2DE14A87" w14:textId="21DCAC32" w:rsidR="00127EE0" w:rsidRDefault="00112895" w:rsidP="00BE78F3">
      <w:pPr>
        <w:pStyle w:val="SingleTxtG"/>
      </w:pPr>
      <w:r>
        <w:t>39</w:t>
      </w:r>
      <w:r w:rsidR="003400D4">
        <w:t>.</w:t>
      </w:r>
      <w:r w:rsidR="003400D4">
        <w:tab/>
      </w:r>
      <w:r w:rsidR="00127EE0">
        <w:t>Public transport suffered a large blow early in the pandemic and still has not fully recovered, as transport operators struggle to maintain operations. During the first year of the pandemic, urban dwellers in some areas moved away from city centres, particularly in high-income countries, contributing to urban sprawl.</w:t>
      </w:r>
      <w:r w:rsidR="00127EE0">
        <w:rPr>
          <w:vertAlign w:val="superscript"/>
        </w:rPr>
        <w:footnoteReference w:id="54"/>
      </w:r>
      <w:r w:rsidR="00127EE0">
        <w:t xml:space="preserve"> </w:t>
      </w:r>
    </w:p>
    <w:p w14:paraId="36F4DAEF" w14:textId="491C916E" w:rsidR="00127EE0" w:rsidRDefault="00BE78F3" w:rsidP="00BE78F3">
      <w:pPr>
        <w:pStyle w:val="SingleTxtG"/>
      </w:pPr>
      <w:r>
        <w:t>4</w:t>
      </w:r>
      <w:r w:rsidR="00112895">
        <w:t>0</w:t>
      </w:r>
      <w:r w:rsidR="003400D4">
        <w:t>.</w:t>
      </w:r>
      <w:r w:rsidR="003400D4">
        <w:tab/>
      </w:r>
      <w:r w:rsidR="00127EE0">
        <w:t>Transport expenditures often make up a high share of household budgets, and freight costs vary widely, placing a burden on low-income users in particular. A sustainable integrated transport system must be accessible to users of all income levels.</w:t>
      </w:r>
    </w:p>
    <w:p w14:paraId="3E31D0A4" w14:textId="2968FEA1" w:rsidR="005065EC" w:rsidRPr="006A2FD8" w:rsidRDefault="006A2FD8" w:rsidP="001F3418">
      <w:pPr>
        <w:pStyle w:val="H1G"/>
      </w:pPr>
      <w:r>
        <w:tab/>
      </w:r>
      <w:r w:rsidR="001F3418">
        <w:t>A</w:t>
      </w:r>
      <w:r>
        <w:t>.</w:t>
      </w:r>
      <w:r>
        <w:tab/>
      </w:r>
      <w:r w:rsidR="00127EE0">
        <w:t xml:space="preserve">Africa - </w:t>
      </w:r>
      <w:r>
        <w:t>T</w:t>
      </w:r>
      <w:r w:rsidR="00127EE0">
        <w:t xml:space="preserve">rends and </w:t>
      </w:r>
      <w:r>
        <w:t>M</w:t>
      </w:r>
      <w:r w:rsidR="00127EE0">
        <w:t xml:space="preserve">ajor </w:t>
      </w:r>
      <w:r>
        <w:t>C</w:t>
      </w:r>
      <w:r w:rsidR="00127EE0">
        <w:t>hallenges</w:t>
      </w:r>
    </w:p>
    <w:p w14:paraId="64A08841" w14:textId="7CE68466" w:rsidR="003400D4" w:rsidRDefault="006A2FD8" w:rsidP="006A2FD8">
      <w:pPr>
        <w:pStyle w:val="SingleTxtG"/>
      </w:pPr>
      <w:r>
        <w:t>4</w:t>
      </w:r>
      <w:r w:rsidR="00112895">
        <w:t>1</w:t>
      </w:r>
      <w:r w:rsidR="003400D4">
        <w:t>.</w:t>
      </w:r>
      <w:r w:rsidR="003400D4">
        <w:tab/>
      </w:r>
      <w:r w:rsidR="00127EE0">
        <w:t>In Africa, 78</w:t>
      </w:r>
      <w:r w:rsidR="009E7A4F">
        <w:t xml:space="preserve"> per cent</w:t>
      </w:r>
      <w:r w:rsidR="00127EE0">
        <w:t xml:space="preserve"> of people walk for transport purposes </w:t>
      </w:r>
      <w:r w:rsidR="00D04822">
        <w:t>every day</w:t>
      </w:r>
      <w:r w:rsidR="00127EE0">
        <w:t>. In 2022, people in Africa spent an average of 56 minutes per day walking or cycling for transport.</w:t>
      </w:r>
      <w:r w:rsidR="00127EE0">
        <w:rPr>
          <w:vertAlign w:val="superscript"/>
        </w:rPr>
        <w:footnoteReference w:id="55"/>
      </w:r>
      <w:r w:rsidR="00127EE0">
        <w:t xml:space="preserve"> However, </w:t>
      </w:r>
      <w:r w:rsidR="00127EE0">
        <w:lastRenderedPageBreak/>
        <w:t>only around 59</w:t>
      </w:r>
      <w:r w:rsidR="009E7A4F">
        <w:t xml:space="preserve"> per cent</w:t>
      </w:r>
      <w:r w:rsidR="00127EE0">
        <w:t xml:space="preserve"> of people walking and cycling in Africa were supported by a walking and cycling policy, within only 35</w:t>
      </w:r>
      <w:r w:rsidR="009E7A4F">
        <w:t xml:space="preserve"> per cent</w:t>
      </w:r>
      <w:r w:rsidR="00127EE0">
        <w:t xml:space="preserve"> of the countries in the region.</w:t>
      </w:r>
      <w:r w:rsidR="00127EE0">
        <w:rPr>
          <w:vertAlign w:val="superscript"/>
        </w:rPr>
        <w:footnoteReference w:id="56"/>
      </w:r>
    </w:p>
    <w:p w14:paraId="1DB7359F" w14:textId="6CF0FCDD" w:rsidR="005065EC" w:rsidRDefault="00112895" w:rsidP="006A2FD8">
      <w:pPr>
        <w:pStyle w:val="SingleTxtG"/>
      </w:pPr>
      <w:r>
        <w:t>42</w:t>
      </w:r>
      <w:r w:rsidR="006A2FD8">
        <w:t>.</w:t>
      </w:r>
      <w:r w:rsidR="003400D4">
        <w:tab/>
      </w:r>
      <w:r w:rsidR="00127EE0">
        <w:t>In 2020, only 32</w:t>
      </w:r>
      <w:r w:rsidR="009E7A4F">
        <w:t xml:space="preserve"> per cent</w:t>
      </w:r>
      <w:r w:rsidR="00127EE0">
        <w:t xml:space="preserve"> of the population was able to access public transport within a walking distance of 500-1,000 metres, well below the global average of 56</w:t>
      </w:r>
      <w:r w:rsidR="009E7A4F">
        <w:t xml:space="preserve"> per cent</w:t>
      </w:r>
      <w:r w:rsidR="00127EE0">
        <w:t>.</w:t>
      </w:r>
      <w:r w:rsidR="00127EE0">
        <w:rPr>
          <w:vertAlign w:val="superscript"/>
        </w:rPr>
        <w:footnoteReference w:id="57"/>
      </w:r>
      <w:r w:rsidR="00127EE0">
        <w:t xml:space="preserve"> Informal transport can account for 40</w:t>
      </w:r>
      <w:r w:rsidR="009E7A4F">
        <w:t xml:space="preserve"> per cent</w:t>
      </w:r>
      <w:r w:rsidR="00127EE0">
        <w:t xml:space="preserve"> to 98</w:t>
      </w:r>
      <w:r w:rsidR="009E7A4F">
        <w:t xml:space="preserve"> per cent</w:t>
      </w:r>
      <w:r w:rsidR="00127EE0">
        <w:t xml:space="preserve"> of trips by collective and shared transport in some African countries.</w:t>
      </w:r>
      <w:r w:rsidR="00127EE0">
        <w:rPr>
          <w:vertAlign w:val="superscript"/>
        </w:rPr>
        <w:footnoteReference w:id="58"/>
      </w:r>
    </w:p>
    <w:p w14:paraId="1B8E7AD8" w14:textId="6AAC71D8" w:rsidR="005065EC" w:rsidRDefault="00112895" w:rsidP="006A2FD8">
      <w:pPr>
        <w:pStyle w:val="SingleTxtG"/>
      </w:pPr>
      <w:r>
        <w:t>43</w:t>
      </w:r>
      <w:r w:rsidR="003400D4">
        <w:t>.</w:t>
      </w:r>
      <w:r w:rsidR="003400D4">
        <w:tab/>
      </w:r>
      <w:r w:rsidR="00127EE0">
        <w:t>These challenges, bundled with rapidly rising urbanisation</w:t>
      </w:r>
      <w:r w:rsidR="00D04822">
        <w:t xml:space="preserve"> </w:t>
      </w:r>
      <w:r w:rsidR="00127EE0">
        <w:t>and motorisation rates, have prompted an urgent response to Africa’s growing transport needs, including through the development of sustainable urban mobility plans (SUMPs) and national urban mobility plans (NUMPs).</w:t>
      </w:r>
      <w:r w:rsidR="00127EE0">
        <w:rPr>
          <w:vertAlign w:val="superscript"/>
        </w:rPr>
        <w:footnoteReference w:id="59"/>
      </w:r>
      <w:r w:rsidR="00127EE0">
        <w:t xml:space="preserve"> Bus rapid transit (BRT) corridors and/or systems have been implemented or are being developed in Addis Ababa (Ethiopia), Cairo (Egypt), Dar es Salaam (Tanzania), Lagos (Nigeria), Nairobi (Kenya) and the cities of Cape Town, George, Johannesburg and Pretoria in South Africa, with an emphasis on the importance of electric BRT buses in decarbonising their fleets and shifting towards sustainable public transport solutions.</w:t>
      </w:r>
      <w:r w:rsidR="00127EE0">
        <w:rPr>
          <w:vertAlign w:val="superscript"/>
        </w:rPr>
        <w:footnoteReference w:id="60"/>
      </w:r>
    </w:p>
    <w:p w14:paraId="619FE5F7" w14:textId="2363A9B5" w:rsidR="00127EE0" w:rsidRDefault="006A2FD8" w:rsidP="001F3418">
      <w:pPr>
        <w:pStyle w:val="H1G"/>
      </w:pPr>
      <w:r>
        <w:tab/>
      </w:r>
      <w:r w:rsidR="001F3418">
        <w:t>B</w:t>
      </w:r>
      <w:r w:rsidR="00697CDD">
        <w:t>.</w:t>
      </w:r>
      <w:r w:rsidR="005065EC">
        <w:tab/>
      </w:r>
      <w:r w:rsidR="00127EE0">
        <w:t xml:space="preserve">Asia - </w:t>
      </w:r>
      <w:r>
        <w:t>T</w:t>
      </w:r>
      <w:r w:rsidR="00127EE0">
        <w:t xml:space="preserve">rends and </w:t>
      </w:r>
      <w:r>
        <w:t>M</w:t>
      </w:r>
      <w:r w:rsidR="00127EE0">
        <w:t xml:space="preserve">ajor </w:t>
      </w:r>
      <w:r>
        <w:t>C</w:t>
      </w:r>
      <w:r w:rsidR="00127EE0">
        <w:t>hallenges</w:t>
      </w:r>
    </w:p>
    <w:p w14:paraId="18A9996E" w14:textId="2E3618CD" w:rsidR="000F054F" w:rsidRDefault="00112895" w:rsidP="006A2FD8">
      <w:pPr>
        <w:pStyle w:val="SingleTxtG"/>
      </w:pPr>
      <w:r>
        <w:t>44</w:t>
      </w:r>
      <w:r w:rsidR="005065EC">
        <w:t>.</w:t>
      </w:r>
      <w:r w:rsidR="005065EC">
        <w:tab/>
      </w:r>
      <w:r w:rsidR="00127EE0">
        <w:t>Asia, although the largest transport CO</w:t>
      </w:r>
      <w:r w:rsidR="00127EE0">
        <w:rPr>
          <w:vertAlign w:val="subscript"/>
        </w:rPr>
        <w:t>2</w:t>
      </w:r>
      <w:r w:rsidR="00127EE0">
        <w:t xml:space="preserve"> emitter, was home to 95</w:t>
      </w:r>
      <w:r w:rsidR="009E7A4F">
        <w:t xml:space="preserve"> per cent</w:t>
      </w:r>
      <w:r w:rsidR="00127EE0">
        <w:t xml:space="preserve"> of the global electric road vehicles fleet, and 92</w:t>
      </w:r>
      <w:r w:rsidR="009E7A4F">
        <w:t xml:space="preserve"> per cent</w:t>
      </w:r>
      <w:r w:rsidR="00127EE0">
        <w:t xml:space="preserve"> of the electric vehicles in Asia were two-wheelers in 2021. A challenge in Asia is that the </w:t>
      </w:r>
      <w:r w:rsidR="00193D31">
        <w:t xml:space="preserve">average </w:t>
      </w:r>
      <w:r w:rsidR="00127EE0">
        <w:t>carbon intensity of electricity is higher than in other regions. For example, the global average is 436 grams CO</w:t>
      </w:r>
      <w:r w:rsidR="00127EE0" w:rsidRPr="005D3634">
        <w:rPr>
          <w:vertAlign w:val="subscript"/>
        </w:rPr>
        <w:t>2</w:t>
      </w:r>
      <w:r w:rsidR="00127EE0">
        <w:t>eq per kilowatt-hour of electricity, India records 632 grams CO</w:t>
      </w:r>
      <w:r w:rsidR="00127EE0" w:rsidRPr="005D3634">
        <w:rPr>
          <w:vertAlign w:val="subscript"/>
        </w:rPr>
        <w:t>2</w:t>
      </w:r>
      <w:r w:rsidR="00127EE0">
        <w:t>eq per kilowatt-hour of electricity and China 531 grams CO</w:t>
      </w:r>
      <w:r w:rsidR="00127EE0" w:rsidRPr="005D3634">
        <w:rPr>
          <w:vertAlign w:val="subscript"/>
        </w:rPr>
        <w:t>2</w:t>
      </w:r>
      <w:r w:rsidR="00127EE0">
        <w:t>eq per kilowatt-hour of electricity in 2022.</w:t>
      </w:r>
      <w:r w:rsidR="00127EE0">
        <w:rPr>
          <w:vertAlign w:val="superscript"/>
        </w:rPr>
        <w:footnoteReference w:id="61"/>
      </w:r>
    </w:p>
    <w:p w14:paraId="506B9D0B" w14:textId="70868B70" w:rsidR="000F054F" w:rsidRDefault="00112895" w:rsidP="009550B4">
      <w:pPr>
        <w:pStyle w:val="SingleTxtG"/>
      </w:pPr>
      <w:r>
        <w:t>45</w:t>
      </w:r>
      <w:r w:rsidR="005065EC">
        <w:t>.</w:t>
      </w:r>
      <w:r w:rsidR="005065EC">
        <w:tab/>
      </w:r>
      <w:r w:rsidR="00574374">
        <w:t>Use of renewables in transport increased annually by 14</w:t>
      </w:r>
      <w:r w:rsidR="009E7A4F">
        <w:t xml:space="preserve"> per cent</w:t>
      </w:r>
      <w:r w:rsidR="00574374">
        <w:t xml:space="preserve"> from 2010 to 2019, the fastest annual growth among all regions, that need to be further sustained to maximise the benefits of transport electrification.</w:t>
      </w:r>
    </w:p>
    <w:p w14:paraId="7D4922AD" w14:textId="0AC4A36B" w:rsidR="00574374" w:rsidRDefault="00112895" w:rsidP="006A2FD8">
      <w:pPr>
        <w:pStyle w:val="SingleTxtG"/>
      </w:pPr>
      <w:r>
        <w:t>46</w:t>
      </w:r>
      <w:r w:rsidR="000F054F">
        <w:t>.</w:t>
      </w:r>
      <w:r w:rsidR="000F054F">
        <w:tab/>
      </w:r>
      <w:r w:rsidR="00574374">
        <w:t>The number of Asian cities with bus rapid transit increased by 36</w:t>
      </w:r>
      <w:r w:rsidR="009E7A4F">
        <w:t xml:space="preserve"> per cent</w:t>
      </w:r>
      <w:r w:rsidR="00574374">
        <w:t xml:space="preserve"> and cities with metros and light-rail transit increased by 49</w:t>
      </w:r>
      <w:r w:rsidR="009E7A4F">
        <w:t xml:space="preserve"> per cent</w:t>
      </w:r>
      <w:r w:rsidR="00574374">
        <w:t xml:space="preserve"> from 2015 to 2021. Asia is also the world’s largest bike sharing market, with nearly 800 bike sharing schemes operating across Asia in 2021.</w:t>
      </w:r>
    </w:p>
    <w:p w14:paraId="6F12C7AC" w14:textId="1C137A73" w:rsidR="00127EE0" w:rsidRDefault="000F054F" w:rsidP="001F3418">
      <w:pPr>
        <w:pStyle w:val="H1G"/>
        <w:rPr>
          <w:sz w:val="28"/>
          <w:szCs w:val="28"/>
        </w:rPr>
      </w:pPr>
      <w:r>
        <w:tab/>
      </w:r>
      <w:r w:rsidR="001F3418">
        <w:t>C</w:t>
      </w:r>
      <w:r w:rsidR="00697CDD">
        <w:t>.</w:t>
      </w:r>
      <w:r>
        <w:tab/>
      </w:r>
      <w:r w:rsidR="00127EE0">
        <w:t xml:space="preserve">Europe - </w:t>
      </w:r>
      <w:r w:rsidR="009550B4">
        <w:t>T</w:t>
      </w:r>
      <w:r w:rsidR="00127EE0">
        <w:t xml:space="preserve">rends and </w:t>
      </w:r>
      <w:r w:rsidR="009550B4">
        <w:t>M</w:t>
      </w:r>
      <w:r w:rsidR="00127EE0">
        <w:t xml:space="preserve">ajor </w:t>
      </w:r>
      <w:r w:rsidR="009550B4">
        <w:t>C</w:t>
      </w:r>
      <w:r w:rsidR="00127EE0">
        <w:t>hallenges</w:t>
      </w:r>
    </w:p>
    <w:p w14:paraId="4513C111" w14:textId="0914D343" w:rsidR="00127EE0" w:rsidRDefault="00112895" w:rsidP="001C098F">
      <w:pPr>
        <w:pStyle w:val="SingleTxtG"/>
      </w:pPr>
      <w:r>
        <w:t>47</w:t>
      </w:r>
      <w:r w:rsidR="000F054F">
        <w:t>.</w:t>
      </w:r>
      <w:r w:rsidR="000F054F">
        <w:tab/>
      </w:r>
      <w:r w:rsidR="00127EE0">
        <w:t>The number of registered passenger cars in the EU reached 253 million in 2021, up 8.6</w:t>
      </w:r>
      <w:r w:rsidR="009E7A4F">
        <w:t xml:space="preserve"> per cent</w:t>
      </w:r>
      <w:r w:rsidR="00127EE0">
        <w:t xml:space="preserve"> from 2016.</w:t>
      </w:r>
      <w:r w:rsidR="00127EE0">
        <w:rPr>
          <w:vertAlign w:val="superscript"/>
        </w:rPr>
        <w:footnoteReference w:id="62"/>
      </w:r>
      <w:r w:rsidR="00127EE0">
        <w:t xml:space="preserve"> Although Europe is the second largest electric car market in the world after China, nearly all European countries have maintained a heavy reliance on fossil-fuelled vehicles.</w:t>
      </w:r>
      <w:r w:rsidR="00467B6B">
        <w:t xml:space="preserve">  </w:t>
      </w:r>
    </w:p>
    <w:p w14:paraId="09F42030" w14:textId="1068432D" w:rsidR="00127EE0" w:rsidRDefault="00112895" w:rsidP="001C098F">
      <w:pPr>
        <w:pStyle w:val="SingleTxtG"/>
      </w:pPr>
      <w:r>
        <w:lastRenderedPageBreak/>
        <w:t>48</w:t>
      </w:r>
      <w:r w:rsidR="000F054F">
        <w:t>.</w:t>
      </w:r>
      <w:r w:rsidR="000F054F">
        <w:tab/>
      </w:r>
      <w:r w:rsidR="00127EE0">
        <w:t>Sales of battery electric and plug-in hybrid cars grew more than 15</w:t>
      </w:r>
      <w:r w:rsidR="009E7A4F">
        <w:t xml:space="preserve"> per cent</w:t>
      </w:r>
      <w:r w:rsidR="00127EE0">
        <w:t xml:space="preserve"> in 2022, and over 1.6 million </w:t>
      </w:r>
      <w:r w:rsidR="009550B4">
        <w:t xml:space="preserve">pure </w:t>
      </w:r>
      <w:r w:rsidR="00127EE0">
        <w:t>battery</w:t>
      </w:r>
      <w:r w:rsidR="00127EE0">
        <w:rPr>
          <w:b/>
        </w:rPr>
        <w:t xml:space="preserve"> </w:t>
      </w:r>
      <w:r w:rsidR="00127EE0">
        <w:t>electric cars were sold, a more than four-fold increase from 2019.</w:t>
      </w:r>
      <w:r w:rsidR="00127EE0">
        <w:rPr>
          <w:vertAlign w:val="superscript"/>
        </w:rPr>
        <w:footnoteReference w:id="63"/>
      </w:r>
      <w:r w:rsidR="00127EE0">
        <w:t xml:space="preserve"> In 2022, only 2.4</w:t>
      </w:r>
      <w:r w:rsidR="009E7A4F">
        <w:t xml:space="preserve"> per cent</w:t>
      </w:r>
      <w:r w:rsidR="00127EE0">
        <w:t xml:space="preserve"> of</w:t>
      </w:r>
      <w:r w:rsidR="009550B4">
        <w:t xml:space="preserve"> all</w:t>
      </w:r>
      <w:r w:rsidR="00127EE0">
        <w:t xml:space="preserve"> the region’s</w:t>
      </w:r>
      <w:r w:rsidR="009550B4">
        <w:t xml:space="preserve"> registered</w:t>
      </w:r>
      <w:r w:rsidR="00127EE0">
        <w:t xml:space="preserve"> passenger cars were electric.</w:t>
      </w:r>
      <w:r w:rsidR="00127EE0">
        <w:rPr>
          <w:vertAlign w:val="superscript"/>
        </w:rPr>
        <w:footnoteReference w:id="64"/>
      </w:r>
    </w:p>
    <w:p w14:paraId="53B99DB8" w14:textId="5B9214D8" w:rsidR="00127EE0" w:rsidRDefault="00112895" w:rsidP="001C098F">
      <w:pPr>
        <w:pStyle w:val="SingleTxtG"/>
      </w:pPr>
      <w:r>
        <w:t>49</w:t>
      </w:r>
      <w:r w:rsidR="000F054F">
        <w:t>.</w:t>
      </w:r>
      <w:r w:rsidR="000F054F">
        <w:tab/>
      </w:r>
      <w:r w:rsidR="00127EE0">
        <w:t>In 2022</w:t>
      </w:r>
      <w:r w:rsidR="00574374">
        <w:t>,</w:t>
      </w:r>
      <w:r w:rsidR="00127EE0">
        <w:t xml:space="preserve"> the EU announced that it had achieved its 2020 target of 10</w:t>
      </w:r>
      <w:r w:rsidR="009E7A4F">
        <w:t xml:space="preserve"> per cent</w:t>
      </w:r>
      <w:r w:rsidR="00127EE0">
        <w:t xml:space="preserve"> renewables in the transport energy mix, with 12 of the 27 EU Member States surpassing the target.</w:t>
      </w:r>
      <w:r w:rsidR="00127EE0">
        <w:rPr>
          <w:vertAlign w:val="superscript"/>
        </w:rPr>
        <w:footnoteReference w:id="65"/>
      </w:r>
      <w:r w:rsidR="00127EE0">
        <w:t xml:space="preserve"> In 2019, Europe as a whole accounted for 18</w:t>
      </w:r>
      <w:r w:rsidR="009E7A4F">
        <w:t xml:space="preserve"> per cent</w:t>
      </w:r>
      <w:r w:rsidR="00127EE0">
        <w:t xml:space="preserve"> of the global demand for renewables for transport.</w:t>
      </w:r>
      <w:r w:rsidR="00127EE0">
        <w:rPr>
          <w:vertAlign w:val="superscript"/>
        </w:rPr>
        <w:footnoteReference w:id="66"/>
      </w:r>
      <w:r w:rsidR="00127EE0">
        <w:t xml:space="preserve"> </w:t>
      </w:r>
    </w:p>
    <w:p w14:paraId="62FEFB2C" w14:textId="5EA44DD5" w:rsidR="00127EE0" w:rsidRDefault="001C098F" w:rsidP="001C098F">
      <w:pPr>
        <w:pStyle w:val="SingleTxtG"/>
      </w:pPr>
      <w:r>
        <w:t>5</w:t>
      </w:r>
      <w:r w:rsidR="00112895">
        <w:t>0</w:t>
      </w:r>
      <w:r w:rsidR="000F054F">
        <w:t>.</w:t>
      </w:r>
      <w:r w:rsidR="000F054F">
        <w:tab/>
      </w:r>
      <w:r w:rsidR="00127EE0">
        <w:t>Across Europe, the number of SUMPs increased from 800 in 2013 to 1,000 in 2018, with several cities having updated their SUMPs at least once.</w:t>
      </w:r>
      <w:r w:rsidR="00127EE0">
        <w:rPr>
          <w:vertAlign w:val="superscript"/>
        </w:rPr>
        <w:footnoteReference w:id="67"/>
      </w:r>
      <w:r w:rsidR="00127EE0">
        <w:t xml:space="preserve"> As part of the EU’s Efficient and Green Mobility Package, the EU Urban Mobility Framework was released in December 2021 and the framework foresees that all major cities in the network develop a sustainable urban mobility plan (SUMP) by 2025.</w:t>
      </w:r>
      <w:r w:rsidR="00127EE0">
        <w:rPr>
          <w:vertAlign w:val="superscript"/>
        </w:rPr>
        <w:footnoteReference w:id="68"/>
      </w:r>
      <w:r w:rsidR="00127EE0">
        <w:t xml:space="preserve"> An increasing number of European cities have also adopted low-emission zones, ultra-low emission zones, or zero-emission zones, including those targeting freight vehicles.</w:t>
      </w:r>
      <w:r w:rsidR="00127EE0" w:rsidRPr="001C098F">
        <w:rPr>
          <w:vertAlign w:val="superscript"/>
        </w:rPr>
        <w:footnoteReference w:id="69"/>
      </w:r>
    </w:p>
    <w:p w14:paraId="172A9AC9" w14:textId="2E4DBD92" w:rsidR="00127EE0" w:rsidRDefault="001C098F" w:rsidP="001C098F">
      <w:pPr>
        <w:pStyle w:val="SingleTxtG"/>
      </w:pPr>
      <w:r>
        <w:t>5</w:t>
      </w:r>
      <w:r w:rsidR="00112895">
        <w:t>1</w:t>
      </w:r>
      <w:r w:rsidR="00637AAC">
        <w:t>.</w:t>
      </w:r>
      <w:r w:rsidR="00637AAC">
        <w:tab/>
      </w:r>
      <w:r w:rsidR="00117E8C">
        <w:t>By 2023, EU and other key European countries had adopted a target for zero CO</w:t>
      </w:r>
      <w:r w:rsidR="00117E8C" w:rsidRPr="005D3634">
        <w:rPr>
          <w:vertAlign w:val="subscript"/>
        </w:rPr>
        <w:t>2</w:t>
      </w:r>
      <w:r w:rsidR="00117E8C">
        <w:t xml:space="preserve"> tailpipe emissions for cars and vans (</w:t>
      </w:r>
      <w:r>
        <w:t>s</w:t>
      </w:r>
      <w:r w:rsidR="00117E8C">
        <w:t>ee Box 6).</w:t>
      </w:r>
    </w:p>
    <w:p w14:paraId="648974D6" w14:textId="19F78C47" w:rsidR="00637AAC" w:rsidRPr="001C098F" w:rsidRDefault="001C098F" w:rsidP="001F3418">
      <w:pPr>
        <w:pStyle w:val="H1G"/>
      </w:pPr>
      <w:r>
        <w:tab/>
      </w:r>
      <w:r w:rsidR="001F3418">
        <w:t>D</w:t>
      </w:r>
      <w:r w:rsidR="00697CDD">
        <w:t>.</w:t>
      </w:r>
      <w:r w:rsidR="00697CDD">
        <w:tab/>
      </w:r>
      <w:r w:rsidR="00127EE0">
        <w:t xml:space="preserve">Latin America and the Caribbean - </w:t>
      </w:r>
      <w:r w:rsidR="001F3418">
        <w:t>T</w:t>
      </w:r>
      <w:r w:rsidR="00127EE0">
        <w:t xml:space="preserve">rends and </w:t>
      </w:r>
      <w:r w:rsidR="001F3418">
        <w:t>M</w:t>
      </w:r>
      <w:r w:rsidR="00127EE0">
        <w:t xml:space="preserve">ajor </w:t>
      </w:r>
      <w:r w:rsidR="001F3418">
        <w:t>C</w:t>
      </w:r>
      <w:r w:rsidR="00127EE0">
        <w:t>hallenges</w:t>
      </w:r>
    </w:p>
    <w:p w14:paraId="325ECABA" w14:textId="03840BFA" w:rsidR="00127EE0" w:rsidRDefault="00112895" w:rsidP="00FE0591">
      <w:pPr>
        <w:pStyle w:val="SingleTxtG"/>
      </w:pPr>
      <w:r>
        <w:t>52</w:t>
      </w:r>
      <w:r w:rsidR="00637AAC">
        <w:t>.</w:t>
      </w:r>
      <w:r w:rsidR="00637AAC">
        <w:tab/>
      </w:r>
      <w:r w:rsidR="00127EE0">
        <w:t>The average motorisation rate in Latin America and the Caribbean from 2016 to 2020, was 267 vehicles per 1,000 people; 1.35 times higher than the global average</w:t>
      </w:r>
      <w:r w:rsidR="00525156">
        <w:rPr>
          <w:rStyle w:val="FootnoteReference"/>
        </w:rPr>
        <w:footnoteReference w:id="70"/>
      </w:r>
      <w:r w:rsidR="00127EE0">
        <w:t>. 43</w:t>
      </w:r>
      <w:r w:rsidR="009E7A4F">
        <w:t xml:space="preserve"> per cent</w:t>
      </w:r>
      <w:r w:rsidR="00127EE0">
        <w:t xml:space="preserve"> of the urban population has convenient access to public transport,</w:t>
      </w:r>
      <w:r w:rsidR="00127EE0">
        <w:rPr>
          <w:vertAlign w:val="superscript"/>
        </w:rPr>
        <w:footnoteReference w:id="71"/>
      </w:r>
      <w:r w:rsidR="00C625D7">
        <w:t xml:space="preserve"> </w:t>
      </w:r>
      <w:r w:rsidR="00127EE0">
        <w:t>and the region is served by semi-formal and informal transport services which provide a flexible and demand-responsive option to the inadequate public transport supply.</w:t>
      </w:r>
      <w:r w:rsidR="00127EE0">
        <w:rPr>
          <w:vertAlign w:val="superscript"/>
        </w:rPr>
        <w:footnoteReference w:id="72"/>
      </w:r>
    </w:p>
    <w:p w14:paraId="3DC1ECCC" w14:textId="675A1704" w:rsidR="00127EE0" w:rsidRDefault="00BE6487" w:rsidP="00FE0591">
      <w:pPr>
        <w:pStyle w:val="SingleTxtG"/>
      </w:pPr>
      <w:r>
        <w:t>53</w:t>
      </w:r>
      <w:r w:rsidR="00637AAC">
        <w:t>.</w:t>
      </w:r>
      <w:r w:rsidR="00637AAC">
        <w:tab/>
      </w:r>
      <w:r w:rsidR="00127EE0">
        <w:t>Sustainable Urban Mobility Plans (SUMPs) continued to expand in Brazil, Chile, Cuba, Ecuador and Peru. Low-emission zones are also emerging in the region and in early 2023, Medellín (Colombia) and Rio de Janeiro (Brazil) had begun processes for their implementation.</w:t>
      </w:r>
      <w:r w:rsidR="00127EE0">
        <w:rPr>
          <w:vertAlign w:val="superscript"/>
        </w:rPr>
        <w:footnoteReference w:id="73"/>
      </w:r>
    </w:p>
    <w:p w14:paraId="2771714C" w14:textId="2B2175E3" w:rsidR="00127EE0" w:rsidRDefault="00BE6487" w:rsidP="00FE0591">
      <w:pPr>
        <w:pStyle w:val="SingleTxtG"/>
      </w:pPr>
      <w:r>
        <w:t>54</w:t>
      </w:r>
      <w:r w:rsidR="00637AAC">
        <w:t>.</w:t>
      </w:r>
      <w:r w:rsidR="00637AAC">
        <w:tab/>
      </w:r>
      <w:r w:rsidR="00127EE0">
        <w:t>Electric buses fleet doubled between 2020 and 2023, operating in 30 cities across 11 countries and accounting for nearly 5</w:t>
      </w:r>
      <w:r w:rsidR="009E7A4F">
        <w:t xml:space="preserve"> per cent</w:t>
      </w:r>
      <w:r w:rsidR="00127EE0">
        <w:t xml:space="preserve"> of the regional urban bus fleet. Additionally, some countries have developed vehicle efficiency labels to encourage the purchase and use of less-polluting vehicles or to regulate the circulation of certain vehicle types.</w:t>
      </w:r>
    </w:p>
    <w:p w14:paraId="5B664F96" w14:textId="684C4E3F" w:rsidR="00771F5F" w:rsidRPr="00FE0591" w:rsidRDefault="00FE0591" w:rsidP="001F3418">
      <w:pPr>
        <w:pStyle w:val="H1G"/>
      </w:pPr>
      <w:r>
        <w:lastRenderedPageBreak/>
        <w:tab/>
      </w:r>
      <w:r w:rsidR="001F3418">
        <w:t>E</w:t>
      </w:r>
      <w:r w:rsidR="00697CDD">
        <w:t>.</w:t>
      </w:r>
      <w:r w:rsidR="00697CDD">
        <w:tab/>
      </w:r>
      <w:r w:rsidR="00127EE0">
        <w:t xml:space="preserve">North America - </w:t>
      </w:r>
      <w:r w:rsidR="001F3418">
        <w:t>T</w:t>
      </w:r>
      <w:r w:rsidR="00127EE0">
        <w:t xml:space="preserve">rends and </w:t>
      </w:r>
      <w:r w:rsidR="001F3418">
        <w:t>M</w:t>
      </w:r>
      <w:r w:rsidR="00127EE0">
        <w:t xml:space="preserve">ajor </w:t>
      </w:r>
      <w:r w:rsidR="001F3418">
        <w:t>C</w:t>
      </w:r>
      <w:r w:rsidR="00127EE0">
        <w:t>hallenges</w:t>
      </w:r>
    </w:p>
    <w:p w14:paraId="72AA6390" w14:textId="14C77F30" w:rsidR="00127EE0" w:rsidRDefault="00BE6487" w:rsidP="00FE0591">
      <w:pPr>
        <w:pStyle w:val="SingleTxtG"/>
      </w:pPr>
      <w:r>
        <w:t>55</w:t>
      </w:r>
      <w:r w:rsidR="004E7796">
        <w:t>.</w:t>
      </w:r>
      <w:r w:rsidR="004E7796">
        <w:tab/>
      </w:r>
      <w:r w:rsidR="00127EE0">
        <w:t xml:space="preserve">In 2021, North America had the highest per capita emissions amongst all regions. In the USA, the number of people working from home increased three-fold between 2019 and 2021 induced by the pandemic. Public transport usage fell </w:t>
      </w:r>
      <w:r w:rsidR="004E2A81">
        <w:t>by around</w:t>
      </w:r>
      <w:r w:rsidR="00127EE0">
        <w:t xml:space="preserve"> 30</w:t>
      </w:r>
      <w:r w:rsidR="009E7A4F">
        <w:t xml:space="preserve"> per cent</w:t>
      </w:r>
      <w:r w:rsidR="00127EE0">
        <w:t xml:space="preserve"> nationwide in 2021.</w:t>
      </w:r>
      <w:r w:rsidR="00127EE0">
        <w:rPr>
          <w:vertAlign w:val="superscript"/>
        </w:rPr>
        <w:footnoteReference w:id="74"/>
      </w:r>
    </w:p>
    <w:p w14:paraId="7AFAF6B3" w14:textId="696A9DC4" w:rsidR="003A5278" w:rsidRPr="008141D4" w:rsidRDefault="00BE6487" w:rsidP="00B74FF6">
      <w:pPr>
        <w:pStyle w:val="SingleTxtG"/>
        <w:spacing w:after="240"/>
      </w:pPr>
      <w:r>
        <w:t>56</w:t>
      </w:r>
      <w:r w:rsidR="00771F5F">
        <w:t>.</w:t>
      </w:r>
      <w:r w:rsidR="00771F5F">
        <w:tab/>
      </w:r>
      <w:r w:rsidR="00127EE0">
        <w:t>Overall vehicle sales declined in 2022 due to inflation, energy prices and supply chain issues. Battery electric vehicle sales in Canada and USA tripled to account for more than 6</w:t>
      </w:r>
      <w:r w:rsidR="009E7A4F">
        <w:t xml:space="preserve"> per cent</w:t>
      </w:r>
      <w:r w:rsidR="00127EE0">
        <w:t xml:space="preserve"> of total vehicle sales in 2022. Projections of the future energy demand from light-duty vehicles in North America indicate that the energy savings through more efficient electric vehicles and stricter US Corporate Average Fuel Economy standards will be between 3</w:t>
      </w:r>
      <w:r w:rsidR="009E7A4F">
        <w:t xml:space="preserve"> per cent</w:t>
      </w:r>
      <w:r w:rsidR="00127EE0">
        <w:t xml:space="preserve"> and 28</w:t>
      </w:r>
      <w:r w:rsidR="009E7A4F">
        <w:t xml:space="preserve"> per cent</w:t>
      </w:r>
      <w:r w:rsidR="00127EE0">
        <w:t xml:space="preserve"> by 2050 compared to 2022, despite continued growth in travel demand.</w:t>
      </w:r>
      <w:r w:rsidR="00127EE0">
        <w:rPr>
          <w:vertAlign w:val="superscript"/>
        </w:rPr>
        <w:footnoteReference w:id="75"/>
      </w:r>
    </w:p>
    <w:tbl>
      <w:tblPr>
        <w:tblW w:w="737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1"/>
      </w:tblGrid>
      <w:tr w:rsidR="00127EE0" w14:paraId="7B726633" w14:textId="77777777" w:rsidTr="0061756D">
        <w:tc>
          <w:tcPr>
            <w:tcW w:w="7371" w:type="dxa"/>
            <w:shd w:val="clear" w:color="auto" w:fill="auto"/>
            <w:tcMar>
              <w:top w:w="100" w:type="dxa"/>
              <w:left w:w="100" w:type="dxa"/>
              <w:bottom w:w="100" w:type="dxa"/>
              <w:right w:w="100" w:type="dxa"/>
            </w:tcMar>
          </w:tcPr>
          <w:p w14:paraId="4B3EF034" w14:textId="0AADDA4F" w:rsidR="00127EE0" w:rsidRDefault="00127EE0" w:rsidP="00703E9D">
            <w:pPr>
              <w:rPr>
                <w:b/>
              </w:rPr>
            </w:pPr>
            <w:r>
              <w:rPr>
                <w:b/>
              </w:rPr>
              <w:t>Box 7. The US Inflation Reduction Act of 2022</w:t>
            </w:r>
            <w:r>
              <w:rPr>
                <w:vertAlign w:val="superscript"/>
              </w:rPr>
              <w:footnoteReference w:id="76"/>
            </w:r>
          </w:p>
          <w:p w14:paraId="4891D8C7" w14:textId="7FF55A5F" w:rsidR="00127EE0" w:rsidRDefault="00127EE0" w:rsidP="00703E9D">
            <w:pPr>
              <w:spacing w:line="240" w:lineRule="auto"/>
            </w:pPr>
            <w:r>
              <w:t>The US Inflation Reduction Act of 2022 has the goal to reduce economy-wide emissions 31-44</w:t>
            </w:r>
            <w:r w:rsidR="009E7A4F">
              <w:t xml:space="preserve"> per cent</w:t>
            </w:r>
            <w:r>
              <w:t xml:space="preserve"> below 2005 levels by 2030. The Inflation Reduction Act covers a variety of transport activities, such as electric car purchase incentives, transport access and road safety grants, rebates and grants for clean heavy-duty vehicles and surface transport infrastructure funding. </w:t>
            </w:r>
          </w:p>
          <w:p w14:paraId="1E3614A0" w14:textId="77777777" w:rsidR="00127EE0" w:rsidRDefault="00127EE0" w:rsidP="00703E9D">
            <w:pPr>
              <w:spacing w:line="240" w:lineRule="auto"/>
            </w:pPr>
          </w:p>
          <w:p w14:paraId="1BC1F8CC" w14:textId="77777777" w:rsidR="00127EE0" w:rsidRDefault="00127EE0" w:rsidP="00703E9D">
            <w:pPr>
              <w:spacing w:line="240" w:lineRule="auto"/>
            </w:pPr>
            <w:r>
              <w:t>The Inflation Reduction Act strongly prioritises vehicle electrification and it is estimated that the transport sector will contribute the least to the planned emission reductions and most likely stay at current levels.</w:t>
            </w:r>
            <w:r>
              <w:rPr>
                <w:vertAlign w:val="superscript"/>
              </w:rPr>
              <w:footnoteReference w:id="77"/>
            </w:r>
            <w:r>
              <w:rPr>
                <w:vertAlign w:val="superscript"/>
              </w:rPr>
              <w:t>,</w:t>
            </w:r>
            <w:r>
              <w:rPr>
                <w:vertAlign w:val="superscript"/>
              </w:rPr>
              <w:footnoteReference w:id="78"/>
            </w:r>
            <w:r>
              <w:t xml:space="preserve"> </w:t>
            </w:r>
          </w:p>
        </w:tc>
      </w:tr>
    </w:tbl>
    <w:p w14:paraId="1C440CAA" w14:textId="6F044F11" w:rsidR="00771F5F" w:rsidRPr="00861CB1" w:rsidRDefault="00861CB1" w:rsidP="001F3418">
      <w:pPr>
        <w:pStyle w:val="H1G"/>
      </w:pPr>
      <w:r>
        <w:tab/>
      </w:r>
      <w:r w:rsidR="001F3418">
        <w:t>F</w:t>
      </w:r>
      <w:r w:rsidR="00697CDD" w:rsidRPr="00697CDD">
        <w:t>.</w:t>
      </w:r>
      <w:r w:rsidR="00697CDD" w:rsidRPr="00697CDD">
        <w:tab/>
      </w:r>
      <w:r w:rsidR="00127EE0" w:rsidRPr="00697CDD">
        <w:t xml:space="preserve">Oceania - </w:t>
      </w:r>
      <w:r>
        <w:t>T</w:t>
      </w:r>
      <w:r w:rsidR="00127EE0" w:rsidRPr="00697CDD">
        <w:t xml:space="preserve">rends and </w:t>
      </w:r>
      <w:r>
        <w:t>M</w:t>
      </w:r>
      <w:r w:rsidR="00127EE0" w:rsidRPr="00697CDD">
        <w:t xml:space="preserve">ajor </w:t>
      </w:r>
      <w:r>
        <w:t>C</w:t>
      </w:r>
      <w:r w:rsidR="00127EE0" w:rsidRPr="00697CDD">
        <w:t>hallenges</w:t>
      </w:r>
    </w:p>
    <w:p w14:paraId="0F7BEF1F" w14:textId="37861893" w:rsidR="00127EE0" w:rsidRDefault="00BE6487" w:rsidP="00BE6487">
      <w:pPr>
        <w:pStyle w:val="SingleTxtG"/>
      </w:pPr>
      <w:r>
        <w:t>57</w:t>
      </w:r>
      <w:r w:rsidR="00771F5F">
        <w:t>.</w:t>
      </w:r>
      <w:r w:rsidR="00771F5F">
        <w:tab/>
      </w:r>
      <w:r w:rsidR="00127EE0">
        <w:t>Australia and New Zealand had the world’s highest share of the urban population with access to public transport in 2021 (82.8</w:t>
      </w:r>
      <w:r w:rsidR="009E7A4F">
        <w:t xml:space="preserve"> per cent</w:t>
      </w:r>
      <w:r w:rsidR="00127EE0">
        <w:t>), compared to the global average of 56</w:t>
      </w:r>
      <w:r w:rsidR="009E7A4F">
        <w:t xml:space="preserve"> per cent</w:t>
      </w:r>
      <w:r w:rsidR="00127EE0">
        <w:t>. Despite this, private car use has continued to dominate passenger transport in Australia, with 87</w:t>
      </w:r>
      <w:r w:rsidR="009E7A4F">
        <w:t xml:space="preserve"> per cent</w:t>
      </w:r>
      <w:r w:rsidR="00127EE0">
        <w:t xml:space="preserve"> of work commutes in 2021 being completed by drivers or passengers of a car, motorcycle, or truck, while only 7</w:t>
      </w:r>
      <w:r w:rsidR="009E7A4F">
        <w:t xml:space="preserve"> per cent</w:t>
      </w:r>
      <w:r w:rsidR="00127EE0">
        <w:t xml:space="preserve"> were completed by public transport and 5</w:t>
      </w:r>
      <w:r w:rsidR="009E7A4F">
        <w:t xml:space="preserve"> per cent</w:t>
      </w:r>
      <w:r w:rsidR="00127EE0">
        <w:t xml:space="preserve"> were completed by walking or cycling.</w:t>
      </w:r>
    </w:p>
    <w:p w14:paraId="7EEB44F0" w14:textId="586CB85F" w:rsidR="00127EE0" w:rsidRDefault="00BE6487" w:rsidP="00861CB1">
      <w:pPr>
        <w:pStyle w:val="SingleTxtG"/>
      </w:pPr>
      <w:r>
        <w:t>58</w:t>
      </w:r>
      <w:r w:rsidR="00771F5F">
        <w:t>.</w:t>
      </w:r>
      <w:r w:rsidR="00771F5F">
        <w:tab/>
      </w:r>
      <w:r w:rsidR="00127EE0">
        <w:t>Although EV sales have grown exponentially in Australia, Australia and New Zealand’s electric passenger cars accounted for less than 1</w:t>
      </w:r>
      <w:r w:rsidR="009E7A4F">
        <w:t xml:space="preserve"> per cent</w:t>
      </w:r>
      <w:r w:rsidR="00127EE0">
        <w:t xml:space="preserve"> of global stock. During 2021 and 2022, countries in Oceania, including small-island states, enacted policy measures to enable and support electric vehicle uptake and to improve fuel efficiency standards. </w:t>
      </w:r>
      <w:r w:rsidR="00127EE0">
        <w:lastRenderedPageBreak/>
        <w:t>Additionally, Australia has increased its ambition on alternative fuels, such as hydrogen and sustainable aviation fuels since 2019.</w:t>
      </w:r>
      <w:r w:rsidR="00127EE0">
        <w:rPr>
          <w:vertAlign w:val="superscript"/>
        </w:rPr>
        <w:footnoteReference w:id="79"/>
      </w:r>
    </w:p>
    <w:p w14:paraId="21CE2FA9" w14:textId="3F44B0F4" w:rsidR="00771F5F" w:rsidRPr="00697CDD" w:rsidRDefault="00BE6487" w:rsidP="00861CB1">
      <w:pPr>
        <w:pStyle w:val="SingleTxtG"/>
      </w:pPr>
      <w:r>
        <w:t>59</w:t>
      </w:r>
      <w:r w:rsidR="00771F5F">
        <w:t>.</w:t>
      </w:r>
      <w:r w:rsidR="00771F5F">
        <w:tab/>
      </w:r>
      <w:r w:rsidR="00127EE0">
        <w:t>Small-island countries in Oceania have major needs for sustainable, low-carbon transport because they are highly vulnerable to the impacts of climate change due to their limited land area, geographic location and isolation</w:t>
      </w:r>
      <w:r w:rsidR="00117E8C">
        <w:t>.</w:t>
      </w:r>
    </w:p>
    <w:p w14:paraId="315BE0BA" w14:textId="68AADDB6" w:rsidR="00127EE0" w:rsidRPr="00B74FF6" w:rsidRDefault="00EA694E" w:rsidP="00A545A5">
      <w:pPr>
        <w:pStyle w:val="HChG"/>
        <w:ind w:left="0" w:firstLine="0"/>
      </w:pPr>
      <w:bookmarkStart w:id="10" w:name="_1y810tw" w:colFirst="0" w:colLast="0"/>
      <w:bookmarkStart w:id="11" w:name="_2xcytpi" w:colFirst="0" w:colLast="0"/>
      <w:bookmarkEnd w:id="10"/>
      <w:bookmarkEnd w:id="11"/>
      <w:r>
        <w:tab/>
        <w:t>III.</w:t>
      </w:r>
      <w:r>
        <w:tab/>
      </w:r>
      <w:r w:rsidR="00127EE0">
        <w:t>Opportunities and the Way Forwar</w:t>
      </w:r>
      <w:r w:rsidR="00127EE0" w:rsidRPr="00B74FF6">
        <w:t>d</w:t>
      </w:r>
    </w:p>
    <w:p w14:paraId="37B2FBE8" w14:textId="47218F23" w:rsidR="00127EE0" w:rsidRDefault="00BE6487" w:rsidP="00A545A5">
      <w:pPr>
        <w:pStyle w:val="SingleTxtG"/>
      </w:pPr>
      <w:r>
        <w:t>60</w:t>
      </w:r>
      <w:r w:rsidR="00EA694E">
        <w:t>.</w:t>
      </w:r>
      <w:r w:rsidR="00EA694E">
        <w:tab/>
      </w:r>
      <w:r w:rsidR="00127EE0">
        <w:t xml:space="preserve">As shown in the previous sections, a comprehensive, integrated approach to tackle inland transport challenges and emissions is needed. A drastic </w:t>
      </w:r>
      <w:r w:rsidR="00BA55B8">
        <w:t>change in trajectory</w:t>
      </w:r>
      <w:r w:rsidR="00127EE0">
        <w:t xml:space="preserve"> is necessary to achieve a systemic transformation of transport and mobility </w:t>
      </w:r>
      <w:r w:rsidR="000652CC">
        <w:t xml:space="preserve">and </w:t>
      </w:r>
      <w:r w:rsidR="00127EE0">
        <w:t>evidence has shown that these changes will come with society-wide positive impacts, delivering cross-cutting solutions at the nexus of equity, climate, health, energy, urban planning and economic development.</w:t>
      </w:r>
    </w:p>
    <w:p w14:paraId="40484F7A" w14:textId="4AE0CC9A" w:rsidR="00D3356E" w:rsidRDefault="00BE6487" w:rsidP="00A545A5">
      <w:pPr>
        <w:pStyle w:val="SingleTxtG"/>
      </w:pPr>
      <w:r>
        <w:t>61</w:t>
      </w:r>
      <w:r w:rsidR="00D3356E">
        <w:t>.</w:t>
      </w:r>
      <w:r w:rsidR="00D3356E">
        <w:tab/>
        <w:t>More and more countries are delivering on transport specific NDCs and LTS to show transport-specific actions and targets. Encouraging more countries to develop transport specific decarbonization plans would help prioritize action, technical regulations and standards, policy deployment at the international level.</w:t>
      </w:r>
    </w:p>
    <w:p w14:paraId="3DD4F557" w14:textId="54E046B6" w:rsidR="00127EE0" w:rsidRDefault="00BE6487" w:rsidP="00B74FF6">
      <w:pPr>
        <w:pStyle w:val="SingleTxtG"/>
        <w:rPr>
          <w:i/>
        </w:rPr>
      </w:pPr>
      <w:r>
        <w:t>62</w:t>
      </w:r>
      <w:r w:rsidR="00D3356E">
        <w:t>.</w:t>
      </w:r>
      <w:r w:rsidR="00D3356E">
        <w:tab/>
        <w:t xml:space="preserve">There are important synergies and trade-offs between transport actions to implement the </w:t>
      </w:r>
      <w:r w:rsidR="009E7A4F">
        <w:t>Sustainable Development Goals</w:t>
      </w:r>
      <w:r w:rsidR="00D3356E">
        <w:t xml:space="preserve"> and actions for transport decarbonisation, adaptation and resilience. Overall, synergies exceed trade-offs. The trade-offs can be further minimised by emphasising activities, such as capacity building, finance, technology transfer and making considerations for governance, gender and equity and with participation of Indigenous peoples, local communities and vulnerable populations.</w:t>
      </w:r>
      <w:r w:rsidR="00D3356E">
        <w:rPr>
          <w:vertAlign w:val="superscript"/>
        </w:rPr>
        <w:footnoteReference w:id="80"/>
      </w:r>
    </w:p>
    <w:p w14:paraId="12585597" w14:textId="7E75073E" w:rsidR="00127EE0" w:rsidRPr="00920755" w:rsidRDefault="00127EE0" w:rsidP="00920755">
      <w:pPr>
        <w:ind w:left="1134"/>
      </w:pPr>
      <w:bookmarkStart w:id="12" w:name="_cuv721fnxnpx" w:colFirst="0" w:colLast="0"/>
      <w:bookmarkEnd w:id="12"/>
      <w:r>
        <w:br w:type="page"/>
      </w:r>
    </w:p>
    <w:p w14:paraId="61C64F41" w14:textId="7A66B3D1" w:rsidR="000E480C" w:rsidRDefault="00127EE0" w:rsidP="001E5F41">
      <w:pPr>
        <w:pStyle w:val="HChG"/>
      </w:pPr>
      <w:bookmarkStart w:id="13" w:name="_8kxajqwgb7l7" w:colFirst="0" w:colLast="0"/>
      <w:bookmarkEnd w:id="13"/>
      <w:r>
        <w:lastRenderedPageBreak/>
        <w:t xml:space="preserve">Annex </w:t>
      </w:r>
      <w:r w:rsidR="001E5F41">
        <w:t>I</w:t>
      </w:r>
    </w:p>
    <w:p w14:paraId="402C3C69" w14:textId="150DB14D" w:rsidR="00127EE0" w:rsidRPr="006642D7" w:rsidRDefault="000E480C" w:rsidP="006642D7">
      <w:pPr>
        <w:pStyle w:val="HChG"/>
      </w:pPr>
      <w:r>
        <w:tab/>
      </w:r>
      <w:r>
        <w:tab/>
      </w:r>
      <w:r w:rsidR="00127EE0">
        <w:t xml:space="preserve">Transport </w:t>
      </w:r>
      <w:r w:rsidR="00A545A5">
        <w:t>G</w:t>
      </w:r>
      <w:r w:rsidR="00127EE0">
        <w:t xml:space="preserve">reenhouse </w:t>
      </w:r>
      <w:r w:rsidR="00A545A5">
        <w:t>G</w:t>
      </w:r>
      <w:r w:rsidR="00127EE0">
        <w:t xml:space="preserve">as </w:t>
      </w:r>
      <w:r w:rsidR="00A545A5">
        <w:t>E</w:t>
      </w:r>
      <w:r w:rsidR="00127EE0">
        <w:t xml:space="preserve">mission </w:t>
      </w:r>
      <w:r w:rsidR="00A545A5">
        <w:t>M</w:t>
      </w:r>
      <w:r w:rsidR="00127EE0">
        <w:t>itigation</w:t>
      </w:r>
      <w:r w:rsidR="001E5F41">
        <w:t xml:space="preserve"> </w:t>
      </w:r>
      <w:r w:rsidR="00A545A5">
        <w:t>T</w:t>
      </w:r>
      <w:r w:rsidR="00127EE0">
        <w:t xml:space="preserve">argets in </w:t>
      </w:r>
      <w:r w:rsidR="00A545A5">
        <w:t>C</w:t>
      </w:r>
      <w:r w:rsidR="00127EE0">
        <w:t xml:space="preserve">ountry’s </w:t>
      </w:r>
      <w:r w:rsidR="00A545A5">
        <w:t>S</w:t>
      </w:r>
      <w:r w:rsidR="00127EE0">
        <w:t>econd-</w:t>
      </w:r>
      <w:r w:rsidR="00A545A5">
        <w:t>G</w:t>
      </w:r>
      <w:r w:rsidR="00127EE0">
        <w:t>eneration NDCs, as of end-2022</w:t>
      </w:r>
    </w:p>
    <w:tbl>
      <w:tblPr>
        <w:tblW w:w="7370" w:type="dxa"/>
        <w:tblInd w:w="1134" w:type="dxa"/>
        <w:tblLayout w:type="fixed"/>
        <w:tblCellMar>
          <w:left w:w="0" w:type="dxa"/>
          <w:right w:w="0" w:type="dxa"/>
        </w:tblCellMar>
        <w:tblLook w:val="0600" w:firstRow="0" w:lastRow="0" w:firstColumn="0" w:lastColumn="0" w:noHBand="1" w:noVBand="1"/>
      </w:tblPr>
      <w:tblGrid>
        <w:gridCol w:w="1291"/>
        <w:gridCol w:w="4382"/>
        <w:gridCol w:w="1697"/>
      </w:tblGrid>
      <w:tr w:rsidR="0080313D" w:rsidRPr="0080313D" w14:paraId="69946ED9" w14:textId="77777777" w:rsidTr="0080313D">
        <w:trPr>
          <w:tblHeader/>
        </w:trPr>
        <w:tc>
          <w:tcPr>
            <w:tcW w:w="1295"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7C16656D" w14:textId="77777777" w:rsidR="00127EE0" w:rsidRPr="0080313D" w:rsidRDefault="00127EE0" w:rsidP="0080313D">
            <w:pPr>
              <w:spacing w:before="80" w:after="80" w:line="200" w:lineRule="exact"/>
              <w:ind w:right="113"/>
              <w:rPr>
                <w:i/>
                <w:sz w:val="16"/>
              </w:rPr>
            </w:pPr>
            <w:r w:rsidRPr="0080313D">
              <w:rPr>
                <w:i/>
                <w:sz w:val="16"/>
              </w:rPr>
              <w:t>Country</w:t>
            </w:r>
          </w:p>
        </w:tc>
        <w:tc>
          <w:tcPr>
            <w:tcW w:w="4394"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023E0C46" w14:textId="77777777" w:rsidR="00127EE0" w:rsidRPr="0080313D" w:rsidRDefault="00127EE0" w:rsidP="0080313D">
            <w:pPr>
              <w:spacing w:before="80" w:after="80" w:line="200" w:lineRule="exact"/>
              <w:ind w:right="113"/>
              <w:rPr>
                <w:i/>
                <w:sz w:val="16"/>
              </w:rPr>
            </w:pPr>
            <w:r w:rsidRPr="0080313D">
              <w:rPr>
                <w:i/>
                <w:sz w:val="16"/>
              </w:rPr>
              <w:t>Targeted reductions in transport emissions (in carbon dioxide equivalents)</w:t>
            </w:r>
          </w:p>
        </w:tc>
        <w:tc>
          <w:tcPr>
            <w:tcW w:w="1701" w:type="dxa"/>
            <w:tcBorders>
              <w:top w:val="single" w:sz="4" w:space="0" w:color="auto"/>
              <w:bottom w:val="single" w:sz="12" w:space="0" w:color="auto"/>
            </w:tcBorders>
            <w:shd w:val="clear" w:color="auto" w:fill="auto"/>
            <w:tcMar>
              <w:top w:w="80" w:type="dxa"/>
              <w:left w:w="80" w:type="dxa"/>
              <w:bottom w:w="80" w:type="dxa"/>
              <w:right w:w="80" w:type="dxa"/>
            </w:tcMar>
            <w:vAlign w:val="bottom"/>
          </w:tcPr>
          <w:p w14:paraId="21698EB5" w14:textId="77777777" w:rsidR="00127EE0" w:rsidRPr="0080313D" w:rsidRDefault="00127EE0" w:rsidP="0080313D">
            <w:pPr>
              <w:spacing w:before="80" w:after="80" w:line="200" w:lineRule="exact"/>
              <w:ind w:right="113"/>
              <w:rPr>
                <w:i/>
                <w:sz w:val="16"/>
              </w:rPr>
            </w:pPr>
            <w:r w:rsidRPr="0080313D">
              <w:rPr>
                <w:i/>
                <w:sz w:val="16"/>
              </w:rPr>
              <w:t>Type of target</w:t>
            </w:r>
          </w:p>
        </w:tc>
      </w:tr>
      <w:tr w:rsidR="0080313D" w:rsidRPr="0080313D" w14:paraId="374D2CA0" w14:textId="77777777" w:rsidTr="0080313D">
        <w:trPr>
          <w:trHeight w:hRule="exact" w:val="113"/>
        </w:trPr>
        <w:tc>
          <w:tcPr>
            <w:tcW w:w="1295" w:type="dxa"/>
            <w:tcBorders>
              <w:top w:val="single" w:sz="12" w:space="0" w:color="auto"/>
            </w:tcBorders>
            <w:shd w:val="clear" w:color="auto" w:fill="auto"/>
            <w:tcMar>
              <w:top w:w="80" w:type="dxa"/>
              <w:left w:w="80" w:type="dxa"/>
              <w:bottom w:w="80" w:type="dxa"/>
              <w:right w:w="80" w:type="dxa"/>
            </w:tcMar>
          </w:tcPr>
          <w:p w14:paraId="717C8D5D" w14:textId="77777777" w:rsidR="0080313D" w:rsidRPr="0080313D" w:rsidRDefault="0080313D" w:rsidP="0080313D">
            <w:pPr>
              <w:spacing w:before="40" w:after="120"/>
              <w:ind w:right="113"/>
            </w:pPr>
          </w:p>
        </w:tc>
        <w:tc>
          <w:tcPr>
            <w:tcW w:w="4394" w:type="dxa"/>
            <w:tcBorders>
              <w:top w:val="single" w:sz="12" w:space="0" w:color="auto"/>
            </w:tcBorders>
            <w:shd w:val="clear" w:color="auto" w:fill="auto"/>
            <w:tcMar>
              <w:top w:w="80" w:type="dxa"/>
              <w:left w:w="80" w:type="dxa"/>
              <w:bottom w:w="80" w:type="dxa"/>
              <w:right w:w="80" w:type="dxa"/>
            </w:tcMar>
          </w:tcPr>
          <w:p w14:paraId="52480D6A" w14:textId="77777777" w:rsidR="0080313D" w:rsidRPr="0080313D" w:rsidRDefault="0080313D" w:rsidP="0080313D">
            <w:pPr>
              <w:spacing w:before="40" w:after="120"/>
              <w:ind w:right="113"/>
            </w:pPr>
          </w:p>
        </w:tc>
        <w:tc>
          <w:tcPr>
            <w:tcW w:w="1701" w:type="dxa"/>
            <w:tcBorders>
              <w:top w:val="single" w:sz="12" w:space="0" w:color="auto"/>
            </w:tcBorders>
            <w:shd w:val="clear" w:color="auto" w:fill="auto"/>
            <w:tcMar>
              <w:top w:w="80" w:type="dxa"/>
              <w:left w:w="80" w:type="dxa"/>
              <w:bottom w:w="80" w:type="dxa"/>
              <w:right w:w="80" w:type="dxa"/>
            </w:tcMar>
          </w:tcPr>
          <w:p w14:paraId="31377340" w14:textId="77777777" w:rsidR="0080313D" w:rsidRPr="0080313D" w:rsidRDefault="0080313D" w:rsidP="0080313D">
            <w:pPr>
              <w:spacing w:before="40" w:after="120"/>
              <w:ind w:right="113"/>
            </w:pPr>
          </w:p>
        </w:tc>
      </w:tr>
      <w:tr w:rsidR="00127EE0" w:rsidRPr="0080313D" w14:paraId="3B5B1BA9" w14:textId="77777777" w:rsidTr="0080313D">
        <w:tc>
          <w:tcPr>
            <w:tcW w:w="1295" w:type="dxa"/>
            <w:shd w:val="clear" w:color="auto" w:fill="auto"/>
            <w:tcMar>
              <w:top w:w="80" w:type="dxa"/>
              <w:left w:w="80" w:type="dxa"/>
              <w:bottom w:w="80" w:type="dxa"/>
              <w:right w:w="80" w:type="dxa"/>
            </w:tcMar>
          </w:tcPr>
          <w:p w14:paraId="7E6D7B68" w14:textId="77777777" w:rsidR="00127EE0" w:rsidRPr="0080313D" w:rsidRDefault="00127EE0" w:rsidP="0080313D">
            <w:pPr>
              <w:spacing w:before="40" w:after="120"/>
              <w:ind w:right="113"/>
            </w:pPr>
            <w:r w:rsidRPr="0080313D">
              <w:t>Andorra</w:t>
            </w:r>
          </w:p>
        </w:tc>
        <w:tc>
          <w:tcPr>
            <w:tcW w:w="4394" w:type="dxa"/>
            <w:shd w:val="clear" w:color="auto" w:fill="auto"/>
            <w:tcMar>
              <w:top w:w="80" w:type="dxa"/>
              <w:left w:w="80" w:type="dxa"/>
              <w:bottom w:w="80" w:type="dxa"/>
              <w:right w:w="80" w:type="dxa"/>
            </w:tcMar>
          </w:tcPr>
          <w:p w14:paraId="4924394B" w14:textId="228B9621" w:rsidR="00127EE0" w:rsidRPr="0080313D" w:rsidRDefault="00127EE0" w:rsidP="0080313D">
            <w:pPr>
              <w:spacing w:before="40" w:after="120"/>
              <w:ind w:right="113"/>
            </w:pPr>
            <w:r w:rsidRPr="0080313D">
              <w:t>50</w:t>
            </w:r>
            <w:r w:rsidR="009E7A4F" w:rsidRPr="0080313D">
              <w:t xml:space="preserve"> per cent</w:t>
            </w:r>
            <w:r w:rsidRPr="0080313D">
              <w:t xml:space="preserve"> in road transport by 2030</w:t>
            </w:r>
          </w:p>
        </w:tc>
        <w:tc>
          <w:tcPr>
            <w:tcW w:w="1701" w:type="dxa"/>
            <w:shd w:val="clear" w:color="auto" w:fill="auto"/>
            <w:tcMar>
              <w:top w:w="80" w:type="dxa"/>
              <w:left w:w="80" w:type="dxa"/>
              <w:bottom w:w="80" w:type="dxa"/>
              <w:right w:w="80" w:type="dxa"/>
            </w:tcMar>
          </w:tcPr>
          <w:p w14:paraId="0DB6DD79" w14:textId="77777777" w:rsidR="00127EE0" w:rsidRPr="0080313D" w:rsidRDefault="00127EE0" w:rsidP="0080313D">
            <w:pPr>
              <w:spacing w:before="40" w:after="120"/>
              <w:ind w:right="113"/>
            </w:pPr>
            <w:r w:rsidRPr="0080313D">
              <w:t>Unconditional</w:t>
            </w:r>
          </w:p>
        </w:tc>
      </w:tr>
      <w:tr w:rsidR="00127EE0" w:rsidRPr="0080313D" w14:paraId="7A242B1C" w14:textId="77777777" w:rsidTr="0080313D">
        <w:tc>
          <w:tcPr>
            <w:tcW w:w="1295" w:type="dxa"/>
            <w:shd w:val="clear" w:color="auto" w:fill="auto"/>
            <w:tcMar>
              <w:top w:w="80" w:type="dxa"/>
              <w:left w:w="80" w:type="dxa"/>
              <w:bottom w:w="80" w:type="dxa"/>
              <w:right w:w="80" w:type="dxa"/>
            </w:tcMar>
          </w:tcPr>
          <w:p w14:paraId="3140FEC8" w14:textId="77777777" w:rsidR="00127EE0" w:rsidRPr="0080313D" w:rsidRDefault="00127EE0" w:rsidP="0080313D">
            <w:pPr>
              <w:spacing w:before="40" w:after="120"/>
              <w:ind w:right="113"/>
            </w:pPr>
            <w:r w:rsidRPr="0080313D">
              <w:t>Bangladesh</w:t>
            </w:r>
          </w:p>
        </w:tc>
        <w:tc>
          <w:tcPr>
            <w:tcW w:w="4394" w:type="dxa"/>
            <w:shd w:val="clear" w:color="auto" w:fill="auto"/>
            <w:tcMar>
              <w:top w:w="80" w:type="dxa"/>
              <w:left w:w="80" w:type="dxa"/>
              <w:bottom w:w="80" w:type="dxa"/>
              <w:right w:w="80" w:type="dxa"/>
            </w:tcMar>
          </w:tcPr>
          <w:p w14:paraId="7E30F443" w14:textId="14DA5D07" w:rsidR="00127EE0" w:rsidRPr="0080313D" w:rsidRDefault="00127EE0" w:rsidP="0080313D">
            <w:pPr>
              <w:spacing w:before="40" w:after="120"/>
              <w:ind w:right="113"/>
            </w:pPr>
            <w:r w:rsidRPr="0080313D">
              <w:t>9.3</w:t>
            </w:r>
            <w:r w:rsidR="009E7A4F" w:rsidRPr="0080313D">
              <w:t xml:space="preserve"> per cent</w:t>
            </w:r>
            <w:r w:rsidRPr="0080313D">
              <w:t xml:space="preserve"> below business as usual (BAU) by 2030, to 32.9 million tonnes (unconditional) </w:t>
            </w:r>
          </w:p>
          <w:p w14:paraId="3717AFAB" w14:textId="261D20C0" w:rsidR="00127EE0" w:rsidRPr="0080313D" w:rsidRDefault="00127EE0" w:rsidP="0080313D">
            <w:pPr>
              <w:spacing w:before="40" w:after="120"/>
              <w:ind w:right="113"/>
            </w:pPr>
            <w:r w:rsidRPr="0080313D">
              <w:t>27</w:t>
            </w:r>
            <w:r w:rsidR="009E7A4F" w:rsidRPr="0080313D">
              <w:t xml:space="preserve"> per cent</w:t>
            </w:r>
            <w:r w:rsidRPr="0080313D">
              <w:t xml:space="preserve"> below BAU by 2030, to 26.6 million tonnes (conditional)</w:t>
            </w:r>
          </w:p>
        </w:tc>
        <w:tc>
          <w:tcPr>
            <w:tcW w:w="1701" w:type="dxa"/>
            <w:shd w:val="clear" w:color="auto" w:fill="auto"/>
            <w:tcMar>
              <w:top w:w="80" w:type="dxa"/>
              <w:left w:w="80" w:type="dxa"/>
              <w:bottom w:w="80" w:type="dxa"/>
              <w:right w:w="80" w:type="dxa"/>
            </w:tcMar>
          </w:tcPr>
          <w:p w14:paraId="22BAFA61" w14:textId="77777777" w:rsidR="00127EE0" w:rsidRPr="0080313D" w:rsidRDefault="00127EE0" w:rsidP="0080313D">
            <w:pPr>
              <w:spacing w:before="40" w:after="120"/>
              <w:ind w:right="113"/>
            </w:pPr>
            <w:r w:rsidRPr="0080313D">
              <w:t>Unconditional, conditional</w:t>
            </w:r>
          </w:p>
        </w:tc>
      </w:tr>
      <w:tr w:rsidR="00127EE0" w:rsidRPr="0080313D" w14:paraId="1CBC59F9" w14:textId="77777777" w:rsidTr="0080313D">
        <w:tc>
          <w:tcPr>
            <w:tcW w:w="1295" w:type="dxa"/>
            <w:shd w:val="clear" w:color="auto" w:fill="auto"/>
            <w:tcMar>
              <w:top w:w="80" w:type="dxa"/>
              <w:left w:w="80" w:type="dxa"/>
              <w:bottom w:w="80" w:type="dxa"/>
              <w:right w:w="80" w:type="dxa"/>
            </w:tcMar>
          </w:tcPr>
          <w:p w14:paraId="5896C323" w14:textId="77777777" w:rsidR="00127EE0" w:rsidRPr="0080313D" w:rsidRDefault="00127EE0" w:rsidP="0080313D">
            <w:pPr>
              <w:spacing w:before="40" w:after="120"/>
              <w:ind w:right="113"/>
            </w:pPr>
            <w:r w:rsidRPr="0080313D">
              <w:t>Belize</w:t>
            </w:r>
          </w:p>
        </w:tc>
        <w:tc>
          <w:tcPr>
            <w:tcW w:w="4394" w:type="dxa"/>
            <w:shd w:val="clear" w:color="auto" w:fill="auto"/>
            <w:tcMar>
              <w:top w:w="80" w:type="dxa"/>
              <w:left w:w="80" w:type="dxa"/>
              <w:bottom w:w="80" w:type="dxa"/>
              <w:right w:w="80" w:type="dxa"/>
            </w:tcMar>
          </w:tcPr>
          <w:p w14:paraId="7B3319E4" w14:textId="1FA37744" w:rsidR="00127EE0" w:rsidRPr="0080313D" w:rsidRDefault="00127EE0" w:rsidP="0080313D">
            <w:pPr>
              <w:spacing w:before="40" w:after="120"/>
              <w:ind w:right="113"/>
            </w:pPr>
            <w:r w:rsidRPr="0080313D">
              <w:t>Reduce conventional transport fuel 15</w:t>
            </w:r>
            <w:r w:rsidR="009E7A4F" w:rsidRPr="0080313D">
              <w:t xml:space="preserve"> per cent</w:t>
            </w:r>
            <w:r w:rsidRPr="0080313D">
              <w:t xml:space="preserve"> by 2030, to avoid 117 </w:t>
            </w:r>
            <w:proofErr w:type="spellStart"/>
            <w:r w:rsidRPr="0080313D">
              <w:t>kilotonnes</w:t>
            </w:r>
            <w:proofErr w:type="spellEnd"/>
            <w:r w:rsidRPr="0080313D">
              <w:t xml:space="preserve"> annually </w:t>
            </w:r>
          </w:p>
          <w:p w14:paraId="727535D6" w14:textId="71D66F81" w:rsidR="00127EE0" w:rsidRPr="0080313D" w:rsidRDefault="00127EE0" w:rsidP="0080313D">
            <w:pPr>
              <w:spacing w:before="40" w:after="120"/>
              <w:ind w:right="113"/>
            </w:pPr>
            <w:r w:rsidRPr="0080313D">
              <w:t>Achieve 15</w:t>
            </w:r>
            <w:r w:rsidR="009E7A4F" w:rsidRPr="0080313D">
              <w:t xml:space="preserve"> per cent</w:t>
            </w:r>
            <w:r w:rsidRPr="0080313D">
              <w:t xml:space="preserve"> efficiency per passenger- and tonne-kilometre through appropriate policies and investments</w:t>
            </w:r>
          </w:p>
        </w:tc>
        <w:tc>
          <w:tcPr>
            <w:tcW w:w="1701" w:type="dxa"/>
            <w:shd w:val="clear" w:color="auto" w:fill="auto"/>
            <w:tcMar>
              <w:top w:w="80" w:type="dxa"/>
              <w:left w:w="80" w:type="dxa"/>
              <w:bottom w:w="80" w:type="dxa"/>
              <w:right w:w="80" w:type="dxa"/>
            </w:tcMar>
          </w:tcPr>
          <w:p w14:paraId="159F563F" w14:textId="77777777" w:rsidR="00127EE0" w:rsidRPr="0080313D" w:rsidRDefault="00127EE0" w:rsidP="0080313D">
            <w:pPr>
              <w:spacing w:before="40" w:after="120"/>
              <w:ind w:right="113"/>
            </w:pPr>
            <w:r w:rsidRPr="0080313D">
              <w:t>Unconditional</w:t>
            </w:r>
          </w:p>
        </w:tc>
      </w:tr>
      <w:tr w:rsidR="00127EE0" w:rsidRPr="0080313D" w14:paraId="3DBCD531" w14:textId="77777777" w:rsidTr="0080313D">
        <w:tc>
          <w:tcPr>
            <w:tcW w:w="1295" w:type="dxa"/>
            <w:shd w:val="clear" w:color="auto" w:fill="auto"/>
            <w:tcMar>
              <w:top w:w="80" w:type="dxa"/>
              <w:left w:w="80" w:type="dxa"/>
              <w:bottom w:w="80" w:type="dxa"/>
              <w:right w:w="80" w:type="dxa"/>
            </w:tcMar>
          </w:tcPr>
          <w:p w14:paraId="00D469F2" w14:textId="77777777" w:rsidR="00127EE0" w:rsidRPr="0080313D" w:rsidRDefault="00127EE0" w:rsidP="0080313D">
            <w:pPr>
              <w:spacing w:before="40" w:after="120"/>
              <w:ind w:right="113"/>
            </w:pPr>
            <w:r w:rsidRPr="0080313D">
              <w:t>Burkina Faso</w:t>
            </w:r>
          </w:p>
        </w:tc>
        <w:tc>
          <w:tcPr>
            <w:tcW w:w="4394" w:type="dxa"/>
            <w:shd w:val="clear" w:color="auto" w:fill="auto"/>
            <w:tcMar>
              <w:top w:w="80" w:type="dxa"/>
              <w:left w:w="80" w:type="dxa"/>
              <w:bottom w:w="80" w:type="dxa"/>
              <w:right w:w="80" w:type="dxa"/>
            </w:tcMar>
          </w:tcPr>
          <w:p w14:paraId="0FF7B8B6" w14:textId="09B2FBA7" w:rsidR="00127EE0" w:rsidRPr="0080313D" w:rsidRDefault="00127EE0" w:rsidP="0080313D">
            <w:pPr>
              <w:spacing w:before="40" w:after="120"/>
              <w:ind w:right="113"/>
            </w:pPr>
            <w:r w:rsidRPr="0080313D">
              <w:t xml:space="preserve">Limit the emission increase to 1,210 gigagrams (Gg) by 2025, 3,563 Gg by 2030 and 8,265 Gg by 2050 (unconditional) </w:t>
            </w:r>
          </w:p>
          <w:p w14:paraId="2D75D9D6" w14:textId="7921D8BD" w:rsidR="00127EE0" w:rsidRPr="0080313D" w:rsidRDefault="00127EE0" w:rsidP="0080313D">
            <w:pPr>
              <w:spacing w:before="40" w:after="120"/>
              <w:ind w:right="113"/>
            </w:pPr>
            <w:r w:rsidRPr="0080313D">
              <w:t>Further limit to 267 Gg in 2025, 867 Gg in 2030 and 4,153 Gg in 2050 (conditional)</w:t>
            </w:r>
          </w:p>
        </w:tc>
        <w:tc>
          <w:tcPr>
            <w:tcW w:w="1701" w:type="dxa"/>
            <w:shd w:val="clear" w:color="auto" w:fill="auto"/>
            <w:tcMar>
              <w:top w:w="80" w:type="dxa"/>
              <w:left w:w="80" w:type="dxa"/>
              <w:bottom w:w="80" w:type="dxa"/>
              <w:right w:w="80" w:type="dxa"/>
            </w:tcMar>
          </w:tcPr>
          <w:p w14:paraId="1D32B7AB" w14:textId="3F10C972" w:rsidR="00127EE0" w:rsidRPr="0080313D" w:rsidRDefault="00127EE0" w:rsidP="0080313D">
            <w:pPr>
              <w:spacing w:before="40" w:after="120"/>
              <w:ind w:right="113"/>
            </w:pPr>
            <w:r w:rsidRPr="0080313D">
              <w:t>Unconditional,</w:t>
            </w:r>
            <w:r w:rsidR="00467B6B">
              <w:t xml:space="preserve">  </w:t>
            </w:r>
            <w:r w:rsidRPr="0080313D">
              <w:t>conditional</w:t>
            </w:r>
          </w:p>
        </w:tc>
      </w:tr>
      <w:tr w:rsidR="00127EE0" w:rsidRPr="0080313D" w14:paraId="3D829114" w14:textId="77777777" w:rsidTr="0080313D">
        <w:tc>
          <w:tcPr>
            <w:tcW w:w="1295" w:type="dxa"/>
            <w:shd w:val="clear" w:color="auto" w:fill="auto"/>
            <w:tcMar>
              <w:top w:w="80" w:type="dxa"/>
              <w:left w:w="80" w:type="dxa"/>
              <w:bottom w:w="80" w:type="dxa"/>
              <w:right w:w="80" w:type="dxa"/>
            </w:tcMar>
          </w:tcPr>
          <w:p w14:paraId="104B89E0" w14:textId="77777777" w:rsidR="00127EE0" w:rsidRPr="0080313D" w:rsidRDefault="00127EE0" w:rsidP="0080313D">
            <w:pPr>
              <w:spacing w:before="40" w:after="120"/>
              <w:ind w:right="113"/>
            </w:pPr>
            <w:r w:rsidRPr="0080313D">
              <w:t>Dominica</w:t>
            </w:r>
          </w:p>
        </w:tc>
        <w:tc>
          <w:tcPr>
            <w:tcW w:w="4394" w:type="dxa"/>
            <w:shd w:val="clear" w:color="auto" w:fill="auto"/>
            <w:tcMar>
              <w:top w:w="80" w:type="dxa"/>
              <w:left w:w="80" w:type="dxa"/>
              <w:bottom w:w="80" w:type="dxa"/>
              <w:right w:w="80" w:type="dxa"/>
            </w:tcMar>
          </w:tcPr>
          <w:p w14:paraId="3CF51E62" w14:textId="4695E4DD" w:rsidR="00127EE0" w:rsidRPr="0080313D" w:rsidRDefault="00127EE0" w:rsidP="0080313D">
            <w:pPr>
              <w:spacing w:before="40" w:after="120"/>
              <w:ind w:right="113"/>
            </w:pPr>
            <w:r w:rsidRPr="0080313D">
              <w:t>20</w:t>
            </w:r>
            <w:r w:rsidR="009E7A4F" w:rsidRPr="0080313D">
              <w:t xml:space="preserve"> per cent</w:t>
            </w:r>
            <w:r w:rsidRPr="0080313D">
              <w:t xml:space="preserve"> below 2014 levels by 2030; 100</w:t>
            </w:r>
            <w:r w:rsidR="009E7A4F" w:rsidRPr="0080313D">
              <w:t xml:space="preserve"> per cent</w:t>
            </w:r>
            <w:r w:rsidRPr="0080313D">
              <w:t xml:space="preserve"> below 2014 levels for shipping by 2030</w:t>
            </w:r>
          </w:p>
        </w:tc>
        <w:tc>
          <w:tcPr>
            <w:tcW w:w="1701" w:type="dxa"/>
            <w:shd w:val="clear" w:color="auto" w:fill="auto"/>
            <w:tcMar>
              <w:top w:w="80" w:type="dxa"/>
              <w:left w:w="80" w:type="dxa"/>
              <w:bottom w:w="80" w:type="dxa"/>
              <w:right w:w="80" w:type="dxa"/>
            </w:tcMar>
          </w:tcPr>
          <w:p w14:paraId="229B5E6F" w14:textId="77777777" w:rsidR="00127EE0" w:rsidRPr="0080313D" w:rsidRDefault="00127EE0" w:rsidP="0080313D">
            <w:pPr>
              <w:spacing w:before="40" w:after="120"/>
              <w:ind w:right="113"/>
            </w:pPr>
            <w:r w:rsidRPr="0080313D">
              <w:t>Unconditional</w:t>
            </w:r>
          </w:p>
        </w:tc>
      </w:tr>
      <w:tr w:rsidR="00127EE0" w:rsidRPr="0080313D" w14:paraId="4A39C8DB" w14:textId="77777777" w:rsidTr="0080313D">
        <w:tc>
          <w:tcPr>
            <w:tcW w:w="1295" w:type="dxa"/>
            <w:shd w:val="clear" w:color="auto" w:fill="auto"/>
            <w:tcMar>
              <w:top w:w="80" w:type="dxa"/>
              <w:left w:w="80" w:type="dxa"/>
              <w:bottom w:w="80" w:type="dxa"/>
              <w:right w:w="80" w:type="dxa"/>
            </w:tcMar>
          </w:tcPr>
          <w:p w14:paraId="5504946A" w14:textId="77777777" w:rsidR="00127EE0" w:rsidRPr="0080313D" w:rsidRDefault="00127EE0" w:rsidP="0080313D">
            <w:pPr>
              <w:spacing w:before="40" w:after="120"/>
              <w:ind w:right="113"/>
            </w:pPr>
            <w:r w:rsidRPr="0080313D">
              <w:t>Egypt</w:t>
            </w:r>
          </w:p>
        </w:tc>
        <w:tc>
          <w:tcPr>
            <w:tcW w:w="4394" w:type="dxa"/>
            <w:shd w:val="clear" w:color="auto" w:fill="auto"/>
            <w:tcMar>
              <w:top w:w="80" w:type="dxa"/>
              <w:left w:w="80" w:type="dxa"/>
              <w:bottom w:w="80" w:type="dxa"/>
              <w:right w:w="80" w:type="dxa"/>
            </w:tcMar>
          </w:tcPr>
          <w:p w14:paraId="2BBE92C8" w14:textId="2439CAFF" w:rsidR="00127EE0" w:rsidRPr="0080313D" w:rsidRDefault="00127EE0" w:rsidP="0080313D">
            <w:pPr>
              <w:spacing w:before="40" w:after="120"/>
              <w:ind w:right="113"/>
            </w:pPr>
            <w:r w:rsidRPr="0080313D">
              <w:t>7</w:t>
            </w:r>
            <w:r w:rsidR="009E7A4F" w:rsidRPr="0080313D">
              <w:t xml:space="preserve"> per cent</w:t>
            </w:r>
            <w:r w:rsidRPr="0080313D">
              <w:t xml:space="preserve"> by 2030, reducing from 124,360 Gg under BAU to 8,960 Gg</w:t>
            </w:r>
          </w:p>
        </w:tc>
        <w:tc>
          <w:tcPr>
            <w:tcW w:w="1701" w:type="dxa"/>
            <w:shd w:val="clear" w:color="auto" w:fill="auto"/>
            <w:tcMar>
              <w:top w:w="80" w:type="dxa"/>
              <w:left w:w="80" w:type="dxa"/>
              <w:bottom w:w="80" w:type="dxa"/>
              <w:right w:w="80" w:type="dxa"/>
            </w:tcMar>
          </w:tcPr>
          <w:p w14:paraId="4911C831" w14:textId="77777777" w:rsidR="00127EE0" w:rsidRPr="0080313D" w:rsidRDefault="00127EE0" w:rsidP="0080313D">
            <w:pPr>
              <w:spacing w:before="40" w:after="120"/>
              <w:ind w:right="113"/>
            </w:pPr>
            <w:r w:rsidRPr="0080313D">
              <w:t>Unconditional</w:t>
            </w:r>
          </w:p>
        </w:tc>
      </w:tr>
      <w:tr w:rsidR="00127EE0" w:rsidRPr="0080313D" w14:paraId="19E386F0" w14:textId="77777777" w:rsidTr="0080313D">
        <w:tc>
          <w:tcPr>
            <w:tcW w:w="1295" w:type="dxa"/>
            <w:shd w:val="clear" w:color="auto" w:fill="auto"/>
            <w:tcMar>
              <w:top w:w="80" w:type="dxa"/>
              <w:left w:w="80" w:type="dxa"/>
              <w:bottom w:w="80" w:type="dxa"/>
              <w:right w:w="80" w:type="dxa"/>
            </w:tcMar>
          </w:tcPr>
          <w:p w14:paraId="25DB5739" w14:textId="77777777" w:rsidR="00127EE0" w:rsidRPr="0080313D" w:rsidRDefault="00127EE0" w:rsidP="0080313D">
            <w:pPr>
              <w:spacing w:before="40" w:after="120"/>
              <w:ind w:right="113"/>
            </w:pPr>
            <w:r w:rsidRPr="0080313D">
              <w:t>El Salvador</w:t>
            </w:r>
          </w:p>
        </w:tc>
        <w:tc>
          <w:tcPr>
            <w:tcW w:w="4394" w:type="dxa"/>
            <w:shd w:val="clear" w:color="auto" w:fill="auto"/>
            <w:tcMar>
              <w:top w:w="80" w:type="dxa"/>
              <w:left w:w="80" w:type="dxa"/>
              <w:bottom w:w="80" w:type="dxa"/>
              <w:right w:w="80" w:type="dxa"/>
            </w:tcMar>
          </w:tcPr>
          <w:p w14:paraId="6AADDB21" w14:textId="77777777" w:rsidR="00127EE0" w:rsidRPr="0080313D" w:rsidRDefault="00127EE0" w:rsidP="0080313D">
            <w:pPr>
              <w:spacing w:before="40" w:after="120"/>
              <w:ind w:right="113"/>
            </w:pPr>
            <w:r w:rsidRPr="0080313D">
              <w:t xml:space="preserve">Limit transport emissions to 334 </w:t>
            </w:r>
            <w:proofErr w:type="spellStart"/>
            <w:r w:rsidRPr="0080313D">
              <w:t>kilotonnes</w:t>
            </w:r>
            <w:proofErr w:type="spellEnd"/>
            <w:r w:rsidRPr="0080313D">
              <w:t xml:space="preserve"> below BAU by 2030</w:t>
            </w:r>
          </w:p>
        </w:tc>
        <w:tc>
          <w:tcPr>
            <w:tcW w:w="1701" w:type="dxa"/>
            <w:shd w:val="clear" w:color="auto" w:fill="auto"/>
            <w:tcMar>
              <w:top w:w="80" w:type="dxa"/>
              <w:left w:w="80" w:type="dxa"/>
              <w:bottom w:w="80" w:type="dxa"/>
              <w:right w:w="80" w:type="dxa"/>
            </w:tcMar>
          </w:tcPr>
          <w:p w14:paraId="2ABC6E63" w14:textId="77777777" w:rsidR="00127EE0" w:rsidRPr="0080313D" w:rsidRDefault="00127EE0" w:rsidP="0080313D">
            <w:pPr>
              <w:spacing w:before="40" w:after="120"/>
              <w:ind w:right="113"/>
            </w:pPr>
            <w:r w:rsidRPr="0080313D">
              <w:t>Unconditional</w:t>
            </w:r>
          </w:p>
        </w:tc>
      </w:tr>
      <w:tr w:rsidR="00127EE0" w:rsidRPr="0080313D" w14:paraId="20C9F1DB" w14:textId="77777777" w:rsidTr="0080313D">
        <w:tc>
          <w:tcPr>
            <w:tcW w:w="1295" w:type="dxa"/>
            <w:shd w:val="clear" w:color="auto" w:fill="auto"/>
            <w:tcMar>
              <w:top w:w="80" w:type="dxa"/>
              <w:left w:w="80" w:type="dxa"/>
              <w:bottom w:w="80" w:type="dxa"/>
              <w:right w:w="80" w:type="dxa"/>
            </w:tcMar>
          </w:tcPr>
          <w:p w14:paraId="48BC56CA" w14:textId="77777777" w:rsidR="00127EE0" w:rsidRPr="0080313D" w:rsidRDefault="00127EE0" w:rsidP="0080313D">
            <w:pPr>
              <w:spacing w:before="40" w:after="120"/>
              <w:ind w:right="113"/>
            </w:pPr>
            <w:r w:rsidRPr="0080313D">
              <w:t>Fiji</w:t>
            </w:r>
          </w:p>
        </w:tc>
        <w:tc>
          <w:tcPr>
            <w:tcW w:w="4394" w:type="dxa"/>
            <w:shd w:val="clear" w:color="auto" w:fill="auto"/>
            <w:tcMar>
              <w:top w:w="80" w:type="dxa"/>
              <w:left w:w="80" w:type="dxa"/>
              <w:bottom w:w="80" w:type="dxa"/>
              <w:right w:w="80" w:type="dxa"/>
            </w:tcMar>
          </w:tcPr>
          <w:p w14:paraId="7C5A66A9" w14:textId="65AE90F5" w:rsidR="00127EE0" w:rsidRPr="0080313D" w:rsidRDefault="00127EE0" w:rsidP="0080313D">
            <w:pPr>
              <w:spacing w:before="40" w:after="120"/>
              <w:ind w:right="113"/>
            </w:pPr>
            <w:r w:rsidRPr="0080313D">
              <w:t>40</w:t>
            </w:r>
            <w:r w:rsidR="009E7A4F" w:rsidRPr="0080313D">
              <w:t xml:space="preserve"> per cent</w:t>
            </w:r>
            <w:r w:rsidRPr="0080313D">
              <w:t xml:space="preserve"> below BAU for domestic maritime shipping by 2030</w:t>
            </w:r>
          </w:p>
        </w:tc>
        <w:tc>
          <w:tcPr>
            <w:tcW w:w="1701" w:type="dxa"/>
            <w:shd w:val="clear" w:color="auto" w:fill="auto"/>
            <w:tcMar>
              <w:top w:w="80" w:type="dxa"/>
              <w:left w:w="80" w:type="dxa"/>
              <w:bottom w:w="80" w:type="dxa"/>
              <w:right w:w="80" w:type="dxa"/>
            </w:tcMar>
          </w:tcPr>
          <w:p w14:paraId="33215516" w14:textId="77777777" w:rsidR="00127EE0" w:rsidRPr="0080313D" w:rsidRDefault="00127EE0" w:rsidP="0080313D">
            <w:pPr>
              <w:spacing w:before="40" w:after="120"/>
              <w:ind w:right="113"/>
            </w:pPr>
            <w:r w:rsidRPr="0080313D">
              <w:t>Unconditional</w:t>
            </w:r>
          </w:p>
        </w:tc>
      </w:tr>
      <w:tr w:rsidR="00127EE0" w:rsidRPr="0080313D" w14:paraId="2B3AE625" w14:textId="77777777" w:rsidTr="0080313D">
        <w:tc>
          <w:tcPr>
            <w:tcW w:w="1295" w:type="dxa"/>
            <w:shd w:val="clear" w:color="auto" w:fill="auto"/>
            <w:tcMar>
              <w:top w:w="80" w:type="dxa"/>
              <w:left w:w="80" w:type="dxa"/>
              <w:bottom w:w="80" w:type="dxa"/>
              <w:right w:w="80" w:type="dxa"/>
            </w:tcMar>
          </w:tcPr>
          <w:p w14:paraId="7E500F42" w14:textId="77777777" w:rsidR="00127EE0" w:rsidRPr="0080313D" w:rsidRDefault="00127EE0" w:rsidP="0080313D">
            <w:pPr>
              <w:spacing w:before="40" w:after="120"/>
              <w:ind w:right="113"/>
            </w:pPr>
            <w:r w:rsidRPr="0080313D">
              <w:t>Gambia</w:t>
            </w:r>
          </w:p>
        </w:tc>
        <w:tc>
          <w:tcPr>
            <w:tcW w:w="4394" w:type="dxa"/>
            <w:shd w:val="clear" w:color="auto" w:fill="auto"/>
            <w:tcMar>
              <w:top w:w="80" w:type="dxa"/>
              <w:left w:w="80" w:type="dxa"/>
              <w:bottom w:w="80" w:type="dxa"/>
              <w:right w:w="80" w:type="dxa"/>
            </w:tcMar>
          </w:tcPr>
          <w:p w14:paraId="606659BA" w14:textId="74FC05A1" w:rsidR="00127EE0" w:rsidRPr="0080313D" w:rsidRDefault="00127EE0" w:rsidP="0080313D">
            <w:pPr>
              <w:spacing w:before="40" w:after="120"/>
              <w:ind w:right="113"/>
            </w:pPr>
            <w:r w:rsidRPr="0080313D">
              <w:t>22.2</w:t>
            </w:r>
            <w:r w:rsidR="009E7A4F" w:rsidRPr="0080313D">
              <w:t xml:space="preserve"> per cent</w:t>
            </w:r>
            <w:r w:rsidRPr="0080313D">
              <w:t xml:space="preserve"> below BAU by 2030</w:t>
            </w:r>
          </w:p>
        </w:tc>
        <w:tc>
          <w:tcPr>
            <w:tcW w:w="1701" w:type="dxa"/>
            <w:shd w:val="clear" w:color="auto" w:fill="auto"/>
            <w:tcMar>
              <w:top w:w="80" w:type="dxa"/>
              <w:left w:w="80" w:type="dxa"/>
              <w:bottom w:w="80" w:type="dxa"/>
              <w:right w:w="80" w:type="dxa"/>
            </w:tcMar>
          </w:tcPr>
          <w:p w14:paraId="518D0D0F" w14:textId="77777777" w:rsidR="00127EE0" w:rsidRPr="0080313D" w:rsidRDefault="00127EE0" w:rsidP="0080313D">
            <w:pPr>
              <w:spacing w:before="40" w:after="120"/>
              <w:ind w:right="113"/>
            </w:pPr>
            <w:r w:rsidRPr="0080313D">
              <w:t>Conditional</w:t>
            </w:r>
          </w:p>
        </w:tc>
      </w:tr>
      <w:tr w:rsidR="00127EE0" w:rsidRPr="0080313D" w14:paraId="50B4B3E5" w14:textId="77777777" w:rsidTr="0080313D">
        <w:tc>
          <w:tcPr>
            <w:tcW w:w="1295" w:type="dxa"/>
            <w:shd w:val="clear" w:color="auto" w:fill="auto"/>
            <w:tcMar>
              <w:top w:w="80" w:type="dxa"/>
              <w:left w:w="80" w:type="dxa"/>
              <w:bottom w:w="80" w:type="dxa"/>
              <w:right w:w="80" w:type="dxa"/>
            </w:tcMar>
          </w:tcPr>
          <w:p w14:paraId="0D9BF049" w14:textId="77777777" w:rsidR="00127EE0" w:rsidRPr="0080313D" w:rsidRDefault="00127EE0" w:rsidP="0080313D">
            <w:pPr>
              <w:spacing w:before="40" w:after="120"/>
              <w:ind w:right="113"/>
            </w:pPr>
            <w:r w:rsidRPr="0080313D">
              <w:t>Georgia</w:t>
            </w:r>
          </w:p>
        </w:tc>
        <w:tc>
          <w:tcPr>
            <w:tcW w:w="4394" w:type="dxa"/>
            <w:shd w:val="clear" w:color="auto" w:fill="auto"/>
            <w:tcMar>
              <w:top w:w="80" w:type="dxa"/>
              <w:left w:w="80" w:type="dxa"/>
              <w:bottom w:w="80" w:type="dxa"/>
              <w:right w:w="80" w:type="dxa"/>
            </w:tcMar>
          </w:tcPr>
          <w:p w14:paraId="325DE801" w14:textId="0E82EB29" w:rsidR="00127EE0" w:rsidRPr="0080313D" w:rsidRDefault="00127EE0" w:rsidP="0080313D">
            <w:pPr>
              <w:spacing w:before="40" w:after="120"/>
              <w:ind w:right="113"/>
            </w:pPr>
            <w:r w:rsidRPr="0080313D">
              <w:t>15</w:t>
            </w:r>
            <w:r w:rsidR="009E7A4F" w:rsidRPr="0080313D">
              <w:t xml:space="preserve"> per cent</w:t>
            </w:r>
            <w:r w:rsidRPr="0080313D">
              <w:t xml:space="preserve"> below BAU by 2030</w:t>
            </w:r>
          </w:p>
        </w:tc>
        <w:tc>
          <w:tcPr>
            <w:tcW w:w="1701" w:type="dxa"/>
            <w:shd w:val="clear" w:color="auto" w:fill="auto"/>
            <w:tcMar>
              <w:top w:w="80" w:type="dxa"/>
              <w:left w:w="80" w:type="dxa"/>
              <w:bottom w:w="80" w:type="dxa"/>
              <w:right w:w="80" w:type="dxa"/>
            </w:tcMar>
          </w:tcPr>
          <w:p w14:paraId="579A2CC7" w14:textId="77777777" w:rsidR="00127EE0" w:rsidRPr="0080313D" w:rsidRDefault="00127EE0" w:rsidP="0080313D">
            <w:pPr>
              <w:spacing w:before="40" w:after="120"/>
              <w:ind w:right="113"/>
            </w:pPr>
            <w:r w:rsidRPr="0080313D">
              <w:t>Unconditional</w:t>
            </w:r>
          </w:p>
        </w:tc>
      </w:tr>
      <w:tr w:rsidR="00127EE0" w:rsidRPr="0080313D" w14:paraId="095B5564" w14:textId="77777777" w:rsidTr="0080313D">
        <w:tc>
          <w:tcPr>
            <w:tcW w:w="1295" w:type="dxa"/>
            <w:shd w:val="clear" w:color="auto" w:fill="auto"/>
            <w:tcMar>
              <w:top w:w="80" w:type="dxa"/>
              <w:left w:w="80" w:type="dxa"/>
              <w:bottom w:w="80" w:type="dxa"/>
              <w:right w:w="80" w:type="dxa"/>
            </w:tcMar>
          </w:tcPr>
          <w:p w14:paraId="3F663DB8" w14:textId="77777777" w:rsidR="00127EE0" w:rsidRPr="0080313D" w:rsidRDefault="00127EE0" w:rsidP="0080313D">
            <w:pPr>
              <w:spacing w:before="40" w:after="120"/>
              <w:ind w:right="113"/>
            </w:pPr>
            <w:r w:rsidRPr="0080313D">
              <w:t>Grenada</w:t>
            </w:r>
          </w:p>
        </w:tc>
        <w:tc>
          <w:tcPr>
            <w:tcW w:w="4394" w:type="dxa"/>
            <w:shd w:val="clear" w:color="auto" w:fill="auto"/>
            <w:tcMar>
              <w:top w:w="80" w:type="dxa"/>
              <w:left w:w="80" w:type="dxa"/>
              <w:bottom w:w="80" w:type="dxa"/>
              <w:right w:w="80" w:type="dxa"/>
            </w:tcMar>
          </w:tcPr>
          <w:p w14:paraId="505A9A67" w14:textId="4F843892" w:rsidR="00127EE0" w:rsidRPr="0080313D" w:rsidRDefault="00127EE0" w:rsidP="0080313D">
            <w:pPr>
              <w:spacing w:before="40" w:after="120"/>
              <w:ind w:right="113"/>
            </w:pPr>
            <w:r w:rsidRPr="0080313D">
              <w:t>20</w:t>
            </w:r>
            <w:r w:rsidR="009E7A4F" w:rsidRPr="0080313D">
              <w:t xml:space="preserve"> per cent</w:t>
            </w:r>
            <w:r w:rsidRPr="0080313D">
              <w:t xml:space="preserve"> below 2010 levels by 2025, with further reductions by 2030 (continuation from first NDC)</w:t>
            </w:r>
          </w:p>
        </w:tc>
        <w:tc>
          <w:tcPr>
            <w:tcW w:w="1701" w:type="dxa"/>
            <w:shd w:val="clear" w:color="auto" w:fill="auto"/>
            <w:tcMar>
              <w:top w:w="80" w:type="dxa"/>
              <w:left w:w="80" w:type="dxa"/>
              <w:bottom w:w="80" w:type="dxa"/>
              <w:right w:w="80" w:type="dxa"/>
            </w:tcMar>
          </w:tcPr>
          <w:p w14:paraId="3EE24419" w14:textId="77777777" w:rsidR="00127EE0" w:rsidRPr="0080313D" w:rsidRDefault="00127EE0" w:rsidP="0080313D">
            <w:pPr>
              <w:spacing w:before="40" w:after="120"/>
              <w:ind w:right="113"/>
            </w:pPr>
            <w:r w:rsidRPr="0080313D">
              <w:t>Conditional</w:t>
            </w:r>
          </w:p>
        </w:tc>
      </w:tr>
      <w:tr w:rsidR="00127EE0" w:rsidRPr="0080313D" w14:paraId="3CEB03EB" w14:textId="77777777" w:rsidTr="0080313D">
        <w:tc>
          <w:tcPr>
            <w:tcW w:w="1295" w:type="dxa"/>
            <w:shd w:val="clear" w:color="auto" w:fill="auto"/>
            <w:tcMar>
              <w:top w:w="80" w:type="dxa"/>
              <w:left w:w="80" w:type="dxa"/>
              <w:bottom w:w="80" w:type="dxa"/>
              <w:right w:w="80" w:type="dxa"/>
            </w:tcMar>
          </w:tcPr>
          <w:p w14:paraId="0FE79CCC" w14:textId="77777777" w:rsidR="00127EE0" w:rsidRPr="0080313D" w:rsidRDefault="00127EE0" w:rsidP="0080313D">
            <w:pPr>
              <w:spacing w:before="40" w:after="120"/>
              <w:ind w:right="113"/>
            </w:pPr>
            <w:r w:rsidRPr="0080313D">
              <w:t>Guinea</w:t>
            </w:r>
          </w:p>
        </w:tc>
        <w:tc>
          <w:tcPr>
            <w:tcW w:w="4394" w:type="dxa"/>
            <w:shd w:val="clear" w:color="auto" w:fill="auto"/>
            <w:tcMar>
              <w:top w:w="80" w:type="dxa"/>
              <w:left w:w="80" w:type="dxa"/>
              <w:bottom w:w="80" w:type="dxa"/>
              <w:right w:w="80" w:type="dxa"/>
            </w:tcMar>
          </w:tcPr>
          <w:p w14:paraId="4376EBD1" w14:textId="77777777" w:rsidR="00127EE0" w:rsidRPr="0080313D" w:rsidRDefault="00127EE0" w:rsidP="0080313D">
            <w:pPr>
              <w:spacing w:before="40" w:after="120"/>
              <w:ind w:right="113"/>
            </w:pPr>
            <w:r w:rsidRPr="0080313D">
              <w:t xml:space="preserve">2,300 </w:t>
            </w:r>
            <w:proofErr w:type="spellStart"/>
            <w:r w:rsidRPr="0080313D">
              <w:t>kilotonnes</w:t>
            </w:r>
            <w:proofErr w:type="spellEnd"/>
            <w:r w:rsidRPr="0080313D">
              <w:t xml:space="preserve"> per year below BAU by 2030 (unconditional)</w:t>
            </w:r>
          </w:p>
          <w:p w14:paraId="4441831F" w14:textId="77777777" w:rsidR="00127EE0" w:rsidRPr="0080313D" w:rsidRDefault="00127EE0" w:rsidP="0080313D">
            <w:pPr>
              <w:spacing w:before="40" w:after="120"/>
              <w:ind w:right="113"/>
              <w:rPr>
                <w:szCs w:val="16"/>
              </w:rPr>
            </w:pPr>
            <w:r w:rsidRPr="0080313D">
              <w:lastRenderedPageBreak/>
              <w:t xml:space="preserve">2,600 </w:t>
            </w:r>
            <w:proofErr w:type="spellStart"/>
            <w:r w:rsidRPr="0080313D">
              <w:t>kilotonnes</w:t>
            </w:r>
            <w:proofErr w:type="spellEnd"/>
            <w:r w:rsidRPr="0080313D">
              <w:t xml:space="preserve"> per year below unconditional scenario by 2030 (conditional)</w:t>
            </w:r>
          </w:p>
        </w:tc>
        <w:tc>
          <w:tcPr>
            <w:tcW w:w="1701" w:type="dxa"/>
            <w:shd w:val="clear" w:color="auto" w:fill="auto"/>
            <w:tcMar>
              <w:top w:w="80" w:type="dxa"/>
              <w:left w:w="80" w:type="dxa"/>
              <w:bottom w:w="80" w:type="dxa"/>
              <w:right w:w="80" w:type="dxa"/>
            </w:tcMar>
          </w:tcPr>
          <w:p w14:paraId="20502012" w14:textId="77777777" w:rsidR="00127EE0" w:rsidRPr="0080313D" w:rsidRDefault="00127EE0" w:rsidP="0080313D">
            <w:pPr>
              <w:spacing w:before="40" w:after="120"/>
              <w:ind w:right="113"/>
            </w:pPr>
            <w:r w:rsidRPr="0080313D">
              <w:lastRenderedPageBreak/>
              <w:t>Unconditional, conditional</w:t>
            </w:r>
          </w:p>
        </w:tc>
      </w:tr>
      <w:tr w:rsidR="00127EE0" w:rsidRPr="0080313D" w14:paraId="548845A1" w14:textId="77777777" w:rsidTr="0080313D">
        <w:tc>
          <w:tcPr>
            <w:tcW w:w="1295" w:type="dxa"/>
            <w:shd w:val="clear" w:color="auto" w:fill="auto"/>
            <w:tcMar>
              <w:top w:w="80" w:type="dxa"/>
              <w:left w:w="80" w:type="dxa"/>
              <w:bottom w:w="80" w:type="dxa"/>
              <w:right w:w="80" w:type="dxa"/>
            </w:tcMar>
          </w:tcPr>
          <w:p w14:paraId="1F021CC0" w14:textId="77777777" w:rsidR="00127EE0" w:rsidRPr="0080313D" w:rsidRDefault="00127EE0" w:rsidP="0080313D">
            <w:pPr>
              <w:spacing w:before="40" w:after="120"/>
              <w:ind w:right="113"/>
            </w:pPr>
            <w:r w:rsidRPr="0080313D">
              <w:t>Israel</w:t>
            </w:r>
          </w:p>
        </w:tc>
        <w:tc>
          <w:tcPr>
            <w:tcW w:w="4394" w:type="dxa"/>
            <w:shd w:val="clear" w:color="auto" w:fill="auto"/>
            <w:tcMar>
              <w:top w:w="80" w:type="dxa"/>
              <w:left w:w="80" w:type="dxa"/>
              <w:bottom w:w="80" w:type="dxa"/>
              <w:right w:w="80" w:type="dxa"/>
            </w:tcMar>
          </w:tcPr>
          <w:p w14:paraId="2F15A514" w14:textId="2D38C650" w:rsidR="00127EE0" w:rsidRPr="0080313D" w:rsidRDefault="00127EE0" w:rsidP="0080313D">
            <w:pPr>
              <w:spacing w:before="40" w:after="120"/>
              <w:ind w:right="113"/>
            </w:pPr>
            <w:r w:rsidRPr="0080313D">
              <w:t>No more than 3.3</w:t>
            </w:r>
            <w:r w:rsidR="009E7A4F" w:rsidRPr="0080313D">
              <w:t xml:space="preserve"> per cent</w:t>
            </w:r>
            <w:r w:rsidRPr="0080313D">
              <w:t xml:space="preserve"> above 2015 levels by 2030; 96</w:t>
            </w:r>
            <w:r w:rsidR="009E7A4F" w:rsidRPr="0080313D">
              <w:t xml:space="preserve"> per cent</w:t>
            </w:r>
            <w:r w:rsidRPr="0080313D">
              <w:t xml:space="preserve"> below 2015 levels by 2050</w:t>
            </w:r>
          </w:p>
        </w:tc>
        <w:tc>
          <w:tcPr>
            <w:tcW w:w="1701" w:type="dxa"/>
            <w:shd w:val="clear" w:color="auto" w:fill="auto"/>
            <w:tcMar>
              <w:top w:w="80" w:type="dxa"/>
              <w:left w:w="80" w:type="dxa"/>
              <w:bottom w:w="80" w:type="dxa"/>
              <w:right w:w="80" w:type="dxa"/>
            </w:tcMar>
          </w:tcPr>
          <w:p w14:paraId="6C6AB400" w14:textId="77777777" w:rsidR="00127EE0" w:rsidRPr="0080313D" w:rsidRDefault="00127EE0" w:rsidP="0080313D">
            <w:pPr>
              <w:spacing w:before="40" w:after="120"/>
              <w:ind w:right="113"/>
            </w:pPr>
            <w:r w:rsidRPr="0080313D">
              <w:t>Unconditional</w:t>
            </w:r>
          </w:p>
        </w:tc>
      </w:tr>
      <w:tr w:rsidR="00127EE0" w:rsidRPr="0080313D" w14:paraId="77741AE0" w14:textId="77777777" w:rsidTr="0080313D">
        <w:tc>
          <w:tcPr>
            <w:tcW w:w="1295" w:type="dxa"/>
            <w:shd w:val="clear" w:color="auto" w:fill="auto"/>
            <w:tcMar>
              <w:top w:w="80" w:type="dxa"/>
              <w:left w:w="80" w:type="dxa"/>
              <w:bottom w:w="80" w:type="dxa"/>
              <w:right w:w="80" w:type="dxa"/>
            </w:tcMar>
          </w:tcPr>
          <w:p w14:paraId="0AE42568" w14:textId="77777777" w:rsidR="00127EE0" w:rsidRPr="0080313D" w:rsidRDefault="00127EE0" w:rsidP="0080313D">
            <w:pPr>
              <w:spacing w:before="40" w:after="120"/>
              <w:ind w:right="113"/>
            </w:pPr>
            <w:r w:rsidRPr="0080313D">
              <w:t>Japan</w:t>
            </w:r>
          </w:p>
        </w:tc>
        <w:tc>
          <w:tcPr>
            <w:tcW w:w="4394" w:type="dxa"/>
            <w:shd w:val="clear" w:color="auto" w:fill="auto"/>
            <w:tcMar>
              <w:top w:w="80" w:type="dxa"/>
              <w:left w:w="80" w:type="dxa"/>
              <w:bottom w:w="80" w:type="dxa"/>
              <w:right w:w="80" w:type="dxa"/>
            </w:tcMar>
          </w:tcPr>
          <w:p w14:paraId="6D7BBA2E" w14:textId="7F7100CD" w:rsidR="00127EE0" w:rsidRPr="0080313D" w:rsidRDefault="00127EE0" w:rsidP="0080313D">
            <w:pPr>
              <w:spacing w:before="40" w:after="120"/>
              <w:ind w:right="113"/>
            </w:pPr>
            <w:r w:rsidRPr="0080313D">
              <w:t>27</w:t>
            </w:r>
            <w:r w:rsidR="009E7A4F" w:rsidRPr="0080313D">
              <w:t xml:space="preserve"> per cent</w:t>
            </w:r>
            <w:r w:rsidRPr="0080313D">
              <w:t xml:space="preserve"> below 2013 levels by 2030, to reach 163 million tonnes or less (continuation from first NDC)</w:t>
            </w:r>
          </w:p>
        </w:tc>
        <w:tc>
          <w:tcPr>
            <w:tcW w:w="1701" w:type="dxa"/>
            <w:shd w:val="clear" w:color="auto" w:fill="auto"/>
            <w:tcMar>
              <w:top w:w="80" w:type="dxa"/>
              <w:left w:w="80" w:type="dxa"/>
              <w:bottom w:w="80" w:type="dxa"/>
              <w:right w:w="80" w:type="dxa"/>
            </w:tcMar>
          </w:tcPr>
          <w:p w14:paraId="3EA267C7" w14:textId="77777777" w:rsidR="00127EE0" w:rsidRPr="0080313D" w:rsidRDefault="00127EE0" w:rsidP="0080313D">
            <w:pPr>
              <w:spacing w:before="40" w:after="120"/>
              <w:ind w:right="113"/>
            </w:pPr>
            <w:r w:rsidRPr="0080313D">
              <w:t>Unconditional</w:t>
            </w:r>
          </w:p>
        </w:tc>
      </w:tr>
      <w:tr w:rsidR="00127EE0" w:rsidRPr="0080313D" w14:paraId="4C13EFE8" w14:textId="77777777" w:rsidTr="0080313D">
        <w:tc>
          <w:tcPr>
            <w:tcW w:w="1295" w:type="dxa"/>
            <w:shd w:val="clear" w:color="auto" w:fill="auto"/>
            <w:tcMar>
              <w:top w:w="80" w:type="dxa"/>
              <w:left w:w="80" w:type="dxa"/>
              <w:bottom w:w="80" w:type="dxa"/>
              <w:right w:w="80" w:type="dxa"/>
            </w:tcMar>
          </w:tcPr>
          <w:p w14:paraId="3C37FE8F" w14:textId="77777777" w:rsidR="00127EE0" w:rsidRPr="0080313D" w:rsidRDefault="00127EE0" w:rsidP="0080313D">
            <w:pPr>
              <w:spacing w:before="40" w:after="120"/>
              <w:ind w:right="113"/>
            </w:pPr>
            <w:r w:rsidRPr="0080313D">
              <w:t>Liberia</w:t>
            </w:r>
          </w:p>
        </w:tc>
        <w:tc>
          <w:tcPr>
            <w:tcW w:w="4394" w:type="dxa"/>
            <w:shd w:val="clear" w:color="auto" w:fill="auto"/>
            <w:tcMar>
              <w:top w:w="80" w:type="dxa"/>
              <w:left w:w="80" w:type="dxa"/>
              <w:bottom w:w="80" w:type="dxa"/>
              <w:right w:w="80" w:type="dxa"/>
            </w:tcMar>
          </w:tcPr>
          <w:p w14:paraId="4B2D7F1A" w14:textId="761CBF0E" w:rsidR="00127EE0" w:rsidRPr="0080313D" w:rsidRDefault="00127EE0" w:rsidP="0080313D">
            <w:pPr>
              <w:spacing w:before="40" w:after="120"/>
              <w:ind w:right="113"/>
            </w:pPr>
            <w:r w:rsidRPr="0080313D">
              <w:t>15.1</w:t>
            </w:r>
            <w:r w:rsidR="009E7A4F" w:rsidRPr="0080313D">
              <w:t xml:space="preserve"> per cent</w:t>
            </w:r>
            <w:r w:rsidRPr="0080313D">
              <w:t xml:space="preserve"> below BAU by 2030</w:t>
            </w:r>
          </w:p>
        </w:tc>
        <w:tc>
          <w:tcPr>
            <w:tcW w:w="1701" w:type="dxa"/>
            <w:shd w:val="clear" w:color="auto" w:fill="auto"/>
            <w:tcMar>
              <w:top w:w="80" w:type="dxa"/>
              <w:left w:w="80" w:type="dxa"/>
              <w:bottom w:w="80" w:type="dxa"/>
              <w:right w:w="80" w:type="dxa"/>
            </w:tcMar>
          </w:tcPr>
          <w:p w14:paraId="2B71E967" w14:textId="77777777" w:rsidR="00127EE0" w:rsidRPr="0080313D" w:rsidRDefault="00127EE0" w:rsidP="0080313D">
            <w:pPr>
              <w:spacing w:before="40" w:after="120"/>
              <w:ind w:right="113"/>
            </w:pPr>
            <w:r w:rsidRPr="0080313D">
              <w:t>Conditional</w:t>
            </w:r>
          </w:p>
        </w:tc>
      </w:tr>
      <w:tr w:rsidR="00127EE0" w:rsidRPr="0080313D" w14:paraId="6C88E2B2" w14:textId="77777777" w:rsidTr="0080313D">
        <w:tc>
          <w:tcPr>
            <w:tcW w:w="1295" w:type="dxa"/>
            <w:shd w:val="clear" w:color="auto" w:fill="auto"/>
            <w:tcMar>
              <w:top w:w="80" w:type="dxa"/>
              <w:left w:w="80" w:type="dxa"/>
              <w:bottom w:w="80" w:type="dxa"/>
              <w:right w:w="80" w:type="dxa"/>
            </w:tcMar>
          </w:tcPr>
          <w:p w14:paraId="33E768CE" w14:textId="77777777" w:rsidR="00127EE0" w:rsidRPr="0080313D" w:rsidRDefault="00127EE0" w:rsidP="0080313D">
            <w:pPr>
              <w:spacing w:before="40" w:after="120"/>
              <w:ind w:right="113"/>
            </w:pPr>
            <w:r w:rsidRPr="0080313D">
              <w:t>Mauritania</w:t>
            </w:r>
          </w:p>
        </w:tc>
        <w:tc>
          <w:tcPr>
            <w:tcW w:w="4394" w:type="dxa"/>
            <w:shd w:val="clear" w:color="auto" w:fill="auto"/>
            <w:tcMar>
              <w:top w:w="80" w:type="dxa"/>
              <w:left w:w="80" w:type="dxa"/>
              <w:bottom w:w="80" w:type="dxa"/>
              <w:right w:w="80" w:type="dxa"/>
            </w:tcMar>
          </w:tcPr>
          <w:p w14:paraId="4FAC724A" w14:textId="47DA6DAD" w:rsidR="00127EE0" w:rsidRPr="0080313D" w:rsidRDefault="00127EE0" w:rsidP="0080313D">
            <w:pPr>
              <w:spacing w:before="40" w:after="120"/>
              <w:ind w:right="113"/>
            </w:pPr>
            <w:r w:rsidRPr="0080313D">
              <w:t>5.21</w:t>
            </w:r>
            <w:r w:rsidR="009E7A4F" w:rsidRPr="0080313D">
              <w:t xml:space="preserve"> per cent</w:t>
            </w:r>
            <w:r w:rsidRPr="0080313D">
              <w:t xml:space="preserve"> by 2030, avoiding 92.7 Gg between 2021 and 2030</w:t>
            </w:r>
          </w:p>
        </w:tc>
        <w:tc>
          <w:tcPr>
            <w:tcW w:w="1701" w:type="dxa"/>
            <w:shd w:val="clear" w:color="auto" w:fill="auto"/>
            <w:tcMar>
              <w:top w:w="80" w:type="dxa"/>
              <w:left w:w="80" w:type="dxa"/>
              <w:bottom w:w="80" w:type="dxa"/>
              <w:right w:w="80" w:type="dxa"/>
            </w:tcMar>
          </w:tcPr>
          <w:p w14:paraId="25A9575A" w14:textId="77777777" w:rsidR="00127EE0" w:rsidRPr="0080313D" w:rsidRDefault="00127EE0" w:rsidP="0080313D">
            <w:pPr>
              <w:spacing w:before="40" w:after="120"/>
              <w:ind w:right="113"/>
            </w:pPr>
            <w:r w:rsidRPr="0080313D">
              <w:t>Unconditional</w:t>
            </w:r>
          </w:p>
        </w:tc>
      </w:tr>
      <w:tr w:rsidR="00127EE0" w:rsidRPr="0080313D" w14:paraId="02890B7D" w14:textId="77777777" w:rsidTr="0080313D">
        <w:tc>
          <w:tcPr>
            <w:tcW w:w="1295" w:type="dxa"/>
            <w:shd w:val="clear" w:color="auto" w:fill="auto"/>
            <w:tcMar>
              <w:top w:w="80" w:type="dxa"/>
              <w:left w:w="80" w:type="dxa"/>
              <w:bottom w:w="80" w:type="dxa"/>
              <w:right w:w="80" w:type="dxa"/>
            </w:tcMar>
          </w:tcPr>
          <w:p w14:paraId="5A6DC00C" w14:textId="77777777" w:rsidR="00127EE0" w:rsidRPr="0080313D" w:rsidRDefault="00127EE0" w:rsidP="0080313D">
            <w:pPr>
              <w:spacing w:before="40" w:after="120"/>
              <w:ind w:right="113"/>
            </w:pPr>
            <w:r w:rsidRPr="0080313D">
              <w:t xml:space="preserve">Mauritius </w:t>
            </w:r>
          </w:p>
        </w:tc>
        <w:tc>
          <w:tcPr>
            <w:tcW w:w="4394" w:type="dxa"/>
            <w:shd w:val="clear" w:color="auto" w:fill="auto"/>
            <w:tcMar>
              <w:top w:w="80" w:type="dxa"/>
              <w:left w:w="80" w:type="dxa"/>
              <w:bottom w:w="80" w:type="dxa"/>
              <w:right w:w="80" w:type="dxa"/>
            </w:tcMar>
          </w:tcPr>
          <w:p w14:paraId="3F6D7017" w14:textId="5E9E1CD1" w:rsidR="00127EE0" w:rsidRPr="0080313D" w:rsidRDefault="00127EE0" w:rsidP="0080313D">
            <w:pPr>
              <w:spacing w:before="40" w:after="120"/>
              <w:ind w:right="113"/>
            </w:pPr>
            <w:r w:rsidRPr="0080313D">
              <w:t xml:space="preserve">Limit to 129 </w:t>
            </w:r>
            <w:proofErr w:type="spellStart"/>
            <w:r w:rsidRPr="0080313D">
              <w:t>kilotonnes</w:t>
            </w:r>
            <w:proofErr w:type="spellEnd"/>
            <w:r w:rsidRPr="0080313D">
              <w:t xml:space="preserve"> per year by 2030 </w:t>
            </w:r>
            <w:r w:rsidRPr="0080313D">
              <w:tab/>
            </w:r>
          </w:p>
        </w:tc>
        <w:tc>
          <w:tcPr>
            <w:tcW w:w="1701" w:type="dxa"/>
            <w:shd w:val="clear" w:color="auto" w:fill="auto"/>
            <w:tcMar>
              <w:top w:w="80" w:type="dxa"/>
              <w:left w:w="80" w:type="dxa"/>
              <w:bottom w:w="80" w:type="dxa"/>
              <w:right w:w="80" w:type="dxa"/>
            </w:tcMar>
          </w:tcPr>
          <w:p w14:paraId="6471F320" w14:textId="77777777" w:rsidR="00127EE0" w:rsidRPr="0080313D" w:rsidRDefault="00127EE0" w:rsidP="0080313D">
            <w:pPr>
              <w:spacing w:before="40" w:after="120"/>
              <w:ind w:right="113"/>
            </w:pPr>
            <w:r w:rsidRPr="0080313D">
              <w:t>Unconditional</w:t>
            </w:r>
          </w:p>
        </w:tc>
      </w:tr>
      <w:tr w:rsidR="00127EE0" w:rsidRPr="0080313D" w14:paraId="772FFFFC" w14:textId="77777777" w:rsidTr="0080313D">
        <w:tc>
          <w:tcPr>
            <w:tcW w:w="1295" w:type="dxa"/>
            <w:shd w:val="clear" w:color="auto" w:fill="auto"/>
            <w:tcMar>
              <w:top w:w="80" w:type="dxa"/>
              <w:left w:w="80" w:type="dxa"/>
              <w:bottom w:w="80" w:type="dxa"/>
              <w:right w:w="80" w:type="dxa"/>
            </w:tcMar>
          </w:tcPr>
          <w:p w14:paraId="5E8A6D5C" w14:textId="77777777" w:rsidR="00127EE0" w:rsidRPr="0080313D" w:rsidRDefault="00127EE0" w:rsidP="0080313D">
            <w:pPr>
              <w:spacing w:before="40" w:after="120"/>
              <w:ind w:right="113"/>
            </w:pPr>
            <w:r w:rsidRPr="0080313D">
              <w:t>Seychelles</w:t>
            </w:r>
          </w:p>
        </w:tc>
        <w:tc>
          <w:tcPr>
            <w:tcW w:w="4394" w:type="dxa"/>
            <w:shd w:val="clear" w:color="auto" w:fill="auto"/>
            <w:tcMar>
              <w:top w:w="80" w:type="dxa"/>
              <w:left w:w="80" w:type="dxa"/>
              <w:bottom w:w="80" w:type="dxa"/>
              <w:right w:w="80" w:type="dxa"/>
            </w:tcMar>
          </w:tcPr>
          <w:p w14:paraId="7F92500A" w14:textId="161448CD" w:rsidR="00127EE0" w:rsidRPr="0080313D" w:rsidRDefault="00127EE0" w:rsidP="0080313D">
            <w:pPr>
              <w:spacing w:before="40" w:after="120"/>
              <w:ind w:right="113"/>
            </w:pPr>
            <w:r w:rsidRPr="0080313D">
              <w:t>30</w:t>
            </w:r>
            <w:r w:rsidR="009E7A4F" w:rsidRPr="0080313D">
              <w:t xml:space="preserve"> per cent</w:t>
            </w:r>
            <w:r w:rsidRPr="0080313D">
              <w:t xml:space="preserve"> below BAU for petrol vehicles by 2030</w:t>
            </w:r>
          </w:p>
        </w:tc>
        <w:tc>
          <w:tcPr>
            <w:tcW w:w="1701" w:type="dxa"/>
            <w:shd w:val="clear" w:color="auto" w:fill="auto"/>
            <w:tcMar>
              <w:top w:w="80" w:type="dxa"/>
              <w:left w:w="80" w:type="dxa"/>
              <w:bottom w:w="80" w:type="dxa"/>
              <w:right w:w="80" w:type="dxa"/>
            </w:tcMar>
          </w:tcPr>
          <w:p w14:paraId="2B159CE0" w14:textId="77777777" w:rsidR="00127EE0" w:rsidRPr="0080313D" w:rsidRDefault="00127EE0" w:rsidP="0080313D">
            <w:pPr>
              <w:spacing w:before="40" w:after="120"/>
              <w:ind w:right="113"/>
            </w:pPr>
            <w:r w:rsidRPr="0080313D">
              <w:t>Conditional</w:t>
            </w:r>
          </w:p>
        </w:tc>
      </w:tr>
      <w:tr w:rsidR="00127EE0" w:rsidRPr="0080313D" w14:paraId="6B899736" w14:textId="77777777" w:rsidTr="0080313D">
        <w:tc>
          <w:tcPr>
            <w:tcW w:w="1295" w:type="dxa"/>
            <w:shd w:val="clear" w:color="auto" w:fill="auto"/>
            <w:tcMar>
              <w:top w:w="80" w:type="dxa"/>
              <w:left w:w="80" w:type="dxa"/>
              <w:bottom w:w="80" w:type="dxa"/>
              <w:right w:w="80" w:type="dxa"/>
            </w:tcMar>
          </w:tcPr>
          <w:p w14:paraId="077C52BF" w14:textId="77777777" w:rsidR="00127EE0" w:rsidRPr="0080313D" w:rsidRDefault="00127EE0" w:rsidP="0080313D">
            <w:pPr>
              <w:spacing w:before="40" w:after="120"/>
              <w:ind w:right="113"/>
            </w:pPr>
            <w:r w:rsidRPr="0080313D">
              <w:t>Samoa</w:t>
            </w:r>
          </w:p>
        </w:tc>
        <w:tc>
          <w:tcPr>
            <w:tcW w:w="4394" w:type="dxa"/>
            <w:shd w:val="clear" w:color="auto" w:fill="auto"/>
            <w:tcMar>
              <w:top w:w="80" w:type="dxa"/>
              <w:left w:w="80" w:type="dxa"/>
              <w:bottom w:w="80" w:type="dxa"/>
              <w:right w:w="80" w:type="dxa"/>
            </w:tcMar>
          </w:tcPr>
          <w:p w14:paraId="477F27F4" w14:textId="77777777" w:rsidR="00127EE0" w:rsidRPr="0080313D" w:rsidRDefault="00127EE0" w:rsidP="0080313D">
            <w:pPr>
              <w:spacing w:before="40" w:after="120"/>
              <w:ind w:right="113"/>
            </w:pPr>
            <w:r w:rsidRPr="0080313D">
              <w:t>5.2 Gg (land transport) and 3 Gg (maritime transport) by 2030</w:t>
            </w:r>
          </w:p>
        </w:tc>
        <w:tc>
          <w:tcPr>
            <w:tcW w:w="1701" w:type="dxa"/>
            <w:shd w:val="clear" w:color="auto" w:fill="auto"/>
            <w:tcMar>
              <w:top w:w="80" w:type="dxa"/>
              <w:left w:w="80" w:type="dxa"/>
              <w:bottom w:w="80" w:type="dxa"/>
              <w:right w:w="80" w:type="dxa"/>
            </w:tcMar>
          </w:tcPr>
          <w:p w14:paraId="742C88D0" w14:textId="77777777" w:rsidR="00127EE0" w:rsidRPr="0080313D" w:rsidRDefault="00127EE0" w:rsidP="0080313D">
            <w:pPr>
              <w:spacing w:before="40" w:after="120"/>
              <w:ind w:right="113"/>
            </w:pPr>
            <w:r w:rsidRPr="0080313D">
              <w:t>Unconditional</w:t>
            </w:r>
          </w:p>
        </w:tc>
      </w:tr>
      <w:tr w:rsidR="00127EE0" w:rsidRPr="0080313D" w14:paraId="23133AC8" w14:textId="77777777" w:rsidTr="0080313D">
        <w:tc>
          <w:tcPr>
            <w:tcW w:w="1295" w:type="dxa"/>
            <w:shd w:val="clear" w:color="auto" w:fill="auto"/>
            <w:tcMar>
              <w:top w:w="80" w:type="dxa"/>
              <w:left w:w="80" w:type="dxa"/>
              <w:bottom w:w="80" w:type="dxa"/>
              <w:right w:w="80" w:type="dxa"/>
            </w:tcMar>
          </w:tcPr>
          <w:p w14:paraId="187AD201" w14:textId="77777777" w:rsidR="00127EE0" w:rsidRPr="0080313D" w:rsidRDefault="00127EE0" w:rsidP="0080313D">
            <w:pPr>
              <w:spacing w:before="40" w:after="120"/>
              <w:ind w:right="113"/>
            </w:pPr>
            <w:r w:rsidRPr="0080313D">
              <w:t>South Sudan</w:t>
            </w:r>
          </w:p>
        </w:tc>
        <w:tc>
          <w:tcPr>
            <w:tcW w:w="4394" w:type="dxa"/>
            <w:shd w:val="clear" w:color="auto" w:fill="auto"/>
            <w:tcMar>
              <w:top w:w="80" w:type="dxa"/>
              <w:left w:w="80" w:type="dxa"/>
              <w:bottom w:w="80" w:type="dxa"/>
              <w:right w:w="80" w:type="dxa"/>
            </w:tcMar>
          </w:tcPr>
          <w:p w14:paraId="3AD72CAE" w14:textId="7060C529" w:rsidR="00127EE0" w:rsidRPr="0080313D" w:rsidRDefault="00127EE0" w:rsidP="0080313D">
            <w:pPr>
              <w:spacing w:before="40" w:after="120"/>
              <w:ind w:right="113"/>
            </w:pPr>
            <w:r w:rsidRPr="0080313D">
              <w:t>44</w:t>
            </w:r>
            <w:r w:rsidR="009E7A4F" w:rsidRPr="0080313D">
              <w:t xml:space="preserve"> per cent</w:t>
            </w:r>
            <w:r w:rsidRPr="0080313D">
              <w:t xml:space="preserve"> below BAU by 2030</w:t>
            </w:r>
          </w:p>
        </w:tc>
        <w:tc>
          <w:tcPr>
            <w:tcW w:w="1701" w:type="dxa"/>
            <w:shd w:val="clear" w:color="auto" w:fill="auto"/>
            <w:tcMar>
              <w:top w:w="80" w:type="dxa"/>
              <w:left w:w="80" w:type="dxa"/>
              <w:bottom w:w="80" w:type="dxa"/>
              <w:right w:w="80" w:type="dxa"/>
            </w:tcMar>
          </w:tcPr>
          <w:p w14:paraId="6BD9F184" w14:textId="77777777" w:rsidR="00127EE0" w:rsidRPr="0080313D" w:rsidRDefault="00127EE0" w:rsidP="0080313D">
            <w:pPr>
              <w:spacing w:before="40" w:after="120"/>
              <w:ind w:right="113"/>
            </w:pPr>
            <w:r w:rsidRPr="0080313D">
              <w:t>Unconditional</w:t>
            </w:r>
          </w:p>
        </w:tc>
      </w:tr>
      <w:tr w:rsidR="00127EE0" w:rsidRPr="0080313D" w14:paraId="69841AAB" w14:textId="77777777" w:rsidTr="0080313D">
        <w:tc>
          <w:tcPr>
            <w:tcW w:w="1295" w:type="dxa"/>
            <w:shd w:val="clear" w:color="auto" w:fill="auto"/>
            <w:tcMar>
              <w:top w:w="80" w:type="dxa"/>
              <w:left w:w="80" w:type="dxa"/>
              <w:bottom w:w="80" w:type="dxa"/>
              <w:right w:w="80" w:type="dxa"/>
            </w:tcMar>
          </w:tcPr>
          <w:p w14:paraId="33C2DECD" w14:textId="77777777" w:rsidR="00127EE0" w:rsidRPr="0080313D" w:rsidRDefault="00127EE0" w:rsidP="0080313D">
            <w:pPr>
              <w:spacing w:before="40" w:after="120"/>
              <w:ind w:right="113"/>
            </w:pPr>
            <w:r w:rsidRPr="0080313D">
              <w:t>Sri Lanka</w:t>
            </w:r>
          </w:p>
        </w:tc>
        <w:tc>
          <w:tcPr>
            <w:tcW w:w="4394" w:type="dxa"/>
            <w:shd w:val="clear" w:color="auto" w:fill="auto"/>
            <w:tcMar>
              <w:top w:w="80" w:type="dxa"/>
              <w:left w:w="80" w:type="dxa"/>
              <w:bottom w:w="80" w:type="dxa"/>
              <w:right w:w="80" w:type="dxa"/>
            </w:tcMar>
          </w:tcPr>
          <w:p w14:paraId="55EA37A3" w14:textId="30831C29" w:rsidR="00127EE0" w:rsidRPr="0080313D" w:rsidRDefault="00127EE0" w:rsidP="0080313D">
            <w:pPr>
              <w:spacing w:before="40" w:after="120"/>
              <w:ind w:right="113"/>
            </w:pPr>
            <w:r w:rsidRPr="0080313D">
              <w:t>4</w:t>
            </w:r>
            <w:r w:rsidR="009E7A4F" w:rsidRPr="0080313D">
              <w:t xml:space="preserve"> per cent</w:t>
            </w:r>
            <w:r w:rsidRPr="0080313D">
              <w:t xml:space="preserve"> below BAU by 2030 (1</w:t>
            </w:r>
            <w:r w:rsidR="009E7A4F" w:rsidRPr="0080313D">
              <w:t xml:space="preserve"> per cent</w:t>
            </w:r>
            <w:r w:rsidRPr="0080313D">
              <w:t xml:space="preserve"> unconditional, 3</w:t>
            </w:r>
            <w:r w:rsidR="009E7A4F" w:rsidRPr="0080313D">
              <w:t xml:space="preserve"> per cent</w:t>
            </w:r>
            <w:r w:rsidRPr="0080313D">
              <w:t xml:space="preserve"> conditional)</w:t>
            </w:r>
          </w:p>
        </w:tc>
        <w:tc>
          <w:tcPr>
            <w:tcW w:w="1701" w:type="dxa"/>
            <w:shd w:val="clear" w:color="auto" w:fill="auto"/>
            <w:tcMar>
              <w:top w:w="80" w:type="dxa"/>
              <w:left w:w="80" w:type="dxa"/>
              <w:bottom w:w="80" w:type="dxa"/>
              <w:right w:w="80" w:type="dxa"/>
            </w:tcMar>
          </w:tcPr>
          <w:p w14:paraId="156547E7" w14:textId="77777777" w:rsidR="00127EE0" w:rsidRPr="0080313D" w:rsidRDefault="00127EE0" w:rsidP="0080313D">
            <w:pPr>
              <w:spacing w:before="40" w:after="120"/>
              <w:ind w:right="113"/>
            </w:pPr>
            <w:r w:rsidRPr="0080313D">
              <w:t>Unconditional, conditional</w:t>
            </w:r>
          </w:p>
        </w:tc>
      </w:tr>
      <w:tr w:rsidR="00127EE0" w:rsidRPr="0080313D" w14:paraId="0B48C6BF" w14:textId="77777777" w:rsidTr="0080313D">
        <w:tc>
          <w:tcPr>
            <w:tcW w:w="1295" w:type="dxa"/>
            <w:shd w:val="clear" w:color="auto" w:fill="auto"/>
            <w:tcMar>
              <w:top w:w="80" w:type="dxa"/>
              <w:left w:w="80" w:type="dxa"/>
              <w:bottom w:w="80" w:type="dxa"/>
              <w:right w:w="80" w:type="dxa"/>
            </w:tcMar>
          </w:tcPr>
          <w:p w14:paraId="0C000357" w14:textId="77777777" w:rsidR="00127EE0" w:rsidRPr="0080313D" w:rsidRDefault="00127EE0" w:rsidP="0080313D">
            <w:pPr>
              <w:spacing w:before="40" w:after="120"/>
              <w:ind w:right="113"/>
            </w:pPr>
            <w:r w:rsidRPr="0080313D">
              <w:t>Uganda</w:t>
            </w:r>
          </w:p>
        </w:tc>
        <w:tc>
          <w:tcPr>
            <w:tcW w:w="4394" w:type="dxa"/>
            <w:shd w:val="clear" w:color="auto" w:fill="auto"/>
            <w:tcMar>
              <w:top w:w="80" w:type="dxa"/>
              <w:left w:w="80" w:type="dxa"/>
              <w:bottom w:w="80" w:type="dxa"/>
              <w:right w:w="80" w:type="dxa"/>
            </w:tcMar>
          </w:tcPr>
          <w:p w14:paraId="778CE5B0" w14:textId="52A44CCC" w:rsidR="00127EE0" w:rsidRPr="0080313D" w:rsidRDefault="00127EE0" w:rsidP="0080313D">
            <w:pPr>
              <w:spacing w:before="40" w:after="120"/>
              <w:ind w:right="113"/>
            </w:pPr>
            <w:r w:rsidRPr="0080313D">
              <w:t>29</w:t>
            </w:r>
            <w:r w:rsidR="009E7A4F" w:rsidRPr="0080313D">
              <w:t xml:space="preserve"> per cent</w:t>
            </w:r>
            <w:r w:rsidRPr="0080313D">
              <w:t xml:space="preserve"> below BAU by 2030, reducing from 9.6 million tonnes under BAU to 6.8 million tonnes</w:t>
            </w:r>
          </w:p>
        </w:tc>
        <w:tc>
          <w:tcPr>
            <w:tcW w:w="1701" w:type="dxa"/>
            <w:shd w:val="clear" w:color="auto" w:fill="auto"/>
            <w:tcMar>
              <w:top w:w="80" w:type="dxa"/>
              <w:left w:w="80" w:type="dxa"/>
              <w:bottom w:w="80" w:type="dxa"/>
              <w:right w:w="80" w:type="dxa"/>
            </w:tcMar>
          </w:tcPr>
          <w:p w14:paraId="73547CE8" w14:textId="77777777" w:rsidR="00127EE0" w:rsidRPr="0080313D" w:rsidRDefault="00127EE0" w:rsidP="0080313D">
            <w:pPr>
              <w:spacing w:before="40" w:after="120"/>
              <w:ind w:right="113"/>
            </w:pPr>
            <w:r w:rsidRPr="0080313D">
              <w:t>Conditional</w:t>
            </w:r>
          </w:p>
        </w:tc>
      </w:tr>
      <w:tr w:rsidR="00127EE0" w:rsidRPr="0080313D" w14:paraId="35C7712B" w14:textId="77777777" w:rsidTr="0080313D">
        <w:tc>
          <w:tcPr>
            <w:tcW w:w="1295" w:type="dxa"/>
            <w:tcBorders>
              <w:bottom w:val="single" w:sz="12" w:space="0" w:color="auto"/>
            </w:tcBorders>
            <w:shd w:val="clear" w:color="auto" w:fill="auto"/>
            <w:tcMar>
              <w:top w:w="80" w:type="dxa"/>
              <w:left w:w="80" w:type="dxa"/>
              <w:bottom w:w="80" w:type="dxa"/>
              <w:right w:w="80" w:type="dxa"/>
            </w:tcMar>
          </w:tcPr>
          <w:p w14:paraId="01FD479C" w14:textId="77777777" w:rsidR="00127EE0" w:rsidRPr="0080313D" w:rsidRDefault="00127EE0" w:rsidP="0080313D">
            <w:pPr>
              <w:spacing w:before="40" w:after="120"/>
              <w:ind w:right="113"/>
            </w:pPr>
            <w:r w:rsidRPr="0080313D">
              <w:t>United Arab Emirates</w:t>
            </w:r>
          </w:p>
        </w:tc>
        <w:tc>
          <w:tcPr>
            <w:tcW w:w="4394" w:type="dxa"/>
            <w:tcBorders>
              <w:bottom w:val="single" w:sz="12" w:space="0" w:color="auto"/>
            </w:tcBorders>
            <w:shd w:val="clear" w:color="auto" w:fill="auto"/>
            <w:tcMar>
              <w:top w:w="80" w:type="dxa"/>
              <w:left w:w="80" w:type="dxa"/>
              <w:bottom w:w="80" w:type="dxa"/>
              <w:right w:w="80" w:type="dxa"/>
            </w:tcMar>
          </w:tcPr>
          <w:p w14:paraId="6CB0E451" w14:textId="4D9616BA" w:rsidR="00127EE0" w:rsidRPr="0080313D" w:rsidRDefault="00127EE0" w:rsidP="0080313D">
            <w:pPr>
              <w:spacing w:before="40" w:after="120"/>
              <w:ind w:right="113"/>
            </w:pPr>
            <w:r w:rsidRPr="0080313D">
              <w:t>14</w:t>
            </w:r>
            <w:r w:rsidR="009E7A4F" w:rsidRPr="0080313D">
              <w:t xml:space="preserve"> per cent</w:t>
            </w:r>
            <w:r w:rsidRPr="0080313D">
              <w:t xml:space="preserve"> below BAU by 2030 (due mainly to enhanced vehicle standards in road transport)</w:t>
            </w:r>
          </w:p>
        </w:tc>
        <w:tc>
          <w:tcPr>
            <w:tcW w:w="1701" w:type="dxa"/>
            <w:tcBorders>
              <w:bottom w:val="single" w:sz="12" w:space="0" w:color="auto"/>
            </w:tcBorders>
            <w:shd w:val="clear" w:color="auto" w:fill="auto"/>
            <w:tcMar>
              <w:top w:w="80" w:type="dxa"/>
              <w:left w:w="80" w:type="dxa"/>
              <w:bottom w:w="80" w:type="dxa"/>
              <w:right w:w="80" w:type="dxa"/>
            </w:tcMar>
          </w:tcPr>
          <w:p w14:paraId="5933DD8E" w14:textId="77777777" w:rsidR="00127EE0" w:rsidRPr="0080313D" w:rsidRDefault="00127EE0" w:rsidP="0080313D">
            <w:pPr>
              <w:spacing w:before="40" w:after="120"/>
              <w:ind w:right="113"/>
            </w:pPr>
            <w:r w:rsidRPr="0080313D">
              <w:t>Unconditional</w:t>
            </w:r>
          </w:p>
        </w:tc>
      </w:tr>
    </w:tbl>
    <w:p w14:paraId="7098AA05" w14:textId="77777777" w:rsidR="00920755" w:rsidRDefault="00920755" w:rsidP="001E5F41">
      <w:pPr>
        <w:pStyle w:val="HChG"/>
      </w:pPr>
      <w:bookmarkStart w:id="14" w:name="_bkn157vmkl87" w:colFirst="0" w:colLast="0"/>
      <w:bookmarkEnd w:id="14"/>
      <w:r>
        <w:br w:type="page"/>
      </w:r>
    </w:p>
    <w:p w14:paraId="4EA219E9" w14:textId="3B36D259" w:rsidR="000E480C" w:rsidRDefault="00127EE0" w:rsidP="001E5F41">
      <w:pPr>
        <w:pStyle w:val="HChG"/>
      </w:pPr>
      <w:r>
        <w:lastRenderedPageBreak/>
        <w:t>Annex</w:t>
      </w:r>
      <w:r w:rsidR="000E480C">
        <w:t xml:space="preserve"> II</w:t>
      </w:r>
    </w:p>
    <w:p w14:paraId="5EB18ACA" w14:textId="34D70895" w:rsidR="00127EE0" w:rsidRDefault="000E480C" w:rsidP="006642D7">
      <w:pPr>
        <w:pStyle w:val="HChG"/>
      </w:pPr>
      <w:r>
        <w:tab/>
      </w:r>
      <w:r w:rsidR="00127EE0">
        <w:t xml:space="preserve"> </w:t>
      </w:r>
      <w:r>
        <w:tab/>
      </w:r>
      <w:r w:rsidR="00127EE0">
        <w:t xml:space="preserve">Transport </w:t>
      </w:r>
      <w:r w:rsidR="00742253">
        <w:t>G</w:t>
      </w:r>
      <w:r w:rsidR="00127EE0">
        <w:t xml:space="preserve">reenhouse </w:t>
      </w:r>
      <w:r w:rsidR="00742253">
        <w:t>G</w:t>
      </w:r>
      <w:r w:rsidR="00127EE0">
        <w:t xml:space="preserve">as </w:t>
      </w:r>
      <w:r w:rsidR="00742253">
        <w:t>E</w:t>
      </w:r>
      <w:r w:rsidR="00127EE0">
        <w:t xml:space="preserve">mission </w:t>
      </w:r>
      <w:r w:rsidR="00742253">
        <w:t>M</w:t>
      </w:r>
      <w:r w:rsidR="00127EE0">
        <w:t>itigation</w:t>
      </w:r>
      <w:r w:rsidR="001E5F41">
        <w:t xml:space="preserve"> </w:t>
      </w:r>
      <w:r w:rsidR="00742253">
        <w:t>T</w:t>
      </w:r>
      <w:r w:rsidR="00127EE0">
        <w:t xml:space="preserve">argets in </w:t>
      </w:r>
      <w:r w:rsidR="00742253">
        <w:t>L</w:t>
      </w:r>
      <w:r w:rsidR="00127EE0">
        <w:t xml:space="preserve">ong-term </w:t>
      </w:r>
      <w:r w:rsidR="00742253">
        <w:t>S</w:t>
      </w:r>
      <w:r w:rsidR="00127EE0">
        <w:t>trategies, as of end-2022</w:t>
      </w:r>
    </w:p>
    <w:tbl>
      <w:tblPr>
        <w:tblW w:w="7370" w:type="dxa"/>
        <w:tblInd w:w="1134" w:type="dxa"/>
        <w:tblLayout w:type="fixed"/>
        <w:tblCellMar>
          <w:left w:w="0" w:type="dxa"/>
          <w:right w:w="0" w:type="dxa"/>
        </w:tblCellMar>
        <w:tblLook w:val="0600" w:firstRow="0" w:lastRow="0" w:firstColumn="0" w:lastColumn="0" w:noHBand="1" w:noVBand="1"/>
      </w:tblPr>
      <w:tblGrid>
        <w:gridCol w:w="1276"/>
        <w:gridCol w:w="6094"/>
      </w:tblGrid>
      <w:tr w:rsidR="00127EE0" w:rsidRPr="00340B2F" w14:paraId="1C62E6B0" w14:textId="77777777" w:rsidTr="00340B2F">
        <w:trPr>
          <w:tblHeader/>
        </w:trPr>
        <w:tc>
          <w:tcPr>
            <w:tcW w:w="1276"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C26566D" w14:textId="77777777" w:rsidR="00127EE0" w:rsidRPr="00340B2F" w:rsidRDefault="00127EE0" w:rsidP="00340B2F">
            <w:pPr>
              <w:spacing w:before="80" w:after="80" w:line="200" w:lineRule="exact"/>
              <w:ind w:right="113"/>
              <w:rPr>
                <w:i/>
                <w:sz w:val="16"/>
              </w:rPr>
            </w:pPr>
            <w:r w:rsidRPr="00340B2F">
              <w:rPr>
                <w:i/>
                <w:sz w:val="16"/>
              </w:rPr>
              <w:t>LTS</w:t>
            </w:r>
          </w:p>
        </w:tc>
        <w:tc>
          <w:tcPr>
            <w:tcW w:w="609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5CE74C8" w14:textId="77777777" w:rsidR="00127EE0" w:rsidRPr="00340B2F" w:rsidRDefault="00127EE0" w:rsidP="00340B2F">
            <w:pPr>
              <w:spacing w:before="80" w:after="80" w:line="200" w:lineRule="exact"/>
              <w:ind w:right="113"/>
              <w:rPr>
                <w:i/>
                <w:sz w:val="16"/>
              </w:rPr>
            </w:pPr>
            <w:r w:rsidRPr="00340B2F">
              <w:rPr>
                <w:i/>
                <w:sz w:val="16"/>
              </w:rPr>
              <w:t>Transport GHG emissions mitigation targets</w:t>
            </w:r>
          </w:p>
        </w:tc>
      </w:tr>
      <w:tr w:rsidR="00340B2F" w:rsidRPr="00340B2F" w14:paraId="6B1ACB66" w14:textId="77777777" w:rsidTr="00340B2F">
        <w:trPr>
          <w:trHeight w:hRule="exact" w:val="113"/>
        </w:trPr>
        <w:tc>
          <w:tcPr>
            <w:tcW w:w="1276" w:type="dxa"/>
            <w:tcBorders>
              <w:top w:val="single" w:sz="12" w:space="0" w:color="auto"/>
            </w:tcBorders>
            <w:shd w:val="clear" w:color="auto" w:fill="auto"/>
            <w:tcMar>
              <w:top w:w="100" w:type="dxa"/>
              <w:left w:w="100" w:type="dxa"/>
              <w:bottom w:w="100" w:type="dxa"/>
              <w:right w:w="100" w:type="dxa"/>
            </w:tcMar>
          </w:tcPr>
          <w:p w14:paraId="1A0E31B7" w14:textId="77777777" w:rsidR="00340B2F" w:rsidRPr="00340B2F" w:rsidRDefault="00340B2F" w:rsidP="00340B2F">
            <w:pPr>
              <w:spacing w:before="40" w:after="120"/>
              <w:ind w:right="113"/>
            </w:pPr>
          </w:p>
        </w:tc>
        <w:tc>
          <w:tcPr>
            <w:tcW w:w="6095" w:type="dxa"/>
            <w:tcBorders>
              <w:top w:val="single" w:sz="12" w:space="0" w:color="auto"/>
            </w:tcBorders>
            <w:shd w:val="clear" w:color="auto" w:fill="auto"/>
            <w:tcMar>
              <w:top w:w="100" w:type="dxa"/>
              <w:left w:w="100" w:type="dxa"/>
              <w:bottom w:w="100" w:type="dxa"/>
              <w:right w:w="100" w:type="dxa"/>
            </w:tcMar>
          </w:tcPr>
          <w:p w14:paraId="2D95E910" w14:textId="77777777" w:rsidR="00340B2F" w:rsidRPr="00340B2F" w:rsidRDefault="00340B2F" w:rsidP="00340B2F">
            <w:pPr>
              <w:spacing w:before="40" w:after="120"/>
              <w:ind w:right="113"/>
            </w:pPr>
          </w:p>
        </w:tc>
      </w:tr>
      <w:tr w:rsidR="00127EE0" w:rsidRPr="00340B2F" w14:paraId="1B76294D" w14:textId="77777777" w:rsidTr="00340B2F">
        <w:tc>
          <w:tcPr>
            <w:tcW w:w="1276" w:type="dxa"/>
            <w:shd w:val="clear" w:color="auto" w:fill="auto"/>
            <w:tcMar>
              <w:top w:w="100" w:type="dxa"/>
              <w:left w:w="100" w:type="dxa"/>
              <w:bottom w:w="100" w:type="dxa"/>
              <w:right w:w="100" w:type="dxa"/>
            </w:tcMar>
          </w:tcPr>
          <w:p w14:paraId="1938B319" w14:textId="77777777" w:rsidR="00127EE0" w:rsidRPr="00340B2F" w:rsidRDefault="00127EE0" w:rsidP="00340B2F">
            <w:pPr>
              <w:spacing w:before="40" w:after="120"/>
              <w:ind w:right="113"/>
            </w:pPr>
            <w:r w:rsidRPr="00340B2F">
              <w:t>Belgium</w:t>
            </w:r>
          </w:p>
        </w:tc>
        <w:tc>
          <w:tcPr>
            <w:tcW w:w="6095" w:type="dxa"/>
            <w:shd w:val="clear" w:color="auto" w:fill="auto"/>
            <w:tcMar>
              <w:top w:w="100" w:type="dxa"/>
              <w:left w:w="100" w:type="dxa"/>
              <w:bottom w:w="100" w:type="dxa"/>
              <w:right w:w="100" w:type="dxa"/>
            </w:tcMar>
          </w:tcPr>
          <w:p w14:paraId="2F3B92A9" w14:textId="77777777" w:rsidR="00127EE0" w:rsidRPr="00340B2F" w:rsidRDefault="00127EE0" w:rsidP="00340B2F">
            <w:pPr>
              <w:spacing w:before="40" w:after="120"/>
              <w:ind w:right="113"/>
            </w:pPr>
            <w:r w:rsidRPr="00340B2F">
              <w:t>Expected reduction in transport sector (both passenger and freight transport) to zero emissions by 2050</w:t>
            </w:r>
          </w:p>
        </w:tc>
      </w:tr>
      <w:tr w:rsidR="00127EE0" w:rsidRPr="00340B2F" w14:paraId="2BA4EA0F" w14:textId="77777777" w:rsidTr="00340B2F">
        <w:tc>
          <w:tcPr>
            <w:tcW w:w="1276" w:type="dxa"/>
            <w:shd w:val="clear" w:color="auto" w:fill="auto"/>
            <w:tcMar>
              <w:top w:w="100" w:type="dxa"/>
              <w:left w:w="100" w:type="dxa"/>
              <w:bottom w:w="100" w:type="dxa"/>
              <w:right w:w="100" w:type="dxa"/>
            </w:tcMar>
          </w:tcPr>
          <w:p w14:paraId="1F1B2287" w14:textId="77777777" w:rsidR="00127EE0" w:rsidRPr="00340B2F" w:rsidRDefault="00127EE0" w:rsidP="00340B2F">
            <w:pPr>
              <w:spacing w:before="40" w:after="120"/>
              <w:ind w:right="113"/>
            </w:pPr>
            <w:r w:rsidRPr="00340B2F">
              <w:t>Germany</w:t>
            </w:r>
          </w:p>
        </w:tc>
        <w:tc>
          <w:tcPr>
            <w:tcW w:w="6095" w:type="dxa"/>
            <w:shd w:val="clear" w:color="auto" w:fill="auto"/>
            <w:tcMar>
              <w:top w:w="100" w:type="dxa"/>
              <w:left w:w="100" w:type="dxa"/>
              <w:bottom w:w="100" w:type="dxa"/>
              <w:right w:w="100" w:type="dxa"/>
            </w:tcMar>
          </w:tcPr>
          <w:p w14:paraId="6F084751" w14:textId="11F2BB02" w:rsidR="00127EE0" w:rsidRPr="00340B2F" w:rsidRDefault="00127EE0" w:rsidP="00340B2F">
            <w:pPr>
              <w:spacing w:before="40" w:after="120"/>
              <w:ind w:right="113"/>
            </w:pPr>
            <w:r w:rsidRPr="00340B2F">
              <w:t>Reduce transport CO</w:t>
            </w:r>
            <w:r w:rsidRPr="00340B2F">
              <w:rPr>
                <w:vertAlign w:val="subscript"/>
              </w:rPr>
              <w:t>2eq</w:t>
            </w:r>
            <w:r w:rsidRPr="00340B2F">
              <w:t xml:space="preserve"> emission 40 to 42</w:t>
            </w:r>
            <w:r w:rsidR="009E7A4F" w:rsidRPr="00340B2F">
              <w:t xml:space="preserve"> per cent</w:t>
            </w:r>
            <w:r w:rsidRPr="00340B2F">
              <w:t xml:space="preserve"> compared to 1990 levels by 2030 (reduction of around 95 to 98 million tonnes CO</w:t>
            </w:r>
            <w:r w:rsidRPr="00340B2F">
              <w:rPr>
                <w:vertAlign w:val="subscript"/>
              </w:rPr>
              <w:t>2eq</w:t>
            </w:r>
            <w:r w:rsidRPr="00340B2F">
              <w:t>)</w:t>
            </w:r>
          </w:p>
        </w:tc>
      </w:tr>
      <w:tr w:rsidR="00127EE0" w:rsidRPr="00340B2F" w14:paraId="58E4644E" w14:textId="77777777" w:rsidTr="00340B2F">
        <w:tc>
          <w:tcPr>
            <w:tcW w:w="1276" w:type="dxa"/>
            <w:shd w:val="clear" w:color="auto" w:fill="auto"/>
            <w:tcMar>
              <w:top w:w="100" w:type="dxa"/>
              <w:left w:w="100" w:type="dxa"/>
              <w:bottom w:w="100" w:type="dxa"/>
              <w:right w:w="100" w:type="dxa"/>
            </w:tcMar>
          </w:tcPr>
          <w:p w14:paraId="70B41032" w14:textId="77777777" w:rsidR="00127EE0" w:rsidRPr="00340B2F" w:rsidRDefault="00127EE0" w:rsidP="00340B2F">
            <w:pPr>
              <w:spacing w:before="40" w:after="120"/>
              <w:ind w:right="113"/>
            </w:pPr>
            <w:r w:rsidRPr="00340B2F">
              <w:t>Japan</w:t>
            </w:r>
          </w:p>
        </w:tc>
        <w:tc>
          <w:tcPr>
            <w:tcW w:w="6095" w:type="dxa"/>
            <w:shd w:val="clear" w:color="auto" w:fill="auto"/>
            <w:tcMar>
              <w:top w:w="100" w:type="dxa"/>
              <w:left w:w="100" w:type="dxa"/>
              <w:bottom w:w="100" w:type="dxa"/>
              <w:right w:w="100" w:type="dxa"/>
            </w:tcMar>
          </w:tcPr>
          <w:p w14:paraId="46DE4AB2" w14:textId="27FD029C" w:rsidR="00127EE0" w:rsidRPr="00340B2F" w:rsidRDefault="00127EE0" w:rsidP="00340B2F">
            <w:pPr>
              <w:spacing w:before="40" w:after="120"/>
              <w:ind w:right="113"/>
            </w:pPr>
            <w:r w:rsidRPr="00340B2F">
              <w:t>Reduce transport GHG emissions 80</w:t>
            </w:r>
            <w:r w:rsidR="009E7A4F" w:rsidRPr="00340B2F">
              <w:t xml:space="preserve"> per cent</w:t>
            </w:r>
            <w:r w:rsidRPr="00340B2F">
              <w:t xml:space="preserve"> per vehicle compared to 2010 by 2050</w:t>
            </w:r>
          </w:p>
        </w:tc>
      </w:tr>
      <w:tr w:rsidR="00127EE0" w:rsidRPr="00340B2F" w14:paraId="79E982C3" w14:textId="77777777" w:rsidTr="00340B2F">
        <w:tc>
          <w:tcPr>
            <w:tcW w:w="1276" w:type="dxa"/>
            <w:shd w:val="clear" w:color="auto" w:fill="auto"/>
            <w:tcMar>
              <w:top w:w="100" w:type="dxa"/>
              <w:left w:w="100" w:type="dxa"/>
              <w:bottom w:w="100" w:type="dxa"/>
              <w:right w:w="100" w:type="dxa"/>
            </w:tcMar>
          </w:tcPr>
          <w:p w14:paraId="4CE8F5C7" w14:textId="77777777" w:rsidR="00127EE0" w:rsidRPr="00340B2F" w:rsidRDefault="00127EE0" w:rsidP="00340B2F">
            <w:pPr>
              <w:spacing w:before="40" w:after="120"/>
              <w:ind w:right="113"/>
            </w:pPr>
            <w:r w:rsidRPr="00340B2F">
              <w:t>Lithuania</w:t>
            </w:r>
          </w:p>
        </w:tc>
        <w:tc>
          <w:tcPr>
            <w:tcW w:w="6095" w:type="dxa"/>
            <w:shd w:val="clear" w:color="auto" w:fill="auto"/>
            <w:tcMar>
              <w:top w:w="100" w:type="dxa"/>
              <w:left w:w="100" w:type="dxa"/>
              <w:bottom w:w="100" w:type="dxa"/>
              <w:right w:w="100" w:type="dxa"/>
            </w:tcMar>
          </w:tcPr>
          <w:p w14:paraId="2029AD49" w14:textId="44EF3FB3" w:rsidR="00127EE0" w:rsidRPr="00340B2F" w:rsidRDefault="00127EE0" w:rsidP="00340B2F">
            <w:pPr>
              <w:spacing w:before="40" w:after="120"/>
              <w:ind w:right="113"/>
            </w:pPr>
            <w:r w:rsidRPr="00340B2F">
              <w:t>Reduce transport GHG emissions at least 14</w:t>
            </w:r>
            <w:r w:rsidR="00467B6B">
              <w:t xml:space="preserve">  </w:t>
            </w:r>
            <w:r w:rsidR="009E7A4F" w:rsidRPr="00340B2F">
              <w:t xml:space="preserve"> per cent</w:t>
            </w:r>
            <w:r w:rsidRPr="00340B2F">
              <w:t xml:space="preserve"> compared to 2005 levels by 2030 and by 90</w:t>
            </w:r>
            <w:r w:rsidR="009E7A4F" w:rsidRPr="00340B2F">
              <w:t xml:space="preserve"> per cent</w:t>
            </w:r>
            <w:r w:rsidRPr="00340B2F">
              <w:t xml:space="preserve"> compared to 1990 levels by 2050</w:t>
            </w:r>
          </w:p>
        </w:tc>
      </w:tr>
      <w:tr w:rsidR="00127EE0" w:rsidRPr="00340B2F" w14:paraId="1987E411" w14:textId="77777777" w:rsidTr="00340B2F">
        <w:tc>
          <w:tcPr>
            <w:tcW w:w="1276" w:type="dxa"/>
            <w:shd w:val="clear" w:color="auto" w:fill="auto"/>
            <w:tcMar>
              <w:top w:w="100" w:type="dxa"/>
              <w:left w:w="100" w:type="dxa"/>
              <w:bottom w:w="100" w:type="dxa"/>
              <w:right w:w="100" w:type="dxa"/>
            </w:tcMar>
          </w:tcPr>
          <w:p w14:paraId="0E4A6A5B" w14:textId="77777777" w:rsidR="00127EE0" w:rsidRPr="00340B2F" w:rsidRDefault="00127EE0" w:rsidP="00340B2F">
            <w:pPr>
              <w:spacing w:before="40" w:after="120"/>
              <w:ind w:right="113"/>
            </w:pPr>
            <w:r w:rsidRPr="00340B2F">
              <w:t>New Zealand</w:t>
            </w:r>
          </w:p>
        </w:tc>
        <w:tc>
          <w:tcPr>
            <w:tcW w:w="6095" w:type="dxa"/>
            <w:shd w:val="clear" w:color="auto" w:fill="auto"/>
            <w:tcMar>
              <w:top w:w="100" w:type="dxa"/>
              <w:left w:w="100" w:type="dxa"/>
              <w:bottom w:w="100" w:type="dxa"/>
              <w:right w:w="100" w:type="dxa"/>
            </w:tcMar>
          </w:tcPr>
          <w:p w14:paraId="57DECDBE" w14:textId="77777777" w:rsidR="00127EE0" w:rsidRPr="00340B2F" w:rsidRDefault="00127EE0" w:rsidP="00340B2F">
            <w:pPr>
              <w:spacing w:before="40" w:after="120"/>
              <w:ind w:right="113"/>
            </w:pPr>
            <w:r w:rsidRPr="00340B2F">
              <w:t>Reduce transport emissions to net zero by 2050</w:t>
            </w:r>
          </w:p>
        </w:tc>
      </w:tr>
      <w:tr w:rsidR="00127EE0" w:rsidRPr="00340B2F" w14:paraId="79891068" w14:textId="77777777" w:rsidTr="00340B2F">
        <w:tc>
          <w:tcPr>
            <w:tcW w:w="1276" w:type="dxa"/>
            <w:shd w:val="clear" w:color="auto" w:fill="auto"/>
            <w:tcMar>
              <w:top w:w="100" w:type="dxa"/>
              <w:left w:w="100" w:type="dxa"/>
              <w:bottom w:w="100" w:type="dxa"/>
              <w:right w:w="100" w:type="dxa"/>
            </w:tcMar>
          </w:tcPr>
          <w:p w14:paraId="0D452530" w14:textId="77777777" w:rsidR="00127EE0" w:rsidRPr="00340B2F" w:rsidRDefault="00127EE0" w:rsidP="00340B2F">
            <w:pPr>
              <w:spacing w:before="40" w:after="120"/>
              <w:ind w:right="113"/>
            </w:pPr>
            <w:r w:rsidRPr="00340B2F">
              <w:t>Portugal</w:t>
            </w:r>
          </w:p>
        </w:tc>
        <w:tc>
          <w:tcPr>
            <w:tcW w:w="6095" w:type="dxa"/>
            <w:shd w:val="clear" w:color="auto" w:fill="auto"/>
            <w:tcMar>
              <w:top w:w="100" w:type="dxa"/>
              <w:left w:w="100" w:type="dxa"/>
              <w:bottom w:w="100" w:type="dxa"/>
              <w:right w:w="100" w:type="dxa"/>
            </w:tcMar>
          </w:tcPr>
          <w:p w14:paraId="30B06114" w14:textId="46AF1D2F" w:rsidR="00127EE0" w:rsidRPr="00340B2F" w:rsidRDefault="00127EE0" w:rsidP="00340B2F">
            <w:pPr>
              <w:spacing w:before="40" w:after="120"/>
              <w:ind w:right="113"/>
            </w:pPr>
            <w:r w:rsidRPr="00340B2F">
              <w:t>Reduce transport CO</w:t>
            </w:r>
            <w:r w:rsidRPr="00340B2F">
              <w:rPr>
                <w:vertAlign w:val="subscript"/>
              </w:rPr>
              <w:t>2</w:t>
            </w:r>
            <w:r w:rsidRPr="00340B2F">
              <w:t xml:space="preserve"> emissions potentially 43-46</w:t>
            </w:r>
            <w:r w:rsidR="009E7A4F" w:rsidRPr="00340B2F">
              <w:t xml:space="preserve"> per cent</w:t>
            </w:r>
            <w:r w:rsidRPr="00340B2F">
              <w:t xml:space="preserve"> by 2030, 84-85</w:t>
            </w:r>
            <w:r w:rsidR="009E7A4F" w:rsidRPr="00340B2F">
              <w:t xml:space="preserve"> per cent</w:t>
            </w:r>
            <w:r w:rsidRPr="00340B2F">
              <w:t xml:space="preserve"> by 2040 and 98</w:t>
            </w:r>
            <w:r w:rsidR="009E7A4F" w:rsidRPr="00340B2F">
              <w:t xml:space="preserve"> per cent</w:t>
            </w:r>
            <w:r w:rsidRPr="00340B2F">
              <w:t xml:space="preserve"> by 2050 (compared to 2005 levels) </w:t>
            </w:r>
          </w:p>
        </w:tc>
      </w:tr>
      <w:tr w:rsidR="00127EE0" w:rsidRPr="00340B2F" w14:paraId="50BEB275" w14:textId="77777777" w:rsidTr="00340B2F">
        <w:tc>
          <w:tcPr>
            <w:tcW w:w="1276" w:type="dxa"/>
            <w:shd w:val="clear" w:color="auto" w:fill="auto"/>
            <w:tcMar>
              <w:top w:w="100" w:type="dxa"/>
              <w:left w:w="100" w:type="dxa"/>
              <w:bottom w:w="100" w:type="dxa"/>
              <w:right w:w="100" w:type="dxa"/>
            </w:tcMar>
          </w:tcPr>
          <w:p w14:paraId="1A476550" w14:textId="77777777" w:rsidR="00127EE0" w:rsidRPr="00340B2F" w:rsidRDefault="00127EE0" w:rsidP="00340B2F">
            <w:pPr>
              <w:spacing w:before="40" w:after="120"/>
              <w:ind w:right="113"/>
            </w:pPr>
            <w:r w:rsidRPr="00340B2F">
              <w:t>Slovenia</w:t>
            </w:r>
          </w:p>
        </w:tc>
        <w:tc>
          <w:tcPr>
            <w:tcW w:w="6095" w:type="dxa"/>
            <w:shd w:val="clear" w:color="auto" w:fill="auto"/>
            <w:tcMar>
              <w:top w:w="100" w:type="dxa"/>
              <w:left w:w="100" w:type="dxa"/>
              <w:bottom w:w="100" w:type="dxa"/>
              <w:right w:w="100" w:type="dxa"/>
            </w:tcMar>
          </w:tcPr>
          <w:p w14:paraId="40066788" w14:textId="7B0EC14E" w:rsidR="00127EE0" w:rsidRPr="00340B2F" w:rsidRDefault="00127EE0" w:rsidP="00340B2F">
            <w:pPr>
              <w:spacing w:before="40" w:after="120"/>
              <w:ind w:right="113"/>
            </w:pPr>
            <w:r w:rsidRPr="00340B2F">
              <w:t>Reduce transport CO</w:t>
            </w:r>
            <w:r w:rsidRPr="00340B2F">
              <w:rPr>
                <w:vertAlign w:val="subscript"/>
              </w:rPr>
              <w:t>2</w:t>
            </w:r>
            <w:r w:rsidRPr="00340B2F">
              <w:t xml:space="preserve"> emissions 90 to 99</w:t>
            </w:r>
            <w:r w:rsidR="009E7A4F" w:rsidRPr="00340B2F">
              <w:t xml:space="preserve"> per cent</w:t>
            </w:r>
            <w:r w:rsidRPr="00340B2F">
              <w:t xml:space="preserve"> by 2050 in comparison to 2005 levels</w:t>
            </w:r>
          </w:p>
        </w:tc>
      </w:tr>
      <w:tr w:rsidR="00127EE0" w:rsidRPr="00340B2F" w14:paraId="6F4BC3E1" w14:textId="77777777" w:rsidTr="00340B2F">
        <w:tc>
          <w:tcPr>
            <w:tcW w:w="1276" w:type="dxa"/>
            <w:shd w:val="clear" w:color="auto" w:fill="auto"/>
            <w:tcMar>
              <w:top w:w="100" w:type="dxa"/>
              <w:left w:w="100" w:type="dxa"/>
              <w:bottom w:w="100" w:type="dxa"/>
              <w:right w:w="100" w:type="dxa"/>
            </w:tcMar>
          </w:tcPr>
          <w:p w14:paraId="3ED11B7B" w14:textId="77777777" w:rsidR="00127EE0" w:rsidRPr="00340B2F" w:rsidRDefault="00127EE0" w:rsidP="00340B2F">
            <w:pPr>
              <w:spacing w:before="40" w:after="120"/>
              <w:ind w:right="113"/>
            </w:pPr>
            <w:r w:rsidRPr="00340B2F">
              <w:t>Spain</w:t>
            </w:r>
          </w:p>
        </w:tc>
        <w:tc>
          <w:tcPr>
            <w:tcW w:w="6095" w:type="dxa"/>
            <w:shd w:val="clear" w:color="auto" w:fill="auto"/>
            <w:tcMar>
              <w:top w:w="100" w:type="dxa"/>
              <w:left w:w="100" w:type="dxa"/>
              <w:bottom w:w="100" w:type="dxa"/>
              <w:right w:w="100" w:type="dxa"/>
            </w:tcMar>
          </w:tcPr>
          <w:p w14:paraId="77180384" w14:textId="3B58F248" w:rsidR="00127EE0" w:rsidRPr="00340B2F" w:rsidRDefault="00127EE0" w:rsidP="00340B2F">
            <w:pPr>
              <w:spacing w:before="40" w:after="120"/>
              <w:ind w:right="113"/>
            </w:pPr>
            <w:r w:rsidRPr="00340B2F">
              <w:t>Reduce transport CO</w:t>
            </w:r>
            <w:r w:rsidRPr="00340B2F">
              <w:rPr>
                <w:vertAlign w:val="subscript"/>
              </w:rPr>
              <w:t>2</w:t>
            </w:r>
            <w:r w:rsidRPr="00340B2F">
              <w:t xml:space="preserve"> emissions 30</w:t>
            </w:r>
            <w:r w:rsidR="009E7A4F" w:rsidRPr="00340B2F">
              <w:t xml:space="preserve"> per cent</w:t>
            </w:r>
            <w:r w:rsidRPr="00340B2F">
              <w:t xml:space="preserve"> below BAU by 2030</w:t>
            </w:r>
          </w:p>
        </w:tc>
      </w:tr>
      <w:tr w:rsidR="00127EE0" w:rsidRPr="00340B2F" w14:paraId="54BF1756" w14:textId="77777777" w:rsidTr="00340B2F">
        <w:tc>
          <w:tcPr>
            <w:tcW w:w="1276" w:type="dxa"/>
            <w:shd w:val="clear" w:color="auto" w:fill="auto"/>
            <w:tcMar>
              <w:top w:w="100" w:type="dxa"/>
              <w:left w:w="100" w:type="dxa"/>
              <w:bottom w:w="100" w:type="dxa"/>
              <w:right w:w="100" w:type="dxa"/>
            </w:tcMar>
          </w:tcPr>
          <w:p w14:paraId="48A6825A" w14:textId="77777777" w:rsidR="00127EE0" w:rsidRPr="00340B2F" w:rsidRDefault="00127EE0" w:rsidP="00340B2F">
            <w:pPr>
              <w:spacing w:before="40" w:after="120"/>
              <w:ind w:right="113"/>
            </w:pPr>
            <w:r w:rsidRPr="00340B2F">
              <w:t>Sweden</w:t>
            </w:r>
          </w:p>
        </w:tc>
        <w:tc>
          <w:tcPr>
            <w:tcW w:w="6095" w:type="dxa"/>
            <w:shd w:val="clear" w:color="auto" w:fill="auto"/>
            <w:tcMar>
              <w:top w:w="100" w:type="dxa"/>
              <w:left w:w="100" w:type="dxa"/>
              <w:bottom w:w="100" w:type="dxa"/>
              <w:right w:w="100" w:type="dxa"/>
            </w:tcMar>
          </w:tcPr>
          <w:p w14:paraId="36E39B06" w14:textId="7348BF66" w:rsidR="00127EE0" w:rsidRPr="00340B2F" w:rsidRDefault="00127EE0" w:rsidP="00340B2F">
            <w:pPr>
              <w:spacing w:before="40" w:after="120"/>
              <w:ind w:right="113"/>
            </w:pPr>
            <w:r w:rsidRPr="00340B2F">
              <w:t>Reduce domestic transport CO</w:t>
            </w:r>
            <w:r w:rsidRPr="00340B2F">
              <w:rPr>
                <w:vertAlign w:val="subscript"/>
              </w:rPr>
              <w:t>2</w:t>
            </w:r>
            <w:r w:rsidRPr="00340B2F">
              <w:t xml:space="preserve"> emissions (excluding domestic aviation) 70</w:t>
            </w:r>
            <w:r w:rsidR="009E7A4F" w:rsidRPr="00340B2F">
              <w:t xml:space="preserve"> per cent</w:t>
            </w:r>
            <w:r w:rsidRPr="00340B2F">
              <w:t xml:space="preserve"> below 2010 levels by 2030</w:t>
            </w:r>
          </w:p>
        </w:tc>
      </w:tr>
      <w:tr w:rsidR="00127EE0" w:rsidRPr="00340B2F" w14:paraId="4CDA3534" w14:textId="77777777" w:rsidTr="00340B2F">
        <w:tc>
          <w:tcPr>
            <w:tcW w:w="1276" w:type="dxa"/>
            <w:shd w:val="clear" w:color="auto" w:fill="auto"/>
            <w:tcMar>
              <w:top w:w="100" w:type="dxa"/>
              <w:left w:w="100" w:type="dxa"/>
              <w:bottom w:w="100" w:type="dxa"/>
              <w:right w:w="100" w:type="dxa"/>
            </w:tcMar>
          </w:tcPr>
          <w:p w14:paraId="41EF1622" w14:textId="77777777" w:rsidR="00127EE0" w:rsidRPr="00340B2F" w:rsidRDefault="00127EE0" w:rsidP="00340B2F">
            <w:pPr>
              <w:spacing w:before="40" w:after="120"/>
              <w:ind w:right="113"/>
            </w:pPr>
            <w:r w:rsidRPr="00340B2F">
              <w:t>Switzerland</w:t>
            </w:r>
          </w:p>
        </w:tc>
        <w:tc>
          <w:tcPr>
            <w:tcW w:w="6095" w:type="dxa"/>
            <w:shd w:val="clear" w:color="auto" w:fill="auto"/>
            <w:tcMar>
              <w:top w:w="100" w:type="dxa"/>
              <w:left w:w="100" w:type="dxa"/>
              <w:bottom w:w="100" w:type="dxa"/>
              <w:right w:w="100" w:type="dxa"/>
            </w:tcMar>
          </w:tcPr>
          <w:p w14:paraId="0C30F2AB" w14:textId="77777777" w:rsidR="00127EE0" w:rsidRPr="00340B2F" w:rsidRDefault="00127EE0" w:rsidP="00340B2F">
            <w:pPr>
              <w:spacing w:before="40" w:after="120"/>
              <w:ind w:right="113"/>
            </w:pPr>
            <w:r w:rsidRPr="00340B2F">
              <w:t>Intend to reach zero GHG emissions by domestic land transport in 2050 with few exceptions. International aviation should be net-zero by 2050 as far as possible.</w:t>
            </w:r>
          </w:p>
        </w:tc>
      </w:tr>
      <w:tr w:rsidR="00127EE0" w:rsidRPr="00340B2F" w14:paraId="5647E0E1" w14:textId="77777777" w:rsidTr="00340B2F">
        <w:tc>
          <w:tcPr>
            <w:tcW w:w="1276" w:type="dxa"/>
            <w:tcBorders>
              <w:bottom w:val="single" w:sz="12" w:space="0" w:color="auto"/>
            </w:tcBorders>
            <w:shd w:val="clear" w:color="auto" w:fill="auto"/>
            <w:tcMar>
              <w:top w:w="100" w:type="dxa"/>
              <w:left w:w="100" w:type="dxa"/>
              <w:bottom w:w="100" w:type="dxa"/>
              <w:right w:w="100" w:type="dxa"/>
            </w:tcMar>
          </w:tcPr>
          <w:p w14:paraId="6A37F6BC" w14:textId="77777777" w:rsidR="00127EE0" w:rsidRPr="00340B2F" w:rsidRDefault="00127EE0" w:rsidP="00340B2F">
            <w:pPr>
              <w:spacing w:before="40" w:after="120"/>
              <w:ind w:right="113"/>
            </w:pPr>
            <w:r w:rsidRPr="00340B2F">
              <w:t>United Kingdom</w:t>
            </w:r>
          </w:p>
        </w:tc>
        <w:tc>
          <w:tcPr>
            <w:tcW w:w="6095" w:type="dxa"/>
            <w:tcBorders>
              <w:bottom w:val="single" w:sz="12" w:space="0" w:color="auto"/>
            </w:tcBorders>
            <w:shd w:val="clear" w:color="auto" w:fill="auto"/>
            <w:tcMar>
              <w:top w:w="100" w:type="dxa"/>
              <w:left w:w="100" w:type="dxa"/>
              <w:bottom w:w="100" w:type="dxa"/>
              <w:right w:w="100" w:type="dxa"/>
            </w:tcMar>
          </w:tcPr>
          <w:p w14:paraId="00018B41" w14:textId="77777777" w:rsidR="00127EE0" w:rsidRPr="00340B2F" w:rsidRDefault="00127EE0" w:rsidP="00340B2F">
            <w:pPr>
              <w:spacing w:before="40" w:after="120"/>
              <w:ind w:right="113"/>
            </w:pPr>
            <w:r w:rsidRPr="00340B2F">
              <w:t>Achieve net zero emissions for aviation and shipping by 2050</w:t>
            </w:r>
          </w:p>
        </w:tc>
      </w:tr>
    </w:tbl>
    <w:p w14:paraId="28605058" w14:textId="60B66E14" w:rsidR="00127EE0" w:rsidRDefault="00920755" w:rsidP="001E5F41">
      <w:pPr>
        <w:pStyle w:val="HChG"/>
        <w:ind w:left="0" w:firstLine="0"/>
      </w:pPr>
      <w:r>
        <w:br w:type="page"/>
      </w:r>
    </w:p>
    <w:p w14:paraId="6B1AAD23" w14:textId="1C64424B" w:rsidR="000E480C" w:rsidRDefault="00127EE0" w:rsidP="00920755">
      <w:pPr>
        <w:pStyle w:val="HChG"/>
        <w:ind w:left="0" w:firstLine="0"/>
      </w:pPr>
      <w:r w:rsidRPr="001E5F41">
        <w:lastRenderedPageBreak/>
        <w:t xml:space="preserve">Annex </w:t>
      </w:r>
      <w:r w:rsidR="000E480C">
        <w:t>I</w:t>
      </w:r>
      <w:r w:rsidR="003028EB">
        <w:t>II</w:t>
      </w:r>
    </w:p>
    <w:p w14:paraId="4CA66E67" w14:textId="4458512C" w:rsidR="00127EE0" w:rsidRDefault="00127EE0" w:rsidP="006642D7">
      <w:pPr>
        <w:pStyle w:val="HChG"/>
        <w:ind w:firstLine="0"/>
      </w:pPr>
      <w:r w:rsidRPr="001E5F41">
        <w:t xml:space="preserve">E-mobility </w:t>
      </w:r>
      <w:r w:rsidR="003028EB">
        <w:t>T</w:t>
      </w:r>
      <w:r w:rsidRPr="001E5F41">
        <w:t xml:space="preserve">argets in </w:t>
      </w:r>
      <w:r w:rsidR="003028EB">
        <w:t>S</w:t>
      </w:r>
      <w:r w:rsidRPr="001E5F41">
        <w:t>econd-</w:t>
      </w:r>
      <w:r w:rsidR="003028EB">
        <w:t>G</w:t>
      </w:r>
      <w:r w:rsidRPr="001E5F41">
        <w:t>eneration Nationally Determined Contributions</w:t>
      </w:r>
    </w:p>
    <w:tbl>
      <w:tblPr>
        <w:tblW w:w="7370" w:type="dxa"/>
        <w:tblInd w:w="1134" w:type="dxa"/>
        <w:tblLayout w:type="fixed"/>
        <w:tblCellMar>
          <w:left w:w="0" w:type="dxa"/>
          <w:right w:w="0" w:type="dxa"/>
        </w:tblCellMar>
        <w:tblLook w:val="0600" w:firstRow="0" w:lastRow="0" w:firstColumn="0" w:lastColumn="0" w:noHBand="1" w:noVBand="1"/>
      </w:tblPr>
      <w:tblGrid>
        <w:gridCol w:w="1276"/>
        <w:gridCol w:w="6094"/>
      </w:tblGrid>
      <w:tr w:rsidR="00127EE0" w:rsidRPr="00340B2F" w14:paraId="56120A2C" w14:textId="77777777" w:rsidTr="00340B2F">
        <w:trPr>
          <w:tblHeader/>
        </w:trPr>
        <w:tc>
          <w:tcPr>
            <w:tcW w:w="1276"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7E63299" w14:textId="77777777" w:rsidR="00127EE0" w:rsidRPr="00340B2F" w:rsidRDefault="00127EE0" w:rsidP="00340B2F">
            <w:pPr>
              <w:spacing w:before="80" w:after="80" w:line="200" w:lineRule="exact"/>
              <w:ind w:right="113"/>
              <w:rPr>
                <w:i/>
                <w:sz w:val="16"/>
              </w:rPr>
            </w:pPr>
            <w:r w:rsidRPr="00340B2F">
              <w:rPr>
                <w:i/>
                <w:sz w:val="16"/>
              </w:rPr>
              <w:t>Country</w:t>
            </w:r>
          </w:p>
        </w:tc>
        <w:tc>
          <w:tcPr>
            <w:tcW w:w="609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52FCE81" w14:textId="77777777" w:rsidR="00127EE0" w:rsidRPr="00340B2F" w:rsidRDefault="00127EE0" w:rsidP="00340B2F">
            <w:pPr>
              <w:spacing w:before="80" w:after="80" w:line="200" w:lineRule="exact"/>
              <w:ind w:right="113"/>
              <w:rPr>
                <w:i/>
                <w:sz w:val="16"/>
              </w:rPr>
            </w:pPr>
            <w:r w:rsidRPr="00340B2F">
              <w:rPr>
                <w:i/>
                <w:sz w:val="16"/>
              </w:rPr>
              <w:t>E-mobility-related target</w:t>
            </w:r>
          </w:p>
        </w:tc>
      </w:tr>
      <w:tr w:rsidR="00340B2F" w:rsidRPr="00340B2F" w14:paraId="38A5CE1B" w14:textId="77777777" w:rsidTr="00340B2F">
        <w:trPr>
          <w:trHeight w:hRule="exact" w:val="113"/>
        </w:trPr>
        <w:tc>
          <w:tcPr>
            <w:tcW w:w="1276" w:type="dxa"/>
            <w:tcBorders>
              <w:top w:val="single" w:sz="12" w:space="0" w:color="auto"/>
            </w:tcBorders>
            <w:shd w:val="clear" w:color="auto" w:fill="auto"/>
            <w:tcMar>
              <w:top w:w="100" w:type="dxa"/>
              <w:left w:w="100" w:type="dxa"/>
              <w:bottom w:w="100" w:type="dxa"/>
              <w:right w:w="100" w:type="dxa"/>
            </w:tcMar>
          </w:tcPr>
          <w:p w14:paraId="62887679" w14:textId="77777777" w:rsidR="00340B2F" w:rsidRPr="00340B2F" w:rsidRDefault="00340B2F" w:rsidP="00340B2F">
            <w:pPr>
              <w:spacing w:before="40" w:after="120"/>
              <w:ind w:right="113"/>
            </w:pPr>
          </w:p>
        </w:tc>
        <w:tc>
          <w:tcPr>
            <w:tcW w:w="6095" w:type="dxa"/>
            <w:tcBorders>
              <w:top w:val="single" w:sz="12" w:space="0" w:color="auto"/>
            </w:tcBorders>
            <w:shd w:val="clear" w:color="auto" w:fill="auto"/>
            <w:tcMar>
              <w:top w:w="100" w:type="dxa"/>
              <w:left w:w="100" w:type="dxa"/>
              <w:bottom w:w="100" w:type="dxa"/>
              <w:right w:w="100" w:type="dxa"/>
            </w:tcMar>
          </w:tcPr>
          <w:p w14:paraId="2835F286" w14:textId="77777777" w:rsidR="00340B2F" w:rsidRPr="00340B2F" w:rsidRDefault="00340B2F" w:rsidP="00340B2F">
            <w:pPr>
              <w:spacing w:before="40" w:after="120"/>
              <w:ind w:right="113"/>
            </w:pPr>
          </w:p>
        </w:tc>
      </w:tr>
      <w:tr w:rsidR="00127EE0" w:rsidRPr="00340B2F" w14:paraId="5952D1EB" w14:textId="77777777" w:rsidTr="00340B2F">
        <w:tc>
          <w:tcPr>
            <w:tcW w:w="1276" w:type="dxa"/>
            <w:shd w:val="clear" w:color="auto" w:fill="auto"/>
            <w:tcMar>
              <w:top w:w="100" w:type="dxa"/>
              <w:left w:w="100" w:type="dxa"/>
              <w:bottom w:w="100" w:type="dxa"/>
              <w:right w:w="100" w:type="dxa"/>
            </w:tcMar>
          </w:tcPr>
          <w:p w14:paraId="0D1D15A0" w14:textId="77777777" w:rsidR="00127EE0" w:rsidRPr="00340B2F" w:rsidRDefault="00127EE0" w:rsidP="00340B2F">
            <w:pPr>
              <w:spacing w:before="40" w:after="120"/>
              <w:ind w:right="113"/>
            </w:pPr>
            <w:r w:rsidRPr="00340B2F">
              <w:t>Antigua and Barbuda</w:t>
            </w:r>
          </w:p>
        </w:tc>
        <w:tc>
          <w:tcPr>
            <w:tcW w:w="6095" w:type="dxa"/>
            <w:shd w:val="clear" w:color="auto" w:fill="auto"/>
            <w:tcMar>
              <w:top w:w="100" w:type="dxa"/>
              <w:left w:w="100" w:type="dxa"/>
              <w:bottom w:w="100" w:type="dxa"/>
              <w:right w:w="100" w:type="dxa"/>
            </w:tcMar>
          </w:tcPr>
          <w:p w14:paraId="2FD35439" w14:textId="716A2B6B" w:rsidR="00127EE0" w:rsidRPr="00340B2F" w:rsidRDefault="00127EE0" w:rsidP="00340B2F">
            <w:pPr>
              <w:spacing w:before="40" w:after="120"/>
              <w:ind w:right="113"/>
            </w:pPr>
            <w:r w:rsidRPr="00340B2F">
              <w:t>100</w:t>
            </w:r>
            <w:r w:rsidR="009E7A4F" w:rsidRPr="00340B2F">
              <w:t xml:space="preserve"> per cent</w:t>
            </w:r>
            <w:r w:rsidRPr="00340B2F">
              <w:t xml:space="preserve"> all new vehicle sales to be electric vehicles by 2030; import of internal combustion engine vehicles from 2030 (initial start in 2025); 100</w:t>
            </w:r>
            <w:r w:rsidR="009E7A4F" w:rsidRPr="00340B2F">
              <w:t xml:space="preserve"> per cent</w:t>
            </w:r>
            <w:r w:rsidRPr="00340B2F">
              <w:t xml:space="preserve"> of government vehicles will be electric by 2035</w:t>
            </w:r>
          </w:p>
        </w:tc>
      </w:tr>
      <w:tr w:rsidR="00127EE0" w:rsidRPr="00340B2F" w14:paraId="31D6891A" w14:textId="77777777" w:rsidTr="00340B2F">
        <w:tc>
          <w:tcPr>
            <w:tcW w:w="1276" w:type="dxa"/>
            <w:shd w:val="clear" w:color="auto" w:fill="auto"/>
            <w:tcMar>
              <w:top w:w="100" w:type="dxa"/>
              <w:left w:w="100" w:type="dxa"/>
              <w:bottom w:w="100" w:type="dxa"/>
              <w:right w:w="100" w:type="dxa"/>
            </w:tcMar>
          </w:tcPr>
          <w:p w14:paraId="594BFB96" w14:textId="77777777" w:rsidR="00127EE0" w:rsidRPr="00340B2F" w:rsidRDefault="00127EE0" w:rsidP="00340B2F">
            <w:pPr>
              <w:spacing w:before="40" w:after="120"/>
              <w:ind w:right="113"/>
            </w:pPr>
            <w:r w:rsidRPr="00340B2F">
              <w:t>Barbados</w:t>
            </w:r>
          </w:p>
        </w:tc>
        <w:tc>
          <w:tcPr>
            <w:tcW w:w="6095" w:type="dxa"/>
            <w:shd w:val="clear" w:color="auto" w:fill="auto"/>
            <w:tcMar>
              <w:top w:w="100" w:type="dxa"/>
              <w:left w:w="100" w:type="dxa"/>
              <w:bottom w:w="100" w:type="dxa"/>
              <w:right w:w="100" w:type="dxa"/>
            </w:tcMar>
          </w:tcPr>
          <w:p w14:paraId="52FF93D1" w14:textId="55249FF1" w:rsidR="00127EE0" w:rsidRPr="00340B2F" w:rsidRDefault="00127EE0" w:rsidP="00340B2F">
            <w:pPr>
              <w:spacing w:before="40" w:after="120"/>
              <w:ind w:right="113"/>
            </w:pPr>
            <w:r w:rsidRPr="00340B2F">
              <w:t>100</w:t>
            </w:r>
            <w:r w:rsidR="009E7A4F" w:rsidRPr="00340B2F">
              <w:t xml:space="preserve"> per cent</w:t>
            </w:r>
            <w:r w:rsidRPr="00340B2F">
              <w:t xml:space="preserve"> electric or </w:t>
            </w:r>
            <w:r w:rsidR="003028EB" w:rsidRPr="00340B2F">
              <w:t>alternatively fuelled</w:t>
            </w:r>
            <w:r w:rsidRPr="00340B2F">
              <w:t xml:space="preserve"> vehicles in the passenger fleet by 2030</w:t>
            </w:r>
          </w:p>
        </w:tc>
      </w:tr>
      <w:tr w:rsidR="00127EE0" w:rsidRPr="00340B2F" w14:paraId="701ECF45" w14:textId="77777777" w:rsidTr="00340B2F">
        <w:tc>
          <w:tcPr>
            <w:tcW w:w="1276" w:type="dxa"/>
            <w:shd w:val="clear" w:color="auto" w:fill="auto"/>
            <w:tcMar>
              <w:top w:w="100" w:type="dxa"/>
              <w:left w:w="100" w:type="dxa"/>
              <w:bottom w:w="100" w:type="dxa"/>
              <w:right w:w="100" w:type="dxa"/>
            </w:tcMar>
          </w:tcPr>
          <w:p w14:paraId="0E566B90" w14:textId="77777777" w:rsidR="00127EE0" w:rsidRPr="00340B2F" w:rsidRDefault="00127EE0" w:rsidP="00340B2F">
            <w:pPr>
              <w:spacing w:before="40" w:after="120"/>
              <w:ind w:right="113"/>
            </w:pPr>
            <w:r w:rsidRPr="00340B2F">
              <w:t>Bolivia</w:t>
            </w:r>
          </w:p>
        </w:tc>
        <w:tc>
          <w:tcPr>
            <w:tcW w:w="6095" w:type="dxa"/>
            <w:shd w:val="clear" w:color="auto" w:fill="auto"/>
            <w:tcMar>
              <w:top w:w="100" w:type="dxa"/>
              <w:left w:w="100" w:type="dxa"/>
              <w:bottom w:w="100" w:type="dxa"/>
              <w:right w:w="100" w:type="dxa"/>
            </w:tcMar>
          </w:tcPr>
          <w:p w14:paraId="246920DF" w14:textId="4D5067A4" w:rsidR="00127EE0" w:rsidRPr="00340B2F" w:rsidRDefault="00127EE0" w:rsidP="00340B2F">
            <w:pPr>
              <w:spacing w:before="40" w:after="120"/>
              <w:ind w:right="113"/>
            </w:pPr>
            <w:r w:rsidRPr="00340B2F">
              <w:t>To achieve by 2030 an annual growth of 10</w:t>
            </w:r>
            <w:r w:rsidR="009E7A4F" w:rsidRPr="00340B2F">
              <w:t xml:space="preserve"> per cent</w:t>
            </w:r>
            <w:r w:rsidRPr="00340B2F">
              <w:t xml:space="preserve"> in the share of electric vehicles in the public transportation fleet</w:t>
            </w:r>
          </w:p>
        </w:tc>
      </w:tr>
      <w:tr w:rsidR="00127EE0" w:rsidRPr="00340B2F" w14:paraId="4B6B8934" w14:textId="77777777" w:rsidTr="00340B2F">
        <w:tc>
          <w:tcPr>
            <w:tcW w:w="1276" w:type="dxa"/>
            <w:shd w:val="clear" w:color="auto" w:fill="auto"/>
            <w:tcMar>
              <w:top w:w="100" w:type="dxa"/>
              <w:left w:w="100" w:type="dxa"/>
              <w:bottom w:w="100" w:type="dxa"/>
              <w:right w:w="100" w:type="dxa"/>
            </w:tcMar>
          </w:tcPr>
          <w:p w14:paraId="6902761C" w14:textId="77777777" w:rsidR="00127EE0" w:rsidRPr="00340B2F" w:rsidRDefault="00127EE0" w:rsidP="00340B2F">
            <w:pPr>
              <w:spacing w:before="40" w:after="120"/>
              <w:ind w:right="113"/>
            </w:pPr>
            <w:r w:rsidRPr="00340B2F">
              <w:t>Brunei Darussalam</w:t>
            </w:r>
          </w:p>
        </w:tc>
        <w:tc>
          <w:tcPr>
            <w:tcW w:w="6095" w:type="dxa"/>
            <w:shd w:val="clear" w:color="auto" w:fill="auto"/>
            <w:tcMar>
              <w:top w:w="100" w:type="dxa"/>
              <w:left w:w="100" w:type="dxa"/>
              <w:bottom w:w="100" w:type="dxa"/>
              <w:right w:w="100" w:type="dxa"/>
            </w:tcMar>
          </w:tcPr>
          <w:p w14:paraId="1E7A0DAE" w14:textId="66991A8C" w:rsidR="00127EE0" w:rsidRPr="00340B2F" w:rsidRDefault="00127EE0" w:rsidP="00340B2F">
            <w:pPr>
              <w:spacing w:before="40" w:after="120"/>
              <w:ind w:right="113"/>
            </w:pPr>
            <w:r w:rsidRPr="00340B2F">
              <w:t>60</w:t>
            </w:r>
            <w:r w:rsidR="009E7A4F" w:rsidRPr="00340B2F">
              <w:t xml:space="preserve"> per cent</w:t>
            </w:r>
            <w:r w:rsidRPr="00340B2F">
              <w:t xml:space="preserve"> of sold vehicles to be electric by 2035</w:t>
            </w:r>
          </w:p>
        </w:tc>
      </w:tr>
      <w:tr w:rsidR="00127EE0" w:rsidRPr="00340B2F" w14:paraId="6BF403C9" w14:textId="77777777" w:rsidTr="00340B2F">
        <w:tc>
          <w:tcPr>
            <w:tcW w:w="1276" w:type="dxa"/>
            <w:shd w:val="clear" w:color="auto" w:fill="auto"/>
            <w:tcMar>
              <w:top w:w="100" w:type="dxa"/>
              <w:left w:w="100" w:type="dxa"/>
              <w:bottom w:w="100" w:type="dxa"/>
              <w:right w:w="100" w:type="dxa"/>
            </w:tcMar>
          </w:tcPr>
          <w:p w14:paraId="777B642F" w14:textId="77777777" w:rsidR="00127EE0" w:rsidRPr="00340B2F" w:rsidRDefault="00127EE0" w:rsidP="00340B2F">
            <w:pPr>
              <w:spacing w:before="40" w:after="120"/>
              <w:ind w:right="113"/>
            </w:pPr>
            <w:r w:rsidRPr="00340B2F">
              <w:t>Cabo Verde</w:t>
            </w:r>
          </w:p>
        </w:tc>
        <w:tc>
          <w:tcPr>
            <w:tcW w:w="6095" w:type="dxa"/>
            <w:shd w:val="clear" w:color="auto" w:fill="auto"/>
            <w:tcMar>
              <w:top w:w="100" w:type="dxa"/>
              <w:left w:w="100" w:type="dxa"/>
              <w:bottom w:w="100" w:type="dxa"/>
              <w:right w:w="100" w:type="dxa"/>
            </w:tcMar>
          </w:tcPr>
          <w:p w14:paraId="53BF462D" w14:textId="1312A678" w:rsidR="00127EE0" w:rsidRPr="00340B2F" w:rsidRDefault="00127EE0" w:rsidP="00340B2F">
            <w:pPr>
              <w:spacing w:before="40" w:after="120"/>
              <w:ind w:right="113"/>
            </w:pPr>
            <w:r w:rsidRPr="00340B2F">
              <w:t>25</w:t>
            </w:r>
            <w:r w:rsidR="009E7A4F" w:rsidRPr="00340B2F">
              <w:t xml:space="preserve"> per cent</w:t>
            </w:r>
            <w:r w:rsidRPr="00340B2F">
              <w:t xml:space="preserve"> of sold land transport vehicles to be electric by 2030, supported through strong renewable energy linkages</w:t>
            </w:r>
          </w:p>
        </w:tc>
      </w:tr>
      <w:tr w:rsidR="00127EE0" w:rsidRPr="00340B2F" w14:paraId="577C93DC" w14:textId="77777777" w:rsidTr="00340B2F">
        <w:tc>
          <w:tcPr>
            <w:tcW w:w="1276" w:type="dxa"/>
            <w:shd w:val="clear" w:color="auto" w:fill="auto"/>
            <w:tcMar>
              <w:top w:w="100" w:type="dxa"/>
              <w:left w:w="100" w:type="dxa"/>
              <w:bottom w:w="100" w:type="dxa"/>
              <w:right w:w="100" w:type="dxa"/>
            </w:tcMar>
          </w:tcPr>
          <w:p w14:paraId="0B423540" w14:textId="77777777" w:rsidR="00127EE0" w:rsidRPr="00340B2F" w:rsidRDefault="00127EE0" w:rsidP="00340B2F">
            <w:pPr>
              <w:spacing w:before="40" w:after="120"/>
              <w:ind w:right="113"/>
            </w:pPr>
            <w:r w:rsidRPr="00340B2F">
              <w:t>Chile</w:t>
            </w:r>
          </w:p>
        </w:tc>
        <w:tc>
          <w:tcPr>
            <w:tcW w:w="6095" w:type="dxa"/>
            <w:shd w:val="clear" w:color="auto" w:fill="auto"/>
            <w:tcMar>
              <w:top w:w="100" w:type="dxa"/>
              <w:left w:w="100" w:type="dxa"/>
              <w:bottom w:w="100" w:type="dxa"/>
              <w:right w:w="100" w:type="dxa"/>
            </w:tcMar>
          </w:tcPr>
          <w:p w14:paraId="06019C37" w14:textId="10F3B7E5" w:rsidR="00127EE0" w:rsidRPr="00340B2F" w:rsidRDefault="00127EE0" w:rsidP="00340B2F">
            <w:pPr>
              <w:spacing w:before="40" w:after="120"/>
              <w:ind w:right="113"/>
            </w:pPr>
            <w:r w:rsidRPr="00340B2F">
              <w:t>100</w:t>
            </w:r>
            <w:r w:rsidR="009E7A4F" w:rsidRPr="00340B2F">
              <w:t xml:space="preserve"> per cent</w:t>
            </w:r>
            <w:r w:rsidRPr="00340B2F">
              <w:t xml:space="preserve"> taxis, public transportation and 58</w:t>
            </w:r>
            <w:r w:rsidR="009E7A4F" w:rsidRPr="00340B2F">
              <w:t xml:space="preserve"> per cent</w:t>
            </w:r>
            <w:r w:rsidRPr="00340B2F">
              <w:t xml:space="preserve"> private vehicles to be electrified by 2050;</w:t>
            </w:r>
          </w:p>
          <w:p w14:paraId="06D293CB" w14:textId="54E799C7" w:rsidR="00127EE0" w:rsidRPr="00340B2F" w:rsidRDefault="00127EE0" w:rsidP="00340B2F">
            <w:pPr>
              <w:spacing w:before="40" w:after="120"/>
              <w:ind w:right="113"/>
            </w:pPr>
            <w:r w:rsidRPr="00340B2F">
              <w:t>71</w:t>
            </w:r>
            <w:r w:rsidR="009E7A4F" w:rsidRPr="00340B2F">
              <w:t xml:space="preserve"> per cent</w:t>
            </w:r>
            <w:r w:rsidRPr="00340B2F">
              <w:t xml:space="preserve"> of freight transport powered by hydrogen in 2050 </w:t>
            </w:r>
          </w:p>
        </w:tc>
      </w:tr>
      <w:tr w:rsidR="00127EE0" w:rsidRPr="00340B2F" w14:paraId="79B4679D" w14:textId="77777777" w:rsidTr="00340B2F">
        <w:tc>
          <w:tcPr>
            <w:tcW w:w="1276" w:type="dxa"/>
            <w:shd w:val="clear" w:color="auto" w:fill="auto"/>
            <w:tcMar>
              <w:top w:w="100" w:type="dxa"/>
              <w:left w:w="100" w:type="dxa"/>
              <w:bottom w:w="100" w:type="dxa"/>
              <w:right w:w="100" w:type="dxa"/>
            </w:tcMar>
          </w:tcPr>
          <w:p w14:paraId="614132D7" w14:textId="77777777" w:rsidR="00127EE0" w:rsidRPr="00340B2F" w:rsidRDefault="00127EE0" w:rsidP="00340B2F">
            <w:pPr>
              <w:spacing w:before="40" w:after="120"/>
              <w:ind w:right="113"/>
            </w:pPr>
            <w:r w:rsidRPr="00340B2F">
              <w:t>Colombia</w:t>
            </w:r>
          </w:p>
        </w:tc>
        <w:tc>
          <w:tcPr>
            <w:tcW w:w="6095" w:type="dxa"/>
            <w:shd w:val="clear" w:color="auto" w:fill="auto"/>
            <w:tcMar>
              <w:top w:w="100" w:type="dxa"/>
              <w:left w:w="100" w:type="dxa"/>
              <w:bottom w:w="100" w:type="dxa"/>
              <w:right w:w="100" w:type="dxa"/>
            </w:tcMar>
          </w:tcPr>
          <w:p w14:paraId="1D484CBB" w14:textId="77777777" w:rsidR="00127EE0" w:rsidRPr="00340B2F" w:rsidRDefault="00127EE0" w:rsidP="00340B2F">
            <w:pPr>
              <w:spacing w:before="40" w:after="120"/>
              <w:ind w:right="113"/>
            </w:pPr>
            <w:r w:rsidRPr="00340B2F">
              <w:t>600,000 vehicles to be electrified (public transport, taxi, passenger cars, light trucks and government vehicles)</w:t>
            </w:r>
          </w:p>
        </w:tc>
      </w:tr>
      <w:tr w:rsidR="00127EE0" w:rsidRPr="00340B2F" w14:paraId="0C6AEFCC" w14:textId="77777777" w:rsidTr="00340B2F">
        <w:tc>
          <w:tcPr>
            <w:tcW w:w="1276" w:type="dxa"/>
            <w:shd w:val="clear" w:color="auto" w:fill="auto"/>
            <w:tcMar>
              <w:top w:w="100" w:type="dxa"/>
              <w:left w:w="100" w:type="dxa"/>
              <w:bottom w:w="100" w:type="dxa"/>
              <w:right w:w="100" w:type="dxa"/>
            </w:tcMar>
          </w:tcPr>
          <w:p w14:paraId="18F7EF65" w14:textId="77777777" w:rsidR="00127EE0" w:rsidRPr="00340B2F" w:rsidRDefault="00127EE0" w:rsidP="00340B2F">
            <w:pPr>
              <w:spacing w:before="40" w:after="120"/>
              <w:ind w:right="113"/>
            </w:pPr>
            <w:r w:rsidRPr="00340B2F">
              <w:t>Costa Rica</w:t>
            </w:r>
          </w:p>
        </w:tc>
        <w:tc>
          <w:tcPr>
            <w:tcW w:w="6095" w:type="dxa"/>
            <w:shd w:val="clear" w:color="auto" w:fill="auto"/>
            <w:tcMar>
              <w:top w:w="100" w:type="dxa"/>
              <w:left w:w="100" w:type="dxa"/>
              <w:bottom w:w="100" w:type="dxa"/>
              <w:right w:w="100" w:type="dxa"/>
            </w:tcMar>
          </w:tcPr>
          <w:p w14:paraId="7AA7A4D1" w14:textId="70C7FEBA" w:rsidR="00127EE0" w:rsidRPr="00340B2F" w:rsidRDefault="00127EE0" w:rsidP="00340B2F">
            <w:pPr>
              <w:spacing w:before="40" w:after="120"/>
              <w:ind w:right="113"/>
            </w:pPr>
            <w:r w:rsidRPr="00340B2F">
              <w:t>By 2030, at least 8</w:t>
            </w:r>
            <w:r w:rsidR="009E7A4F" w:rsidRPr="00340B2F">
              <w:t xml:space="preserve"> per cent</w:t>
            </w:r>
            <w:r w:rsidRPr="00340B2F">
              <w:t xml:space="preserve"> of the public transport fleet and light vehicles (private and government-owned) will be zero emission</w:t>
            </w:r>
          </w:p>
        </w:tc>
      </w:tr>
      <w:tr w:rsidR="00127EE0" w:rsidRPr="00340B2F" w14:paraId="7AB4EC8C" w14:textId="77777777" w:rsidTr="00340B2F">
        <w:tc>
          <w:tcPr>
            <w:tcW w:w="1276" w:type="dxa"/>
            <w:shd w:val="clear" w:color="auto" w:fill="auto"/>
            <w:tcMar>
              <w:top w:w="100" w:type="dxa"/>
              <w:left w:w="100" w:type="dxa"/>
              <w:bottom w:w="100" w:type="dxa"/>
              <w:right w:w="100" w:type="dxa"/>
            </w:tcMar>
          </w:tcPr>
          <w:p w14:paraId="7D7E20F9" w14:textId="77777777" w:rsidR="00127EE0" w:rsidRPr="00340B2F" w:rsidRDefault="00127EE0" w:rsidP="00340B2F">
            <w:pPr>
              <w:spacing w:before="40" w:after="120"/>
              <w:ind w:right="113"/>
            </w:pPr>
            <w:r w:rsidRPr="00340B2F">
              <w:t>Côte D'Ivoire</w:t>
            </w:r>
          </w:p>
        </w:tc>
        <w:tc>
          <w:tcPr>
            <w:tcW w:w="6095" w:type="dxa"/>
            <w:shd w:val="clear" w:color="auto" w:fill="auto"/>
            <w:tcMar>
              <w:top w:w="100" w:type="dxa"/>
              <w:left w:w="100" w:type="dxa"/>
              <w:bottom w:w="100" w:type="dxa"/>
              <w:right w:w="100" w:type="dxa"/>
            </w:tcMar>
          </w:tcPr>
          <w:p w14:paraId="6AC3F5AD" w14:textId="2B35B5A9" w:rsidR="00127EE0" w:rsidRPr="00340B2F" w:rsidRDefault="00127EE0" w:rsidP="00340B2F">
            <w:pPr>
              <w:spacing w:before="40" w:after="120"/>
              <w:ind w:right="113"/>
            </w:pPr>
            <w:r w:rsidRPr="00340B2F">
              <w:t>10</w:t>
            </w:r>
            <w:r w:rsidR="009E7A4F" w:rsidRPr="00340B2F">
              <w:t xml:space="preserve"> per cent</w:t>
            </w:r>
            <w:r w:rsidRPr="00340B2F">
              <w:t xml:space="preserve"> of vehicles to be electric by 2030 (unconditional), or 25</w:t>
            </w:r>
            <w:r w:rsidR="009E7A4F" w:rsidRPr="00340B2F">
              <w:t xml:space="preserve"> per cent</w:t>
            </w:r>
            <w:r w:rsidRPr="00340B2F">
              <w:t xml:space="preserve"> by 2030 (conditional)</w:t>
            </w:r>
          </w:p>
        </w:tc>
      </w:tr>
      <w:tr w:rsidR="00127EE0" w:rsidRPr="00340B2F" w14:paraId="2476858B" w14:textId="77777777" w:rsidTr="00340B2F">
        <w:tc>
          <w:tcPr>
            <w:tcW w:w="1276" w:type="dxa"/>
            <w:shd w:val="clear" w:color="auto" w:fill="auto"/>
            <w:tcMar>
              <w:top w:w="100" w:type="dxa"/>
              <w:left w:w="100" w:type="dxa"/>
              <w:bottom w:w="100" w:type="dxa"/>
              <w:right w:w="100" w:type="dxa"/>
            </w:tcMar>
          </w:tcPr>
          <w:p w14:paraId="09E3BCFC" w14:textId="77777777" w:rsidR="00127EE0" w:rsidRPr="00340B2F" w:rsidRDefault="00127EE0" w:rsidP="00340B2F">
            <w:pPr>
              <w:spacing w:before="40" w:after="120"/>
              <w:ind w:right="113"/>
            </w:pPr>
            <w:r w:rsidRPr="00340B2F">
              <w:t>Dominica</w:t>
            </w:r>
          </w:p>
        </w:tc>
        <w:tc>
          <w:tcPr>
            <w:tcW w:w="6095" w:type="dxa"/>
            <w:shd w:val="clear" w:color="auto" w:fill="auto"/>
            <w:tcMar>
              <w:top w:w="100" w:type="dxa"/>
              <w:left w:w="100" w:type="dxa"/>
              <w:bottom w:w="100" w:type="dxa"/>
              <w:right w:w="100" w:type="dxa"/>
            </w:tcMar>
          </w:tcPr>
          <w:p w14:paraId="00D5C86C" w14:textId="77777777" w:rsidR="00127EE0" w:rsidRPr="00340B2F" w:rsidRDefault="00127EE0" w:rsidP="00340B2F">
            <w:pPr>
              <w:spacing w:before="40" w:after="120"/>
              <w:ind w:right="113"/>
            </w:pPr>
            <w:r w:rsidRPr="00340B2F">
              <w:t>Last fossil fuel passenger car to be sold by 2035 to 2050</w:t>
            </w:r>
          </w:p>
        </w:tc>
      </w:tr>
      <w:tr w:rsidR="00127EE0" w:rsidRPr="00340B2F" w14:paraId="2305BF5A" w14:textId="77777777" w:rsidTr="00340B2F">
        <w:tc>
          <w:tcPr>
            <w:tcW w:w="1276" w:type="dxa"/>
            <w:shd w:val="clear" w:color="auto" w:fill="auto"/>
            <w:tcMar>
              <w:top w:w="100" w:type="dxa"/>
              <w:left w:w="100" w:type="dxa"/>
              <w:bottom w:w="100" w:type="dxa"/>
              <w:right w:w="100" w:type="dxa"/>
            </w:tcMar>
          </w:tcPr>
          <w:p w14:paraId="71EDE2B6" w14:textId="77777777" w:rsidR="00127EE0" w:rsidRPr="00340B2F" w:rsidRDefault="00127EE0" w:rsidP="00340B2F">
            <w:pPr>
              <w:spacing w:before="40" w:after="120"/>
              <w:ind w:right="113"/>
            </w:pPr>
            <w:r w:rsidRPr="00340B2F">
              <w:t>Israel</w:t>
            </w:r>
          </w:p>
        </w:tc>
        <w:tc>
          <w:tcPr>
            <w:tcW w:w="6095" w:type="dxa"/>
            <w:shd w:val="clear" w:color="auto" w:fill="auto"/>
            <w:tcMar>
              <w:top w:w="100" w:type="dxa"/>
              <w:left w:w="100" w:type="dxa"/>
              <w:bottom w:w="100" w:type="dxa"/>
              <w:right w:w="100" w:type="dxa"/>
            </w:tcMar>
          </w:tcPr>
          <w:p w14:paraId="4E1F54D1" w14:textId="77777777" w:rsidR="00127EE0" w:rsidRPr="00340B2F" w:rsidRDefault="00127EE0" w:rsidP="00340B2F">
            <w:pPr>
              <w:spacing w:before="40" w:after="120"/>
              <w:ind w:right="113"/>
            </w:pPr>
            <w:r w:rsidRPr="00340B2F">
              <w:t>As of 2026, all new municipal buses purchased will be clean vehicles</w:t>
            </w:r>
          </w:p>
        </w:tc>
      </w:tr>
      <w:tr w:rsidR="00127EE0" w:rsidRPr="00340B2F" w14:paraId="3327F49B" w14:textId="77777777" w:rsidTr="00340B2F">
        <w:tc>
          <w:tcPr>
            <w:tcW w:w="1276" w:type="dxa"/>
            <w:shd w:val="clear" w:color="auto" w:fill="auto"/>
            <w:tcMar>
              <w:top w:w="100" w:type="dxa"/>
              <w:left w:w="100" w:type="dxa"/>
              <w:bottom w:w="100" w:type="dxa"/>
              <w:right w:w="100" w:type="dxa"/>
            </w:tcMar>
          </w:tcPr>
          <w:p w14:paraId="2E8AA8FA" w14:textId="77777777" w:rsidR="00127EE0" w:rsidRPr="00340B2F" w:rsidRDefault="00127EE0" w:rsidP="00340B2F">
            <w:pPr>
              <w:spacing w:before="40" w:after="120"/>
              <w:ind w:right="113"/>
            </w:pPr>
            <w:r w:rsidRPr="00340B2F">
              <w:t>Lao People’s Democratic Republic</w:t>
            </w:r>
          </w:p>
        </w:tc>
        <w:tc>
          <w:tcPr>
            <w:tcW w:w="6095" w:type="dxa"/>
            <w:shd w:val="clear" w:color="auto" w:fill="auto"/>
            <w:tcMar>
              <w:top w:w="100" w:type="dxa"/>
              <w:left w:w="100" w:type="dxa"/>
              <w:bottom w:w="100" w:type="dxa"/>
              <w:right w:w="100" w:type="dxa"/>
            </w:tcMar>
          </w:tcPr>
          <w:p w14:paraId="18814B06" w14:textId="0EDFAAA7" w:rsidR="00127EE0" w:rsidRPr="00340B2F" w:rsidRDefault="00127EE0" w:rsidP="00340B2F">
            <w:pPr>
              <w:spacing w:before="40" w:after="120"/>
              <w:ind w:right="113"/>
            </w:pPr>
            <w:r w:rsidRPr="00340B2F">
              <w:t>30</w:t>
            </w:r>
            <w:r w:rsidR="009E7A4F" w:rsidRPr="00340B2F">
              <w:t xml:space="preserve"> per cent</w:t>
            </w:r>
            <w:r w:rsidRPr="00340B2F">
              <w:t xml:space="preserve"> electric vehicles penetration for 2-wheelers and passengers' cars</w:t>
            </w:r>
          </w:p>
        </w:tc>
      </w:tr>
      <w:tr w:rsidR="00127EE0" w:rsidRPr="00340B2F" w14:paraId="37E09284" w14:textId="77777777" w:rsidTr="00340B2F">
        <w:tc>
          <w:tcPr>
            <w:tcW w:w="1276" w:type="dxa"/>
            <w:shd w:val="clear" w:color="auto" w:fill="auto"/>
            <w:tcMar>
              <w:top w:w="100" w:type="dxa"/>
              <w:left w:w="100" w:type="dxa"/>
              <w:bottom w:w="100" w:type="dxa"/>
              <w:right w:w="100" w:type="dxa"/>
            </w:tcMar>
          </w:tcPr>
          <w:p w14:paraId="1EDFA678" w14:textId="77777777" w:rsidR="00127EE0" w:rsidRPr="00340B2F" w:rsidRDefault="00127EE0" w:rsidP="00340B2F">
            <w:pPr>
              <w:spacing w:before="40" w:after="120"/>
              <w:ind w:right="113"/>
            </w:pPr>
            <w:r w:rsidRPr="00340B2F">
              <w:t>Monaco</w:t>
            </w:r>
          </w:p>
        </w:tc>
        <w:tc>
          <w:tcPr>
            <w:tcW w:w="6095" w:type="dxa"/>
            <w:shd w:val="clear" w:color="auto" w:fill="auto"/>
            <w:tcMar>
              <w:top w:w="100" w:type="dxa"/>
              <w:left w:w="100" w:type="dxa"/>
              <w:bottom w:w="100" w:type="dxa"/>
              <w:right w:w="100" w:type="dxa"/>
            </w:tcMar>
          </w:tcPr>
          <w:p w14:paraId="0501FA00" w14:textId="77777777" w:rsidR="00127EE0" w:rsidRPr="00340B2F" w:rsidRDefault="00127EE0" w:rsidP="00340B2F">
            <w:pPr>
              <w:spacing w:before="40" w:after="120"/>
              <w:ind w:right="113"/>
            </w:pPr>
            <w:r w:rsidRPr="00340B2F">
              <w:t>Public transport will be zero-emission by 2030</w:t>
            </w:r>
          </w:p>
        </w:tc>
      </w:tr>
      <w:tr w:rsidR="00127EE0" w:rsidRPr="00340B2F" w14:paraId="4F43AA44" w14:textId="77777777" w:rsidTr="00340B2F">
        <w:tc>
          <w:tcPr>
            <w:tcW w:w="1276" w:type="dxa"/>
            <w:shd w:val="clear" w:color="auto" w:fill="auto"/>
            <w:tcMar>
              <w:top w:w="100" w:type="dxa"/>
              <w:left w:w="100" w:type="dxa"/>
              <w:bottom w:w="100" w:type="dxa"/>
              <w:right w:w="100" w:type="dxa"/>
            </w:tcMar>
          </w:tcPr>
          <w:p w14:paraId="3D61947D" w14:textId="77777777" w:rsidR="00127EE0" w:rsidRPr="00340B2F" w:rsidRDefault="00127EE0" w:rsidP="00340B2F">
            <w:pPr>
              <w:spacing w:before="40" w:after="120"/>
              <w:ind w:right="113"/>
            </w:pPr>
            <w:r w:rsidRPr="00340B2F">
              <w:t>Namibia</w:t>
            </w:r>
          </w:p>
        </w:tc>
        <w:tc>
          <w:tcPr>
            <w:tcW w:w="6095" w:type="dxa"/>
            <w:shd w:val="clear" w:color="auto" w:fill="auto"/>
            <w:tcMar>
              <w:top w:w="100" w:type="dxa"/>
              <w:left w:w="100" w:type="dxa"/>
              <w:bottom w:w="100" w:type="dxa"/>
              <w:right w:w="100" w:type="dxa"/>
            </w:tcMar>
          </w:tcPr>
          <w:p w14:paraId="638A64A3" w14:textId="77777777" w:rsidR="00127EE0" w:rsidRPr="00340B2F" w:rsidRDefault="00127EE0" w:rsidP="00340B2F">
            <w:pPr>
              <w:spacing w:before="40" w:after="120"/>
              <w:ind w:right="113"/>
            </w:pPr>
            <w:r w:rsidRPr="00340B2F">
              <w:t>10,000 electric vehicles to be in use by 2030</w:t>
            </w:r>
          </w:p>
        </w:tc>
      </w:tr>
      <w:tr w:rsidR="00127EE0" w:rsidRPr="00340B2F" w14:paraId="45AFCC09" w14:textId="77777777" w:rsidTr="00340B2F">
        <w:tc>
          <w:tcPr>
            <w:tcW w:w="1276" w:type="dxa"/>
            <w:shd w:val="clear" w:color="auto" w:fill="auto"/>
            <w:tcMar>
              <w:top w:w="100" w:type="dxa"/>
              <w:left w:w="100" w:type="dxa"/>
              <w:bottom w:w="100" w:type="dxa"/>
              <w:right w:w="100" w:type="dxa"/>
            </w:tcMar>
          </w:tcPr>
          <w:p w14:paraId="71E7BF80" w14:textId="77777777" w:rsidR="00127EE0" w:rsidRPr="00340B2F" w:rsidRDefault="00127EE0" w:rsidP="00340B2F">
            <w:pPr>
              <w:spacing w:before="40" w:after="120"/>
              <w:ind w:right="113"/>
            </w:pPr>
            <w:r w:rsidRPr="00340B2F">
              <w:lastRenderedPageBreak/>
              <w:t>Nepal</w:t>
            </w:r>
          </w:p>
        </w:tc>
        <w:tc>
          <w:tcPr>
            <w:tcW w:w="6095" w:type="dxa"/>
            <w:shd w:val="clear" w:color="auto" w:fill="auto"/>
            <w:tcMar>
              <w:top w:w="100" w:type="dxa"/>
              <w:left w:w="100" w:type="dxa"/>
              <w:bottom w:w="100" w:type="dxa"/>
              <w:right w:w="100" w:type="dxa"/>
            </w:tcMar>
          </w:tcPr>
          <w:p w14:paraId="62AA98AB" w14:textId="7CCDFD4A" w:rsidR="00127EE0" w:rsidRPr="00340B2F" w:rsidRDefault="00127EE0" w:rsidP="00340B2F">
            <w:pPr>
              <w:spacing w:before="40" w:after="120"/>
              <w:ind w:right="113"/>
            </w:pPr>
            <w:r w:rsidRPr="00340B2F">
              <w:t>25</w:t>
            </w:r>
            <w:r w:rsidR="009E7A4F" w:rsidRPr="00340B2F">
              <w:t xml:space="preserve"> per cent</w:t>
            </w:r>
            <w:r w:rsidRPr="00340B2F">
              <w:t xml:space="preserve"> of sold vehicles (passenger cars and two-wheelers) and 20</w:t>
            </w:r>
            <w:r w:rsidR="009E7A4F" w:rsidRPr="00340B2F">
              <w:t xml:space="preserve"> per cent</w:t>
            </w:r>
            <w:r w:rsidRPr="00340B2F">
              <w:t xml:space="preserve"> of public transport (excl. rickshaws and tempos) to be electric by 2025; 90</w:t>
            </w:r>
            <w:r w:rsidR="009E7A4F" w:rsidRPr="00340B2F">
              <w:t xml:space="preserve"> per cent</w:t>
            </w:r>
            <w:r w:rsidRPr="00340B2F">
              <w:t xml:space="preserve"> of sold vehicles (passenger cars and two-wheelers) and 60</w:t>
            </w:r>
            <w:r w:rsidR="009E7A4F" w:rsidRPr="00340B2F">
              <w:t xml:space="preserve"> per cent</w:t>
            </w:r>
            <w:r w:rsidRPr="00340B2F">
              <w:t xml:space="preserve"> of public transport (excl. rickshaws and tempos) to be electric by 230; by 2030, 200 km of the electric rail to be implemented</w:t>
            </w:r>
          </w:p>
        </w:tc>
      </w:tr>
      <w:tr w:rsidR="00127EE0" w:rsidRPr="00340B2F" w14:paraId="2722EBF8" w14:textId="77777777" w:rsidTr="00340B2F">
        <w:tc>
          <w:tcPr>
            <w:tcW w:w="1276" w:type="dxa"/>
            <w:shd w:val="clear" w:color="auto" w:fill="auto"/>
            <w:tcMar>
              <w:top w:w="100" w:type="dxa"/>
              <w:left w:w="100" w:type="dxa"/>
              <w:bottom w:w="100" w:type="dxa"/>
              <w:right w:w="100" w:type="dxa"/>
            </w:tcMar>
          </w:tcPr>
          <w:p w14:paraId="04334F0A" w14:textId="77777777" w:rsidR="00127EE0" w:rsidRPr="00340B2F" w:rsidRDefault="00127EE0" w:rsidP="00340B2F">
            <w:pPr>
              <w:spacing w:before="40" w:after="120"/>
              <w:ind w:right="113"/>
            </w:pPr>
            <w:r w:rsidRPr="00340B2F">
              <w:t>Pakistan</w:t>
            </w:r>
          </w:p>
        </w:tc>
        <w:tc>
          <w:tcPr>
            <w:tcW w:w="6095" w:type="dxa"/>
            <w:shd w:val="clear" w:color="auto" w:fill="auto"/>
            <w:tcMar>
              <w:top w:w="100" w:type="dxa"/>
              <w:left w:w="100" w:type="dxa"/>
              <w:bottom w:w="100" w:type="dxa"/>
              <w:right w:w="100" w:type="dxa"/>
            </w:tcMar>
          </w:tcPr>
          <w:p w14:paraId="3F6BD6F9" w14:textId="6D60D0CD" w:rsidR="00127EE0" w:rsidRPr="00340B2F" w:rsidRDefault="00127EE0" w:rsidP="00340B2F">
            <w:pPr>
              <w:spacing w:before="40" w:after="120"/>
              <w:ind w:right="113"/>
            </w:pPr>
            <w:r w:rsidRPr="00340B2F">
              <w:t>By 2030, 30</w:t>
            </w:r>
            <w:r w:rsidR="009E7A4F" w:rsidRPr="00340B2F">
              <w:t xml:space="preserve"> per cent</w:t>
            </w:r>
            <w:r w:rsidRPr="00340B2F">
              <w:t xml:space="preserve"> of all new vehicles sold in Pakistan will be electric (30</w:t>
            </w:r>
            <w:r w:rsidR="009E7A4F" w:rsidRPr="00340B2F">
              <w:t xml:space="preserve"> per cent</w:t>
            </w:r>
            <w:r w:rsidRPr="00340B2F">
              <w:t xml:space="preserve"> shift to electric passenger vehicles and 50</w:t>
            </w:r>
            <w:r w:rsidR="009E7A4F" w:rsidRPr="00340B2F">
              <w:t xml:space="preserve"> per cent</w:t>
            </w:r>
            <w:r w:rsidRPr="00340B2F">
              <w:t xml:space="preserve"> shift to electric two/three wheelers and buses; by 2040, 90</w:t>
            </w:r>
            <w:r w:rsidR="009E7A4F" w:rsidRPr="00340B2F">
              <w:t xml:space="preserve"> per cent</w:t>
            </w:r>
            <w:r w:rsidRPr="00340B2F">
              <w:t xml:space="preserve"> shift to electric passenger vehicles and 90</w:t>
            </w:r>
            <w:r w:rsidR="009E7A4F" w:rsidRPr="00340B2F">
              <w:t xml:space="preserve"> per cent</w:t>
            </w:r>
            <w:r w:rsidRPr="00340B2F">
              <w:t xml:space="preserve"> shift to electric two/three wheelers and buses)</w:t>
            </w:r>
          </w:p>
        </w:tc>
      </w:tr>
      <w:tr w:rsidR="00127EE0" w:rsidRPr="00340B2F" w14:paraId="07967F07" w14:textId="77777777" w:rsidTr="00340B2F">
        <w:tc>
          <w:tcPr>
            <w:tcW w:w="1276" w:type="dxa"/>
            <w:shd w:val="clear" w:color="auto" w:fill="auto"/>
            <w:tcMar>
              <w:top w:w="100" w:type="dxa"/>
              <w:left w:w="100" w:type="dxa"/>
              <w:bottom w:w="100" w:type="dxa"/>
              <w:right w:w="100" w:type="dxa"/>
            </w:tcMar>
          </w:tcPr>
          <w:p w14:paraId="01C356F3" w14:textId="77777777" w:rsidR="00127EE0" w:rsidRPr="00340B2F" w:rsidRDefault="00127EE0" w:rsidP="00340B2F">
            <w:pPr>
              <w:spacing w:before="40" w:after="120"/>
              <w:ind w:right="113"/>
            </w:pPr>
            <w:r w:rsidRPr="00340B2F">
              <w:t>Panama</w:t>
            </w:r>
          </w:p>
        </w:tc>
        <w:tc>
          <w:tcPr>
            <w:tcW w:w="6095" w:type="dxa"/>
            <w:shd w:val="clear" w:color="auto" w:fill="auto"/>
            <w:tcMar>
              <w:top w:w="100" w:type="dxa"/>
              <w:left w:w="100" w:type="dxa"/>
              <w:bottom w:w="100" w:type="dxa"/>
              <w:right w:w="100" w:type="dxa"/>
            </w:tcMar>
          </w:tcPr>
          <w:p w14:paraId="3DEB5130" w14:textId="3ACE43BA" w:rsidR="00127EE0" w:rsidRPr="00340B2F" w:rsidRDefault="00127EE0" w:rsidP="00340B2F">
            <w:pPr>
              <w:spacing w:before="40" w:after="120"/>
              <w:ind w:right="113"/>
            </w:pPr>
            <w:r w:rsidRPr="00340B2F">
              <w:t>By 2030, 10</w:t>
            </w:r>
            <w:r w:rsidR="009E7A4F" w:rsidRPr="00340B2F">
              <w:t xml:space="preserve"> per cent</w:t>
            </w:r>
            <w:r w:rsidRPr="00340B2F">
              <w:t xml:space="preserve"> of commercial vehicles, 25</w:t>
            </w:r>
            <w:r w:rsidR="009E7A4F" w:rsidRPr="00340B2F">
              <w:t xml:space="preserve"> per cent</w:t>
            </w:r>
            <w:r w:rsidRPr="00340B2F">
              <w:t xml:space="preserve"> of personal vehicles, 20</w:t>
            </w:r>
            <w:r w:rsidR="009E7A4F" w:rsidRPr="00340B2F">
              <w:t xml:space="preserve"> per cent</w:t>
            </w:r>
            <w:r w:rsidRPr="00340B2F">
              <w:t xml:space="preserve"> of public transport and 30</w:t>
            </w:r>
            <w:r w:rsidR="009E7A4F" w:rsidRPr="00340B2F">
              <w:t xml:space="preserve"> per cent</w:t>
            </w:r>
            <w:r w:rsidRPr="00340B2F">
              <w:t xml:space="preserve"> of government fleets to be electric</w:t>
            </w:r>
          </w:p>
        </w:tc>
      </w:tr>
      <w:tr w:rsidR="00127EE0" w:rsidRPr="00340B2F" w14:paraId="67DF3BAB" w14:textId="77777777" w:rsidTr="00340B2F">
        <w:tc>
          <w:tcPr>
            <w:tcW w:w="1276" w:type="dxa"/>
            <w:shd w:val="clear" w:color="auto" w:fill="auto"/>
            <w:tcMar>
              <w:top w:w="100" w:type="dxa"/>
              <w:left w:w="100" w:type="dxa"/>
              <w:bottom w:w="100" w:type="dxa"/>
              <w:right w:w="100" w:type="dxa"/>
            </w:tcMar>
          </w:tcPr>
          <w:p w14:paraId="3393D8D4" w14:textId="77777777" w:rsidR="00127EE0" w:rsidRPr="00340B2F" w:rsidRDefault="00127EE0" w:rsidP="00340B2F">
            <w:pPr>
              <w:spacing w:before="40" w:after="120"/>
              <w:ind w:right="113"/>
            </w:pPr>
            <w:r w:rsidRPr="00340B2F">
              <w:t>Republic of Korea</w:t>
            </w:r>
          </w:p>
        </w:tc>
        <w:tc>
          <w:tcPr>
            <w:tcW w:w="6095" w:type="dxa"/>
            <w:shd w:val="clear" w:color="auto" w:fill="auto"/>
            <w:tcMar>
              <w:top w:w="100" w:type="dxa"/>
              <w:left w:w="100" w:type="dxa"/>
              <w:bottom w:w="100" w:type="dxa"/>
              <w:right w:w="100" w:type="dxa"/>
            </w:tcMar>
          </w:tcPr>
          <w:p w14:paraId="49F21A14" w14:textId="77777777" w:rsidR="00127EE0" w:rsidRPr="00340B2F" w:rsidRDefault="00127EE0" w:rsidP="00340B2F">
            <w:pPr>
              <w:spacing w:before="40" w:after="120"/>
              <w:ind w:right="113"/>
            </w:pPr>
            <w:r w:rsidRPr="00340B2F">
              <w:t>3 million electric vehicles and 850,000 hydrogen vehicles on the roads by 2030</w:t>
            </w:r>
          </w:p>
        </w:tc>
      </w:tr>
      <w:tr w:rsidR="00127EE0" w:rsidRPr="00340B2F" w14:paraId="540F416E" w14:textId="77777777" w:rsidTr="00340B2F">
        <w:tc>
          <w:tcPr>
            <w:tcW w:w="1276" w:type="dxa"/>
            <w:shd w:val="clear" w:color="auto" w:fill="auto"/>
            <w:tcMar>
              <w:top w:w="100" w:type="dxa"/>
              <w:left w:w="100" w:type="dxa"/>
              <w:bottom w:w="100" w:type="dxa"/>
              <w:right w:w="100" w:type="dxa"/>
            </w:tcMar>
          </w:tcPr>
          <w:p w14:paraId="7A00F71E" w14:textId="77777777" w:rsidR="00127EE0" w:rsidRPr="00340B2F" w:rsidRDefault="00127EE0" w:rsidP="00340B2F">
            <w:pPr>
              <w:spacing w:before="40" w:after="120"/>
              <w:ind w:right="113"/>
            </w:pPr>
            <w:r w:rsidRPr="00340B2F">
              <w:t>Saint Kitts and Nevis</w:t>
            </w:r>
          </w:p>
        </w:tc>
        <w:tc>
          <w:tcPr>
            <w:tcW w:w="6095" w:type="dxa"/>
            <w:shd w:val="clear" w:color="auto" w:fill="auto"/>
            <w:tcMar>
              <w:top w:w="100" w:type="dxa"/>
              <w:left w:w="100" w:type="dxa"/>
              <w:bottom w:w="100" w:type="dxa"/>
              <w:right w:w="100" w:type="dxa"/>
            </w:tcMar>
          </w:tcPr>
          <w:p w14:paraId="12153E99" w14:textId="5C52F66B" w:rsidR="00127EE0" w:rsidRPr="00340B2F" w:rsidRDefault="00127EE0" w:rsidP="00340B2F">
            <w:pPr>
              <w:spacing w:before="40" w:after="120"/>
              <w:ind w:right="113"/>
            </w:pPr>
            <w:r w:rsidRPr="00340B2F">
              <w:t>Increase the share of electric vehicles in the vehicle fleet to at least 2</w:t>
            </w:r>
            <w:r w:rsidR="009E7A4F" w:rsidRPr="00340B2F">
              <w:t xml:space="preserve"> per cent</w:t>
            </w:r>
          </w:p>
        </w:tc>
      </w:tr>
      <w:tr w:rsidR="00127EE0" w:rsidRPr="00340B2F" w14:paraId="3F47FE44" w14:textId="77777777" w:rsidTr="00340B2F">
        <w:tc>
          <w:tcPr>
            <w:tcW w:w="1276" w:type="dxa"/>
            <w:shd w:val="clear" w:color="auto" w:fill="auto"/>
            <w:tcMar>
              <w:top w:w="100" w:type="dxa"/>
              <w:left w:w="100" w:type="dxa"/>
              <w:bottom w:w="100" w:type="dxa"/>
              <w:right w:w="100" w:type="dxa"/>
            </w:tcMar>
          </w:tcPr>
          <w:p w14:paraId="684E0E99" w14:textId="77777777" w:rsidR="00127EE0" w:rsidRPr="00340B2F" w:rsidRDefault="00127EE0" w:rsidP="00340B2F">
            <w:pPr>
              <w:spacing w:before="40" w:after="120"/>
              <w:ind w:right="113"/>
            </w:pPr>
            <w:r w:rsidRPr="00340B2F">
              <w:t>Seychelles</w:t>
            </w:r>
          </w:p>
        </w:tc>
        <w:tc>
          <w:tcPr>
            <w:tcW w:w="6095" w:type="dxa"/>
            <w:shd w:val="clear" w:color="auto" w:fill="auto"/>
            <w:tcMar>
              <w:top w:w="100" w:type="dxa"/>
              <w:left w:w="100" w:type="dxa"/>
              <w:bottom w:w="100" w:type="dxa"/>
              <w:right w:w="100" w:type="dxa"/>
            </w:tcMar>
          </w:tcPr>
          <w:p w14:paraId="1592E42B" w14:textId="7AF6F444" w:rsidR="00127EE0" w:rsidRPr="00340B2F" w:rsidRDefault="00127EE0" w:rsidP="00340B2F">
            <w:pPr>
              <w:spacing w:before="40" w:after="120"/>
              <w:ind w:right="113"/>
            </w:pPr>
            <w:r w:rsidRPr="00340B2F">
              <w:t>30</w:t>
            </w:r>
            <w:r w:rsidR="009E7A4F" w:rsidRPr="00340B2F">
              <w:t xml:space="preserve"> per cent</w:t>
            </w:r>
            <w:r w:rsidRPr="00340B2F">
              <w:t xml:space="preserve"> of vehicles by large tourism businesses and 20</w:t>
            </w:r>
            <w:r w:rsidR="009E7A4F" w:rsidRPr="00340B2F">
              <w:t xml:space="preserve"> per cent</w:t>
            </w:r>
            <w:r w:rsidRPr="00340B2F">
              <w:t xml:space="preserve"> of small to medium-size tourism businesses to be electric </w:t>
            </w:r>
          </w:p>
        </w:tc>
      </w:tr>
      <w:tr w:rsidR="00127EE0" w:rsidRPr="00340B2F" w14:paraId="2C5D3F15" w14:textId="77777777" w:rsidTr="00340B2F">
        <w:tc>
          <w:tcPr>
            <w:tcW w:w="1276" w:type="dxa"/>
            <w:shd w:val="clear" w:color="auto" w:fill="auto"/>
            <w:tcMar>
              <w:top w:w="100" w:type="dxa"/>
              <w:left w:w="100" w:type="dxa"/>
              <w:bottom w:w="100" w:type="dxa"/>
              <w:right w:w="100" w:type="dxa"/>
            </w:tcMar>
          </w:tcPr>
          <w:p w14:paraId="47F25CD5" w14:textId="77777777" w:rsidR="00127EE0" w:rsidRPr="00340B2F" w:rsidRDefault="00127EE0" w:rsidP="00340B2F">
            <w:pPr>
              <w:spacing w:before="40" w:after="120"/>
              <w:ind w:right="113"/>
            </w:pPr>
            <w:r w:rsidRPr="00340B2F">
              <w:t>Togo</w:t>
            </w:r>
          </w:p>
        </w:tc>
        <w:tc>
          <w:tcPr>
            <w:tcW w:w="6095" w:type="dxa"/>
            <w:shd w:val="clear" w:color="auto" w:fill="auto"/>
            <w:tcMar>
              <w:top w:w="100" w:type="dxa"/>
              <w:left w:w="100" w:type="dxa"/>
              <w:bottom w:w="100" w:type="dxa"/>
              <w:right w:w="100" w:type="dxa"/>
            </w:tcMar>
          </w:tcPr>
          <w:p w14:paraId="37E020F6" w14:textId="31EB923D" w:rsidR="00127EE0" w:rsidRPr="00340B2F" w:rsidRDefault="00127EE0" w:rsidP="00340B2F">
            <w:pPr>
              <w:spacing w:before="40" w:after="120"/>
              <w:ind w:right="113"/>
            </w:pPr>
            <w:r w:rsidRPr="00340B2F">
              <w:t>3</w:t>
            </w:r>
            <w:r w:rsidR="009E7A4F" w:rsidRPr="00340B2F">
              <w:t xml:space="preserve"> per cent</w:t>
            </w:r>
            <w:r w:rsidRPr="00340B2F">
              <w:t xml:space="preserve"> of sold new vehicles to be electric by 2025</w:t>
            </w:r>
          </w:p>
        </w:tc>
      </w:tr>
      <w:tr w:rsidR="00127EE0" w:rsidRPr="00340B2F" w14:paraId="56D37658" w14:textId="77777777" w:rsidTr="00340B2F">
        <w:tc>
          <w:tcPr>
            <w:tcW w:w="1276" w:type="dxa"/>
            <w:shd w:val="clear" w:color="auto" w:fill="auto"/>
            <w:tcMar>
              <w:top w:w="100" w:type="dxa"/>
              <w:left w:w="100" w:type="dxa"/>
              <w:bottom w:w="100" w:type="dxa"/>
              <w:right w:w="100" w:type="dxa"/>
            </w:tcMar>
          </w:tcPr>
          <w:p w14:paraId="1049C792" w14:textId="77777777" w:rsidR="00127EE0" w:rsidRPr="00340B2F" w:rsidRDefault="00127EE0" w:rsidP="00340B2F">
            <w:pPr>
              <w:spacing w:before="40" w:after="120"/>
              <w:ind w:right="113"/>
            </w:pPr>
            <w:r w:rsidRPr="00340B2F">
              <w:t>Uganda</w:t>
            </w:r>
          </w:p>
        </w:tc>
        <w:tc>
          <w:tcPr>
            <w:tcW w:w="6095" w:type="dxa"/>
            <w:shd w:val="clear" w:color="auto" w:fill="auto"/>
            <w:tcMar>
              <w:top w:w="100" w:type="dxa"/>
              <w:left w:w="100" w:type="dxa"/>
              <w:bottom w:w="100" w:type="dxa"/>
              <w:right w:w="100" w:type="dxa"/>
            </w:tcMar>
          </w:tcPr>
          <w:p w14:paraId="7979F5B1" w14:textId="77777777" w:rsidR="00127EE0" w:rsidRPr="00340B2F" w:rsidRDefault="00127EE0" w:rsidP="00340B2F">
            <w:pPr>
              <w:spacing w:before="40" w:after="120"/>
              <w:ind w:right="113"/>
            </w:pPr>
            <w:r w:rsidRPr="00340B2F">
              <w:t>Introduce at least 200 electric buses in Greater Kampala Metropolitan Authority by 2030</w:t>
            </w:r>
          </w:p>
        </w:tc>
      </w:tr>
      <w:tr w:rsidR="00127EE0" w:rsidRPr="00340B2F" w14:paraId="6EC7BE77" w14:textId="77777777" w:rsidTr="00340B2F">
        <w:tc>
          <w:tcPr>
            <w:tcW w:w="1276" w:type="dxa"/>
            <w:shd w:val="clear" w:color="auto" w:fill="auto"/>
            <w:tcMar>
              <w:top w:w="100" w:type="dxa"/>
              <w:left w:w="100" w:type="dxa"/>
              <w:bottom w:w="100" w:type="dxa"/>
              <w:right w:w="100" w:type="dxa"/>
            </w:tcMar>
          </w:tcPr>
          <w:p w14:paraId="096FEF4E" w14:textId="77777777" w:rsidR="00127EE0" w:rsidRPr="00340B2F" w:rsidRDefault="00127EE0" w:rsidP="00340B2F">
            <w:pPr>
              <w:spacing w:before="40" w:after="120"/>
              <w:ind w:right="113"/>
            </w:pPr>
            <w:r w:rsidRPr="00340B2F">
              <w:t>United Arab Emirates</w:t>
            </w:r>
          </w:p>
        </w:tc>
        <w:tc>
          <w:tcPr>
            <w:tcW w:w="6095" w:type="dxa"/>
            <w:shd w:val="clear" w:color="auto" w:fill="auto"/>
            <w:tcMar>
              <w:top w:w="100" w:type="dxa"/>
              <w:left w:w="100" w:type="dxa"/>
              <w:bottom w:w="100" w:type="dxa"/>
              <w:right w:w="100" w:type="dxa"/>
            </w:tcMar>
          </w:tcPr>
          <w:p w14:paraId="263C34F1" w14:textId="45398150" w:rsidR="00127EE0" w:rsidRPr="00340B2F" w:rsidRDefault="00127EE0" w:rsidP="00340B2F">
            <w:pPr>
              <w:spacing w:before="40" w:after="120"/>
              <w:ind w:right="113"/>
            </w:pPr>
            <w:r w:rsidRPr="00340B2F">
              <w:t>2</w:t>
            </w:r>
            <w:r w:rsidR="009E7A4F" w:rsidRPr="00340B2F">
              <w:t xml:space="preserve"> per cent</w:t>
            </w:r>
            <w:r w:rsidRPr="00340B2F">
              <w:t xml:space="preserve"> of Dubai’s road fleet to be electric or hybrid cars by 2030; 30</w:t>
            </w:r>
            <w:r w:rsidR="009E7A4F" w:rsidRPr="00340B2F">
              <w:t xml:space="preserve"> per cent</w:t>
            </w:r>
            <w:r w:rsidRPr="00340B2F">
              <w:t xml:space="preserve"> of Dubai’s government-procured vehicles to be electric or hybrid by 2030</w:t>
            </w:r>
          </w:p>
        </w:tc>
      </w:tr>
      <w:tr w:rsidR="00127EE0" w:rsidRPr="00340B2F" w14:paraId="2DD5B65D" w14:textId="77777777" w:rsidTr="00340B2F">
        <w:tc>
          <w:tcPr>
            <w:tcW w:w="1276" w:type="dxa"/>
            <w:tcBorders>
              <w:bottom w:val="single" w:sz="12" w:space="0" w:color="auto"/>
            </w:tcBorders>
            <w:shd w:val="clear" w:color="auto" w:fill="auto"/>
            <w:tcMar>
              <w:top w:w="100" w:type="dxa"/>
              <w:left w:w="100" w:type="dxa"/>
              <w:bottom w:w="100" w:type="dxa"/>
              <w:right w:w="100" w:type="dxa"/>
            </w:tcMar>
          </w:tcPr>
          <w:p w14:paraId="7FE2CEEB" w14:textId="77777777" w:rsidR="00127EE0" w:rsidRPr="00340B2F" w:rsidRDefault="00127EE0" w:rsidP="00340B2F">
            <w:pPr>
              <w:spacing w:before="40" w:after="120"/>
              <w:ind w:right="113"/>
            </w:pPr>
            <w:r w:rsidRPr="00340B2F">
              <w:t>Vanuatu</w:t>
            </w:r>
          </w:p>
        </w:tc>
        <w:tc>
          <w:tcPr>
            <w:tcW w:w="6095" w:type="dxa"/>
            <w:tcBorders>
              <w:bottom w:val="single" w:sz="12" w:space="0" w:color="auto"/>
            </w:tcBorders>
            <w:shd w:val="clear" w:color="auto" w:fill="auto"/>
            <w:tcMar>
              <w:top w:w="100" w:type="dxa"/>
              <w:left w:w="100" w:type="dxa"/>
              <w:bottom w:w="100" w:type="dxa"/>
              <w:right w:w="100" w:type="dxa"/>
            </w:tcMar>
          </w:tcPr>
          <w:p w14:paraId="3B28F898" w14:textId="62100A43" w:rsidR="00127EE0" w:rsidRPr="00340B2F" w:rsidRDefault="00127EE0" w:rsidP="00340B2F">
            <w:pPr>
              <w:spacing w:before="40" w:after="120"/>
              <w:ind w:right="113"/>
            </w:pPr>
            <w:r w:rsidRPr="00340B2F">
              <w:t>By 2030, 10</w:t>
            </w:r>
            <w:r w:rsidR="009E7A4F" w:rsidRPr="00340B2F">
              <w:t xml:space="preserve"> per cent</w:t>
            </w:r>
            <w:r w:rsidRPr="00340B2F">
              <w:t xml:space="preserve"> of public buses, 10</w:t>
            </w:r>
            <w:r w:rsidR="009E7A4F" w:rsidRPr="00340B2F">
              <w:t xml:space="preserve"> per cent</w:t>
            </w:r>
            <w:r w:rsidRPr="00340B2F">
              <w:t xml:space="preserve"> of the government fleet and 1,000 electric two- and three-wheelers to be electric</w:t>
            </w:r>
          </w:p>
        </w:tc>
      </w:tr>
    </w:tbl>
    <w:p w14:paraId="0222759D" w14:textId="39C6C024" w:rsidR="00BF5682" w:rsidRPr="00BF5682" w:rsidRDefault="00A026B3" w:rsidP="00340B2F">
      <w:pPr>
        <w:spacing w:before="240"/>
        <w:jc w:val="center"/>
        <w:rPr>
          <w:u w:val="single"/>
        </w:rPr>
      </w:pPr>
      <w:r w:rsidRPr="00247C2E">
        <w:rPr>
          <w:u w:val="single"/>
        </w:rPr>
        <w:tab/>
      </w:r>
      <w:r w:rsidRPr="00247C2E">
        <w:rPr>
          <w:u w:val="single"/>
        </w:rPr>
        <w:tab/>
      </w:r>
      <w:r w:rsidRPr="00247C2E">
        <w:rPr>
          <w:u w:val="single"/>
        </w:rPr>
        <w:tab/>
      </w:r>
    </w:p>
    <w:sectPr w:rsidR="00BF5682" w:rsidRPr="00BF5682" w:rsidSect="0080309B">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1922" w14:textId="77777777" w:rsidR="004D3370" w:rsidRDefault="004D3370"/>
  </w:endnote>
  <w:endnote w:type="continuationSeparator" w:id="0">
    <w:p w14:paraId="6D8EF7D5" w14:textId="77777777" w:rsidR="004D3370" w:rsidRDefault="004D3370"/>
  </w:endnote>
  <w:endnote w:type="continuationNotice" w:id="1">
    <w:p w14:paraId="7EAF825B" w14:textId="77777777" w:rsidR="004D3370" w:rsidRDefault="004D3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A137" w14:textId="77777777" w:rsidR="004D3370" w:rsidRPr="000B175B" w:rsidRDefault="004D3370" w:rsidP="000B175B">
      <w:pPr>
        <w:tabs>
          <w:tab w:val="right" w:pos="2155"/>
        </w:tabs>
        <w:spacing w:after="80"/>
        <w:ind w:left="680"/>
        <w:rPr>
          <w:u w:val="single"/>
        </w:rPr>
      </w:pPr>
      <w:r>
        <w:rPr>
          <w:u w:val="single"/>
        </w:rPr>
        <w:tab/>
      </w:r>
    </w:p>
  </w:footnote>
  <w:footnote w:type="continuationSeparator" w:id="0">
    <w:p w14:paraId="0EB865F6" w14:textId="77777777" w:rsidR="004D3370" w:rsidRPr="00FC68B7" w:rsidRDefault="004D3370" w:rsidP="00FC68B7">
      <w:pPr>
        <w:tabs>
          <w:tab w:val="left" w:pos="2155"/>
        </w:tabs>
        <w:spacing w:after="80"/>
        <w:ind w:left="680"/>
        <w:rPr>
          <w:u w:val="single"/>
        </w:rPr>
      </w:pPr>
      <w:r>
        <w:rPr>
          <w:u w:val="single"/>
        </w:rPr>
        <w:tab/>
      </w:r>
    </w:p>
  </w:footnote>
  <w:footnote w:type="continuationNotice" w:id="1">
    <w:p w14:paraId="66CC6BC6" w14:textId="77777777" w:rsidR="004D3370" w:rsidRDefault="004D3370"/>
  </w:footnote>
  <w:footnote w:id="2">
    <w:p w14:paraId="79F48601" w14:textId="4EC72AF5" w:rsidR="00CB4B97" w:rsidRPr="00BF3BAC" w:rsidRDefault="00CB4B97" w:rsidP="00CB4B97">
      <w:pPr>
        <w:pStyle w:val="FootnoteText"/>
        <w:rPr>
          <w:lang w:val="en-US"/>
        </w:rPr>
      </w:pPr>
      <w:r>
        <w:rPr>
          <w:rStyle w:val="FootnoteReference"/>
        </w:rPr>
        <w:tab/>
      </w:r>
      <w:r w:rsidRPr="00BF3BAC">
        <w:rPr>
          <w:rStyle w:val="FootnoteReference"/>
          <w:sz w:val="20"/>
          <w:vertAlign w:val="baseline"/>
        </w:rPr>
        <w:t>*</w:t>
      </w:r>
      <w:r>
        <w:rPr>
          <w:rStyle w:val="FootnoteReference"/>
          <w:sz w:val="20"/>
          <w:vertAlign w:val="baseline"/>
        </w:rPr>
        <w:tab/>
      </w:r>
      <w:r w:rsidRPr="00AD759C">
        <w:rPr>
          <w:szCs w:val="18"/>
        </w:rPr>
        <w:t>The present document is being issued without formal editing.</w:t>
      </w:r>
    </w:p>
  </w:footnote>
  <w:footnote w:id="3">
    <w:p w14:paraId="0719B9E4" w14:textId="331EBDD5" w:rsidR="00127EE0" w:rsidRDefault="00F14D07" w:rsidP="00F14D07">
      <w:pPr>
        <w:pStyle w:val="FootnoteText"/>
      </w:pPr>
      <w:r>
        <w:tab/>
      </w:r>
      <w:r w:rsidR="00127EE0">
        <w:rPr>
          <w:vertAlign w:val="superscript"/>
        </w:rPr>
        <w:footnoteRef/>
      </w:r>
      <w:r w:rsidR="00127EE0">
        <w:t xml:space="preserve"> </w:t>
      </w:r>
      <w:r>
        <w:tab/>
      </w:r>
      <w:r>
        <w:tab/>
      </w:r>
      <w:r w:rsidR="00127EE0">
        <w:t>GIZ and SLOCAT (2023), “NDC Transport Tracker”, https://changing-transport.org/tracker.</w:t>
      </w:r>
    </w:p>
  </w:footnote>
  <w:footnote w:id="4">
    <w:p w14:paraId="4AA112A9" w14:textId="2B685334" w:rsidR="00127EE0" w:rsidRDefault="00F14D07" w:rsidP="0031283B">
      <w:pPr>
        <w:pStyle w:val="FootnoteText"/>
      </w:pPr>
      <w:r>
        <w:tab/>
      </w:r>
      <w:r w:rsidR="00127EE0">
        <w:rPr>
          <w:vertAlign w:val="superscript"/>
        </w:rPr>
        <w:footnoteRef/>
      </w:r>
      <w:r w:rsidR="00127EE0">
        <w:t xml:space="preserve"> </w:t>
      </w:r>
      <w:r>
        <w:tab/>
      </w:r>
      <w:r>
        <w:tab/>
      </w:r>
      <w:r w:rsidR="00127EE0">
        <w:t xml:space="preserve">SLOCAT (2022), “Climate Strategies for Transport: An Analysis of Nationally Determined Contributions and Long-Term Strategies”, October 2022 </w:t>
      </w:r>
      <w:r w:rsidR="00127EE0" w:rsidRPr="00F14D07">
        <w:t>Update</w:t>
      </w:r>
      <w:r w:rsidR="00127EE0">
        <w:t>. www.slocat.net/ndcs</w:t>
      </w:r>
    </w:p>
  </w:footnote>
  <w:footnote w:id="5">
    <w:p w14:paraId="0A3EAD77" w14:textId="51538513" w:rsidR="00127EE0" w:rsidRDefault="008141D4" w:rsidP="008141D4">
      <w:pPr>
        <w:pStyle w:val="FootnoteText"/>
      </w:pPr>
      <w:r>
        <w:tab/>
      </w:r>
      <w:r w:rsidR="00127EE0">
        <w:rPr>
          <w:vertAlign w:val="superscript"/>
        </w:rPr>
        <w:footnoteRef/>
      </w:r>
      <w:r w:rsidR="00127EE0">
        <w:t xml:space="preserve"> </w:t>
      </w:r>
      <w:r>
        <w:tab/>
      </w:r>
      <w:r>
        <w:tab/>
      </w:r>
      <w:r w:rsidR="00127EE0">
        <w:t>SLOCAT (2022), “Climate Strategies for Transport: An Analysis of Nationally Determined Contributions and Long-Term Strategies”, October 2022 Update. www.slocat.net/ndcs</w:t>
      </w:r>
    </w:p>
  </w:footnote>
  <w:footnote w:id="6">
    <w:p w14:paraId="219165D5" w14:textId="3359C850" w:rsidR="00127EE0" w:rsidRDefault="008141D4" w:rsidP="008141D4">
      <w:pPr>
        <w:pStyle w:val="FootnoteText"/>
      </w:pPr>
      <w:r>
        <w:tab/>
      </w:r>
      <w:r w:rsidR="00127EE0">
        <w:rPr>
          <w:vertAlign w:val="superscript"/>
        </w:rPr>
        <w:footnoteRef/>
      </w:r>
      <w:r w:rsidR="00127EE0">
        <w:t xml:space="preserve"> </w:t>
      </w:r>
      <w:r>
        <w:tab/>
      </w:r>
      <w:r>
        <w:tab/>
      </w:r>
      <w:r w:rsidR="00127EE0">
        <w:t>SLOCAT (2022), “Climate Strategies for Transport: An Analysis of Nationally Determined Contributions and Long-Term Strategies”, October 2022 Update. www.slocat.net/ndcs</w:t>
      </w:r>
    </w:p>
  </w:footnote>
  <w:footnote w:id="7">
    <w:p w14:paraId="61FC52D0" w14:textId="7CBEBE1A" w:rsidR="00127EE0" w:rsidRDefault="008141D4" w:rsidP="008141D4">
      <w:pPr>
        <w:pStyle w:val="FootnoteText"/>
      </w:pPr>
      <w:r>
        <w:tab/>
      </w:r>
      <w:r w:rsidR="00127EE0">
        <w:rPr>
          <w:vertAlign w:val="superscript"/>
        </w:rPr>
        <w:footnoteRef/>
      </w:r>
      <w:r w:rsidR="00127EE0">
        <w:t xml:space="preserve"> </w:t>
      </w:r>
      <w:r>
        <w:tab/>
      </w:r>
      <w:r>
        <w:tab/>
      </w:r>
      <w:r w:rsidR="00127EE0">
        <w:t>SLOCAT (2022), “Climate Strategies for Transport: An Analysis of Nationally Determined Contributions and Long-Term Strategies”, October 2022 Update. www.slocat.net/ndcs</w:t>
      </w:r>
    </w:p>
  </w:footnote>
  <w:footnote w:id="8">
    <w:p w14:paraId="2801E120" w14:textId="3C6BAE9D" w:rsidR="00127EE0" w:rsidRDefault="008141D4" w:rsidP="008141D4">
      <w:pPr>
        <w:pStyle w:val="FootnoteText"/>
      </w:pPr>
      <w:r>
        <w:tab/>
      </w:r>
      <w:r w:rsidR="00127EE0">
        <w:rPr>
          <w:vertAlign w:val="superscript"/>
        </w:rPr>
        <w:footnoteRef/>
      </w:r>
      <w:r w:rsidR="00127EE0">
        <w:t xml:space="preserve"> </w:t>
      </w:r>
      <w:r>
        <w:tab/>
      </w:r>
      <w:r>
        <w:tab/>
      </w:r>
      <w:r w:rsidR="00127EE0">
        <w:t>GIZ and SLOCAT (2023), “NDC Transport Tracker”, https://changing-transport.org/tracker.</w:t>
      </w:r>
    </w:p>
  </w:footnote>
  <w:footnote w:id="9">
    <w:p w14:paraId="6B264577" w14:textId="1B14EE61" w:rsidR="00127EE0" w:rsidRDefault="008141D4" w:rsidP="008141D4">
      <w:pPr>
        <w:pStyle w:val="FootnoteText"/>
      </w:pPr>
      <w:r>
        <w:tab/>
      </w:r>
      <w:r w:rsidR="00127EE0">
        <w:rPr>
          <w:vertAlign w:val="superscript"/>
        </w:rPr>
        <w:footnoteRef/>
      </w:r>
      <w:r w:rsidR="00127EE0">
        <w:t xml:space="preserve"> </w:t>
      </w:r>
      <w:r>
        <w:tab/>
      </w:r>
      <w:r>
        <w:tab/>
      </w:r>
      <w:r w:rsidR="00127EE0">
        <w:t>GIZ and SLOCAT (2023), “NDC Transport Tracker”, https://changing-transport.org/tracker.</w:t>
      </w:r>
    </w:p>
  </w:footnote>
  <w:footnote w:id="10">
    <w:p w14:paraId="3643D2F4" w14:textId="2035CC69" w:rsidR="00127EE0" w:rsidRDefault="008141D4" w:rsidP="008141D4">
      <w:pPr>
        <w:pStyle w:val="FootnoteText"/>
      </w:pPr>
      <w:r>
        <w:tab/>
      </w:r>
      <w:r w:rsidR="00127EE0">
        <w:rPr>
          <w:vertAlign w:val="superscript"/>
        </w:rPr>
        <w:footnoteRef/>
      </w:r>
      <w:r w:rsidR="00127EE0">
        <w:t xml:space="preserve"> </w:t>
      </w:r>
      <w:r>
        <w:tab/>
      </w:r>
      <w:r>
        <w:tab/>
      </w:r>
      <w:hyperlink r:id="rId1" w:history="1">
        <w:r w:rsidRPr="00844247">
          <w:rPr>
            <w:rStyle w:val="Hyperlink"/>
          </w:rPr>
          <w:t>https://unfccc.int/sites/default/files/NDC/2022-06/EU_NDC_Submission_December</w:t>
        </w:r>
        <w:r w:rsidR="00467B6B">
          <w:rPr>
            <w:rStyle w:val="Hyperlink"/>
          </w:rPr>
          <w:t xml:space="preserve">  </w:t>
        </w:r>
        <w:r w:rsidRPr="00844247">
          <w:rPr>
            <w:rStyle w:val="Hyperlink"/>
          </w:rPr>
          <w:t>per cent202020.pdf</w:t>
        </w:r>
      </w:hyperlink>
      <w:r w:rsidR="00127EE0">
        <w:t xml:space="preserve"> </w:t>
      </w:r>
    </w:p>
  </w:footnote>
  <w:footnote w:id="11">
    <w:p w14:paraId="6300A3B2" w14:textId="1C630E3D" w:rsidR="00127EE0" w:rsidRDefault="008141D4" w:rsidP="008141D4">
      <w:pPr>
        <w:pStyle w:val="FootnoteText"/>
      </w:pPr>
      <w:r>
        <w:tab/>
      </w:r>
      <w:r w:rsidR="00127EE0">
        <w:rPr>
          <w:vertAlign w:val="superscript"/>
        </w:rPr>
        <w:footnoteRef/>
      </w:r>
      <w:r w:rsidR="00127EE0">
        <w:t xml:space="preserve"> </w:t>
      </w:r>
      <w:r>
        <w:tab/>
      </w:r>
      <w:r>
        <w:tab/>
      </w:r>
      <w:r w:rsidR="00127EE0">
        <w:t>GIZ and SLOCAT (2023), “NDC Transport Tracker”, https://changing-transport.org/tracker.</w:t>
      </w:r>
    </w:p>
  </w:footnote>
  <w:footnote w:id="12">
    <w:p w14:paraId="2A94C153" w14:textId="10B33139" w:rsidR="00127EE0" w:rsidRDefault="008141D4" w:rsidP="008141D4">
      <w:pPr>
        <w:pStyle w:val="FootnoteText"/>
      </w:pPr>
      <w:r>
        <w:tab/>
      </w:r>
      <w:r w:rsidR="00127EE0">
        <w:rPr>
          <w:vertAlign w:val="superscript"/>
        </w:rPr>
        <w:footnoteRef/>
      </w:r>
      <w:r w:rsidR="00127EE0">
        <w:t xml:space="preserve"> </w:t>
      </w:r>
      <w:r>
        <w:tab/>
      </w:r>
      <w:r>
        <w:tab/>
      </w:r>
      <w:hyperlink r:id="rId2" w:history="1">
        <w:r w:rsidR="009F336B" w:rsidRPr="00767044">
          <w:rPr>
            <w:rStyle w:val="Hyperlink"/>
          </w:rPr>
          <w:t>https://unfccc.int/sites/default/files/NDC/2022-06/NDC  per cent20actualizada  per cent20de  per cent20Colombia.pdf</w:t>
        </w:r>
      </w:hyperlink>
      <w:r w:rsidR="00127EE0">
        <w:t xml:space="preserve"> </w:t>
      </w:r>
    </w:p>
  </w:footnote>
  <w:footnote w:id="13">
    <w:p w14:paraId="3738DF2A" w14:textId="3997C3C4" w:rsidR="00127EE0" w:rsidRDefault="008141D4" w:rsidP="008141D4">
      <w:pPr>
        <w:pStyle w:val="FootnoteText"/>
      </w:pPr>
      <w:r>
        <w:tab/>
      </w:r>
      <w:r w:rsidR="00127EE0">
        <w:rPr>
          <w:vertAlign w:val="superscript"/>
        </w:rPr>
        <w:footnoteRef/>
      </w:r>
      <w:r w:rsidR="00127EE0">
        <w:t xml:space="preserve"> </w:t>
      </w:r>
      <w:r>
        <w:tab/>
      </w:r>
      <w:r>
        <w:tab/>
      </w:r>
      <w:r w:rsidR="00F6723E" w:rsidRPr="00F6723E">
        <w:t xml:space="preserve">US Government (2021), “The United States’ Nationally Determined Contribution, Reducing Greenhouse Gases in the United States: A 2030 Emissions Target”, </w:t>
      </w:r>
      <w:hyperlink r:id="rId3" w:history="1">
        <w:r w:rsidR="00953683" w:rsidRPr="003D1773">
          <w:rPr>
            <w:rStyle w:val="Hyperlink"/>
          </w:rPr>
          <w:t>https://unfccc.int/sites/default/files/NDC/202206/United%20States%20NDC%20April%2021%202021%20Final.pdf</w:t>
        </w:r>
      </w:hyperlink>
      <w:r w:rsidR="00F6723E" w:rsidRPr="00F6723E">
        <w:t>.</w:t>
      </w:r>
    </w:p>
  </w:footnote>
  <w:footnote w:id="14">
    <w:p w14:paraId="74CBAC94" w14:textId="66F535E1" w:rsidR="00127EE0" w:rsidRDefault="008141D4" w:rsidP="008141D4">
      <w:pPr>
        <w:pStyle w:val="FootnoteText"/>
      </w:pPr>
      <w:r>
        <w:tab/>
      </w:r>
      <w:r w:rsidR="00127EE0">
        <w:rPr>
          <w:vertAlign w:val="superscript"/>
        </w:rPr>
        <w:footnoteRef/>
      </w:r>
      <w:r w:rsidR="00127EE0">
        <w:t xml:space="preserve"> </w:t>
      </w:r>
      <w:r>
        <w:tab/>
      </w:r>
      <w:r>
        <w:tab/>
      </w:r>
      <w:r w:rsidR="00127EE0">
        <w:t>GIZ and SLOCAT (2023), “NDC Transport Tracker”, https://changing-transport.org/tracker.</w:t>
      </w:r>
    </w:p>
  </w:footnote>
  <w:footnote w:id="15">
    <w:p w14:paraId="44A8B176" w14:textId="5CFF9B65" w:rsidR="00127EE0" w:rsidRDefault="008141D4" w:rsidP="008141D4">
      <w:pPr>
        <w:pStyle w:val="FootnoteText"/>
      </w:pPr>
      <w:r>
        <w:tab/>
      </w:r>
      <w:r w:rsidR="00127EE0">
        <w:rPr>
          <w:vertAlign w:val="superscript"/>
        </w:rPr>
        <w:footnoteRef/>
      </w:r>
      <w:r w:rsidR="00127EE0">
        <w:t xml:space="preserve"> </w:t>
      </w:r>
      <w:r>
        <w:tab/>
      </w:r>
      <w:r>
        <w:tab/>
      </w:r>
      <w:r w:rsidR="00127EE0">
        <w:t>GIZ and SLOCAT (2023), “NDC Transport Tracker”, https://changing-transport.org/tracker.</w:t>
      </w:r>
    </w:p>
  </w:footnote>
  <w:footnote w:id="16">
    <w:p w14:paraId="16ACD3E9" w14:textId="2BDE6426" w:rsidR="00127EE0" w:rsidRDefault="008141D4" w:rsidP="008141D4">
      <w:pPr>
        <w:pStyle w:val="FootnoteText"/>
      </w:pPr>
      <w:r>
        <w:tab/>
      </w:r>
      <w:r w:rsidR="00127EE0">
        <w:rPr>
          <w:vertAlign w:val="superscript"/>
        </w:rPr>
        <w:footnoteRef/>
      </w:r>
      <w:r w:rsidR="00127EE0">
        <w:t xml:space="preserve"> </w:t>
      </w:r>
      <w:r>
        <w:tab/>
      </w:r>
      <w:r>
        <w:tab/>
      </w:r>
      <w:r w:rsidR="00127EE0">
        <w:t>SLOCAT (2022), “Transport and Voluntary National Reviews 2022”, www.slocat.net/vnr.</w:t>
      </w:r>
    </w:p>
  </w:footnote>
  <w:footnote w:id="17">
    <w:p w14:paraId="7F4A5587" w14:textId="61E69B47" w:rsidR="00127EE0" w:rsidRDefault="008141D4" w:rsidP="008141D4">
      <w:pPr>
        <w:pStyle w:val="FootnoteText"/>
      </w:pPr>
      <w:r>
        <w:tab/>
      </w:r>
      <w:r w:rsidR="00127EE0">
        <w:rPr>
          <w:vertAlign w:val="superscript"/>
        </w:rPr>
        <w:footnoteRef/>
      </w:r>
      <w:r w:rsidR="00127EE0">
        <w:t xml:space="preserve"> </w:t>
      </w:r>
      <w:r>
        <w:tab/>
      </w:r>
      <w:r>
        <w:tab/>
      </w:r>
      <w:hyperlink r:id="rId4" w:history="1">
        <w:r w:rsidRPr="00844247">
          <w:rPr>
            <w:rStyle w:val="Hyperlink"/>
          </w:rPr>
          <w:t>https://hlpf.un.org/sites/default/files/vnrs/2023/VNR</w:t>
        </w:r>
        <w:r w:rsidR="00467B6B">
          <w:rPr>
            <w:rStyle w:val="Hyperlink"/>
          </w:rPr>
          <w:t xml:space="preserve">  </w:t>
        </w:r>
        <w:r w:rsidRPr="00844247">
          <w:rPr>
            <w:rStyle w:val="Hyperlink"/>
          </w:rPr>
          <w:t>per cent202023</w:t>
        </w:r>
        <w:r w:rsidR="00467B6B">
          <w:rPr>
            <w:rStyle w:val="Hyperlink"/>
          </w:rPr>
          <w:t xml:space="preserve">  </w:t>
        </w:r>
        <w:r w:rsidRPr="00844247">
          <w:rPr>
            <w:rStyle w:val="Hyperlink"/>
          </w:rPr>
          <w:t>per cent20Croatia</w:t>
        </w:r>
        <w:r w:rsidR="00467B6B">
          <w:rPr>
            <w:rStyle w:val="Hyperlink"/>
          </w:rPr>
          <w:t xml:space="preserve">  </w:t>
        </w:r>
        <w:r w:rsidRPr="00844247">
          <w:rPr>
            <w:rStyle w:val="Hyperlink"/>
          </w:rPr>
          <w:t>per cent20Report_0.pdf</w:t>
        </w:r>
      </w:hyperlink>
      <w:r w:rsidR="00EC1E1B">
        <w:t xml:space="preserve"> </w:t>
      </w:r>
    </w:p>
  </w:footnote>
  <w:footnote w:id="18">
    <w:p w14:paraId="61C00B9C" w14:textId="54536047" w:rsidR="00127EE0" w:rsidRDefault="008141D4" w:rsidP="008141D4">
      <w:pPr>
        <w:pStyle w:val="FootnoteText"/>
      </w:pPr>
      <w:r>
        <w:tab/>
      </w:r>
      <w:r w:rsidR="00127EE0">
        <w:rPr>
          <w:vertAlign w:val="superscript"/>
        </w:rPr>
        <w:footnoteRef/>
      </w:r>
      <w:r w:rsidR="00127EE0">
        <w:t xml:space="preserve"> </w:t>
      </w:r>
      <w:r>
        <w:tab/>
      </w:r>
      <w:r>
        <w:tab/>
      </w:r>
      <w:r w:rsidR="00127EE0">
        <w:t>SLOCAT (2022), “Transport and Voluntary National Reviews 2022”, www.slocat.net/vnr.</w:t>
      </w:r>
    </w:p>
  </w:footnote>
  <w:footnote w:id="19">
    <w:p w14:paraId="1F8A4B59" w14:textId="6531F8FA" w:rsidR="00127EE0" w:rsidRDefault="008141D4" w:rsidP="008141D4">
      <w:pPr>
        <w:pStyle w:val="FootnoteText"/>
      </w:pPr>
      <w:r>
        <w:tab/>
      </w:r>
      <w:r w:rsidR="00127EE0">
        <w:rPr>
          <w:vertAlign w:val="superscript"/>
        </w:rPr>
        <w:footnoteRef/>
      </w:r>
      <w:r w:rsidR="00127EE0">
        <w:t xml:space="preserve"> </w:t>
      </w:r>
      <w:r>
        <w:tab/>
      </w:r>
      <w:r>
        <w:tab/>
      </w:r>
      <w:r w:rsidR="00127EE0">
        <w:t>SLOCAT (2022), “Transport and Voluntary National Reviews 2022”, www.slocat.net/vnr.</w:t>
      </w:r>
    </w:p>
  </w:footnote>
  <w:footnote w:id="20">
    <w:p w14:paraId="42FB4ACA" w14:textId="0786BC3E" w:rsidR="00127EE0" w:rsidRDefault="008141D4" w:rsidP="008141D4">
      <w:pPr>
        <w:pStyle w:val="FootnoteText"/>
      </w:pPr>
      <w:r>
        <w:tab/>
      </w:r>
      <w:r w:rsidR="00127EE0">
        <w:rPr>
          <w:vertAlign w:val="superscript"/>
        </w:rPr>
        <w:footnoteRef/>
      </w:r>
      <w:r w:rsidR="00127EE0">
        <w:t xml:space="preserve"> </w:t>
      </w:r>
      <w:r>
        <w:tab/>
      </w:r>
      <w:r>
        <w:tab/>
      </w:r>
      <w:r w:rsidR="00127EE0">
        <w:t>ICLEI-Local Governments for Sustainability (2018), “The Status of SUMPs in EU Member States”, https://sumps-up.eu/fileadmin/user_upload/Tools_and_Resources/Reports/SUMPs-Up___PROSPERITY-SUMP-Status-in-EU-Report.pdf.</w:t>
      </w:r>
    </w:p>
  </w:footnote>
  <w:footnote w:id="21">
    <w:p w14:paraId="3D70FA07" w14:textId="669EBE2E" w:rsidR="00127EE0" w:rsidRPr="00122CDF" w:rsidRDefault="008141D4" w:rsidP="008141D4">
      <w:pPr>
        <w:pStyle w:val="FootnoteText"/>
        <w:rPr>
          <w:lang w:val="es-ES"/>
        </w:rPr>
      </w:pPr>
      <w:r>
        <w:tab/>
      </w:r>
      <w:r w:rsidR="00127EE0">
        <w:rPr>
          <w:vertAlign w:val="superscript"/>
        </w:rPr>
        <w:footnoteRef/>
      </w:r>
      <w:r w:rsidR="00127EE0" w:rsidRPr="00122CDF">
        <w:rPr>
          <w:lang w:val="es-ES"/>
        </w:rPr>
        <w:t xml:space="preserve"> </w:t>
      </w:r>
      <w:r w:rsidRPr="00122CDF">
        <w:rPr>
          <w:lang w:val="es-ES"/>
        </w:rPr>
        <w:tab/>
      </w:r>
      <w:r w:rsidRPr="00122CDF">
        <w:rPr>
          <w:lang w:val="es-ES"/>
        </w:rPr>
        <w:tab/>
      </w:r>
      <w:proofErr w:type="spellStart"/>
      <w:r w:rsidR="00127EE0" w:rsidRPr="00122CDF">
        <w:rPr>
          <w:lang w:val="es-ES"/>
        </w:rPr>
        <w:t>Ministério</w:t>
      </w:r>
      <w:proofErr w:type="spellEnd"/>
      <w:r w:rsidR="00127EE0" w:rsidRPr="00122CDF">
        <w:rPr>
          <w:lang w:val="es-ES"/>
        </w:rPr>
        <w:t xml:space="preserve"> da </w:t>
      </w:r>
      <w:proofErr w:type="spellStart"/>
      <w:r w:rsidR="00127EE0" w:rsidRPr="00122CDF">
        <w:rPr>
          <w:lang w:val="es-ES"/>
        </w:rPr>
        <w:t>Integração</w:t>
      </w:r>
      <w:proofErr w:type="spellEnd"/>
      <w:r w:rsidR="00127EE0" w:rsidRPr="00122CDF">
        <w:rPr>
          <w:lang w:val="es-ES"/>
        </w:rPr>
        <w:t xml:space="preserve"> e do </w:t>
      </w:r>
      <w:proofErr w:type="spellStart"/>
      <w:r w:rsidR="00127EE0" w:rsidRPr="00122CDF">
        <w:rPr>
          <w:lang w:val="es-ES"/>
        </w:rPr>
        <w:t>Desenvolvimento</w:t>
      </w:r>
      <w:proofErr w:type="spellEnd"/>
      <w:r w:rsidR="00127EE0" w:rsidRPr="00122CDF">
        <w:rPr>
          <w:lang w:val="es-ES"/>
        </w:rPr>
        <w:t xml:space="preserve"> Regional, 2023, “</w:t>
      </w:r>
      <w:proofErr w:type="spellStart"/>
      <w:r w:rsidR="00127EE0" w:rsidRPr="00122CDF">
        <w:rPr>
          <w:lang w:val="es-ES"/>
        </w:rPr>
        <w:t>Levantamento</w:t>
      </w:r>
      <w:proofErr w:type="spellEnd"/>
      <w:r w:rsidR="00127EE0" w:rsidRPr="00122CDF">
        <w:rPr>
          <w:lang w:val="es-ES"/>
        </w:rPr>
        <w:t xml:space="preserve"> sobre a </w:t>
      </w:r>
      <w:proofErr w:type="spellStart"/>
      <w:r w:rsidR="00127EE0" w:rsidRPr="00122CDF">
        <w:rPr>
          <w:lang w:val="es-ES"/>
        </w:rPr>
        <w:t>situação</w:t>
      </w:r>
      <w:proofErr w:type="spellEnd"/>
      <w:r w:rsidR="00127EE0" w:rsidRPr="00122CDF">
        <w:rPr>
          <w:lang w:val="es-ES"/>
        </w:rPr>
        <w:t xml:space="preserve"> dos Planos de </w:t>
      </w:r>
      <w:proofErr w:type="spellStart"/>
      <w:r w:rsidR="00127EE0" w:rsidRPr="00122CDF">
        <w:rPr>
          <w:lang w:val="es-ES"/>
        </w:rPr>
        <w:t>Mobilidade</w:t>
      </w:r>
      <w:proofErr w:type="spellEnd"/>
      <w:r w:rsidR="00127EE0" w:rsidRPr="00122CDF">
        <w:rPr>
          <w:lang w:val="es-ES"/>
        </w:rPr>
        <w:t xml:space="preserve"> Urbana”, </w:t>
      </w:r>
      <w:hyperlink r:id="rId5" w:history="1">
        <w:r w:rsidR="00127EE0" w:rsidRPr="00122CDF">
          <w:rPr>
            <w:color w:val="1155CC"/>
            <w:u w:val="single"/>
            <w:lang w:val="es-ES"/>
          </w:rPr>
          <w:t>https://www.gov.br/mdr/pt-br/assuntos/mobilidade-e-servicos-urbanos/planejamento-da-mobilidade-urbana/levantamento-sobre-a-situacao-dos-planos-de-mobilidade-urbana</w:t>
        </w:r>
      </w:hyperlink>
      <w:r w:rsidR="00127EE0" w:rsidRPr="00122CDF">
        <w:rPr>
          <w:lang w:val="es-ES"/>
        </w:rPr>
        <w:t>.</w:t>
      </w:r>
    </w:p>
  </w:footnote>
  <w:footnote w:id="22">
    <w:p w14:paraId="3234C5CC" w14:textId="04301811" w:rsidR="00127EE0" w:rsidRDefault="008141D4" w:rsidP="008141D4">
      <w:pPr>
        <w:pStyle w:val="FootnoteText"/>
      </w:pPr>
      <w:r w:rsidRPr="00122CDF">
        <w:rPr>
          <w:lang w:val="es-ES"/>
        </w:rPr>
        <w:tab/>
      </w:r>
      <w:r w:rsidR="00127EE0">
        <w:rPr>
          <w:vertAlign w:val="superscript"/>
        </w:rPr>
        <w:footnoteRef/>
      </w:r>
      <w:r w:rsidR="00127EE0">
        <w:t xml:space="preserve"> </w:t>
      </w:r>
      <w:r>
        <w:tab/>
      </w:r>
      <w:r>
        <w:tab/>
      </w:r>
      <w:proofErr w:type="spellStart"/>
      <w:r w:rsidR="00127EE0">
        <w:t>MobiliseYourCity</w:t>
      </w:r>
      <w:proofErr w:type="spellEnd"/>
      <w:r w:rsidR="00127EE0">
        <w:t xml:space="preserve"> Partnership (2023), “Global Monitor 2023”,</w:t>
      </w:r>
    </w:p>
    <w:p w14:paraId="2D94E220" w14:textId="17769A47" w:rsidR="00127EE0" w:rsidRDefault="008141D4" w:rsidP="008141D4">
      <w:pPr>
        <w:pStyle w:val="FootnoteText"/>
      </w:pPr>
      <w:r>
        <w:tab/>
      </w:r>
      <w:r>
        <w:tab/>
      </w:r>
      <w:hyperlink r:id="rId6" w:history="1">
        <w:r w:rsidRPr="00844247">
          <w:rPr>
            <w:rStyle w:val="Hyperlink"/>
          </w:rPr>
          <w:t>https://www.mobiliseyourcity.net/global-monitor-2023</w:t>
        </w:r>
      </w:hyperlink>
      <w:r w:rsidR="00127EE0">
        <w:t xml:space="preserve">. </w:t>
      </w:r>
    </w:p>
  </w:footnote>
  <w:footnote w:id="23">
    <w:p w14:paraId="43B3B63F" w14:textId="76494A31" w:rsidR="00127EE0" w:rsidRDefault="008141D4" w:rsidP="008141D4">
      <w:pPr>
        <w:pStyle w:val="FootnoteText"/>
      </w:pPr>
      <w:r>
        <w:tab/>
      </w:r>
      <w:r w:rsidR="00127EE0">
        <w:rPr>
          <w:vertAlign w:val="superscript"/>
        </w:rPr>
        <w:footnoteRef/>
      </w:r>
      <w:r w:rsidR="00127EE0">
        <w:t xml:space="preserve"> </w:t>
      </w:r>
      <w:r>
        <w:tab/>
      </w:r>
      <w:r>
        <w:tab/>
      </w:r>
      <w:r w:rsidR="00127EE0">
        <w:t xml:space="preserve">J. </w:t>
      </w:r>
      <w:proofErr w:type="spellStart"/>
      <w:r w:rsidR="00127EE0">
        <w:t>Blumgart</w:t>
      </w:r>
      <w:proofErr w:type="spellEnd"/>
      <w:r w:rsidR="00127EE0">
        <w:t xml:space="preserve"> (2022), “Are trains or buses better for the environment?” Governing, 11 February, https://www.governing.com/next/are-trains-or-buses-better-for-the-environment.</w:t>
      </w:r>
    </w:p>
  </w:footnote>
  <w:footnote w:id="24">
    <w:p w14:paraId="606379CF" w14:textId="72ECC5AC" w:rsidR="00127EE0" w:rsidRDefault="008141D4" w:rsidP="008141D4">
      <w:pPr>
        <w:pStyle w:val="FootnoteText"/>
      </w:pPr>
      <w:r>
        <w:tab/>
      </w:r>
      <w:r w:rsidR="00127EE0">
        <w:rPr>
          <w:vertAlign w:val="superscript"/>
        </w:rPr>
        <w:footnoteRef/>
      </w:r>
      <w:r w:rsidR="00127EE0">
        <w:t xml:space="preserve"> </w:t>
      </w:r>
      <w:r>
        <w:tab/>
      </w:r>
      <w:r>
        <w:tab/>
      </w:r>
      <w:r w:rsidR="00127EE0">
        <w:t xml:space="preserve">A. </w:t>
      </w:r>
      <w:proofErr w:type="spellStart"/>
      <w:r w:rsidR="00127EE0">
        <w:t>Pharande</w:t>
      </w:r>
      <w:proofErr w:type="spellEnd"/>
      <w:r w:rsidR="00127EE0">
        <w:t>, “Transit-oriented development – Making Indian cities liveable again”, Construction Week, 23 November, https://www.constructionweekonline.in/people/transit-oriented-development-making-indian-cities-liveable-again.</w:t>
      </w:r>
    </w:p>
  </w:footnote>
  <w:footnote w:id="25">
    <w:p w14:paraId="6344DBC1" w14:textId="7D712601" w:rsidR="00127EE0" w:rsidRDefault="008141D4" w:rsidP="008141D4">
      <w:pPr>
        <w:pStyle w:val="FootnoteText"/>
      </w:pPr>
      <w:r>
        <w:tab/>
      </w:r>
      <w:r w:rsidR="00127EE0">
        <w:rPr>
          <w:vertAlign w:val="superscript"/>
        </w:rPr>
        <w:footnoteRef/>
      </w:r>
      <w:r w:rsidR="00127EE0">
        <w:t xml:space="preserve"> </w:t>
      </w:r>
      <w:r>
        <w:tab/>
      </w:r>
      <w:r>
        <w:tab/>
      </w:r>
      <w:r w:rsidR="00127EE0">
        <w:t xml:space="preserve">US Department of Transportation, Federal Transit Administration (2022), “Biden-Harris Administration Announces $13.1 Million in Grant Awards to Help Communities Plan for Transit-Oriented Development”, 17 November, https://www.transit.dot.gov/about/news/biden-harris-administration-announces-131-million-grant-awards-help-communities-plan; J. </w:t>
      </w:r>
      <w:proofErr w:type="spellStart"/>
      <w:r w:rsidR="00127EE0">
        <w:t>Skelley</w:t>
      </w:r>
      <w:proofErr w:type="spellEnd"/>
      <w:r w:rsidR="00127EE0">
        <w:t xml:space="preserve"> (2023), “California relaxes parking mandates to free up land for multifamily development – but will </w:t>
      </w:r>
      <w:proofErr w:type="spellStart"/>
      <w:r w:rsidR="00127EE0">
        <w:t>neighbors</w:t>
      </w:r>
      <w:proofErr w:type="spellEnd"/>
      <w:r w:rsidR="00127EE0">
        <w:t xml:space="preserve"> and lenders approve?” </w:t>
      </w:r>
      <w:proofErr w:type="spellStart"/>
      <w:r w:rsidR="00127EE0">
        <w:t>Urbanland</w:t>
      </w:r>
      <w:proofErr w:type="spellEnd"/>
      <w:r w:rsidR="00127EE0">
        <w:t>, 3 January, https://urbanland.uli.org/planning-design/california-relaxes-parking-mandates-to-free-up-multifamily-development-but-will-neighbors-and-lenders-approve; Government of British Columbia (2022), “Province to increase housing, services near transit hubs”, 5 April, https://news.gov.bc.ca/releases/2022TRAN0030-000492.</w:t>
      </w:r>
    </w:p>
  </w:footnote>
  <w:footnote w:id="26">
    <w:p w14:paraId="63AF67FB" w14:textId="3BAE2035" w:rsidR="00127EE0" w:rsidRDefault="008141D4" w:rsidP="008141D4">
      <w:pPr>
        <w:pStyle w:val="FootnoteText"/>
      </w:pPr>
      <w:r>
        <w:tab/>
      </w:r>
      <w:r w:rsidR="00127EE0">
        <w:rPr>
          <w:vertAlign w:val="superscript"/>
        </w:rPr>
        <w:footnoteRef/>
      </w:r>
      <w:r w:rsidR="00127EE0">
        <w:t xml:space="preserve"> </w:t>
      </w:r>
      <w:r>
        <w:tab/>
      </w:r>
      <w:r>
        <w:tab/>
      </w:r>
      <w:r w:rsidR="00127EE0">
        <w:t xml:space="preserve">University of California, Berkeley Institute of Transportation Studies (2023), “Proximity planning: A local strategy for global problems, or a global strategy for local problems?”, 10 March, </w:t>
      </w:r>
      <w:hyperlink r:id="rId7" w:history="1">
        <w:r w:rsidR="00127EE0">
          <w:rPr>
            <w:color w:val="1155CC"/>
            <w:u w:val="single"/>
          </w:rPr>
          <w:t>https://its.berkeley.edu/news/proximity-planning-local-strategy-global-problems-or-global-strategy-local-problems</w:t>
        </w:r>
      </w:hyperlink>
      <w:r w:rsidR="00127EE0">
        <w:t xml:space="preserve"> </w:t>
      </w:r>
    </w:p>
  </w:footnote>
  <w:footnote w:id="27">
    <w:p w14:paraId="5B350576" w14:textId="665D8829" w:rsidR="00127EE0" w:rsidRDefault="008141D4" w:rsidP="008141D4">
      <w:pPr>
        <w:pStyle w:val="FootnoteText"/>
      </w:pPr>
      <w:r>
        <w:tab/>
      </w:r>
      <w:r w:rsidR="00127EE0">
        <w:rPr>
          <w:vertAlign w:val="superscript"/>
        </w:rPr>
        <w:footnoteRef/>
      </w:r>
      <w:r w:rsidR="00127EE0">
        <w:t xml:space="preserve"> </w:t>
      </w:r>
      <w:r>
        <w:tab/>
      </w:r>
      <w:r>
        <w:tab/>
      </w:r>
      <w:r w:rsidR="00127EE0">
        <w:t>Sadler Consultants (2022), “Urban Access Regulations in Europe”, https://urbanaccessregulations.eu.</w:t>
      </w:r>
    </w:p>
  </w:footnote>
  <w:footnote w:id="28">
    <w:p w14:paraId="1C1F74AF" w14:textId="48CF20B5" w:rsidR="00127EE0" w:rsidRDefault="008141D4" w:rsidP="008141D4">
      <w:pPr>
        <w:pStyle w:val="FootnoteText"/>
      </w:pPr>
      <w:r>
        <w:tab/>
      </w:r>
      <w:r w:rsidR="00127EE0">
        <w:rPr>
          <w:vertAlign w:val="superscript"/>
        </w:rPr>
        <w:footnoteRef/>
      </w:r>
      <w:r w:rsidR="00127EE0">
        <w:t xml:space="preserve"> </w:t>
      </w:r>
      <w:r>
        <w:tab/>
      </w:r>
      <w:r>
        <w:tab/>
      </w:r>
      <w:r w:rsidR="00127EE0">
        <w:t xml:space="preserve">H. Cui, P. </w:t>
      </w:r>
      <w:proofErr w:type="spellStart"/>
      <w:r w:rsidR="00127EE0">
        <w:t>Gode</w:t>
      </w:r>
      <w:proofErr w:type="spellEnd"/>
      <w:r w:rsidR="00127EE0">
        <w:t xml:space="preserve"> and S. </w:t>
      </w:r>
      <w:proofErr w:type="spellStart"/>
      <w:r w:rsidR="00127EE0">
        <w:t>Wappelhorst</w:t>
      </w:r>
      <w:proofErr w:type="spellEnd"/>
      <w:r w:rsidR="00127EE0">
        <w:t xml:space="preserve"> (2021), “A Global Overview of Zero-emission Zones in Cities and Their Development Progress”, International Council on Clean Transportation (ICCT), https://theicct.org/sites/default/files/publications/global-cities-zez-dev-EN-aug21.pdf.</w:t>
      </w:r>
    </w:p>
  </w:footnote>
  <w:footnote w:id="29">
    <w:p w14:paraId="7DCC17DD" w14:textId="08C30F44" w:rsidR="00127EE0" w:rsidRDefault="008141D4" w:rsidP="008141D4">
      <w:pPr>
        <w:pStyle w:val="FootnoteText"/>
      </w:pPr>
      <w:r>
        <w:tab/>
      </w:r>
      <w:r w:rsidR="00127EE0">
        <w:rPr>
          <w:vertAlign w:val="superscript"/>
        </w:rPr>
        <w:footnoteRef/>
      </w:r>
      <w:r w:rsidR="00127EE0">
        <w:t xml:space="preserve"> </w:t>
      </w:r>
      <w:r>
        <w:tab/>
      </w:r>
      <w:r>
        <w:tab/>
      </w:r>
      <w:r w:rsidR="00127EE0">
        <w:t>C40 Knowledge Hub (2020), “Zero Emission Zones for Freight: Lessons from Beijing”, https://www.c40knowledgehub.org/s/article/Zero-Emission-Zones-for-Freight-Lessons-from-Beijing.</w:t>
      </w:r>
    </w:p>
  </w:footnote>
  <w:footnote w:id="30">
    <w:p w14:paraId="19BC85A1" w14:textId="296C1B30" w:rsidR="00127EE0" w:rsidRPr="00122CDF" w:rsidRDefault="008141D4" w:rsidP="008141D4">
      <w:pPr>
        <w:pStyle w:val="FootnoteText"/>
        <w:rPr>
          <w:lang w:val="es-ES"/>
        </w:rPr>
      </w:pPr>
      <w:r>
        <w:tab/>
      </w:r>
      <w:r w:rsidR="00127EE0">
        <w:rPr>
          <w:vertAlign w:val="superscript"/>
        </w:rPr>
        <w:footnoteRef/>
      </w:r>
      <w:r w:rsidR="00127EE0" w:rsidRPr="00122CDF">
        <w:rPr>
          <w:lang w:val="es-ES"/>
        </w:rPr>
        <w:t xml:space="preserve"> </w:t>
      </w:r>
      <w:r w:rsidRPr="00122CDF">
        <w:rPr>
          <w:lang w:val="es-ES"/>
        </w:rPr>
        <w:tab/>
      </w:r>
      <w:r w:rsidRPr="00122CDF">
        <w:rPr>
          <w:lang w:val="es-ES"/>
        </w:rPr>
        <w:tab/>
      </w:r>
      <w:r w:rsidR="00127EE0" w:rsidRPr="00122CDF">
        <w:rPr>
          <w:lang w:val="es-ES"/>
        </w:rPr>
        <w:t>Área Metropolitana del Valle de Aburrá (2021), “Primera zona urbana de aire protegido en Colombia”, https://www.metropol.gov.co/Paginas/Noticias/primera-zona-urbana-de-aire-protegido-en-colombia.aspx.; ITDP (2023), “</w:t>
      </w:r>
      <w:proofErr w:type="spellStart"/>
      <w:r w:rsidR="00127EE0" w:rsidRPr="00122CDF">
        <w:rPr>
          <w:lang w:val="es-ES"/>
        </w:rPr>
        <w:t>What</w:t>
      </w:r>
      <w:proofErr w:type="spellEnd"/>
      <w:r w:rsidR="00127EE0" w:rsidRPr="00122CDF">
        <w:rPr>
          <w:lang w:val="es-ES"/>
        </w:rPr>
        <w:t xml:space="preserve"> </w:t>
      </w:r>
      <w:proofErr w:type="spellStart"/>
      <w:r w:rsidR="00127EE0" w:rsidRPr="00122CDF">
        <w:rPr>
          <w:lang w:val="es-ES"/>
        </w:rPr>
        <w:t>is</w:t>
      </w:r>
      <w:proofErr w:type="spellEnd"/>
      <w:r w:rsidR="00127EE0" w:rsidRPr="00122CDF">
        <w:rPr>
          <w:lang w:val="es-ES"/>
        </w:rPr>
        <w:t xml:space="preserve"> a Low </w:t>
      </w:r>
      <w:proofErr w:type="spellStart"/>
      <w:r w:rsidR="00127EE0" w:rsidRPr="00122CDF">
        <w:rPr>
          <w:lang w:val="es-ES"/>
        </w:rPr>
        <w:t>Emission</w:t>
      </w:r>
      <w:proofErr w:type="spellEnd"/>
      <w:r w:rsidR="00127EE0" w:rsidRPr="00122CDF">
        <w:rPr>
          <w:lang w:val="es-ES"/>
        </w:rPr>
        <w:t xml:space="preserve"> </w:t>
      </w:r>
      <w:proofErr w:type="spellStart"/>
      <w:r w:rsidR="00127EE0" w:rsidRPr="00122CDF">
        <w:rPr>
          <w:lang w:val="es-ES"/>
        </w:rPr>
        <w:t>Zone</w:t>
      </w:r>
      <w:proofErr w:type="spellEnd"/>
      <w:r w:rsidR="00127EE0" w:rsidRPr="00122CDF">
        <w:rPr>
          <w:lang w:val="es-ES"/>
        </w:rPr>
        <w:t xml:space="preserve">?”, 22 </w:t>
      </w:r>
      <w:proofErr w:type="spellStart"/>
      <w:r w:rsidR="00127EE0" w:rsidRPr="00122CDF">
        <w:rPr>
          <w:lang w:val="es-ES"/>
        </w:rPr>
        <w:t>February</w:t>
      </w:r>
      <w:proofErr w:type="spellEnd"/>
      <w:r w:rsidR="00127EE0" w:rsidRPr="00122CDF">
        <w:rPr>
          <w:lang w:val="es-ES"/>
        </w:rPr>
        <w:t>, https://www.itdp.org/2023/02/22/what-is-a-low-emission-zone/</w:t>
      </w:r>
    </w:p>
  </w:footnote>
  <w:footnote w:id="31">
    <w:p w14:paraId="705F2D34" w14:textId="549C5D29" w:rsidR="00127EE0" w:rsidRDefault="008141D4" w:rsidP="008141D4">
      <w:pPr>
        <w:pStyle w:val="FootnoteText"/>
      </w:pPr>
      <w:r w:rsidRPr="00122CDF">
        <w:rPr>
          <w:lang w:val="es-ES"/>
        </w:rPr>
        <w:tab/>
      </w:r>
      <w:r w:rsidR="00127EE0">
        <w:rPr>
          <w:vertAlign w:val="superscript"/>
        </w:rPr>
        <w:footnoteRef/>
      </w:r>
      <w:r w:rsidR="00127EE0">
        <w:t xml:space="preserve"> </w:t>
      </w:r>
      <w:r>
        <w:tab/>
      </w:r>
      <w:r>
        <w:tab/>
      </w:r>
      <w:r w:rsidR="00127EE0">
        <w:t>ITDP (2022), “Rapid Transit Database”, Version 4.00, last modified 1 January 2022, https://docs.google.com/spreadsheets/d/1uMuNG9rTGO52Vuuq6skyqmkH9U5yv1iSJDJYjH64MJM</w:t>
      </w:r>
    </w:p>
  </w:footnote>
  <w:footnote w:id="32">
    <w:p w14:paraId="0E561B2E" w14:textId="767B9C83" w:rsidR="00127EE0" w:rsidRDefault="008141D4" w:rsidP="008141D4">
      <w:pPr>
        <w:pStyle w:val="FootnoteText"/>
      </w:pPr>
      <w:r>
        <w:tab/>
      </w:r>
      <w:r w:rsidR="00127EE0">
        <w:rPr>
          <w:vertAlign w:val="superscript"/>
        </w:rPr>
        <w:footnoteRef/>
      </w:r>
      <w:r w:rsidR="00127EE0">
        <w:t xml:space="preserve"> </w:t>
      </w:r>
      <w:r>
        <w:tab/>
      </w:r>
      <w:r>
        <w:tab/>
      </w:r>
      <w:r w:rsidR="00127EE0">
        <w:t>SLOCAT (2023), “Global Status Report on Transport, Climate and Sustainability - 3rd edition, Public Transport”, www.tcc-gsr.com</w:t>
      </w:r>
    </w:p>
  </w:footnote>
  <w:footnote w:id="33">
    <w:p w14:paraId="534962BA" w14:textId="058F7352" w:rsidR="00127EE0" w:rsidRDefault="008141D4" w:rsidP="008141D4">
      <w:pPr>
        <w:pStyle w:val="FootnoteText"/>
      </w:pPr>
      <w:r>
        <w:tab/>
      </w:r>
      <w:r w:rsidR="00127EE0">
        <w:rPr>
          <w:vertAlign w:val="superscript"/>
        </w:rPr>
        <w:footnoteRef/>
      </w:r>
      <w:r w:rsidR="00127EE0">
        <w:t xml:space="preserve"> </w:t>
      </w:r>
      <w:r>
        <w:tab/>
      </w:r>
      <w:r>
        <w:tab/>
      </w:r>
      <w:r w:rsidR="00127EE0">
        <w:t xml:space="preserve">MCC Berlin (2021), “Corona crisis lesson: Additional bike lanes induce large increases in cycling”, 30 March, </w:t>
      </w:r>
      <w:hyperlink r:id="rId8" w:history="1">
        <w:r w:rsidR="00127EE0">
          <w:rPr>
            <w:color w:val="1155CC"/>
            <w:u w:val="single"/>
          </w:rPr>
          <w:t>https://www.mcc-berlin.net/en/news/information/information-detail/article/corona-crisis-lesson-additional-bike-lanes-induce-large-increases-in-cycling.html</w:t>
        </w:r>
      </w:hyperlink>
      <w:r w:rsidR="00467B6B">
        <w:t xml:space="preserve">  </w:t>
      </w:r>
      <w:r w:rsidR="00127EE0">
        <w:t>;</w:t>
      </w:r>
      <w:r w:rsidR="00467B6B">
        <w:t xml:space="preserve">  </w:t>
      </w:r>
      <w:r w:rsidR="00127EE0">
        <w:t xml:space="preserve">ECF (2023), “COVID-19 Cycling Measures Tracker”, </w:t>
      </w:r>
      <w:hyperlink r:id="rId9" w:history="1">
        <w:r w:rsidR="00127EE0">
          <w:rPr>
            <w:color w:val="1155CC"/>
            <w:u w:val="single"/>
          </w:rPr>
          <w:t>https://ecf.com/dashboard</w:t>
        </w:r>
      </w:hyperlink>
      <w:r w:rsidR="00127EE0">
        <w:t xml:space="preserve"> , accessed 21 January 2023; H. </w:t>
      </w:r>
      <w:proofErr w:type="spellStart"/>
      <w:r w:rsidR="00127EE0">
        <w:t>Ohlund</w:t>
      </w:r>
      <w:proofErr w:type="spellEnd"/>
      <w:r w:rsidR="00127EE0">
        <w:t xml:space="preserve"> et al. (2022), “Building emergent cycling</w:t>
      </w:r>
      <w:r>
        <w:t xml:space="preserve"> </w:t>
      </w:r>
      <w:r w:rsidR="00127EE0">
        <w:t xml:space="preserve">infrastructure during the COVID-19 pandemic: The case of Zapopan”, Frontiers in Sustainable Cities, Vol. 4, </w:t>
      </w:r>
      <w:hyperlink r:id="rId10" w:history="1">
        <w:r w:rsidR="00127EE0">
          <w:rPr>
            <w:color w:val="1155CC"/>
            <w:u w:val="single"/>
          </w:rPr>
          <w:t>https://doi.org/10.3389/frsc.2022.805125</w:t>
        </w:r>
      </w:hyperlink>
    </w:p>
  </w:footnote>
  <w:footnote w:id="34">
    <w:p w14:paraId="415D67F1" w14:textId="24FFAEB1" w:rsidR="00127EE0" w:rsidRDefault="008141D4" w:rsidP="008141D4">
      <w:pPr>
        <w:pStyle w:val="FootnoteText"/>
      </w:pPr>
      <w:r>
        <w:tab/>
      </w:r>
      <w:r w:rsidR="00127EE0">
        <w:rPr>
          <w:vertAlign w:val="superscript"/>
        </w:rPr>
        <w:footnoteRef/>
      </w:r>
      <w:r w:rsidR="00127EE0">
        <w:t xml:space="preserve"> </w:t>
      </w:r>
      <w:r>
        <w:tab/>
      </w:r>
      <w:r>
        <w:tab/>
      </w:r>
      <w:r w:rsidR="00127EE0">
        <w:t>SLOCAT (2023), Global Status Report on Transport, Climate and Sustainability - 3rd edition,</w:t>
      </w:r>
      <w:r w:rsidR="00127EE0">
        <w:rPr>
          <w:i/>
        </w:rPr>
        <w:t xml:space="preserve"> App-Driven Shared Mobility</w:t>
      </w:r>
      <w:r w:rsidR="00127EE0">
        <w:t xml:space="preserve">, Pg 279, </w:t>
      </w:r>
      <w:hyperlink r:id="rId11" w:history="1">
        <w:r w:rsidR="00127EE0">
          <w:rPr>
            <w:color w:val="1155CC"/>
            <w:u w:val="single"/>
          </w:rPr>
          <w:t>www.tcc-gsr.com</w:t>
        </w:r>
      </w:hyperlink>
      <w:r w:rsidR="00127EE0">
        <w:t xml:space="preserve"> </w:t>
      </w:r>
    </w:p>
  </w:footnote>
  <w:footnote w:id="35">
    <w:p w14:paraId="37695162" w14:textId="240A4B68" w:rsidR="00127EE0" w:rsidRDefault="008141D4" w:rsidP="008141D4">
      <w:pPr>
        <w:pStyle w:val="FootnoteText"/>
      </w:pPr>
      <w:r>
        <w:tab/>
      </w:r>
      <w:r w:rsidR="00127EE0">
        <w:rPr>
          <w:vertAlign w:val="superscript"/>
        </w:rPr>
        <w:footnoteRef/>
      </w:r>
      <w:r w:rsidR="00127EE0">
        <w:t xml:space="preserve"> </w:t>
      </w:r>
      <w:r>
        <w:tab/>
      </w:r>
      <w:r>
        <w:tab/>
      </w:r>
      <w:r w:rsidR="00127EE0">
        <w:t>IEA (2023), “Analysis: Transport”, https://www.iea.org/analysis/all?topic=transport.</w:t>
      </w:r>
    </w:p>
  </w:footnote>
  <w:footnote w:id="36">
    <w:p w14:paraId="5E63E55B" w14:textId="678FE0F1" w:rsidR="00127EE0" w:rsidRPr="003D2D84" w:rsidRDefault="008141D4" w:rsidP="008141D4">
      <w:pPr>
        <w:pStyle w:val="FootnoteText"/>
      </w:pPr>
      <w:r>
        <w:tab/>
      </w:r>
      <w:r w:rsidR="00127EE0">
        <w:rPr>
          <w:vertAlign w:val="superscript"/>
        </w:rPr>
        <w:footnoteRef/>
      </w:r>
      <w:r w:rsidR="00127EE0" w:rsidRPr="003D2D84">
        <w:t xml:space="preserve"> </w:t>
      </w:r>
      <w:r>
        <w:tab/>
      </w:r>
      <w:r>
        <w:tab/>
      </w:r>
      <w:r w:rsidR="00127EE0" w:rsidRPr="003D2D84">
        <w:t>ICCT (2023), “Zero-emission vehicles phase-ins - July 2023”, https://theicct.org/zev-phase-ins/</w:t>
      </w:r>
    </w:p>
  </w:footnote>
  <w:footnote w:id="37">
    <w:p w14:paraId="3962BC36" w14:textId="105E012F" w:rsidR="00127EE0" w:rsidRDefault="008141D4" w:rsidP="008141D4">
      <w:pPr>
        <w:pStyle w:val="FootnoteText"/>
      </w:pPr>
      <w:r>
        <w:tab/>
      </w:r>
      <w:r w:rsidR="00127EE0">
        <w:rPr>
          <w:vertAlign w:val="superscript"/>
        </w:rPr>
        <w:footnoteRef/>
      </w:r>
      <w:r w:rsidR="00127EE0">
        <w:t xml:space="preserve"> </w:t>
      </w:r>
      <w:r>
        <w:tab/>
      </w:r>
      <w:r>
        <w:tab/>
      </w:r>
      <w:proofErr w:type="spellStart"/>
      <w:r w:rsidR="00127EE0">
        <w:t>Electrive</w:t>
      </w:r>
      <w:proofErr w:type="spellEnd"/>
      <w:r w:rsidR="00127EE0">
        <w:t xml:space="preserve"> (2021), “EU Commission Presents ‘Fit for 55’ Climate Package”, https://www.electrive.com/2021/07/14/eu-commission-presents-fit-for-55-climate-package; </w:t>
      </w:r>
      <w:proofErr w:type="spellStart"/>
      <w:r w:rsidR="00127EE0">
        <w:t>Electrive</w:t>
      </w:r>
      <w:proofErr w:type="spellEnd"/>
      <w:r w:rsidR="00127EE0">
        <w:t>, 2022, “EU Council Confirms ICE Ban for Cars and Vans by 2035”, https://www.electrive.com/2022/06/29/eu-council-decides-on-100-co2-reductions-for-cars-and-vans-by-2035</w:t>
      </w:r>
    </w:p>
  </w:footnote>
  <w:footnote w:id="38">
    <w:p w14:paraId="1BDB2987" w14:textId="437AC2ED" w:rsidR="00127EE0" w:rsidRDefault="008141D4" w:rsidP="008141D4">
      <w:pPr>
        <w:pStyle w:val="FootnoteText"/>
      </w:pPr>
      <w:r>
        <w:tab/>
      </w:r>
      <w:r w:rsidR="00127EE0">
        <w:rPr>
          <w:vertAlign w:val="superscript"/>
        </w:rPr>
        <w:footnoteRef/>
      </w:r>
      <w:r w:rsidR="00127EE0">
        <w:t xml:space="preserve"> </w:t>
      </w:r>
      <w:r>
        <w:tab/>
      </w:r>
      <w:r>
        <w:tab/>
      </w:r>
      <w:r w:rsidR="00127EE0">
        <w:t xml:space="preserve">REN21, “GSR 2022 </w:t>
      </w:r>
      <w:proofErr w:type="spellStart"/>
      <w:r w:rsidR="00127EE0">
        <w:t>Datapack</w:t>
      </w:r>
      <w:proofErr w:type="spellEnd"/>
      <w:r w:rsidR="00127EE0">
        <w:t>, Reference Table R10”, https://www.ren21.net/wp-content/uploads/2019/05/GSR2022_Data_Pack_Final.xlsx.</w:t>
      </w:r>
    </w:p>
  </w:footnote>
  <w:footnote w:id="39">
    <w:p w14:paraId="41D4E594" w14:textId="58E1DD40" w:rsidR="00127EE0" w:rsidRPr="00DF4518" w:rsidRDefault="008141D4" w:rsidP="008141D4">
      <w:pPr>
        <w:pStyle w:val="FootnoteText"/>
      </w:pPr>
      <w:r>
        <w:tab/>
      </w:r>
      <w:r w:rsidR="00127EE0">
        <w:rPr>
          <w:vertAlign w:val="superscript"/>
        </w:rPr>
        <w:footnoteRef/>
      </w:r>
      <w:r w:rsidR="00127EE0" w:rsidRPr="00127EE0">
        <w:t xml:space="preserve"> </w:t>
      </w:r>
      <w:r>
        <w:tab/>
      </w:r>
      <w:r>
        <w:tab/>
      </w:r>
      <w:r w:rsidR="00127EE0" w:rsidRPr="00127EE0">
        <w:t>Global Fuel Economy Initiative 2023, “Trends in the global vehicle fleet 2023”, https://www.globalfu</w:t>
      </w:r>
      <w:r w:rsidR="00127EE0" w:rsidRPr="00DF4518">
        <w:t>eleconomy.org/data-and-research/publications/trends-in-the-global-vehicle-fleet-2023</w:t>
      </w:r>
    </w:p>
  </w:footnote>
  <w:footnote w:id="40">
    <w:p w14:paraId="1F7827D3" w14:textId="64E155BF" w:rsidR="00127EE0" w:rsidRDefault="008141D4" w:rsidP="008141D4">
      <w:pPr>
        <w:pStyle w:val="FootnoteText"/>
      </w:pPr>
      <w:r>
        <w:tab/>
      </w:r>
      <w:r w:rsidR="00127EE0">
        <w:rPr>
          <w:vertAlign w:val="superscript"/>
        </w:rPr>
        <w:footnoteRef/>
      </w:r>
      <w:r w:rsidR="00127EE0">
        <w:t xml:space="preserve"> </w:t>
      </w:r>
      <w:r>
        <w:tab/>
      </w:r>
      <w:r>
        <w:tab/>
      </w:r>
      <w:r w:rsidR="00127EE0">
        <w:t>SLOCAT (2023), “Global Status Report on Transport, Climate and Sustainability – 3rd edition”, www.tcc-gsr.com.</w:t>
      </w:r>
    </w:p>
  </w:footnote>
  <w:footnote w:id="41">
    <w:p w14:paraId="5F9C80F3" w14:textId="32F2B61A" w:rsidR="00127EE0" w:rsidRDefault="008141D4" w:rsidP="008141D4">
      <w:pPr>
        <w:pStyle w:val="FootnoteText"/>
      </w:pPr>
      <w:r>
        <w:tab/>
      </w:r>
      <w:r w:rsidR="00127EE0">
        <w:rPr>
          <w:vertAlign w:val="superscript"/>
        </w:rPr>
        <w:footnoteRef/>
      </w:r>
      <w:r w:rsidR="00127EE0">
        <w:t xml:space="preserve"> </w:t>
      </w:r>
      <w:r>
        <w:tab/>
      </w:r>
      <w:r>
        <w:tab/>
      </w:r>
      <w:r w:rsidR="00127EE0" w:rsidRPr="001C098F">
        <w:t xml:space="preserve">Although the United Kingdom continues to apply EU standards, it is not yet clear whether it would continue to follow proposed changes to EU regulations; see </w:t>
      </w:r>
      <w:r w:rsidR="00127EE0">
        <w:t>Government of the United Kingdom (2020), “The New Heavy Duty Vehicles (Carbon Dioxide Emission Performance Standards) (Amendment) (EU Exit) Regulations 2020”, https://www. legislation.gov.uk/</w:t>
      </w:r>
      <w:proofErr w:type="spellStart"/>
      <w:r w:rsidR="00127EE0">
        <w:t>uksi</w:t>
      </w:r>
      <w:proofErr w:type="spellEnd"/>
      <w:r w:rsidR="00127EE0">
        <w:t xml:space="preserve">/2020/1402/regulation/3/made; IEA (2022), “Trucks and Buses Tracking Report”, </w:t>
      </w:r>
      <w:hyperlink r:id="rId12">
        <w:r w:rsidR="00127EE0">
          <w:t>https://www.iea.org/reports/trucks-and-buses</w:t>
        </w:r>
      </w:hyperlink>
      <w:r w:rsidR="00127EE0">
        <w:t xml:space="preserve"> </w:t>
      </w:r>
    </w:p>
  </w:footnote>
  <w:footnote w:id="42">
    <w:p w14:paraId="120BC611" w14:textId="4B097678" w:rsidR="00127EE0" w:rsidRDefault="008141D4" w:rsidP="008141D4">
      <w:pPr>
        <w:pStyle w:val="FootnoteText"/>
      </w:pPr>
      <w:r>
        <w:tab/>
      </w:r>
      <w:r w:rsidR="00127EE0">
        <w:rPr>
          <w:vertAlign w:val="superscript"/>
        </w:rPr>
        <w:footnoteRef/>
      </w:r>
      <w:r w:rsidR="00127EE0">
        <w:t xml:space="preserve"> </w:t>
      </w:r>
      <w:r>
        <w:tab/>
      </w:r>
      <w:r>
        <w:tab/>
      </w:r>
      <w:r w:rsidR="00127EE0">
        <w:t>European Commission (2023), “Reducing CO</w:t>
      </w:r>
      <w:r w:rsidR="00127EE0" w:rsidRPr="005D3634">
        <w:rPr>
          <w:vertAlign w:val="subscript"/>
        </w:rPr>
        <w:t>2</w:t>
      </w:r>
      <w:r w:rsidR="00127EE0">
        <w:t xml:space="preserve"> emissions from heavy-duty vehicles”, https://climate.ec.europa.eu/eu-action/transport-emissions/road-transport-reducing-co2-emissions-vehicles/reducing-co2-emissions-heavy-duty-vehicles_en,accessed 8 June 2023</w:t>
      </w:r>
    </w:p>
  </w:footnote>
  <w:footnote w:id="43">
    <w:p w14:paraId="68BA4135" w14:textId="0D1D2A76" w:rsidR="00127EE0" w:rsidRDefault="008141D4" w:rsidP="008141D4">
      <w:pPr>
        <w:pStyle w:val="FootnoteText"/>
      </w:pPr>
      <w:r>
        <w:tab/>
      </w:r>
      <w:r w:rsidR="00127EE0">
        <w:rPr>
          <w:vertAlign w:val="superscript"/>
        </w:rPr>
        <w:footnoteRef/>
      </w:r>
      <w:r w:rsidR="00127EE0">
        <w:t xml:space="preserve"> </w:t>
      </w:r>
      <w:r>
        <w:tab/>
      </w:r>
      <w:r>
        <w:tab/>
      </w:r>
      <w:r w:rsidR="00127EE0">
        <w:t>S. Pettigrew (2022), “Fuel economy standards and zero-emission vehicle targets in Chile”, ICCT,</w:t>
      </w:r>
      <w:r w:rsidR="0031259E">
        <w:t xml:space="preserve"> </w:t>
      </w:r>
      <w:r w:rsidR="00127EE0">
        <w:t>https://theicct.org/wp-content/uploads/2022/08/lat-am-lvs-hvs-chile-EN-aug22.pdf.</w:t>
      </w:r>
    </w:p>
  </w:footnote>
  <w:footnote w:id="44">
    <w:p w14:paraId="4C646F96" w14:textId="22EA0C0D" w:rsidR="00127EE0" w:rsidRDefault="008141D4" w:rsidP="008141D4">
      <w:pPr>
        <w:pStyle w:val="FootnoteText"/>
      </w:pPr>
      <w:r>
        <w:tab/>
      </w:r>
      <w:r w:rsidR="00127EE0">
        <w:rPr>
          <w:vertAlign w:val="superscript"/>
        </w:rPr>
        <w:footnoteRef/>
      </w:r>
      <w:r w:rsidR="00127EE0">
        <w:t xml:space="preserve"> </w:t>
      </w:r>
      <w:r>
        <w:tab/>
      </w:r>
      <w:r>
        <w:tab/>
      </w:r>
      <w:r w:rsidR="00127EE0">
        <w:t>B. Sharpe and D. Schaller (2021), “Analysis of heavy-duty vehicle fuel efficiency technology uptake in California and Canada”, ICCT, https://theicct.org/wp-content/uploads/2021/06/HDV-fuel-efficiency-tech-California-Canada-apr2021.pdf</w:t>
      </w:r>
    </w:p>
  </w:footnote>
  <w:footnote w:id="45">
    <w:p w14:paraId="4419A575" w14:textId="70D9876D" w:rsidR="00127EE0" w:rsidRDefault="008141D4" w:rsidP="008141D4">
      <w:pPr>
        <w:pStyle w:val="FootnoteText"/>
      </w:pPr>
      <w:r>
        <w:tab/>
      </w:r>
      <w:r w:rsidR="00127EE0">
        <w:rPr>
          <w:vertAlign w:val="superscript"/>
        </w:rPr>
        <w:footnoteRef/>
      </w:r>
      <w:r w:rsidR="00127EE0">
        <w:t xml:space="preserve"> </w:t>
      </w:r>
      <w:r>
        <w:tab/>
      </w:r>
      <w:r>
        <w:tab/>
      </w:r>
      <w:r w:rsidR="00127EE0">
        <w:t>United Nations Environment Programme (UNEP) (2022), “Emissions Gap Report 2022: The Closing Window – Climate Crisis Calls for Rapid Transformation of Societies”, https://www.unep.org/emissions-gap-report-2022.</w:t>
      </w:r>
    </w:p>
  </w:footnote>
  <w:footnote w:id="46">
    <w:p w14:paraId="26ED5CC9" w14:textId="70DA7149" w:rsidR="00127EE0" w:rsidRDefault="008141D4" w:rsidP="008141D4">
      <w:pPr>
        <w:pStyle w:val="FootnoteText"/>
      </w:pPr>
      <w:r>
        <w:tab/>
      </w:r>
      <w:r w:rsidR="00127EE0">
        <w:rPr>
          <w:vertAlign w:val="superscript"/>
        </w:rPr>
        <w:footnoteRef/>
      </w:r>
      <w:r w:rsidR="00127EE0">
        <w:t xml:space="preserve"> </w:t>
      </w:r>
      <w:r>
        <w:tab/>
      </w:r>
      <w:r>
        <w:tab/>
      </w:r>
      <w:r w:rsidR="00127EE0">
        <w:t>SLOCAT (2022), “Climate Strategies for Transport: An Analysis of Nationally Determined Contributions and Long-Term Strategies”, October 2022 Update. www.slocat.net/ndcs</w:t>
      </w:r>
    </w:p>
  </w:footnote>
  <w:footnote w:id="47">
    <w:p w14:paraId="7B0D5858" w14:textId="4A5E0734" w:rsidR="00127EE0" w:rsidRDefault="008141D4" w:rsidP="008141D4">
      <w:pPr>
        <w:pStyle w:val="FootnoteText"/>
      </w:pPr>
      <w:r>
        <w:tab/>
      </w:r>
      <w:r w:rsidR="00127EE0">
        <w:rPr>
          <w:vertAlign w:val="superscript"/>
        </w:rPr>
        <w:footnoteRef/>
      </w:r>
      <w:r w:rsidR="00127EE0">
        <w:t xml:space="preserve"> </w:t>
      </w:r>
      <w:r>
        <w:tab/>
      </w:r>
      <w:r>
        <w:tab/>
      </w:r>
      <w:r w:rsidR="00127EE0">
        <w:t xml:space="preserve">International Transport Forum (ITF) (2023), “ITF Transport Outlook 2023”, </w:t>
      </w:r>
      <w:hyperlink r:id="rId13" w:history="1">
        <w:r w:rsidR="00127EE0">
          <w:rPr>
            <w:color w:val="1155CC"/>
            <w:u w:val="single"/>
          </w:rPr>
          <w:t>https://www.itf-oecd.org/itf-transport-outlook-2023</w:t>
        </w:r>
      </w:hyperlink>
      <w:r w:rsidR="00127EE0">
        <w:t xml:space="preserve">. </w:t>
      </w:r>
    </w:p>
  </w:footnote>
  <w:footnote w:id="48">
    <w:p w14:paraId="4A031331" w14:textId="3CBA8AE7" w:rsidR="00127EE0" w:rsidRDefault="008141D4" w:rsidP="00B74FF6">
      <w:pPr>
        <w:pStyle w:val="FootnoteText"/>
        <w:keepNext/>
        <w:keepLines/>
      </w:pPr>
      <w:r>
        <w:tab/>
      </w:r>
      <w:r w:rsidR="00127EE0">
        <w:rPr>
          <w:vertAlign w:val="superscript"/>
        </w:rPr>
        <w:footnoteRef/>
      </w:r>
      <w:r w:rsidR="00127EE0">
        <w:t xml:space="preserve"> </w:t>
      </w:r>
      <w:r>
        <w:tab/>
      </w:r>
      <w:r>
        <w:tab/>
      </w:r>
      <w:r w:rsidR="00127EE0">
        <w:t xml:space="preserve">K. Wilson (2020), “How cars waste space — in six simple images”, https://usa.streetsblog.org/2020/01/13/how-cars-waste-space-in-six-simple-images; IEA (2021), “Global Fuel Economy Initiative 2021”, https://www.iea.org/reports/global-fuel-economy-initiative-2021/executive-summary; L. </w:t>
      </w:r>
      <w:proofErr w:type="spellStart"/>
      <w:r w:rsidR="00127EE0">
        <w:t>Cozzi</w:t>
      </w:r>
      <w:proofErr w:type="spellEnd"/>
      <w:r w:rsidR="00127EE0">
        <w:t xml:space="preserve"> and A. Petropoulos (2021), “Carbon emissions fell across all sectors in 2020 except for one – SUVs”, IEA, https://www.iea.org/commentaries/carbon-emissions-fell-across-all-sectors-in-2020-except-for-one-suvs.</w:t>
      </w:r>
    </w:p>
  </w:footnote>
  <w:footnote w:id="49">
    <w:p w14:paraId="730415F1" w14:textId="3CD3A445" w:rsidR="00127EE0" w:rsidRDefault="008141D4" w:rsidP="008141D4">
      <w:pPr>
        <w:pStyle w:val="FootnoteText"/>
      </w:pPr>
      <w:r>
        <w:tab/>
      </w:r>
      <w:r w:rsidR="00127EE0">
        <w:rPr>
          <w:vertAlign w:val="superscript"/>
        </w:rPr>
        <w:footnoteRef/>
      </w:r>
      <w:r w:rsidR="00127EE0">
        <w:t xml:space="preserve"> </w:t>
      </w:r>
      <w:r>
        <w:tab/>
      </w:r>
      <w:r>
        <w:tab/>
      </w:r>
      <w:r w:rsidR="00127EE0">
        <w:t xml:space="preserve">International Energy Agency (IEA) (2021), “Global Fuel Economy Initiative 2021”, </w:t>
      </w:r>
      <w:hyperlink r:id="rId14" w:history="1">
        <w:r w:rsidR="00127EE0">
          <w:rPr>
            <w:color w:val="1155CC"/>
            <w:u w:val="single"/>
          </w:rPr>
          <w:t>https://www.iea.org/reports/global-fuel-economy-initiative-2021/executive-summary</w:t>
        </w:r>
      </w:hyperlink>
      <w:r w:rsidR="00127EE0">
        <w:t>,</w:t>
      </w:r>
      <w:r w:rsidR="00467B6B">
        <w:t xml:space="preserve">  </w:t>
      </w:r>
      <w:r w:rsidR="00127EE0">
        <w:t xml:space="preserve"> accessed 10 October 2023.</w:t>
      </w:r>
    </w:p>
  </w:footnote>
  <w:footnote w:id="50">
    <w:p w14:paraId="7ECAA1E7" w14:textId="6B494E80" w:rsidR="00127EE0" w:rsidRDefault="008141D4" w:rsidP="008141D4">
      <w:pPr>
        <w:pStyle w:val="FootnoteText"/>
      </w:pPr>
      <w:r>
        <w:tab/>
      </w:r>
      <w:r w:rsidR="00127EE0">
        <w:rPr>
          <w:vertAlign w:val="superscript"/>
        </w:rPr>
        <w:footnoteRef/>
      </w:r>
      <w:r w:rsidR="00127EE0">
        <w:t xml:space="preserve"> </w:t>
      </w:r>
      <w:r>
        <w:tab/>
      </w:r>
      <w:r>
        <w:tab/>
      </w:r>
      <w:r w:rsidR="00127EE0">
        <w:t>World Bank (2023), “Detox Development: Repurposing Environmentally Harmful Subsidies”, https://www.worldbank.org/en/topic/climatechange/publication/detox-development.</w:t>
      </w:r>
    </w:p>
  </w:footnote>
  <w:footnote w:id="51">
    <w:p w14:paraId="3EB215BA" w14:textId="0C9159FD" w:rsidR="00127EE0" w:rsidRPr="00122CDF" w:rsidRDefault="008141D4" w:rsidP="008141D4">
      <w:pPr>
        <w:pStyle w:val="FootnoteText"/>
        <w:rPr>
          <w:lang w:val="de-CH"/>
        </w:rPr>
      </w:pPr>
      <w:r>
        <w:rPr>
          <w:lang w:val="en-US"/>
        </w:rPr>
        <w:tab/>
      </w:r>
      <w:r w:rsidR="00127EE0">
        <w:rPr>
          <w:vertAlign w:val="superscript"/>
        </w:rPr>
        <w:footnoteRef/>
      </w:r>
      <w:r w:rsidR="00127EE0" w:rsidRPr="00122CDF">
        <w:rPr>
          <w:lang w:val="de-CH"/>
        </w:rPr>
        <w:t xml:space="preserve"> </w:t>
      </w:r>
      <w:r w:rsidRPr="00122CDF">
        <w:rPr>
          <w:lang w:val="de-CH"/>
        </w:rPr>
        <w:tab/>
      </w:r>
      <w:r w:rsidRPr="00122CDF">
        <w:rPr>
          <w:lang w:val="de-CH"/>
        </w:rPr>
        <w:tab/>
      </w:r>
      <w:r w:rsidR="00127EE0" w:rsidRPr="00122CDF">
        <w:rPr>
          <w:lang w:val="de-CH"/>
        </w:rPr>
        <w:t xml:space="preserve">IEA (2021), “Net Zero </w:t>
      </w:r>
      <w:proofErr w:type="spellStart"/>
      <w:r w:rsidR="00127EE0" w:rsidRPr="00122CDF">
        <w:rPr>
          <w:lang w:val="de-CH"/>
        </w:rPr>
        <w:t>by</w:t>
      </w:r>
      <w:proofErr w:type="spellEnd"/>
      <w:r w:rsidR="00127EE0" w:rsidRPr="00122CDF">
        <w:rPr>
          <w:lang w:val="de-CH"/>
        </w:rPr>
        <w:t xml:space="preserve"> 2050”, https://www.iea.org/reports/net-zero-by-2050.</w:t>
      </w:r>
    </w:p>
  </w:footnote>
  <w:footnote w:id="52">
    <w:p w14:paraId="50F84F52" w14:textId="41B6CD0F" w:rsidR="00127EE0" w:rsidRDefault="008141D4" w:rsidP="008141D4">
      <w:pPr>
        <w:pStyle w:val="FootnoteText"/>
      </w:pPr>
      <w:r w:rsidRPr="00122CDF">
        <w:rPr>
          <w:lang w:val="de-CH"/>
        </w:rPr>
        <w:tab/>
      </w:r>
      <w:r w:rsidR="00127EE0">
        <w:rPr>
          <w:vertAlign w:val="superscript"/>
        </w:rPr>
        <w:footnoteRef/>
      </w:r>
      <w:r w:rsidR="00467B6B">
        <w:t xml:space="preserve">  </w:t>
      </w:r>
      <w:r>
        <w:tab/>
      </w:r>
      <w:r>
        <w:tab/>
      </w:r>
      <w:r w:rsidR="00127EE0">
        <w:t>IEA (2023), “Global Electric Vehicles Outlook 2023”, https://www.iea.org/reports/global-ev-outlook-2023.</w:t>
      </w:r>
    </w:p>
  </w:footnote>
  <w:footnote w:id="53">
    <w:p w14:paraId="6107D2F4" w14:textId="03BFD9F8" w:rsidR="00127EE0" w:rsidRDefault="008141D4" w:rsidP="008141D4">
      <w:pPr>
        <w:pStyle w:val="FootnoteText"/>
      </w:pPr>
      <w:r>
        <w:tab/>
      </w:r>
      <w:r w:rsidR="00127EE0">
        <w:rPr>
          <w:vertAlign w:val="superscript"/>
        </w:rPr>
        <w:footnoteRef/>
      </w:r>
      <w:r w:rsidR="00127EE0">
        <w:t xml:space="preserve"> </w:t>
      </w:r>
      <w:r>
        <w:tab/>
      </w:r>
      <w:r>
        <w:tab/>
      </w:r>
      <w:r w:rsidR="00127EE0">
        <w:t xml:space="preserve">IEA (2022), “Global EV Outlook 2022”, </w:t>
      </w:r>
      <w:hyperlink r:id="rId15" w:history="1">
        <w:r w:rsidR="00127EE0">
          <w:rPr>
            <w:color w:val="1155CC"/>
            <w:u w:val="single"/>
          </w:rPr>
          <w:t>https://www.iea.org/reports/global-ev-outlook-2022</w:t>
        </w:r>
      </w:hyperlink>
      <w:r w:rsidR="00127EE0">
        <w:t>; IEA (2023), “Global EV Outlook 2023”, https://www.iea.org/reports/global-ev-outlook-2023.</w:t>
      </w:r>
    </w:p>
  </w:footnote>
  <w:footnote w:id="54">
    <w:p w14:paraId="0434D680" w14:textId="2BABCF44" w:rsidR="00127EE0" w:rsidRDefault="008141D4" w:rsidP="008141D4">
      <w:pPr>
        <w:pStyle w:val="FootnoteText"/>
      </w:pPr>
      <w:r>
        <w:tab/>
      </w:r>
      <w:r w:rsidR="00127EE0">
        <w:rPr>
          <w:vertAlign w:val="superscript"/>
        </w:rPr>
        <w:footnoteRef/>
      </w:r>
      <w:r w:rsidR="00467B6B">
        <w:t xml:space="preserve">  </w:t>
      </w:r>
      <w:r>
        <w:tab/>
      </w:r>
      <w:r>
        <w:tab/>
      </w:r>
      <w:r w:rsidR="00127EE0">
        <w:t xml:space="preserve">E. Dong, H. Du and L. Gardner (2020), “An interactive web-based dashboard to track COVID-19 in real time”, The Lancet Infectious Diseases, Volume 20, Issue 5, Pages 533-534, </w:t>
      </w:r>
      <w:hyperlink r:id="rId16" w:history="1">
        <w:r w:rsidR="00127EE0">
          <w:rPr>
            <w:color w:val="1155CC"/>
            <w:u w:val="single"/>
          </w:rPr>
          <w:t>https://doi.org/10.1016/S1473-3099(20)30120-1</w:t>
        </w:r>
      </w:hyperlink>
      <w:r w:rsidR="00127EE0">
        <w:rPr>
          <w:color w:val="6FA2C2"/>
        </w:rPr>
        <w:t xml:space="preserve"> </w:t>
      </w:r>
      <w:r w:rsidR="00127EE0">
        <w:t xml:space="preserve">; Google LLC (2022), “Google COVID-19 Community Mobility Reports”, </w:t>
      </w:r>
      <w:hyperlink r:id="rId17" w:history="1">
        <w:r w:rsidR="0031259E" w:rsidRPr="00F321AE">
          <w:rPr>
            <w:rStyle w:val="Hyperlink"/>
          </w:rPr>
          <w:t>https://www.google.com/covid19/mobility</w:t>
        </w:r>
      </w:hyperlink>
      <w:r w:rsidR="00127EE0">
        <w:t>, accessed October 2022</w:t>
      </w:r>
    </w:p>
  </w:footnote>
  <w:footnote w:id="55">
    <w:p w14:paraId="7A15A9A3" w14:textId="658A399E" w:rsidR="00127EE0" w:rsidRDefault="008141D4" w:rsidP="008141D4">
      <w:pPr>
        <w:pStyle w:val="FootnoteText"/>
      </w:pPr>
      <w:r>
        <w:tab/>
      </w:r>
      <w:r w:rsidR="00127EE0">
        <w:rPr>
          <w:vertAlign w:val="superscript"/>
        </w:rPr>
        <w:footnoteRef/>
      </w:r>
      <w:r w:rsidR="00127EE0">
        <w:t xml:space="preserve"> </w:t>
      </w:r>
      <w:r>
        <w:tab/>
      </w:r>
      <w:r>
        <w:tab/>
      </w:r>
      <w:r w:rsidR="00127EE0">
        <w:t>UN-Habitat et al., 2022, “Walking and Cycling in Africa: Evidence and Good Practice to Inspire Action”,</w:t>
      </w:r>
      <w:hyperlink r:id="rId18" w:history="1">
        <w:r w:rsidR="00127EE0">
          <w:t xml:space="preserve"> </w:t>
        </w:r>
      </w:hyperlink>
      <w:hyperlink r:id="rId19" w:history="1">
        <w:r w:rsidR="00127EE0">
          <w:rPr>
            <w:color w:val="1155CC"/>
            <w:u w:val="single"/>
          </w:rPr>
          <w:t>https://unhabitat.org/sites/default/files/2022/07/executive_summary.pdf</w:t>
        </w:r>
      </w:hyperlink>
    </w:p>
  </w:footnote>
  <w:footnote w:id="56">
    <w:p w14:paraId="2C19DAD0" w14:textId="36D10977" w:rsidR="00127EE0" w:rsidRDefault="008141D4" w:rsidP="008141D4">
      <w:pPr>
        <w:pStyle w:val="FootnoteText"/>
      </w:pPr>
      <w:r>
        <w:tab/>
      </w:r>
      <w:r w:rsidR="00127EE0">
        <w:rPr>
          <w:vertAlign w:val="superscript"/>
        </w:rPr>
        <w:footnoteRef/>
      </w:r>
      <w:r w:rsidR="00127EE0">
        <w:t xml:space="preserve"> </w:t>
      </w:r>
      <w:r>
        <w:tab/>
      </w:r>
      <w:r>
        <w:tab/>
      </w:r>
      <w:r w:rsidR="00127EE0">
        <w:t>UN-Habitat et al., 2022, “Walking and Cycling in Africa: Evidence and Good Practice to Inspire Action”,</w:t>
      </w:r>
      <w:hyperlink r:id="rId20" w:history="1">
        <w:r w:rsidR="00127EE0">
          <w:t xml:space="preserve"> </w:t>
        </w:r>
      </w:hyperlink>
      <w:hyperlink r:id="rId21" w:history="1">
        <w:r w:rsidR="00127EE0">
          <w:rPr>
            <w:color w:val="1155CC"/>
            <w:u w:val="single"/>
          </w:rPr>
          <w:t>https://unhabitat.org/sites/default/files/2022/07/executive_summary.pdf</w:t>
        </w:r>
      </w:hyperlink>
      <w:r w:rsidR="00127EE0">
        <w:t>.</w:t>
      </w:r>
    </w:p>
  </w:footnote>
  <w:footnote w:id="57">
    <w:p w14:paraId="76EC1621" w14:textId="6EF8F8FA" w:rsidR="00127EE0" w:rsidRDefault="008141D4" w:rsidP="008141D4">
      <w:pPr>
        <w:pStyle w:val="FootnoteText"/>
      </w:pPr>
      <w:r>
        <w:tab/>
      </w:r>
      <w:r w:rsidR="00127EE0">
        <w:rPr>
          <w:vertAlign w:val="superscript"/>
        </w:rPr>
        <w:footnoteRef/>
      </w:r>
      <w:r w:rsidR="00127EE0">
        <w:t xml:space="preserve"> </w:t>
      </w:r>
      <w:r>
        <w:tab/>
      </w:r>
      <w:r>
        <w:tab/>
      </w:r>
      <w:r w:rsidR="00127EE0">
        <w:t>UN-Habitat, 2021, “11 2 1 Percentage Access to Public Transport”,</w:t>
      </w:r>
      <w:hyperlink r:id="rId22" w:history="1">
        <w:r w:rsidR="00127EE0">
          <w:t xml:space="preserve"> </w:t>
        </w:r>
      </w:hyperlink>
      <w:hyperlink r:id="rId23" w:history="1">
        <w:r w:rsidR="00127EE0">
          <w:rPr>
            <w:color w:val="1155CC"/>
            <w:u w:val="single"/>
          </w:rPr>
          <w:t>https://data.unhabitat.org/datasets/GUO-UN-Habitat::11-2-1-percentage-access-to-public-transport/about</w:t>
        </w:r>
      </w:hyperlink>
    </w:p>
  </w:footnote>
  <w:footnote w:id="58">
    <w:p w14:paraId="5A19F582" w14:textId="0C41A11F" w:rsidR="00127EE0" w:rsidRDefault="008141D4" w:rsidP="008141D4">
      <w:pPr>
        <w:pStyle w:val="FootnoteText"/>
      </w:pPr>
      <w:r>
        <w:tab/>
      </w:r>
      <w:r w:rsidR="00127EE0">
        <w:rPr>
          <w:vertAlign w:val="superscript"/>
        </w:rPr>
        <w:footnoteRef/>
      </w:r>
      <w:r w:rsidR="00127EE0">
        <w:t xml:space="preserve"> </w:t>
      </w:r>
      <w:r>
        <w:tab/>
      </w:r>
      <w:r>
        <w:tab/>
      </w:r>
      <w:r w:rsidR="00127EE0">
        <w:t xml:space="preserve">R. Behrens, D. </w:t>
      </w:r>
      <w:proofErr w:type="spellStart"/>
      <w:r w:rsidR="00127EE0">
        <w:t>Mfinanga</w:t>
      </w:r>
      <w:proofErr w:type="spellEnd"/>
      <w:r w:rsidR="00127EE0">
        <w:t xml:space="preserve"> and D. </w:t>
      </w:r>
      <w:proofErr w:type="spellStart"/>
      <w:r w:rsidR="00127EE0">
        <w:t>Mccormick</w:t>
      </w:r>
      <w:proofErr w:type="spellEnd"/>
      <w:r w:rsidR="00127EE0">
        <w:t>, eds., 2016, “Paratransit in African Cities: Operations, Regulation and Reform”,</w:t>
      </w:r>
      <w:hyperlink r:id="rId24" w:history="1">
        <w:r w:rsidR="00127EE0">
          <w:t xml:space="preserve"> </w:t>
        </w:r>
      </w:hyperlink>
      <w:hyperlink r:id="rId25" w:history="1">
        <w:r w:rsidR="00127EE0">
          <w:rPr>
            <w:color w:val="1155CC"/>
            <w:u w:val="single"/>
          </w:rPr>
          <w:t>https://www.routledge.com/Paratransit-in-African-Cities-Operations-Regulation-and-Reform/Behrens-McCormick-Mfinanga/p/book/9780415870337</w:t>
        </w:r>
      </w:hyperlink>
    </w:p>
  </w:footnote>
  <w:footnote w:id="59">
    <w:p w14:paraId="30EC7071" w14:textId="5172B406" w:rsidR="00127EE0" w:rsidRDefault="008141D4" w:rsidP="008141D4">
      <w:pPr>
        <w:pStyle w:val="FootnoteText"/>
      </w:pPr>
      <w:r>
        <w:tab/>
      </w:r>
      <w:r w:rsidR="00127EE0">
        <w:rPr>
          <w:vertAlign w:val="superscript"/>
        </w:rPr>
        <w:footnoteRef/>
      </w:r>
      <w:r w:rsidR="00127EE0">
        <w:t xml:space="preserve"> </w:t>
      </w:r>
      <w:r>
        <w:tab/>
      </w:r>
      <w:r>
        <w:tab/>
      </w:r>
      <w:r w:rsidR="00127EE0">
        <w:t>UN-Habitat (2022), “Walking and Cycling in Africa – Evidence and Good Practice to Inspire Action”,</w:t>
      </w:r>
      <w:hyperlink r:id="rId26" w:history="1">
        <w:r w:rsidR="00127EE0">
          <w:t xml:space="preserve"> </w:t>
        </w:r>
      </w:hyperlink>
      <w:hyperlink r:id="rId27" w:history="1">
        <w:r w:rsidR="00127EE0">
          <w:rPr>
            <w:color w:val="1155CC"/>
            <w:u w:val="single"/>
          </w:rPr>
          <w:t>https://unhabitat.org/sites/default/files/2022/07/walking_and_cycling_in_africa.pdf</w:t>
        </w:r>
      </w:hyperlink>
      <w:r w:rsidR="00127EE0">
        <w:t xml:space="preserve">. </w:t>
      </w:r>
    </w:p>
  </w:footnote>
  <w:footnote w:id="60">
    <w:p w14:paraId="79A26E52" w14:textId="6792A082" w:rsidR="00127EE0" w:rsidRDefault="008141D4" w:rsidP="008141D4">
      <w:pPr>
        <w:pStyle w:val="FootnoteText"/>
      </w:pPr>
      <w:r>
        <w:tab/>
      </w:r>
      <w:r w:rsidR="00127EE0">
        <w:rPr>
          <w:vertAlign w:val="superscript"/>
        </w:rPr>
        <w:footnoteRef/>
      </w:r>
      <w:r w:rsidR="00127EE0">
        <w:t xml:space="preserve"> </w:t>
      </w:r>
      <w:r>
        <w:tab/>
      </w:r>
      <w:r>
        <w:tab/>
      </w:r>
      <w:r w:rsidR="00127EE0">
        <w:t>H. Fan, E. Beukes and X. Sheng (2021), “Improving the Viability of Bus Rapid Transit Systems: Nine Factors for Sub-Saharan Africa”, World Bank,</w:t>
      </w:r>
      <w:hyperlink r:id="rId28" w:history="1">
        <w:r w:rsidR="00127EE0">
          <w:t xml:space="preserve"> </w:t>
        </w:r>
      </w:hyperlink>
      <w:hyperlink r:id="rId29" w:history="1">
        <w:r w:rsidR="00127EE0">
          <w:rPr>
            <w:color w:val="1155CC"/>
            <w:u w:val="single"/>
          </w:rPr>
          <w:t>https://blogs.worldbank.org/transport/improving-viability-bus-rapid-transit-systems-nine-factors-sub-saharan-africa</w:t>
        </w:r>
      </w:hyperlink>
    </w:p>
  </w:footnote>
  <w:footnote w:id="61">
    <w:p w14:paraId="676F46BC" w14:textId="3209A4B5" w:rsidR="00127EE0" w:rsidRDefault="008141D4" w:rsidP="008141D4">
      <w:pPr>
        <w:pStyle w:val="FootnoteText"/>
      </w:pPr>
      <w:r>
        <w:tab/>
      </w:r>
      <w:r w:rsidR="00127EE0">
        <w:rPr>
          <w:vertAlign w:val="superscript"/>
        </w:rPr>
        <w:footnoteRef/>
      </w:r>
      <w:r w:rsidR="00127EE0">
        <w:t xml:space="preserve"> </w:t>
      </w:r>
      <w:r>
        <w:tab/>
      </w:r>
      <w:r>
        <w:tab/>
      </w:r>
      <w:r w:rsidR="00127EE0">
        <w:t>Our World in Data (2023), “Carbon intensity of electricity, 2022”, https://ourworldindata.org/grapher/carbon-intensity-electricity</w:t>
      </w:r>
    </w:p>
  </w:footnote>
  <w:footnote w:id="62">
    <w:p w14:paraId="32F97962" w14:textId="499ED682" w:rsidR="00127EE0" w:rsidRDefault="008141D4" w:rsidP="008141D4">
      <w:pPr>
        <w:pStyle w:val="FootnoteText"/>
      </w:pPr>
      <w:r>
        <w:tab/>
      </w:r>
      <w:r w:rsidR="00127EE0">
        <w:rPr>
          <w:vertAlign w:val="superscript"/>
        </w:rPr>
        <w:footnoteRef/>
      </w:r>
      <w:r w:rsidR="00127EE0">
        <w:t xml:space="preserve"> </w:t>
      </w:r>
      <w:r>
        <w:tab/>
      </w:r>
      <w:r>
        <w:tab/>
      </w:r>
      <w:r w:rsidR="00127EE0" w:rsidRPr="008141D4">
        <w:t>Eurostat (2023), “Passenger Cars in the EU”,</w:t>
      </w:r>
      <w:hyperlink r:id="rId30" w:history="1">
        <w:r w:rsidR="00127EE0" w:rsidRPr="008141D4">
          <w:t xml:space="preserve"> </w:t>
        </w:r>
      </w:hyperlink>
      <w:hyperlink r:id="rId31" w:history="1">
        <w:r w:rsidR="00127EE0">
          <w:rPr>
            <w:color w:val="1155CC"/>
            <w:u w:val="single"/>
          </w:rPr>
          <w:t>https://ec.europa.eu/eurostat/statistics-explained/index.php?title=Passenger_cars_in_the_EU</w:t>
        </w:r>
      </w:hyperlink>
    </w:p>
  </w:footnote>
  <w:footnote w:id="63">
    <w:p w14:paraId="27B26B56" w14:textId="4A94D3EB" w:rsidR="00127EE0" w:rsidRDefault="008141D4" w:rsidP="008141D4">
      <w:pPr>
        <w:pStyle w:val="FootnoteText"/>
      </w:pPr>
      <w:r>
        <w:tab/>
      </w:r>
      <w:r w:rsidR="00127EE0">
        <w:rPr>
          <w:vertAlign w:val="superscript"/>
        </w:rPr>
        <w:footnoteRef/>
      </w:r>
      <w:r w:rsidR="00127EE0">
        <w:t xml:space="preserve"> </w:t>
      </w:r>
      <w:r>
        <w:tab/>
      </w:r>
      <w:r>
        <w:tab/>
      </w:r>
      <w:r w:rsidR="00127EE0">
        <w:t xml:space="preserve">IEA (2023), </w:t>
      </w:r>
      <w:r w:rsidR="00127EE0">
        <w:rPr>
          <w:i/>
        </w:rPr>
        <w:t>Global Electric Vehicle Outlook</w:t>
      </w:r>
      <w:r w:rsidR="00127EE0">
        <w:t>, Paris, https://www.iea.org/reports/global-ev-outlook-2023</w:t>
      </w:r>
    </w:p>
  </w:footnote>
  <w:footnote w:id="64">
    <w:p w14:paraId="02CC87B4" w14:textId="6B33CB34" w:rsidR="00127EE0" w:rsidRDefault="008141D4" w:rsidP="008141D4">
      <w:pPr>
        <w:pStyle w:val="FootnoteText"/>
      </w:pPr>
      <w:r>
        <w:tab/>
      </w:r>
      <w:r w:rsidR="00127EE0">
        <w:rPr>
          <w:vertAlign w:val="superscript"/>
        </w:rPr>
        <w:footnoteRef/>
      </w:r>
      <w:r w:rsidR="00127EE0">
        <w:t xml:space="preserve"> </w:t>
      </w:r>
      <w:r>
        <w:tab/>
      </w:r>
      <w:r>
        <w:tab/>
      </w:r>
      <w:r w:rsidR="00127EE0">
        <w:t>IEA (2023), “Global Electric Vehicle Outlook 2023”,</w:t>
      </w:r>
      <w:hyperlink r:id="rId32" w:history="1">
        <w:r w:rsidR="00127EE0">
          <w:t xml:space="preserve"> </w:t>
        </w:r>
      </w:hyperlink>
      <w:hyperlink r:id="rId33" w:history="1">
        <w:r w:rsidR="00127EE0">
          <w:rPr>
            <w:color w:val="1155CC"/>
            <w:u w:val="single"/>
          </w:rPr>
          <w:t>https://www.iea.org/reports/global-ev-outlook-2023</w:t>
        </w:r>
      </w:hyperlink>
      <w:r w:rsidR="00127EE0">
        <w:t xml:space="preserve">. </w:t>
      </w:r>
    </w:p>
  </w:footnote>
  <w:footnote w:id="65">
    <w:p w14:paraId="7B7EC679" w14:textId="71FEA451" w:rsidR="00127EE0" w:rsidRDefault="008141D4" w:rsidP="008141D4">
      <w:pPr>
        <w:pStyle w:val="FootnoteText"/>
      </w:pPr>
      <w:r>
        <w:tab/>
      </w:r>
      <w:r w:rsidR="00127EE0">
        <w:rPr>
          <w:vertAlign w:val="superscript"/>
        </w:rPr>
        <w:footnoteRef/>
      </w:r>
      <w:r w:rsidR="00127EE0">
        <w:t xml:space="preserve"> </w:t>
      </w:r>
      <w:r>
        <w:tab/>
      </w:r>
      <w:r>
        <w:tab/>
      </w:r>
      <w:r w:rsidR="00127EE0">
        <w:t>Eurostat (2022), “EU Meets 2020 Renewable Energy Target in Transport”,</w:t>
      </w:r>
      <w:hyperlink r:id="rId34" w:history="1">
        <w:r w:rsidR="00127EE0">
          <w:rPr>
            <w:color w:val="1155CC"/>
            <w:u w:val="single"/>
          </w:rPr>
          <w:t>https://ec.europa.eu/eurostat/web/products-eurostat-news/-/ddn-20220202-2</w:t>
        </w:r>
      </w:hyperlink>
      <w:r w:rsidR="00127EE0">
        <w:t>.</w:t>
      </w:r>
    </w:p>
  </w:footnote>
  <w:footnote w:id="66">
    <w:p w14:paraId="4991181B" w14:textId="285ADFE0" w:rsidR="00127EE0" w:rsidRDefault="008141D4" w:rsidP="008141D4">
      <w:pPr>
        <w:pStyle w:val="FootnoteText"/>
      </w:pPr>
      <w:r>
        <w:tab/>
      </w:r>
      <w:r w:rsidR="00127EE0">
        <w:rPr>
          <w:vertAlign w:val="superscript"/>
        </w:rPr>
        <w:footnoteRef/>
      </w:r>
      <w:r w:rsidR="00127EE0">
        <w:t xml:space="preserve"> </w:t>
      </w:r>
      <w:r>
        <w:tab/>
      </w:r>
      <w:r>
        <w:tab/>
      </w:r>
      <w:r w:rsidR="00127EE0">
        <w:t xml:space="preserve">REN21 (2023), </w:t>
      </w:r>
      <w:r w:rsidR="00127EE0">
        <w:rPr>
          <w:i/>
        </w:rPr>
        <w:t>Renewables 2023 Global Status Report: Energy Demand</w:t>
      </w:r>
      <w:r w:rsidR="00127EE0">
        <w:t>, p. 46,</w:t>
      </w:r>
      <w:hyperlink r:id="rId35" w:history="1">
        <w:r w:rsidR="00127EE0">
          <w:t xml:space="preserve"> </w:t>
        </w:r>
      </w:hyperlink>
      <w:hyperlink r:id="rId36" w:history="1">
        <w:r w:rsidR="00127EE0">
          <w:rPr>
            <w:color w:val="1155CC"/>
            <w:u w:val="single"/>
          </w:rPr>
          <w:t>https://www.ren21.net/wp-content/uploads/2019/05/GSR2023_Demand_Modules.pdf</w:t>
        </w:r>
      </w:hyperlink>
      <w:r w:rsidR="00127EE0">
        <w:t>.</w:t>
      </w:r>
    </w:p>
  </w:footnote>
  <w:footnote w:id="67">
    <w:p w14:paraId="5E568FDC" w14:textId="3FF4DF9E" w:rsidR="00127EE0" w:rsidRDefault="008141D4" w:rsidP="008141D4">
      <w:pPr>
        <w:pStyle w:val="FootnoteText"/>
      </w:pPr>
      <w:r>
        <w:tab/>
      </w:r>
      <w:r w:rsidR="00127EE0">
        <w:rPr>
          <w:vertAlign w:val="superscript"/>
        </w:rPr>
        <w:footnoteRef/>
      </w:r>
      <w:r w:rsidR="00127EE0">
        <w:t xml:space="preserve"> </w:t>
      </w:r>
      <w:r>
        <w:tab/>
      </w:r>
      <w:r>
        <w:tab/>
      </w:r>
      <w:r w:rsidR="00127EE0">
        <w:t>ICLEI-Local Governments for Sustainability (2018), “The Status of SUMPs in EU Member States”,</w:t>
      </w:r>
      <w:hyperlink r:id="rId37" w:history="1">
        <w:r w:rsidR="00127EE0">
          <w:t xml:space="preserve"> </w:t>
        </w:r>
      </w:hyperlink>
      <w:hyperlink r:id="rId38" w:history="1">
        <w:r w:rsidR="00127EE0">
          <w:rPr>
            <w:color w:val="1155CC"/>
            <w:u w:val="single"/>
          </w:rPr>
          <w:t>https://sumps-up.eu/fileadmin/user_upload/Tools_and_Resources/Reports/SUMPs-Up___PROSPERITY-SUMP-Status-in-EU-Report.pdf</w:t>
        </w:r>
      </w:hyperlink>
      <w:r w:rsidR="00127EE0">
        <w:t xml:space="preserve">. </w:t>
      </w:r>
    </w:p>
  </w:footnote>
  <w:footnote w:id="68">
    <w:p w14:paraId="39D9D2C6" w14:textId="1D8BB38A" w:rsidR="00127EE0" w:rsidRDefault="008141D4" w:rsidP="008141D4">
      <w:pPr>
        <w:pStyle w:val="FootnoteText"/>
      </w:pPr>
      <w:r>
        <w:tab/>
      </w:r>
      <w:r w:rsidR="00127EE0">
        <w:rPr>
          <w:vertAlign w:val="superscript"/>
        </w:rPr>
        <w:footnoteRef/>
      </w:r>
      <w:r w:rsidR="00127EE0">
        <w:t xml:space="preserve"> </w:t>
      </w:r>
      <w:r>
        <w:tab/>
      </w:r>
      <w:r>
        <w:tab/>
      </w:r>
      <w:r w:rsidR="00127EE0">
        <w:t xml:space="preserve">F. </w:t>
      </w:r>
      <w:proofErr w:type="spellStart"/>
      <w:r w:rsidR="00127EE0">
        <w:t>Ripa</w:t>
      </w:r>
      <w:proofErr w:type="spellEnd"/>
      <w:r w:rsidR="00127EE0">
        <w:t xml:space="preserve"> (2021), “European Commission Releases New Urban Mobility Framework”,</w:t>
      </w:r>
      <w:hyperlink r:id="rId39" w:history="1">
        <w:r w:rsidR="00127EE0">
          <w:t xml:space="preserve"> </w:t>
        </w:r>
      </w:hyperlink>
      <w:hyperlink r:id="rId40" w:history="1">
        <w:r w:rsidR="00127EE0">
          <w:rPr>
            <w:color w:val="1155CC"/>
            <w:u w:val="single"/>
          </w:rPr>
          <w:t>https://www.eltis.org/in-brief/news/european-commission-releases-new-urban-mobility-framework</w:t>
        </w:r>
      </w:hyperlink>
    </w:p>
  </w:footnote>
  <w:footnote w:id="69">
    <w:p w14:paraId="7477C653" w14:textId="67D2A124" w:rsidR="00127EE0" w:rsidRDefault="008141D4" w:rsidP="008141D4">
      <w:pPr>
        <w:pStyle w:val="FootnoteText"/>
      </w:pPr>
      <w:r>
        <w:tab/>
      </w:r>
      <w:r w:rsidR="00127EE0">
        <w:rPr>
          <w:vertAlign w:val="superscript"/>
        </w:rPr>
        <w:footnoteRef/>
      </w:r>
      <w:r w:rsidR="00127EE0">
        <w:t xml:space="preserve"> </w:t>
      </w:r>
      <w:r>
        <w:tab/>
      </w:r>
      <w:r>
        <w:tab/>
      </w:r>
      <w:r w:rsidR="00127EE0">
        <w:t>Sadler Consultants (2022), “Urban Access Regulations in Europe”,</w:t>
      </w:r>
      <w:hyperlink r:id="rId41" w:history="1">
        <w:r w:rsidR="00127EE0">
          <w:t xml:space="preserve"> </w:t>
        </w:r>
      </w:hyperlink>
      <w:hyperlink r:id="rId42" w:history="1">
        <w:r w:rsidR="00127EE0">
          <w:rPr>
            <w:color w:val="1155CC"/>
            <w:u w:val="single"/>
          </w:rPr>
          <w:t>https://urbanaccessregulations.eu</w:t>
        </w:r>
      </w:hyperlink>
    </w:p>
  </w:footnote>
  <w:footnote w:id="70">
    <w:p w14:paraId="789932AD" w14:textId="19FC5744" w:rsidR="00525156" w:rsidRPr="00756B5C" w:rsidRDefault="008141D4" w:rsidP="008141D4">
      <w:pPr>
        <w:pStyle w:val="FootnoteText"/>
      </w:pPr>
      <w:r>
        <w:tab/>
      </w:r>
      <w:r w:rsidR="00525156">
        <w:rPr>
          <w:rStyle w:val="FootnoteReference"/>
        </w:rPr>
        <w:footnoteRef/>
      </w:r>
      <w:r w:rsidR="00525156">
        <w:t xml:space="preserve"> </w:t>
      </w:r>
      <w:r>
        <w:tab/>
      </w:r>
      <w:r>
        <w:tab/>
      </w:r>
      <w:r w:rsidR="00525156">
        <w:t xml:space="preserve">International Road Federation, 2022, “World Road Statistics 2022”, </w:t>
      </w:r>
      <w:hyperlink r:id="rId43" w:history="1">
        <w:r w:rsidR="00525156">
          <w:rPr>
            <w:rStyle w:val="Hyperlink"/>
          </w:rPr>
          <w:t>https://datawarehouse.worldroadstatistics.org</w:t>
        </w:r>
      </w:hyperlink>
    </w:p>
  </w:footnote>
  <w:footnote w:id="71">
    <w:p w14:paraId="529E0153" w14:textId="1602117C" w:rsidR="00127EE0" w:rsidRDefault="008141D4" w:rsidP="008141D4">
      <w:pPr>
        <w:pStyle w:val="FootnoteText"/>
      </w:pPr>
      <w:r>
        <w:tab/>
      </w:r>
      <w:r w:rsidR="00127EE0">
        <w:rPr>
          <w:vertAlign w:val="superscript"/>
        </w:rPr>
        <w:footnoteRef/>
      </w:r>
      <w:r w:rsidR="00127EE0">
        <w:t xml:space="preserve"> </w:t>
      </w:r>
      <w:r>
        <w:tab/>
      </w:r>
      <w:r>
        <w:tab/>
      </w:r>
      <w:r w:rsidR="00127EE0">
        <w:t>UN-Habitat (2023), “Urban Indicators Database”,</w:t>
      </w:r>
      <w:hyperlink r:id="rId44" w:history="1">
        <w:r w:rsidR="00127EE0">
          <w:t xml:space="preserve"> </w:t>
        </w:r>
      </w:hyperlink>
      <w:hyperlink r:id="rId45" w:history="1">
        <w:r w:rsidR="00127EE0">
          <w:rPr>
            <w:color w:val="1155CC"/>
            <w:u w:val="single"/>
          </w:rPr>
          <w:t>https://data.unhabitat.org/pages/urban-transport</w:t>
        </w:r>
      </w:hyperlink>
      <w:r w:rsidR="00127EE0">
        <w:t>, accessed 7 March 2023</w:t>
      </w:r>
    </w:p>
  </w:footnote>
  <w:footnote w:id="72">
    <w:p w14:paraId="12A5B8E7" w14:textId="232C77B5" w:rsidR="00127EE0" w:rsidRDefault="008141D4" w:rsidP="008141D4">
      <w:pPr>
        <w:pStyle w:val="FootnoteText"/>
      </w:pPr>
      <w:r>
        <w:tab/>
      </w:r>
      <w:r w:rsidR="00127EE0">
        <w:rPr>
          <w:vertAlign w:val="superscript"/>
        </w:rPr>
        <w:footnoteRef/>
      </w:r>
      <w:r w:rsidR="00127EE0">
        <w:t xml:space="preserve"> </w:t>
      </w:r>
      <w:r>
        <w:tab/>
      </w:r>
      <w:r>
        <w:tab/>
      </w:r>
      <w:r w:rsidR="00127EE0">
        <w:t>WRI, GEF and IDB (2020), “Informal and Semiformal Services in Latin America: An Overview of Public Transportation Reforms”,</w:t>
      </w:r>
      <w:hyperlink r:id="rId46" w:history="1">
        <w:r w:rsidR="00127EE0">
          <w:t xml:space="preserve"> </w:t>
        </w:r>
      </w:hyperlink>
      <w:hyperlink r:id="rId47" w:history="1">
        <w:r w:rsidR="00127EE0">
          <w:rPr>
            <w:color w:val="1155CC"/>
            <w:u w:val="single"/>
          </w:rPr>
          <w:t>http://dx.doi.org/10.18235/0002831</w:t>
        </w:r>
      </w:hyperlink>
    </w:p>
  </w:footnote>
  <w:footnote w:id="73">
    <w:p w14:paraId="5A5E4137" w14:textId="3276E40B" w:rsidR="00A41213" w:rsidRPr="00122CDF" w:rsidRDefault="008141D4" w:rsidP="008141D4">
      <w:pPr>
        <w:pStyle w:val="FootnoteText"/>
        <w:rPr>
          <w:highlight w:val="yellow"/>
          <w:lang w:val="es-ES"/>
        </w:rPr>
      </w:pPr>
      <w:r>
        <w:tab/>
      </w:r>
      <w:r w:rsidR="00127EE0">
        <w:rPr>
          <w:vertAlign w:val="superscript"/>
        </w:rPr>
        <w:footnoteRef/>
      </w:r>
      <w:r w:rsidR="00127EE0" w:rsidRPr="00122CDF">
        <w:rPr>
          <w:lang w:val="es-ES"/>
        </w:rPr>
        <w:t xml:space="preserve"> </w:t>
      </w:r>
      <w:r w:rsidRPr="00122CDF">
        <w:rPr>
          <w:lang w:val="es-ES"/>
        </w:rPr>
        <w:tab/>
      </w:r>
      <w:r w:rsidRPr="00122CDF">
        <w:rPr>
          <w:lang w:val="es-ES"/>
        </w:rPr>
        <w:tab/>
      </w:r>
      <w:r w:rsidR="00127EE0" w:rsidRPr="00122CDF">
        <w:rPr>
          <w:lang w:val="es-ES"/>
        </w:rPr>
        <w:t>Área Metropolitana del Valle de Aburrá (2021), “Primera zona urbana de aire protegido en Colombia”,</w:t>
      </w:r>
      <w:r w:rsidR="00EC3082" w:rsidRPr="00EC3082">
        <w:rPr>
          <w:lang w:val="es-ES"/>
        </w:rPr>
        <w:t xml:space="preserve"> </w:t>
      </w:r>
      <w:hyperlink r:id="rId48" w:history="1">
        <w:r w:rsidR="00EC3082" w:rsidRPr="00122CDF">
          <w:rPr>
            <w:lang w:val="es-ES"/>
          </w:rPr>
          <w:t xml:space="preserve"> https://www.metropol.gov.co/Paginas/Noticias/primera-zona-urbana-de-aire-protegido-en-colombia.aspx</w:t>
        </w:r>
      </w:hyperlink>
      <w:r w:rsidR="00EC3082" w:rsidRPr="00122CDF">
        <w:rPr>
          <w:lang w:val="es-ES"/>
        </w:rPr>
        <w:t xml:space="preserve">.; </w:t>
      </w:r>
      <w:r w:rsidR="00127EE0" w:rsidRPr="00122CDF">
        <w:rPr>
          <w:lang w:val="es-ES"/>
        </w:rPr>
        <w:t>ITDP (2023), “</w:t>
      </w:r>
      <w:proofErr w:type="spellStart"/>
      <w:r w:rsidR="00127EE0" w:rsidRPr="00122CDF">
        <w:rPr>
          <w:lang w:val="es-ES"/>
        </w:rPr>
        <w:t>What</w:t>
      </w:r>
      <w:proofErr w:type="spellEnd"/>
      <w:r w:rsidR="00127EE0" w:rsidRPr="00122CDF">
        <w:rPr>
          <w:lang w:val="es-ES"/>
        </w:rPr>
        <w:t xml:space="preserve"> </w:t>
      </w:r>
      <w:proofErr w:type="spellStart"/>
      <w:r w:rsidR="00127EE0" w:rsidRPr="00122CDF">
        <w:rPr>
          <w:lang w:val="es-ES"/>
        </w:rPr>
        <w:t>is</w:t>
      </w:r>
      <w:proofErr w:type="spellEnd"/>
      <w:r w:rsidR="00127EE0" w:rsidRPr="00122CDF">
        <w:rPr>
          <w:lang w:val="es-ES"/>
        </w:rPr>
        <w:t xml:space="preserve"> a Low </w:t>
      </w:r>
      <w:proofErr w:type="spellStart"/>
      <w:r w:rsidR="00127EE0" w:rsidRPr="00122CDF">
        <w:rPr>
          <w:lang w:val="es-ES"/>
        </w:rPr>
        <w:t>Emission</w:t>
      </w:r>
      <w:proofErr w:type="spellEnd"/>
      <w:r w:rsidR="00127EE0" w:rsidRPr="00122CDF">
        <w:rPr>
          <w:lang w:val="es-ES"/>
        </w:rPr>
        <w:t xml:space="preserve"> </w:t>
      </w:r>
      <w:proofErr w:type="spellStart"/>
      <w:r w:rsidR="00127EE0" w:rsidRPr="00122CDF">
        <w:rPr>
          <w:lang w:val="es-ES"/>
        </w:rPr>
        <w:t>Zone</w:t>
      </w:r>
      <w:proofErr w:type="spellEnd"/>
      <w:r w:rsidR="00127EE0" w:rsidRPr="00122CDF">
        <w:rPr>
          <w:lang w:val="es-ES"/>
        </w:rPr>
        <w:t xml:space="preserve">?”, 22 </w:t>
      </w:r>
      <w:proofErr w:type="spellStart"/>
      <w:r w:rsidR="00127EE0" w:rsidRPr="00122CDF">
        <w:rPr>
          <w:lang w:val="es-ES"/>
        </w:rPr>
        <w:t>February</w:t>
      </w:r>
      <w:proofErr w:type="spellEnd"/>
      <w:r w:rsidR="00127EE0" w:rsidRPr="00122CDF">
        <w:rPr>
          <w:lang w:val="es-ES"/>
        </w:rPr>
        <w:t>, https://www.itdp.org/2023/02/22/what-is-a-low-emission-zone/</w:t>
      </w:r>
    </w:p>
  </w:footnote>
  <w:footnote w:id="74">
    <w:p w14:paraId="3D78CF06" w14:textId="73CF439C" w:rsidR="00127EE0" w:rsidRDefault="008141D4" w:rsidP="008141D4">
      <w:pPr>
        <w:pStyle w:val="FootnoteText"/>
      </w:pPr>
      <w:r w:rsidRPr="00122CDF">
        <w:rPr>
          <w:lang w:val="es-ES"/>
        </w:rPr>
        <w:tab/>
      </w:r>
      <w:r w:rsidR="00127EE0" w:rsidRPr="009E153B">
        <w:rPr>
          <w:vertAlign w:val="superscript"/>
        </w:rPr>
        <w:footnoteRef/>
      </w:r>
      <w:r w:rsidR="00127EE0" w:rsidRPr="009E153B">
        <w:t xml:space="preserve"> </w:t>
      </w:r>
      <w:r w:rsidRPr="009E153B">
        <w:tab/>
      </w:r>
      <w:r w:rsidRPr="009E153B">
        <w:tab/>
      </w:r>
      <w:r w:rsidR="00127EE0" w:rsidRPr="009E153B">
        <w:t>US Census Bureau (2022), “The</w:t>
      </w:r>
      <w:r w:rsidR="00127EE0">
        <w:t xml:space="preserve"> Number of People Primarily Working from Home Tripled Between 2019 and 2021”,</w:t>
      </w:r>
      <w:hyperlink r:id="rId49" w:anchor=":~:text=SEPT.,by%20the%20U.S.%20Census%20Bureau" w:history="1">
        <w:r w:rsidR="00127EE0">
          <w:t xml:space="preserve"> </w:t>
        </w:r>
      </w:hyperlink>
      <w:hyperlink r:id="rId50" w:anchor=":~:text=SEPT.,by%20the%20U.S.%20Census%20Bureau" w:history="1">
        <w:r w:rsidR="00127EE0">
          <w:rPr>
            <w:color w:val="1155CC"/>
            <w:u w:val="single"/>
          </w:rPr>
          <w:t>https://www.census.gov/newsroom/press-releases/2022/people-working-from-home.html</w:t>
        </w:r>
      </w:hyperlink>
    </w:p>
  </w:footnote>
  <w:footnote w:id="75">
    <w:p w14:paraId="5EAAE741" w14:textId="6FC35A07" w:rsidR="00127EE0" w:rsidRDefault="008141D4" w:rsidP="008141D4">
      <w:pPr>
        <w:pStyle w:val="FootnoteText"/>
      </w:pPr>
      <w:r>
        <w:tab/>
      </w:r>
      <w:r w:rsidR="00127EE0">
        <w:rPr>
          <w:vertAlign w:val="superscript"/>
        </w:rPr>
        <w:footnoteRef/>
      </w:r>
      <w:r w:rsidR="00127EE0">
        <w:t xml:space="preserve"> </w:t>
      </w:r>
      <w:r>
        <w:tab/>
      </w:r>
      <w:r>
        <w:tab/>
      </w:r>
      <w:r w:rsidR="00127EE0">
        <w:t>IEA (2022), “By 2030 EVs Represent More Than 60</w:t>
      </w:r>
      <w:r w:rsidR="00467B6B">
        <w:t xml:space="preserve">  </w:t>
      </w:r>
      <w:r w:rsidR="009E7A4F">
        <w:t>per cent</w:t>
      </w:r>
      <w:r w:rsidR="00127EE0">
        <w:t xml:space="preserve"> of Vehicles Sold Globally, and Require an Adequate Surge in Chargers Installed in Buildings”,</w:t>
      </w:r>
      <w:hyperlink r:id="rId51" w:history="1">
        <w:r w:rsidR="00127EE0">
          <w:t xml:space="preserve"> </w:t>
        </w:r>
      </w:hyperlink>
      <w:hyperlink r:id="rId52" w:history="1">
        <w:r w:rsidR="00127EE0">
          <w:rPr>
            <w:color w:val="1155CC"/>
            <w:u w:val="single"/>
          </w:rPr>
          <w:t>https://www.iea.org/reports/by-2030-evs-represent-more-than-60-of-vehicles-sold-globally-and-require-an-adequate-surge-in-chargers-installed-in-buildings</w:t>
        </w:r>
      </w:hyperlink>
      <w:r w:rsidR="00127EE0">
        <w:t>.</w:t>
      </w:r>
    </w:p>
  </w:footnote>
  <w:footnote w:id="76">
    <w:p w14:paraId="5D768CCA" w14:textId="56BDD98E" w:rsidR="00127EE0" w:rsidRDefault="008141D4" w:rsidP="008141D4">
      <w:pPr>
        <w:pStyle w:val="FootnoteText"/>
      </w:pPr>
      <w:r>
        <w:tab/>
      </w:r>
      <w:r w:rsidR="00127EE0">
        <w:rPr>
          <w:vertAlign w:val="superscript"/>
        </w:rPr>
        <w:footnoteRef/>
      </w:r>
      <w:r w:rsidR="00127EE0">
        <w:t xml:space="preserve"> </w:t>
      </w:r>
      <w:r>
        <w:tab/>
      </w:r>
      <w:r>
        <w:tab/>
      </w:r>
      <w:r w:rsidR="00127EE0">
        <w:t xml:space="preserve">Bipartisan Policy </w:t>
      </w:r>
      <w:proofErr w:type="spellStart"/>
      <w:r w:rsidR="00127EE0">
        <w:t>Center</w:t>
      </w:r>
      <w:proofErr w:type="spellEnd"/>
      <w:r w:rsidR="00127EE0">
        <w:t xml:space="preserve"> (2022), “Inflation Reduction Act (IRA) Summary: Energy and Climate Provisions”, </w:t>
      </w:r>
      <w:hyperlink r:id="rId53" w:history="1">
        <w:r w:rsidR="00CE1BB0" w:rsidRPr="00F321AE">
          <w:rPr>
            <w:rStyle w:val="Hyperlink"/>
          </w:rPr>
          <w:t>https://bipartisanpolicy.org/blog/inflation-reduction-act-summary-energy-climate-provisions</w:t>
        </w:r>
      </w:hyperlink>
      <w:r w:rsidR="00127EE0">
        <w:t>.</w:t>
      </w:r>
    </w:p>
  </w:footnote>
  <w:footnote w:id="77">
    <w:p w14:paraId="28041BF8" w14:textId="5DF17545" w:rsidR="00127EE0" w:rsidRDefault="008141D4" w:rsidP="008141D4">
      <w:pPr>
        <w:pStyle w:val="FootnoteText"/>
      </w:pPr>
      <w:r>
        <w:tab/>
      </w:r>
      <w:r w:rsidR="00127EE0">
        <w:rPr>
          <w:vertAlign w:val="superscript"/>
        </w:rPr>
        <w:footnoteRef/>
      </w:r>
      <w:r w:rsidR="00127EE0">
        <w:t xml:space="preserve"> </w:t>
      </w:r>
      <w:r>
        <w:tab/>
      </w:r>
      <w:r>
        <w:tab/>
      </w:r>
      <w:r w:rsidR="00127EE0">
        <w:t xml:space="preserve">Y. </w:t>
      </w:r>
      <w:proofErr w:type="spellStart"/>
      <w:r w:rsidR="00127EE0">
        <w:t>Freemark</w:t>
      </w:r>
      <w:proofErr w:type="spellEnd"/>
      <w:r w:rsidR="00127EE0">
        <w:t xml:space="preserve"> (2022), “What the Inflation Reduction Act Did, and Didn’t Do, for Sustainable Transportation”, Urban Institute, </w:t>
      </w:r>
      <w:hyperlink r:id="rId54" w:history="1">
        <w:r w:rsidR="00CE1BB0" w:rsidRPr="00F321AE">
          <w:rPr>
            <w:rStyle w:val="Hyperlink"/>
          </w:rPr>
          <w:t>https://www.urban.org/urban-wire/what-inflation-reduction-act-did-and-didnt-do-sustainable-transportation</w:t>
        </w:r>
      </w:hyperlink>
      <w:r w:rsidR="00127EE0">
        <w:t>.</w:t>
      </w:r>
    </w:p>
  </w:footnote>
  <w:footnote w:id="78">
    <w:p w14:paraId="40B1B2DD" w14:textId="7955CF33" w:rsidR="00127EE0" w:rsidRDefault="008141D4" w:rsidP="008141D4">
      <w:pPr>
        <w:pStyle w:val="FootnoteText"/>
      </w:pPr>
      <w:r>
        <w:tab/>
      </w:r>
      <w:r w:rsidR="00127EE0">
        <w:rPr>
          <w:vertAlign w:val="superscript"/>
        </w:rPr>
        <w:footnoteRef/>
      </w:r>
      <w:r w:rsidR="00127EE0">
        <w:t xml:space="preserve"> </w:t>
      </w:r>
      <w:r>
        <w:tab/>
      </w:r>
      <w:r>
        <w:tab/>
      </w:r>
      <w:r w:rsidR="00127EE0">
        <w:t xml:space="preserve">M. Mahajan et al. (2022), “Updated Inflation Reduction Act </w:t>
      </w:r>
      <w:proofErr w:type="spellStart"/>
      <w:r w:rsidR="00127EE0">
        <w:t>Modeling</w:t>
      </w:r>
      <w:proofErr w:type="spellEnd"/>
      <w:r w:rsidR="00127EE0">
        <w:t xml:space="preserve"> Using the Energy Policy Simulator”, Energy Innovation Policy and Technology LLC, </w:t>
      </w:r>
      <w:hyperlink r:id="rId55" w:history="1">
        <w:r w:rsidR="00CE1BB0" w:rsidRPr="00F321AE">
          <w:rPr>
            <w:rStyle w:val="Hyperlink"/>
          </w:rPr>
          <w:t>https://energyinnovation.org/wp-content/uploads/2022/08/Updated-Inflation-Reduction-Act-Modeling-Using-the-Energy-Policy-Simulator.pdf</w:t>
        </w:r>
      </w:hyperlink>
      <w:r w:rsidR="00127EE0">
        <w:t>.</w:t>
      </w:r>
    </w:p>
  </w:footnote>
  <w:footnote w:id="79">
    <w:p w14:paraId="7C27A3D8" w14:textId="490DC182" w:rsidR="00127EE0" w:rsidRDefault="008141D4" w:rsidP="008141D4">
      <w:pPr>
        <w:pStyle w:val="FootnoteText"/>
      </w:pPr>
      <w:r>
        <w:tab/>
      </w:r>
      <w:r w:rsidR="00127EE0">
        <w:rPr>
          <w:vertAlign w:val="superscript"/>
        </w:rPr>
        <w:footnoteRef/>
      </w:r>
      <w:r w:rsidR="00127EE0">
        <w:t xml:space="preserve"> </w:t>
      </w:r>
      <w:r>
        <w:tab/>
      </w:r>
      <w:r>
        <w:tab/>
      </w:r>
      <w:proofErr w:type="spellStart"/>
      <w:r w:rsidR="00127EE0">
        <w:t>Lanzajet</w:t>
      </w:r>
      <w:proofErr w:type="spellEnd"/>
      <w:r w:rsidR="00127EE0">
        <w:t xml:space="preserve"> (2023), “Sustainable Aviation Fuel Readies to Take Flight in Australia”,</w:t>
      </w:r>
      <w:hyperlink r:id="rId56" w:history="1">
        <w:r w:rsidR="00127EE0">
          <w:t xml:space="preserve"> </w:t>
        </w:r>
      </w:hyperlink>
      <w:hyperlink r:id="rId57" w:history="1">
        <w:r w:rsidR="00127EE0">
          <w:rPr>
            <w:color w:val="1155CC"/>
            <w:u w:val="single"/>
          </w:rPr>
          <w:t>https://www.lanzajet.com/sustainable-aviation-fuel-readies-to-take-flight-in-australia</w:t>
        </w:r>
      </w:hyperlink>
      <w:r w:rsidR="00127EE0">
        <w:t>; Department of Climate Change, Energy, the Environment and Water, Australian Government (n.d.), “Australia’s National Hydrogen Strategy”,</w:t>
      </w:r>
      <w:hyperlink r:id="rId58" w:history="1">
        <w:r w:rsidR="00127EE0">
          <w:t xml:space="preserve"> </w:t>
        </w:r>
      </w:hyperlink>
      <w:hyperlink r:id="rId59" w:history="1">
        <w:r w:rsidR="00127EE0">
          <w:rPr>
            <w:color w:val="0563C1"/>
          </w:rPr>
          <w:t>https://www.dcceew.gov.au/energy/publications/australias-national-hydrogen-strategy</w:t>
        </w:r>
      </w:hyperlink>
      <w:r w:rsidR="00127EE0">
        <w:t>, accessed 10 March 2023.</w:t>
      </w:r>
    </w:p>
  </w:footnote>
  <w:footnote w:id="80">
    <w:p w14:paraId="5E932E11" w14:textId="08D3C3FE" w:rsidR="00D3356E" w:rsidRPr="00122CDF" w:rsidRDefault="008141D4" w:rsidP="008141D4">
      <w:pPr>
        <w:pStyle w:val="FootnoteText"/>
      </w:pPr>
      <w:r w:rsidRPr="00122CDF">
        <w:tab/>
      </w:r>
      <w:r w:rsidR="00D3356E">
        <w:rPr>
          <w:vertAlign w:val="superscript"/>
        </w:rPr>
        <w:footnoteRef/>
      </w:r>
      <w:r w:rsidR="00D3356E" w:rsidRPr="00122CDF">
        <w:t xml:space="preserve"> </w:t>
      </w:r>
      <w:r w:rsidRPr="00122CDF">
        <w:tab/>
      </w:r>
      <w:r w:rsidRPr="00122CDF">
        <w:tab/>
      </w:r>
      <w:r w:rsidR="00D3356E" w:rsidRPr="00122CDF">
        <w:t>H. Lee et al. (2023), “AR6 Synthesis Report, Climate Change 2023”, IPCC, https://report.ipcc.ch/ar6syr/pdf/IPCC_AR6_SYR_LongerReport.pdf.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ECFD5AB" w:rsidR="00C02976" w:rsidRPr="00C02976" w:rsidRDefault="00C02976">
    <w:pPr>
      <w:pStyle w:val="Header"/>
    </w:pPr>
    <w:r>
      <w:t>ECE/TRANS/202</w:t>
    </w:r>
    <w:r w:rsidR="009F6999">
      <w:t>4</w:t>
    </w:r>
    <w:r>
      <w:t>/</w:t>
    </w:r>
    <w:r w:rsidR="00F21435">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6731744D" w:rsidR="00C02976" w:rsidRPr="00C02976" w:rsidRDefault="00C02976" w:rsidP="00C02976">
    <w:pPr>
      <w:pStyle w:val="Header"/>
      <w:jc w:val="right"/>
    </w:pPr>
    <w:r>
      <w:t>ECE/TRANS/202</w:t>
    </w:r>
    <w:r w:rsidR="009F6999">
      <w:t>4</w:t>
    </w:r>
    <w:r>
      <w:t>/</w:t>
    </w:r>
    <w:r w:rsidR="00F2143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2BE2C872"/>
    <w:lvl w:ilvl="0" w:tplc="3B3E3DB8">
      <w:start w:val="1"/>
      <w:numFmt w:val="lowerLetter"/>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D81A00"/>
    <w:multiLevelType w:val="hybridMultilevel"/>
    <w:tmpl w:val="67826C9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1ABF4C29"/>
    <w:multiLevelType w:val="hybridMultilevel"/>
    <w:tmpl w:val="C2A01F8E"/>
    <w:lvl w:ilvl="0" w:tplc="36CA542E">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96A57"/>
    <w:multiLevelType w:val="multilevel"/>
    <w:tmpl w:val="CCBCD072"/>
    <w:lvl w:ilvl="0">
      <w:start w:val="1"/>
      <w:numFmt w:val="bullet"/>
      <w:lvlText w:val="●"/>
      <w:lvlJc w:val="left"/>
      <w:pPr>
        <w:ind w:left="1494" w:hanging="360"/>
      </w:pPr>
      <w:rPr>
        <w:u w:val="none"/>
      </w:rPr>
    </w:lvl>
    <w:lvl w:ilvl="1">
      <w:start w:val="1"/>
      <w:numFmt w:val="bullet"/>
      <w:lvlText w:val="○"/>
      <w:lvlJc w:val="left"/>
      <w:pPr>
        <w:ind w:left="2214" w:hanging="360"/>
      </w:pPr>
      <w:rPr>
        <w:u w:val="none"/>
      </w:rPr>
    </w:lvl>
    <w:lvl w:ilvl="2">
      <w:start w:val="1"/>
      <w:numFmt w:val="bullet"/>
      <w:lvlText w:val="■"/>
      <w:lvlJc w:val="left"/>
      <w:pPr>
        <w:ind w:left="2934" w:hanging="360"/>
      </w:pPr>
      <w:rPr>
        <w:u w:val="none"/>
      </w:rPr>
    </w:lvl>
    <w:lvl w:ilvl="3">
      <w:start w:val="1"/>
      <w:numFmt w:val="bullet"/>
      <w:lvlText w:val="●"/>
      <w:lvlJc w:val="left"/>
      <w:pPr>
        <w:ind w:left="3654" w:hanging="360"/>
      </w:pPr>
      <w:rPr>
        <w:u w:val="none"/>
      </w:rPr>
    </w:lvl>
    <w:lvl w:ilvl="4">
      <w:start w:val="1"/>
      <w:numFmt w:val="bullet"/>
      <w:lvlText w:val="○"/>
      <w:lvlJc w:val="left"/>
      <w:pPr>
        <w:ind w:left="4374" w:hanging="360"/>
      </w:pPr>
      <w:rPr>
        <w:u w:val="none"/>
      </w:rPr>
    </w:lvl>
    <w:lvl w:ilvl="5">
      <w:start w:val="1"/>
      <w:numFmt w:val="bullet"/>
      <w:lvlText w:val="■"/>
      <w:lvlJc w:val="left"/>
      <w:pPr>
        <w:ind w:left="5094" w:hanging="360"/>
      </w:pPr>
      <w:rPr>
        <w:u w:val="none"/>
      </w:rPr>
    </w:lvl>
    <w:lvl w:ilvl="6">
      <w:start w:val="1"/>
      <w:numFmt w:val="bullet"/>
      <w:lvlText w:val="●"/>
      <w:lvlJc w:val="left"/>
      <w:pPr>
        <w:ind w:left="5814" w:hanging="360"/>
      </w:pPr>
      <w:rPr>
        <w:u w:val="none"/>
      </w:rPr>
    </w:lvl>
    <w:lvl w:ilvl="7">
      <w:start w:val="1"/>
      <w:numFmt w:val="bullet"/>
      <w:lvlText w:val="○"/>
      <w:lvlJc w:val="left"/>
      <w:pPr>
        <w:ind w:left="6534" w:hanging="360"/>
      </w:pPr>
      <w:rPr>
        <w:u w:val="none"/>
      </w:rPr>
    </w:lvl>
    <w:lvl w:ilvl="8">
      <w:start w:val="1"/>
      <w:numFmt w:val="bullet"/>
      <w:lvlText w:val="■"/>
      <w:lvlJc w:val="left"/>
      <w:pPr>
        <w:ind w:left="7254" w:hanging="360"/>
      </w:pPr>
      <w:rPr>
        <w:u w:val="none"/>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3102"/>
    <w:multiLevelType w:val="multilevel"/>
    <w:tmpl w:val="9282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9B14CA"/>
    <w:multiLevelType w:val="hybridMultilevel"/>
    <w:tmpl w:val="F0AC8A12"/>
    <w:lvl w:ilvl="0" w:tplc="5046ECB4">
      <w:start w:val="1"/>
      <w:numFmt w:val="decimal"/>
      <w:lvlText w:val="%1."/>
      <w:lvlJc w:val="left"/>
      <w:pPr>
        <w:ind w:left="720" w:hanging="360"/>
      </w:pPr>
    </w:lvl>
    <w:lvl w:ilvl="1" w:tplc="42FACF28">
      <w:start w:val="1"/>
      <w:numFmt w:val="lowerLetter"/>
      <w:lvlText w:val="%2."/>
      <w:lvlJc w:val="left"/>
      <w:pPr>
        <w:ind w:left="1440" w:hanging="360"/>
      </w:pPr>
    </w:lvl>
    <w:lvl w:ilvl="2" w:tplc="B54CCD00">
      <w:start w:val="1"/>
      <w:numFmt w:val="lowerLetter"/>
      <w:lvlText w:val="(%3)"/>
      <w:lvlJc w:val="left"/>
      <w:pPr>
        <w:ind w:left="2160" w:hanging="180"/>
      </w:pPr>
    </w:lvl>
    <w:lvl w:ilvl="3" w:tplc="FF725F48">
      <w:start w:val="1"/>
      <w:numFmt w:val="decimal"/>
      <w:lvlText w:val="%4."/>
      <w:lvlJc w:val="left"/>
      <w:pPr>
        <w:ind w:left="2880" w:hanging="360"/>
      </w:pPr>
    </w:lvl>
    <w:lvl w:ilvl="4" w:tplc="C1CC407E">
      <w:start w:val="1"/>
      <w:numFmt w:val="lowerLetter"/>
      <w:lvlText w:val="%5."/>
      <w:lvlJc w:val="left"/>
      <w:pPr>
        <w:ind w:left="3600" w:hanging="360"/>
      </w:pPr>
    </w:lvl>
    <w:lvl w:ilvl="5" w:tplc="7BB0B0A8">
      <w:start w:val="1"/>
      <w:numFmt w:val="lowerRoman"/>
      <w:lvlText w:val="%6."/>
      <w:lvlJc w:val="right"/>
      <w:pPr>
        <w:ind w:left="4320" w:hanging="180"/>
      </w:pPr>
    </w:lvl>
    <w:lvl w:ilvl="6" w:tplc="C49E7F04">
      <w:start w:val="1"/>
      <w:numFmt w:val="decimal"/>
      <w:lvlText w:val="%7."/>
      <w:lvlJc w:val="left"/>
      <w:pPr>
        <w:ind w:left="5040" w:hanging="360"/>
      </w:pPr>
    </w:lvl>
    <w:lvl w:ilvl="7" w:tplc="63CC1F4A">
      <w:start w:val="1"/>
      <w:numFmt w:val="lowerLetter"/>
      <w:lvlText w:val="%8."/>
      <w:lvlJc w:val="left"/>
      <w:pPr>
        <w:ind w:left="5760" w:hanging="360"/>
      </w:pPr>
    </w:lvl>
    <w:lvl w:ilvl="8" w:tplc="D4FA08CA">
      <w:start w:val="1"/>
      <w:numFmt w:val="lowerRoman"/>
      <w:lvlText w:val="%9."/>
      <w:lvlJc w:val="right"/>
      <w:pPr>
        <w:ind w:left="6480" w:hanging="180"/>
      </w:pPr>
    </w:lvl>
  </w:abstractNum>
  <w:abstractNum w:abstractNumId="22" w15:restartNumberingAfterBreak="0">
    <w:nsid w:val="34C94559"/>
    <w:multiLevelType w:val="hybridMultilevel"/>
    <w:tmpl w:val="47D4E6F0"/>
    <w:lvl w:ilvl="0" w:tplc="C5C6B0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3F4FD1"/>
    <w:multiLevelType w:val="multilevel"/>
    <w:tmpl w:val="938CF7B4"/>
    <w:lvl w:ilvl="0">
      <w:start w:val="1"/>
      <w:numFmt w:val="decimal"/>
      <w:lvlText w:val="%1."/>
      <w:lvlJc w:val="left"/>
      <w:pPr>
        <w:ind w:left="1494" w:hanging="360"/>
      </w:pPr>
      <w:rPr>
        <w:u w:val="none"/>
      </w:rPr>
    </w:lvl>
    <w:lvl w:ilvl="1">
      <w:start w:val="1"/>
      <w:numFmt w:val="lowerLetter"/>
      <w:lvlText w:val="%2."/>
      <w:lvlJc w:val="left"/>
      <w:pPr>
        <w:ind w:left="2214" w:hanging="360"/>
      </w:pPr>
      <w:rPr>
        <w:u w:val="none"/>
      </w:rPr>
    </w:lvl>
    <w:lvl w:ilvl="2">
      <w:start w:val="1"/>
      <w:numFmt w:val="lowerRoman"/>
      <w:lvlText w:val="%3."/>
      <w:lvlJc w:val="right"/>
      <w:pPr>
        <w:ind w:left="2934" w:hanging="360"/>
      </w:pPr>
      <w:rPr>
        <w:u w:val="none"/>
      </w:rPr>
    </w:lvl>
    <w:lvl w:ilvl="3">
      <w:start w:val="1"/>
      <w:numFmt w:val="decimal"/>
      <w:lvlText w:val="%4."/>
      <w:lvlJc w:val="left"/>
      <w:pPr>
        <w:ind w:left="3654" w:hanging="360"/>
      </w:pPr>
      <w:rPr>
        <w:u w:val="none"/>
      </w:rPr>
    </w:lvl>
    <w:lvl w:ilvl="4">
      <w:start w:val="1"/>
      <w:numFmt w:val="lowerLetter"/>
      <w:lvlText w:val="%5."/>
      <w:lvlJc w:val="left"/>
      <w:pPr>
        <w:ind w:left="4374" w:hanging="360"/>
      </w:pPr>
      <w:rPr>
        <w:u w:val="none"/>
      </w:rPr>
    </w:lvl>
    <w:lvl w:ilvl="5">
      <w:start w:val="1"/>
      <w:numFmt w:val="lowerRoman"/>
      <w:lvlText w:val="%6."/>
      <w:lvlJc w:val="right"/>
      <w:pPr>
        <w:ind w:left="5094" w:hanging="360"/>
      </w:pPr>
      <w:rPr>
        <w:u w:val="none"/>
      </w:rPr>
    </w:lvl>
    <w:lvl w:ilvl="6">
      <w:start w:val="1"/>
      <w:numFmt w:val="decimal"/>
      <w:lvlText w:val="%7."/>
      <w:lvlJc w:val="left"/>
      <w:pPr>
        <w:ind w:left="5814" w:hanging="360"/>
      </w:pPr>
      <w:rPr>
        <w:u w:val="none"/>
      </w:rPr>
    </w:lvl>
    <w:lvl w:ilvl="7">
      <w:start w:val="1"/>
      <w:numFmt w:val="lowerLetter"/>
      <w:lvlText w:val="%8."/>
      <w:lvlJc w:val="left"/>
      <w:pPr>
        <w:ind w:left="6534" w:hanging="360"/>
      </w:pPr>
      <w:rPr>
        <w:u w:val="none"/>
      </w:rPr>
    </w:lvl>
    <w:lvl w:ilvl="8">
      <w:start w:val="1"/>
      <w:numFmt w:val="lowerRoman"/>
      <w:lvlText w:val="%9."/>
      <w:lvlJc w:val="right"/>
      <w:pPr>
        <w:ind w:left="7254" w:hanging="360"/>
      </w:pPr>
      <w:rPr>
        <w:u w:val="none"/>
      </w:rPr>
    </w:lvl>
  </w:abstractNum>
  <w:abstractNum w:abstractNumId="25" w15:restartNumberingAfterBreak="0">
    <w:nsid w:val="449B321F"/>
    <w:multiLevelType w:val="multilevel"/>
    <w:tmpl w:val="10EC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D654D1"/>
    <w:multiLevelType w:val="hybridMultilevel"/>
    <w:tmpl w:val="088E9960"/>
    <w:lvl w:ilvl="0" w:tplc="FFC86842">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488671B4"/>
    <w:multiLevelType w:val="multilevel"/>
    <w:tmpl w:val="B414F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F74FFD"/>
    <w:multiLevelType w:val="hybridMultilevel"/>
    <w:tmpl w:val="F042CBE8"/>
    <w:lvl w:ilvl="0" w:tplc="295ABE78">
      <w:start w:val="1"/>
      <w:numFmt w:val="lowerLetter"/>
      <w:lvlText w:val="(%1)"/>
      <w:lvlJc w:val="left"/>
      <w:pPr>
        <w:ind w:left="2061" w:hanging="360"/>
      </w:pPr>
    </w:lvl>
    <w:lvl w:ilvl="1" w:tplc="99BC3908">
      <w:start w:val="1"/>
      <w:numFmt w:val="lowerLetter"/>
      <w:lvlText w:val="%2."/>
      <w:lvlJc w:val="left"/>
      <w:pPr>
        <w:ind w:left="2781" w:hanging="360"/>
      </w:pPr>
    </w:lvl>
    <w:lvl w:ilvl="2" w:tplc="60D66CB8">
      <w:start w:val="1"/>
      <w:numFmt w:val="lowerRoman"/>
      <w:lvlText w:val="%3."/>
      <w:lvlJc w:val="right"/>
      <w:pPr>
        <w:ind w:left="3501" w:hanging="180"/>
      </w:pPr>
    </w:lvl>
    <w:lvl w:ilvl="3" w:tplc="49F46394">
      <w:start w:val="1"/>
      <w:numFmt w:val="decimal"/>
      <w:lvlText w:val="%4."/>
      <w:lvlJc w:val="left"/>
      <w:pPr>
        <w:ind w:left="4221" w:hanging="360"/>
      </w:pPr>
    </w:lvl>
    <w:lvl w:ilvl="4" w:tplc="B00410EC">
      <w:start w:val="1"/>
      <w:numFmt w:val="lowerLetter"/>
      <w:lvlText w:val="%5."/>
      <w:lvlJc w:val="left"/>
      <w:pPr>
        <w:ind w:left="4941" w:hanging="360"/>
      </w:pPr>
    </w:lvl>
    <w:lvl w:ilvl="5" w:tplc="966C4B90">
      <w:start w:val="1"/>
      <w:numFmt w:val="lowerRoman"/>
      <w:lvlText w:val="%6."/>
      <w:lvlJc w:val="right"/>
      <w:pPr>
        <w:ind w:left="5661" w:hanging="180"/>
      </w:pPr>
    </w:lvl>
    <w:lvl w:ilvl="6" w:tplc="3F0054DA">
      <w:start w:val="1"/>
      <w:numFmt w:val="decimal"/>
      <w:lvlText w:val="%7."/>
      <w:lvlJc w:val="left"/>
      <w:pPr>
        <w:ind w:left="6381" w:hanging="360"/>
      </w:pPr>
    </w:lvl>
    <w:lvl w:ilvl="7" w:tplc="98740404">
      <w:start w:val="1"/>
      <w:numFmt w:val="lowerLetter"/>
      <w:lvlText w:val="%8."/>
      <w:lvlJc w:val="left"/>
      <w:pPr>
        <w:ind w:left="7101" w:hanging="360"/>
      </w:pPr>
    </w:lvl>
    <w:lvl w:ilvl="8" w:tplc="60C4CE44">
      <w:start w:val="1"/>
      <w:numFmt w:val="lowerRoman"/>
      <w:lvlText w:val="%9."/>
      <w:lvlJc w:val="right"/>
      <w:pPr>
        <w:ind w:left="7821" w:hanging="180"/>
      </w:pPr>
    </w:lvl>
  </w:abstractNum>
  <w:abstractNum w:abstractNumId="29" w15:restartNumberingAfterBreak="0">
    <w:nsid w:val="50B44BD9"/>
    <w:multiLevelType w:val="hybridMultilevel"/>
    <w:tmpl w:val="2D903724"/>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C4D1F"/>
    <w:multiLevelType w:val="multilevel"/>
    <w:tmpl w:val="B4BC18D2"/>
    <w:lvl w:ilvl="0">
      <w:start w:val="1"/>
      <w:numFmt w:val="bullet"/>
      <w:lvlText w:val="●"/>
      <w:lvlJc w:val="left"/>
      <w:pPr>
        <w:ind w:left="1854" w:hanging="360"/>
      </w:pPr>
      <w:rPr>
        <w:u w:val="none"/>
      </w:rPr>
    </w:lvl>
    <w:lvl w:ilvl="1">
      <w:start w:val="1"/>
      <w:numFmt w:val="bullet"/>
      <w:lvlText w:val="○"/>
      <w:lvlJc w:val="left"/>
      <w:pPr>
        <w:ind w:left="2574" w:hanging="360"/>
      </w:pPr>
      <w:rPr>
        <w:u w:val="none"/>
      </w:rPr>
    </w:lvl>
    <w:lvl w:ilvl="2">
      <w:start w:val="1"/>
      <w:numFmt w:val="bullet"/>
      <w:lvlText w:val="■"/>
      <w:lvlJc w:val="left"/>
      <w:pPr>
        <w:ind w:left="3294" w:hanging="360"/>
      </w:pPr>
      <w:rPr>
        <w:u w:val="none"/>
      </w:rPr>
    </w:lvl>
    <w:lvl w:ilvl="3">
      <w:start w:val="1"/>
      <w:numFmt w:val="bullet"/>
      <w:lvlText w:val="●"/>
      <w:lvlJc w:val="left"/>
      <w:pPr>
        <w:ind w:left="4014" w:hanging="360"/>
      </w:pPr>
      <w:rPr>
        <w:u w:val="none"/>
      </w:rPr>
    </w:lvl>
    <w:lvl w:ilvl="4">
      <w:start w:val="1"/>
      <w:numFmt w:val="bullet"/>
      <w:lvlText w:val="○"/>
      <w:lvlJc w:val="left"/>
      <w:pPr>
        <w:ind w:left="4734" w:hanging="360"/>
      </w:pPr>
      <w:rPr>
        <w:u w:val="none"/>
      </w:rPr>
    </w:lvl>
    <w:lvl w:ilvl="5">
      <w:start w:val="1"/>
      <w:numFmt w:val="bullet"/>
      <w:lvlText w:val="■"/>
      <w:lvlJc w:val="left"/>
      <w:pPr>
        <w:ind w:left="5454" w:hanging="360"/>
      </w:pPr>
      <w:rPr>
        <w:u w:val="none"/>
      </w:rPr>
    </w:lvl>
    <w:lvl w:ilvl="6">
      <w:start w:val="1"/>
      <w:numFmt w:val="bullet"/>
      <w:lvlText w:val="●"/>
      <w:lvlJc w:val="left"/>
      <w:pPr>
        <w:ind w:left="6174" w:hanging="360"/>
      </w:pPr>
      <w:rPr>
        <w:u w:val="none"/>
      </w:rPr>
    </w:lvl>
    <w:lvl w:ilvl="7">
      <w:start w:val="1"/>
      <w:numFmt w:val="bullet"/>
      <w:lvlText w:val="○"/>
      <w:lvlJc w:val="left"/>
      <w:pPr>
        <w:ind w:left="6894" w:hanging="360"/>
      </w:pPr>
      <w:rPr>
        <w:u w:val="none"/>
      </w:rPr>
    </w:lvl>
    <w:lvl w:ilvl="8">
      <w:start w:val="1"/>
      <w:numFmt w:val="bullet"/>
      <w:lvlText w:val="■"/>
      <w:lvlJc w:val="left"/>
      <w:pPr>
        <w:ind w:left="7614" w:hanging="360"/>
      </w:pPr>
      <w:rPr>
        <w:u w:val="none"/>
      </w:rPr>
    </w:lvl>
  </w:abstractNum>
  <w:abstractNum w:abstractNumId="32" w15:restartNumberingAfterBreak="0">
    <w:nsid w:val="6D0E0E06"/>
    <w:multiLevelType w:val="hybridMultilevel"/>
    <w:tmpl w:val="8DA2E218"/>
    <w:lvl w:ilvl="0" w:tplc="B0703D86">
      <w:start w:val="1"/>
      <w:numFmt w:val="decimal"/>
      <w:lvlText w:val="%1."/>
      <w:lvlJc w:val="left"/>
      <w:pPr>
        <w:ind w:left="1419" w:hanging="85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2FD142F"/>
    <w:multiLevelType w:val="multilevel"/>
    <w:tmpl w:val="22C68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9D1D71"/>
    <w:multiLevelType w:val="hybridMultilevel"/>
    <w:tmpl w:val="259881B2"/>
    <w:lvl w:ilvl="0" w:tplc="EB62BAB4">
      <w:start w:val="1"/>
      <w:numFmt w:val="decimal"/>
      <w:lvlText w:val="%1."/>
      <w:lvlJc w:val="left"/>
      <w:pPr>
        <w:ind w:left="720" w:hanging="360"/>
      </w:pPr>
    </w:lvl>
    <w:lvl w:ilvl="1" w:tplc="1F96020E">
      <w:start w:val="1"/>
      <w:numFmt w:val="lowerLetter"/>
      <w:lvlText w:val="(%2)"/>
      <w:lvlJc w:val="left"/>
      <w:pPr>
        <w:ind w:left="1440" w:hanging="360"/>
      </w:pPr>
    </w:lvl>
    <w:lvl w:ilvl="2" w:tplc="27DEDDC6">
      <w:start w:val="1"/>
      <w:numFmt w:val="lowerRoman"/>
      <w:lvlText w:val="%3."/>
      <w:lvlJc w:val="right"/>
      <w:pPr>
        <w:ind w:left="2160" w:hanging="180"/>
      </w:pPr>
    </w:lvl>
    <w:lvl w:ilvl="3" w:tplc="80DE46A6">
      <w:start w:val="1"/>
      <w:numFmt w:val="decimal"/>
      <w:lvlText w:val="%4."/>
      <w:lvlJc w:val="left"/>
      <w:pPr>
        <w:ind w:left="2880" w:hanging="360"/>
      </w:pPr>
    </w:lvl>
    <w:lvl w:ilvl="4" w:tplc="E110A466">
      <w:start w:val="1"/>
      <w:numFmt w:val="lowerLetter"/>
      <w:lvlText w:val="%5."/>
      <w:lvlJc w:val="left"/>
      <w:pPr>
        <w:ind w:left="3600" w:hanging="360"/>
      </w:pPr>
    </w:lvl>
    <w:lvl w:ilvl="5" w:tplc="4B90583C">
      <w:start w:val="1"/>
      <w:numFmt w:val="lowerRoman"/>
      <w:lvlText w:val="%6."/>
      <w:lvlJc w:val="right"/>
      <w:pPr>
        <w:ind w:left="4320" w:hanging="180"/>
      </w:pPr>
    </w:lvl>
    <w:lvl w:ilvl="6" w:tplc="71369CD4">
      <w:start w:val="1"/>
      <w:numFmt w:val="decimal"/>
      <w:lvlText w:val="%7."/>
      <w:lvlJc w:val="left"/>
      <w:pPr>
        <w:ind w:left="5040" w:hanging="360"/>
      </w:pPr>
    </w:lvl>
    <w:lvl w:ilvl="7" w:tplc="217E43DE">
      <w:start w:val="1"/>
      <w:numFmt w:val="lowerLetter"/>
      <w:lvlText w:val="%8."/>
      <w:lvlJc w:val="left"/>
      <w:pPr>
        <w:ind w:left="5760" w:hanging="360"/>
      </w:pPr>
    </w:lvl>
    <w:lvl w:ilvl="8" w:tplc="1048E114">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027ED"/>
    <w:multiLevelType w:val="hybridMultilevel"/>
    <w:tmpl w:val="47EE0750"/>
    <w:lvl w:ilvl="0" w:tplc="48E28E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79C01DA4"/>
    <w:multiLevelType w:val="hybridMultilevel"/>
    <w:tmpl w:val="9E84A8BE"/>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num w:numId="1" w16cid:durableId="1835995383">
    <w:abstractNumId w:val="34"/>
  </w:num>
  <w:num w:numId="2" w16cid:durableId="996807612">
    <w:abstractNumId w:val="28"/>
  </w:num>
  <w:num w:numId="3" w16cid:durableId="450440181">
    <w:abstractNumId w:val="21"/>
  </w:num>
  <w:num w:numId="4" w16cid:durableId="380254323">
    <w:abstractNumId w:val="1"/>
  </w:num>
  <w:num w:numId="5" w16cid:durableId="1917129400">
    <w:abstractNumId w:val="0"/>
  </w:num>
  <w:num w:numId="6" w16cid:durableId="384448277">
    <w:abstractNumId w:val="2"/>
  </w:num>
  <w:num w:numId="7" w16cid:durableId="205796852">
    <w:abstractNumId w:val="3"/>
  </w:num>
  <w:num w:numId="8" w16cid:durableId="2076120273">
    <w:abstractNumId w:val="8"/>
  </w:num>
  <w:num w:numId="9" w16cid:durableId="1827891963">
    <w:abstractNumId w:val="9"/>
  </w:num>
  <w:num w:numId="10" w16cid:durableId="1667905000">
    <w:abstractNumId w:val="7"/>
  </w:num>
  <w:num w:numId="11" w16cid:durableId="328607514">
    <w:abstractNumId w:val="6"/>
  </w:num>
  <w:num w:numId="12" w16cid:durableId="1251156828">
    <w:abstractNumId w:val="5"/>
  </w:num>
  <w:num w:numId="13" w16cid:durableId="1983264420">
    <w:abstractNumId w:val="4"/>
  </w:num>
  <w:num w:numId="14" w16cid:durableId="1282617323">
    <w:abstractNumId w:val="19"/>
  </w:num>
  <w:num w:numId="15" w16cid:durableId="788088475">
    <w:abstractNumId w:val="17"/>
  </w:num>
  <w:num w:numId="16" w16cid:durableId="1278416604">
    <w:abstractNumId w:val="10"/>
  </w:num>
  <w:num w:numId="17" w16cid:durableId="2134858755">
    <w:abstractNumId w:val="15"/>
  </w:num>
  <w:num w:numId="18" w16cid:durableId="1858929651">
    <w:abstractNumId w:val="23"/>
  </w:num>
  <w:num w:numId="19" w16cid:durableId="647444836">
    <w:abstractNumId w:val="16"/>
  </w:num>
  <w:num w:numId="20" w16cid:durableId="167258864">
    <w:abstractNumId w:val="30"/>
  </w:num>
  <w:num w:numId="21" w16cid:durableId="496842885">
    <w:abstractNumId w:val="35"/>
  </w:num>
  <w:num w:numId="22" w16cid:durableId="1000432298">
    <w:abstractNumId w:val="12"/>
  </w:num>
  <w:num w:numId="23" w16cid:durableId="2004501422">
    <w:abstractNumId w:val="11"/>
  </w:num>
  <w:num w:numId="24" w16cid:durableId="1094789962">
    <w:abstractNumId w:val="14"/>
  </w:num>
  <w:num w:numId="25" w16cid:durableId="2034455137">
    <w:abstractNumId w:val="22"/>
  </w:num>
  <w:num w:numId="26" w16cid:durableId="883834705">
    <w:abstractNumId w:val="26"/>
  </w:num>
  <w:num w:numId="27" w16cid:durableId="1104155810">
    <w:abstractNumId w:val="36"/>
  </w:num>
  <w:num w:numId="28" w16cid:durableId="1621644201">
    <w:abstractNumId w:val="20"/>
  </w:num>
  <w:num w:numId="29" w16cid:durableId="913786081">
    <w:abstractNumId w:val="33"/>
  </w:num>
  <w:num w:numId="30" w16cid:durableId="1042484056">
    <w:abstractNumId w:val="31"/>
  </w:num>
  <w:num w:numId="31" w16cid:durableId="1820724375">
    <w:abstractNumId w:val="24"/>
  </w:num>
  <w:num w:numId="32" w16cid:durableId="1072125225">
    <w:abstractNumId w:val="18"/>
  </w:num>
  <w:num w:numId="33" w16cid:durableId="1082795694">
    <w:abstractNumId w:val="27"/>
  </w:num>
  <w:num w:numId="34" w16cid:durableId="217668225">
    <w:abstractNumId w:val="25"/>
  </w:num>
  <w:num w:numId="35" w16cid:durableId="1528445654">
    <w:abstractNumId w:val="29"/>
  </w:num>
  <w:num w:numId="36" w16cid:durableId="1820877841">
    <w:abstractNumId w:val="37"/>
  </w:num>
  <w:num w:numId="37" w16cid:durableId="625625015">
    <w:abstractNumId w:val="13"/>
  </w:num>
  <w:num w:numId="38" w16cid:durableId="139219022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H" w:vendorID="64" w:dllVersion="0" w:nlCheck="1" w:checkStyle="0"/>
  <w:activeWritingStyle w:appName="MSWord" w:lang="en-GB"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02EF"/>
    <w:rsid w:val="00002A7D"/>
    <w:rsid w:val="000038A8"/>
    <w:rsid w:val="00006790"/>
    <w:rsid w:val="00007E3D"/>
    <w:rsid w:val="00015BD7"/>
    <w:rsid w:val="0001618D"/>
    <w:rsid w:val="00021B68"/>
    <w:rsid w:val="00025770"/>
    <w:rsid w:val="00027624"/>
    <w:rsid w:val="0003021F"/>
    <w:rsid w:val="000356AB"/>
    <w:rsid w:val="00040E7B"/>
    <w:rsid w:val="00042E16"/>
    <w:rsid w:val="0004747D"/>
    <w:rsid w:val="000500E4"/>
    <w:rsid w:val="00050F6B"/>
    <w:rsid w:val="00053851"/>
    <w:rsid w:val="00057539"/>
    <w:rsid w:val="000602CF"/>
    <w:rsid w:val="000646B7"/>
    <w:rsid w:val="000652CC"/>
    <w:rsid w:val="0006729F"/>
    <w:rsid w:val="000678CD"/>
    <w:rsid w:val="00067FC7"/>
    <w:rsid w:val="00070729"/>
    <w:rsid w:val="00072C8C"/>
    <w:rsid w:val="00072EF2"/>
    <w:rsid w:val="00081940"/>
    <w:rsid w:val="00081CE0"/>
    <w:rsid w:val="00083C8C"/>
    <w:rsid w:val="000840A6"/>
    <w:rsid w:val="0008493D"/>
    <w:rsid w:val="00084D30"/>
    <w:rsid w:val="00084D3A"/>
    <w:rsid w:val="00090320"/>
    <w:rsid w:val="00091CE7"/>
    <w:rsid w:val="000931C0"/>
    <w:rsid w:val="00095A63"/>
    <w:rsid w:val="000A17A8"/>
    <w:rsid w:val="000A2E09"/>
    <w:rsid w:val="000B0E77"/>
    <w:rsid w:val="000B175B"/>
    <w:rsid w:val="000B2DE2"/>
    <w:rsid w:val="000B3966"/>
    <w:rsid w:val="000B3A0F"/>
    <w:rsid w:val="000C0A35"/>
    <w:rsid w:val="000C6878"/>
    <w:rsid w:val="000D3A4E"/>
    <w:rsid w:val="000E0103"/>
    <w:rsid w:val="000E0415"/>
    <w:rsid w:val="000E0E4C"/>
    <w:rsid w:val="000E1F08"/>
    <w:rsid w:val="000E480C"/>
    <w:rsid w:val="000E7A8E"/>
    <w:rsid w:val="000F054F"/>
    <w:rsid w:val="000F2BB0"/>
    <w:rsid w:val="000F7715"/>
    <w:rsid w:val="0010292D"/>
    <w:rsid w:val="0011107C"/>
    <w:rsid w:val="00112895"/>
    <w:rsid w:val="00117E8C"/>
    <w:rsid w:val="00122CDF"/>
    <w:rsid w:val="00127EE0"/>
    <w:rsid w:val="00130EDD"/>
    <w:rsid w:val="00132798"/>
    <w:rsid w:val="00132C24"/>
    <w:rsid w:val="00141329"/>
    <w:rsid w:val="00143DA6"/>
    <w:rsid w:val="00144BE4"/>
    <w:rsid w:val="0015029A"/>
    <w:rsid w:val="00150DD2"/>
    <w:rsid w:val="001544A0"/>
    <w:rsid w:val="00154A7C"/>
    <w:rsid w:val="00155F58"/>
    <w:rsid w:val="00156B99"/>
    <w:rsid w:val="00157DA7"/>
    <w:rsid w:val="00166124"/>
    <w:rsid w:val="001732FF"/>
    <w:rsid w:val="00184DDA"/>
    <w:rsid w:val="00185558"/>
    <w:rsid w:val="001866E5"/>
    <w:rsid w:val="001900CD"/>
    <w:rsid w:val="00191271"/>
    <w:rsid w:val="0019312B"/>
    <w:rsid w:val="00193D31"/>
    <w:rsid w:val="00195F0C"/>
    <w:rsid w:val="001A0452"/>
    <w:rsid w:val="001A0783"/>
    <w:rsid w:val="001A561E"/>
    <w:rsid w:val="001AA892"/>
    <w:rsid w:val="001B04D8"/>
    <w:rsid w:val="001B4B04"/>
    <w:rsid w:val="001B5875"/>
    <w:rsid w:val="001B747C"/>
    <w:rsid w:val="001C031E"/>
    <w:rsid w:val="001C098F"/>
    <w:rsid w:val="001C0D90"/>
    <w:rsid w:val="001C4B9C"/>
    <w:rsid w:val="001C6663"/>
    <w:rsid w:val="001C7895"/>
    <w:rsid w:val="001D26DF"/>
    <w:rsid w:val="001E5F41"/>
    <w:rsid w:val="001F1599"/>
    <w:rsid w:val="001F19C4"/>
    <w:rsid w:val="001F26E5"/>
    <w:rsid w:val="001F3418"/>
    <w:rsid w:val="001F48A3"/>
    <w:rsid w:val="002043F0"/>
    <w:rsid w:val="00211E0B"/>
    <w:rsid w:val="00217216"/>
    <w:rsid w:val="002241D1"/>
    <w:rsid w:val="00232575"/>
    <w:rsid w:val="00233E60"/>
    <w:rsid w:val="002427B9"/>
    <w:rsid w:val="00242A3D"/>
    <w:rsid w:val="00245F8B"/>
    <w:rsid w:val="00247258"/>
    <w:rsid w:val="002576A9"/>
    <w:rsid w:val="00257CAC"/>
    <w:rsid w:val="0027205B"/>
    <w:rsid w:val="0027237A"/>
    <w:rsid w:val="00285CB2"/>
    <w:rsid w:val="00290950"/>
    <w:rsid w:val="002937D8"/>
    <w:rsid w:val="002974E9"/>
    <w:rsid w:val="002978EC"/>
    <w:rsid w:val="002A7F94"/>
    <w:rsid w:val="002B109A"/>
    <w:rsid w:val="002B3A31"/>
    <w:rsid w:val="002B7FD8"/>
    <w:rsid w:val="002C0F75"/>
    <w:rsid w:val="002C3F90"/>
    <w:rsid w:val="002C6D45"/>
    <w:rsid w:val="002D6252"/>
    <w:rsid w:val="002D6E53"/>
    <w:rsid w:val="002E2DD6"/>
    <w:rsid w:val="002E680B"/>
    <w:rsid w:val="002F046D"/>
    <w:rsid w:val="002F3023"/>
    <w:rsid w:val="002F568A"/>
    <w:rsid w:val="00301764"/>
    <w:rsid w:val="0030215B"/>
    <w:rsid w:val="00302339"/>
    <w:rsid w:val="003028EB"/>
    <w:rsid w:val="00302AE7"/>
    <w:rsid w:val="0030449A"/>
    <w:rsid w:val="003047E7"/>
    <w:rsid w:val="0030697A"/>
    <w:rsid w:val="003075A2"/>
    <w:rsid w:val="0031259E"/>
    <w:rsid w:val="0031283B"/>
    <w:rsid w:val="00313BE1"/>
    <w:rsid w:val="00316127"/>
    <w:rsid w:val="00316820"/>
    <w:rsid w:val="00320C6E"/>
    <w:rsid w:val="003229D8"/>
    <w:rsid w:val="003276F1"/>
    <w:rsid w:val="00332047"/>
    <w:rsid w:val="00336C97"/>
    <w:rsid w:val="003371C8"/>
    <w:rsid w:val="00337F88"/>
    <w:rsid w:val="003400D4"/>
    <w:rsid w:val="00340B2F"/>
    <w:rsid w:val="00342432"/>
    <w:rsid w:val="00347CA2"/>
    <w:rsid w:val="00347E58"/>
    <w:rsid w:val="00350422"/>
    <w:rsid w:val="00351301"/>
    <w:rsid w:val="0035223F"/>
    <w:rsid w:val="00352D4B"/>
    <w:rsid w:val="00352EAC"/>
    <w:rsid w:val="0035638C"/>
    <w:rsid w:val="00357D7A"/>
    <w:rsid w:val="00373AFB"/>
    <w:rsid w:val="00376AA6"/>
    <w:rsid w:val="00382E1C"/>
    <w:rsid w:val="0039136A"/>
    <w:rsid w:val="00392372"/>
    <w:rsid w:val="003A190D"/>
    <w:rsid w:val="003A46BB"/>
    <w:rsid w:val="003A4EC7"/>
    <w:rsid w:val="003A5278"/>
    <w:rsid w:val="003A69CC"/>
    <w:rsid w:val="003A7295"/>
    <w:rsid w:val="003B0ABD"/>
    <w:rsid w:val="003B1F60"/>
    <w:rsid w:val="003B6049"/>
    <w:rsid w:val="003B700C"/>
    <w:rsid w:val="003C2CC4"/>
    <w:rsid w:val="003C359D"/>
    <w:rsid w:val="003C4072"/>
    <w:rsid w:val="003D0B2D"/>
    <w:rsid w:val="003D1ECE"/>
    <w:rsid w:val="003D2D84"/>
    <w:rsid w:val="003D4B23"/>
    <w:rsid w:val="003D4B79"/>
    <w:rsid w:val="003E1565"/>
    <w:rsid w:val="003E278A"/>
    <w:rsid w:val="003E2B37"/>
    <w:rsid w:val="003E4EC1"/>
    <w:rsid w:val="003E7161"/>
    <w:rsid w:val="003F3DCE"/>
    <w:rsid w:val="003F66F8"/>
    <w:rsid w:val="00407B96"/>
    <w:rsid w:val="004129D3"/>
    <w:rsid w:val="00413520"/>
    <w:rsid w:val="00420FBF"/>
    <w:rsid w:val="00424A03"/>
    <w:rsid w:val="004275A9"/>
    <w:rsid w:val="004325CB"/>
    <w:rsid w:val="00440A07"/>
    <w:rsid w:val="00447FBA"/>
    <w:rsid w:val="00453F28"/>
    <w:rsid w:val="00456612"/>
    <w:rsid w:val="004570DE"/>
    <w:rsid w:val="00457A56"/>
    <w:rsid w:val="00462880"/>
    <w:rsid w:val="004635CC"/>
    <w:rsid w:val="00467B6B"/>
    <w:rsid w:val="00471255"/>
    <w:rsid w:val="00471D3E"/>
    <w:rsid w:val="00473688"/>
    <w:rsid w:val="0047377E"/>
    <w:rsid w:val="00476F24"/>
    <w:rsid w:val="004819B9"/>
    <w:rsid w:val="004923A8"/>
    <w:rsid w:val="00494082"/>
    <w:rsid w:val="00495A66"/>
    <w:rsid w:val="00496B37"/>
    <w:rsid w:val="00497817"/>
    <w:rsid w:val="004A0F4B"/>
    <w:rsid w:val="004B0A57"/>
    <w:rsid w:val="004B3FA8"/>
    <w:rsid w:val="004C3B6B"/>
    <w:rsid w:val="004C55B0"/>
    <w:rsid w:val="004D3370"/>
    <w:rsid w:val="004D592F"/>
    <w:rsid w:val="004D779D"/>
    <w:rsid w:val="004D7D88"/>
    <w:rsid w:val="004E2617"/>
    <w:rsid w:val="004E2A81"/>
    <w:rsid w:val="004E54E4"/>
    <w:rsid w:val="004E7796"/>
    <w:rsid w:val="004F1AF1"/>
    <w:rsid w:val="004F528F"/>
    <w:rsid w:val="004F6BA0"/>
    <w:rsid w:val="00502021"/>
    <w:rsid w:val="00503BEA"/>
    <w:rsid w:val="005065EC"/>
    <w:rsid w:val="00506BD0"/>
    <w:rsid w:val="00520514"/>
    <w:rsid w:val="00525156"/>
    <w:rsid w:val="005259C0"/>
    <w:rsid w:val="00526E9A"/>
    <w:rsid w:val="00533616"/>
    <w:rsid w:val="00535846"/>
    <w:rsid w:val="00535ABA"/>
    <w:rsid w:val="0053768B"/>
    <w:rsid w:val="00541208"/>
    <w:rsid w:val="005420F2"/>
    <w:rsid w:val="0054285C"/>
    <w:rsid w:val="00546EA3"/>
    <w:rsid w:val="00561938"/>
    <w:rsid w:val="00574374"/>
    <w:rsid w:val="005743C8"/>
    <w:rsid w:val="00584173"/>
    <w:rsid w:val="005935EA"/>
    <w:rsid w:val="00594AD2"/>
    <w:rsid w:val="00595520"/>
    <w:rsid w:val="005A0AB9"/>
    <w:rsid w:val="005A0E11"/>
    <w:rsid w:val="005A44B9"/>
    <w:rsid w:val="005A74A4"/>
    <w:rsid w:val="005B0052"/>
    <w:rsid w:val="005B0BAE"/>
    <w:rsid w:val="005B1BA0"/>
    <w:rsid w:val="005B3DB3"/>
    <w:rsid w:val="005B588C"/>
    <w:rsid w:val="005C7C0E"/>
    <w:rsid w:val="005D15CA"/>
    <w:rsid w:val="005D18BA"/>
    <w:rsid w:val="005D1F81"/>
    <w:rsid w:val="005D3634"/>
    <w:rsid w:val="005D3E15"/>
    <w:rsid w:val="005D7E6E"/>
    <w:rsid w:val="005E16FA"/>
    <w:rsid w:val="005E2697"/>
    <w:rsid w:val="005E2D44"/>
    <w:rsid w:val="005E57F7"/>
    <w:rsid w:val="005E5AEF"/>
    <w:rsid w:val="005F08DF"/>
    <w:rsid w:val="005F3066"/>
    <w:rsid w:val="005F3B7E"/>
    <w:rsid w:val="005F3E61"/>
    <w:rsid w:val="00604DDD"/>
    <w:rsid w:val="00610FE4"/>
    <w:rsid w:val="006115CC"/>
    <w:rsid w:val="00611FC4"/>
    <w:rsid w:val="0061756D"/>
    <w:rsid w:val="006176FB"/>
    <w:rsid w:val="00620F69"/>
    <w:rsid w:val="00622F98"/>
    <w:rsid w:val="006308B8"/>
    <w:rsid w:val="00630E08"/>
    <w:rsid w:val="00630FCB"/>
    <w:rsid w:val="006337E5"/>
    <w:rsid w:val="00636346"/>
    <w:rsid w:val="00637AAC"/>
    <w:rsid w:val="00640B26"/>
    <w:rsid w:val="0064656A"/>
    <w:rsid w:val="00651ABE"/>
    <w:rsid w:val="006547C1"/>
    <w:rsid w:val="0065766B"/>
    <w:rsid w:val="00661280"/>
    <w:rsid w:val="006642D7"/>
    <w:rsid w:val="006666AB"/>
    <w:rsid w:val="006667CC"/>
    <w:rsid w:val="0067503E"/>
    <w:rsid w:val="00675601"/>
    <w:rsid w:val="006770B2"/>
    <w:rsid w:val="00677C2B"/>
    <w:rsid w:val="00686A48"/>
    <w:rsid w:val="00687D4A"/>
    <w:rsid w:val="00687E9F"/>
    <w:rsid w:val="006926DA"/>
    <w:rsid w:val="006940E1"/>
    <w:rsid w:val="0069631B"/>
    <w:rsid w:val="00697CDD"/>
    <w:rsid w:val="006A2FD8"/>
    <w:rsid w:val="006A3C72"/>
    <w:rsid w:val="006A7392"/>
    <w:rsid w:val="006B03A1"/>
    <w:rsid w:val="006B0E80"/>
    <w:rsid w:val="006B67D9"/>
    <w:rsid w:val="006C0C68"/>
    <w:rsid w:val="006C0EE0"/>
    <w:rsid w:val="006C5535"/>
    <w:rsid w:val="006D0589"/>
    <w:rsid w:val="006D69F8"/>
    <w:rsid w:val="006E564B"/>
    <w:rsid w:val="006E7154"/>
    <w:rsid w:val="006E7DE4"/>
    <w:rsid w:val="007003CD"/>
    <w:rsid w:val="00703A5F"/>
    <w:rsid w:val="00703E9D"/>
    <w:rsid w:val="0070701E"/>
    <w:rsid w:val="00714EA2"/>
    <w:rsid w:val="007234AE"/>
    <w:rsid w:val="00723E33"/>
    <w:rsid w:val="0072632A"/>
    <w:rsid w:val="00727950"/>
    <w:rsid w:val="0073068B"/>
    <w:rsid w:val="00734265"/>
    <w:rsid w:val="007358E8"/>
    <w:rsid w:val="00736ECE"/>
    <w:rsid w:val="00742253"/>
    <w:rsid w:val="0074533B"/>
    <w:rsid w:val="00747664"/>
    <w:rsid w:val="007560A2"/>
    <w:rsid w:val="00760775"/>
    <w:rsid w:val="007643BC"/>
    <w:rsid w:val="00764AB6"/>
    <w:rsid w:val="0076557D"/>
    <w:rsid w:val="00766072"/>
    <w:rsid w:val="00771F5F"/>
    <w:rsid w:val="00780193"/>
    <w:rsid w:val="00780C68"/>
    <w:rsid w:val="007907CC"/>
    <w:rsid w:val="00791500"/>
    <w:rsid w:val="007959FE"/>
    <w:rsid w:val="007A0CF1"/>
    <w:rsid w:val="007A2669"/>
    <w:rsid w:val="007A5568"/>
    <w:rsid w:val="007B245F"/>
    <w:rsid w:val="007B2627"/>
    <w:rsid w:val="007B34AF"/>
    <w:rsid w:val="007B6BA5"/>
    <w:rsid w:val="007B73B8"/>
    <w:rsid w:val="007B77F2"/>
    <w:rsid w:val="007C2BE8"/>
    <w:rsid w:val="007C3390"/>
    <w:rsid w:val="007C3BBF"/>
    <w:rsid w:val="007C42D8"/>
    <w:rsid w:val="007C4785"/>
    <w:rsid w:val="007C4F4B"/>
    <w:rsid w:val="007C527C"/>
    <w:rsid w:val="007D64E1"/>
    <w:rsid w:val="007D7362"/>
    <w:rsid w:val="007D79A0"/>
    <w:rsid w:val="007E3DC8"/>
    <w:rsid w:val="007E4F5C"/>
    <w:rsid w:val="007E7F46"/>
    <w:rsid w:val="007F5CE2"/>
    <w:rsid w:val="007F6611"/>
    <w:rsid w:val="007F70C6"/>
    <w:rsid w:val="0080309B"/>
    <w:rsid w:val="0080313D"/>
    <w:rsid w:val="00810BAC"/>
    <w:rsid w:val="008141D4"/>
    <w:rsid w:val="00815316"/>
    <w:rsid w:val="008175E9"/>
    <w:rsid w:val="008242D7"/>
    <w:rsid w:val="0082577B"/>
    <w:rsid w:val="008304E1"/>
    <w:rsid w:val="008312DD"/>
    <w:rsid w:val="00836295"/>
    <w:rsid w:val="00841361"/>
    <w:rsid w:val="00846055"/>
    <w:rsid w:val="008503D1"/>
    <w:rsid w:val="00855AD7"/>
    <w:rsid w:val="00861CB1"/>
    <w:rsid w:val="00866893"/>
    <w:rsid w:val="00866F02"/>
    <w:rsid w:val="00867D18"/>
    <w:rsid w:val="00871F9A"/>
    <w:rsid w:val="00871FD5"/>
    <w:rsid w:val="0088172E"/>
    <w:rsid w:val="00881EFA"/>
    <w:rsid w:val="00884356"/>
    <w:rsid w:val="0088612C"/>
    <w:rsid w:val="008879CB"/>
    <w:rsid w:val="008948EC"/>
    <w:rsid w:val="0089658E"/>
    <w:rsid w:val="00896817"/>
    <w:rsid w:val="00896E1B"/>
    <w:rsid w:val="008979B1"/>
    <w:rsid w:val="008A17A7"/>
    <w:rsid w:val="008A59B2"/>
    <w:rsid w:val="008A6B25"/>
    <w:rsid w:val="008A6C4F"/>
    <w:rsid w:val="008B389E"/>
    <w:rsid w:val="008B6DBE"/>
    <w:rsid w:val="008C222D"/>
    <w:rsid w:val="008C2E79"/>
    <w:rsid w:val="008C3805"/>
    <w:rsid w:val="008C6230"/>
    <w:rsid w:val="008D045E"/>
    <w:rsid w:val="008D3F25"/>
    <w:rsid w:val="008D4D82"/>
    <w:rsid w:val="008D73FC"/>
    <w:rsid w:val="008E07BB"/>
    <w:rsid w:val="008E0E46"/>
    <w:rsid w:val="008E7116"/>
    <w:rsid w:val="008F143B"/>
    <w:rsid w:val="008F3882"/>
    <w:rsid w:val="008F4B7C"/>
    <w:rsid w:val="008F6DBB"/>
    <w:rsid w:val="009004BD"/>
    <w:rsid w:val="009024AC"/>
    <w:rsid w:val="00903FEB"/>
    <w:rsid w:val="009106F9"/>
    <w:rsid w:val="00911B84"/>
    <w:rsid w:val="00920755"/>
    <w:rsid w:val="00924A87"/>
    <w:rsid w:val="00926E2E"/>
    <w:rsid w:val="00926E47"/>
    <w:rsid w:val="00931BF9"/>
    <w:rsid w:val="00933C32"/>
    <w:rsid w:val="00943748"/>
    <w:rsid w:val="009453CB"/>
    <w:rsid w:val="00947162"/>
    <w:rsid w:val="00953683"/>
    <w:rsid w:val="009550B4"/>
    <w:rsid w:val="00960121"/>
    <w:rsid w:val="009610D0"/>
    <w:rsid w:val="0096375C"/>
    <w:rsid w:val="009662E6"/>
    <w:rsid w:val="00967428"/>
    <w:rsid w:val="0097095E"/>
    <w:rsid w:val="00971EB6"/>
    <w:rsid w:val="00973355"/>
    <w:rsid w:val="00975088"/>
    <w:rsid w:val="00983D75"/>
    <w:rsid w:val="0098592B"/>
    <w:rsid w:val="00985FC4"/>
    <w:rsid w:val="00990766"/>
    <w:rsid w:val="00991261"/>
    <w:rsid w:val="009929FC"/>
    <w:rsid w:val="0099452B"/>
    <w:rsid w:val="00995C14"/>
    <w:rsid w:val="009964C4"/>
    <w:rsid w:val="009A1041"/>
    <w:rsid w:val="009A7B81"/>
    <w:rsid w:val="009B208B"/>
    <w:rsid w:val="009B352E"/>
    <w:rsid w:val="009C2D03"/>
    <w:rsid w:val="009C702E"/>
    <w:rsid w:val="009D01C0"/>
    <w:rsid w:val="009D379F"/>
    <w:rsid w:val="009D6A08"/>
    <w:rsid w:val="009D7505"/>
    <w:rsid w:val="009E0A16"/>
    <w:rsid w:val="009E153B"/>
    <w:rsid w:val="009E6CB7"/>
    <w:rsid w:val="009E72B4"/>
    <w:rsid w:val="009E7970"/>
    <w:rsid w:val="009E7A4F"/>
    <w:rsid w:val="009F2EAC"/>
    <w:rsid w:val="009F336B"/>
    <w:rsid w:val="009F4054"/>
    <w:rsid w:val="009F57E3"/>
    <w:rsid w:val="009F6999"/>
    <w:rsid w:val="00A01353"/>
    <w:rsid w:val="00A0237C"/>
    <w:rsid w:val="00A026B3"/>
    <w:rsid w:val="00A0272F"/>
    <w:rsid w:val="00A10F4F"/>
    <w:rsid w:val="00A11067"/>
    <w:rsid w:val="00A15522"/>
    <w:rsid w:val="00A15923"/>
    <w:rsid w:val="00A1704A"/>
    <w:rsid w:val="00A2023D"/>
    <w:rsid w:val="00A21254"/>
    <w:rsid w:val="00A23FFB"/>
    <w:rsid w:val="00A35727"/>
    <w:rsid w:val="00A3588A"/>
    <w:rsid w:val="00A36993"/>
    <w:rsid w:val="00A41213"/>
    <w:rsid w:val="00A425EB"/>
    <w:rsid w:val="00A5341E"/>
    <w:rsid w:val="00A545A5"/>
    <w:rsid w:val="00A550DB"/>
    <w:rsid w:val="00A559CE"/>
    <w:rsid w:val="00A56204"/>
    <w:rsid w:val="00A56D92"/>
    <w:rsid w:val="00A632B5"/>
    <w:rsid w:val="00A64242"/>
    <w:rsid w:val="00A658F0"/>
    <w:rsid w:val="00A72F22"/>
    <w:rsid w:val="00A733BC"/>
    <w:rsid w:val="00A7417D"/>
    <w:rsid w:val="00A748A6"/>
    <w:rsid w:val="00A769AB"/>
    <w:rsid w:val="00A76A69"/>
    <w:rsid w:val="00A848B2"/>
    <w:rsid w:val="00A858F5"/>
    <w:rsid w:val="00A879A4"/>
    <w:rsid w:val="00A9083C"/>
    <w:rsid w:val="00A96238"/>
    <w:rsid w:val="00AA0FF8"/>
    <w:rsid w:val="00AB69CD"/>
    <w:rsid w:val="00AC0F2C"/>
    <w:rsid w:val="00AC157F"/>
    <w:rsid w:val="00AC502A"/>
    <w:rsid w:val="00AD6AB4"/>
    <w:rsid w:val="00AF52BD"/>
    <w:rsid w:val="00AF58C1"/>
    <w:rsid w:val="00B04167"/>
    <w:rsid w:val="00B04A3F"/>
    <w:rsid w:val="00B06643"/>
    <w:rsid w:val="00B070E5"/>
    <w:rsid w:val="00B0789F"/>
    <w:rsid w:val="00B127AA"/>
    <w:rsid w:val="00B13720"/>
    <w:rsid w:val="00B15055"/>
    <w:rsid w:val="00B20551"/>
    <w:rsid w:val="00B21E32"/>
    <w:rsid w:val="00B22897"/>
    <w:rsid w:val="00B25937"/>
    <w:rsid w:val="00B30179"/>
    <w:rsid w:val="00B33FC7"/>
    <w:rsid w:val="00B37B15"/>
    <w:rsid w:val="00B37C35"/>
    <w:rsid w:val="00B408AC"/>
    <w:rsid w:val="00B43C00"/>
    <w:rsid w:val="00B45A10"/>
    <w:rsid w:val="00B45C02"/>
    <w:rsid w:val="00B466A6"/>
    <w:rsid w:val="00B532C9"/>
    <w:rsid w:val="00B54D6B"/>
    <w:rsid w:val="00B57A5F"/>
    <w:rsid w:val="00B61CE3"/>
    <w:rsid w:val="00B632CA"/>
    <w:rsid w:val="00B63E79"/>
    <w:rsid w:val="00B7095F"/>
    <w:rsid w:val="00B70B63"/>
    <w:rsid w:val="00B72A1E"/>
    <w:rsid w:val="00B74FF6"/>
    <w:rsid w:val="00B81727"/>
    <w:rsid w:val="00B81E12"/>
    <w:rsid w:val="00B8385E"/>
    <w:rsid w:val="00B93FA5"/>
    <w:rsid w:val="00BA17E9"/>
    <w:rsid w:val="00BA339B"/>
    <w:rsid w:val="00BA4D15"/>
    <w:rsid w:val="00BA55B8"/>
    <w:rsid w:val="00BB23CC"/>
    <w:rsid w:val="00BB6FE1"/>
    <w:rsid w:val="00BC1E7E"/>
    <w:rsid w:val="00BC2D7E"/>
    <w:rsid w:val="00BC74E9"/>
    <w:rsid w:val="00BD29FD"/>
    <w:rsid w:val="00BD6387"/>
    <w:rsid w:val="00BD7073"/>
    <w:rsid w:val="00BD7A9B"/>
    <w:rsid w:val="00BE0564"/>
    <w:rsid w:val="00BE102C"/>
    <w:rsid w:val="00BE25B4"/>
    <w:rsid w:val="00BE3494"/>
    <w:rsid w:val="00BE36A9"/>
    <w:rsid w:val="00BE41FE"/>
    <w:rsid w:val="00BE618E"/>
    <w:rsid w:val="00BE6487"/>
    <w:rsid w:val="00BE78F3"/>
    <w:rsid w:val="00BE7BEC"/>
    <w:rsid w:val="00BE7C89"/>
    <w:rsid w:val="00BF0A5A"/>
    <w:rsid w:val="00BF0E63"/>
    <w:rsid w:val="00BF12A3"/>
    <w:rsid w:val="00BF16D7"/>
    <w:rsid w:val="00BF2373"/>
    <w:rsid w:val="00BF5682"/>
    <w:rsid w:val="00C02976"/>
    <w:rsid w:val="00C04331"/>
    <w:rsid w:val="00C044E2"/>
    <w:rsid w:val="00C048CB"/>
    <w:rsid w:val="00C0657F"/>
    <w:rsid w:val="00C066F3"/>
    <w:rsid w:val="00C102B0"/>
    <w:rsid w:val="00C206D6"/>
    <w:rsid w:val="00C243D6"/>
    <w:rsid w:val="00C26956"/>
    <w:rsid w:val="00C303F5"/>
    <w:rsid w:val="00C36083"/>
    <w:rsid w:val="00C37FE1"/>
    <w:rsid w:val="00C404CE"/>
    <w:rsid w:val="00C463DD"/>
    <w:rsid w:val="00C5206B"/>
    <w:rsid w:val="00C625D7"/>
    <w:rsid w:val="00C65890"/>
    <w:rsid w:val="00C745C3"/>
    <w:rsid w:val="00C77AB7"/>
    <w:rsid w:val="00C82E95"/>
    <w:rsid w:val="00C87D47"/>
    <w:rsid w:val="00C90F09"/>
    <w:rsid w:val="00C942DD"/>
    <w:rsid w:val="00C95CCD"/>
    <w:rsid w:val="00C978F5"/>
    <w:rsid w:val="00CA10B5"/>
    <w:rsid w:val="00CA24A4"/>
    <w:rsid w:val="00CA2760"/>
    <w:rsid w:val="00CA27C5"/>
    <w:rsid w:val="00CA32D5"/>
    <w:rsid w:val="00CB107E"/>
    <w:rsid w:val="00CB348D"/>
    <w:rsid w:val="00CB47CA"/>
    <w:rsid w:val="00CB4B97"/>
    <w:rsid w:val="00CC014E"/>
    <w:rsid w:val="00CC6E51"/>
    <w:rsid w:val="00CD257E"/>
    <w:rsid w:val="00CD42C0"/>
    <w:rsid w:val="00CD46F5"/>
    <w:rsid w:val="00CD566C"/>
    <w:rsid w:val="00CE1BB0"/>
    <w:rsid w:val="00CE27FC"/>
    <w:rsid w:val="00CE383B"/>
    <w:rsid w:val="00CE4A8F"/>
    <w:rsid w:val="00CF071D"/>
    <w:rsid w:val="00CF331B"/>
    <w:rsid w:val="00D0123D"/>
    <w:rsid w:val="00D023A3"/>
    <w:rsid w:val="00D04732"/>
    <w:rsid w:val="00D04822"/>
    <w:rsid w:val="00D06BF4"/>
    <w:rsid w:val="00D15B04"/>
    <w:rsid w:val="00D202A4"/>
    <w:rsid w:val="00D2031B"/>
    <w:rsid w:val="00D21FEF"/>
    <w:rsid w:val="00D25FE2"/>
    <w:rsid w:val="00D30C84"/>
    <w:rsid w:val="00D30CE7"/>
    <w:rsid w:val="00D31DBA"/>
    <w:rsid w:val="00D3356E"/>
    <w:rsid w:val="00D373BB"/>
    <w:rsid w:val="00D37DA9"/>
    <w:rsid w:val="00D406A7"/>
    <w:rsid w:val="00D41F37"/>
    <w:rsid w:val="00D425C6"/>
    <w:rsid w:val="00D43252"/>
    <w:rsid w:val="00D44564"/>
    <w:rsid w:val="00D44D86"/>
    <w:rsid w:val="00D50B7D"/>
    <w:rsid w:val="00D52012"/>
    <w:rsid w:val="00D623EF"/>
    <w:rsid w:val="00D642A8"/>
    <w:rsid w:val="00D64B7C"/>
    <w:rsid w:val="00D704E5"/>
    <w:rsid w:val="00D72727"/>
    <w:rsid w:val="00D8150D"/>
    <w:rsid w:val="00D82C3E"/>
    <w:rsid w:val="00D862D8"/>
    <w:rsid w:val="00D92BE6"/>
    <w:rsid w:val="00D94A76"/>
    <w:rsid w:val="00D978C6"/>
    <w:rsid w:val="00DA0956"/>
    <w:rsid w:val="00DA2A48"/>
    <w:rsid w:val="00DA357F"/>
    <w:rsid w:val="00DA3E12"/>
    <w:rsid w:val="00DB1D43"/>
    <w:rsid w:val="00DB311C"/>
    <w:rsid w:val="00DB692E"/>
    <w:rsid w:val="00DC18AD"/>
    <w:rsid w:val="00DC222A"/>
    <w:rsid w:val="00DC6AB5"/>
    <w:rsid w:val="00DE2174"/>
    <w:rsid w:val="00DE627F"/>
    <w:rsid w:val="00DF0CF7"/>
    <w:rsid w:val="00DF1C8A"/>
    <w:rsid w:val="00DF4518"/>
    <w:rsid w:val="00DF7CAE"/>
    <w:rsid w:val="00E02F1D"/>
    <w:rsid w:val="00E24E55"/>
    <w:rsid w:val="00E423C0"/>
    <w:rsid w:val="00E46F4A"/>
    <w:rsid w:val="00E47ACC"/>
    <w:rsid w:val="00E47C47"/>
    <w:rsid w:val="00E51759"/>
    <w:rsid w:val="00E63860"/>
    <w:rsid w:val="00E6414C"/>
    <w:rsid w:val="00E70083"/>
    <w:rsid w:val="00E7260F"/>
    <w:rsid w:val="00E7304F"/>
    <w:rsid w:val="00E76122"/>
    <w:rsid w:val="00E8702D"/>
    <w:rsid w:val="00E905F4"/>
    <w:rsid w:val="00E912CE"/>
    <w:rsid w:val="00E916A9"/>
    <w:rsid w:val="00E916DE"/>
    <w:rsid w:val="00E925AD"/>
    <w:rsid w:val="00E96630"/>
    <w:rsid w:val="00E96B92"/>
    <w:rsid w:val="00EA694E"/>
    <w:rsid w:val="00EB78BD"/>
    <w:rsid w:val="00EC1E1B"/>
    <w:rsid w:val="00EC23BA"/>
    <w:rsid w:val="00EC3082"/>
    <w:rsid w:val="00ED18DC"/>
    <w:rsid w:val="00ED2FB9"/>
    <w:rsid w:val="00ED6201"/>
    <w:rsid w:val="00ED7A2A"/>
    <w:rsid w:val="00EE13BA"/>
    <w:rsid w:val="00EE4EC8"/>
    <w:rsid w:val="00EE5871"/>
    <w:rsid w:val="00EF1D7F"/>
    <w:rsid w:val="00EF6BB4"/>
    <w:rsid w:val="00EF7411"/>
    <w:rsid w:val="00F0137E"/>
    <w:rsid w:val="00F14D07"/>
    <w:rsid w:val="00F15BD4"/>
    <w:rsid w:val="00F167AB"/>
    <w:rsid w:val="00F21248"/>
    <w:rsid w:val="00F21435"/>
    <w:rsid w:val="00F21786"/>
    <w:rsid w:val="00F227D2"/>
    <w:rsid w:val="00F3742B"/>
    <w:rsid w:val="00F407BE"/>
    <w:rsid w:val="00F41FDB"/>
    <w:rsid w:val="00F434C2"/>
    <w:rsid w:val="00F46198"/>
    <w:rsid w:val="00F47CA3"/>
    <w:rsid w:val="00F56D63"/>
    <w:rsid w:val="00F609A9"/>
    <w:rsid w:val="00F6723E"/>
    <w:rsid w:val="00F8007F"/>
    <w:rsid w:val="00F80C99"/>
    <w:rsid w:val="00F867EC"/>
    <w:rsid w:val="00F87A34"/>
    <w:rsid w:val="00F91B2B"/>
    <w:rsid w:val="00F937CA"/>
    <w:rsid w:val="00FA747B"/>
    <w:rsid w:val="00FB6EF1"/>
    <w:rsid w:val="00FC03CD"/>
    <w:rsid w:val="00FC0646"/>
    <w:rsid w:val="00FC0E02"/>
    <w:rsid w:val="00FC2134"/>
    <w:rsid w:val="00FC59F5"/>
    <w:rsid w:val="00FC68B7"/>
    <w:rsid w:val="00FD5483"/>
    <w:rsid w:val="00FE0591"/>
    <w:rsid w:val="00FE6985"/>
    <w:rsid w:val="00FE6EFD"/>
    <w:rsid w:val="00FF3144"/>
    <w:rsid w:val="00FF3DF2"/>
    <w:rsid w:val="0183CB08"/>
    <w:rsid w:val="01F6133A"/>
    <w:rsid w:val="02AE2B16"/>
    <w:rsid w:val="02EE611F"/>
    <w:rsid w:val="03FE860B"/>
    <w:rsid w:val="045C0F49"/>
    <w:rsid w:val="054D50CB"/>
    <w:rsid w:val="060560B0"/>
    <w:rsid w:val="0644D264"/>
    <w:rsid w:val="0652CCDB"/>
    <w:rsid w:val="066F7206"/>
    <w:rsid w:val="06FB2679"/>
    <w:rsid w:val="071846E5"/>
    <w:rsid w:val="072487FB"/>
    <w:rsid w:val="0734FE1C"/>
    <w:rsid w:val="07980D5F"/>
    <w:rsid w:val="07A9BF7F"/>
    <w:rsid w:val="07CBB376"/>
    <w:rsid w:val="07E5296A"/>
    <w:rsid w:val="08099F46"/>
    <w:rsid w:val="087E4CBD"/>
    <w:rsid w:val="0920306D"/>
    <w:rsid w:val="09301516"/>
    <w:rsid w:val="093EC9A6"/>
    <w:rsid w:val="094AA162"/>
    <w:rsid w:val="0997771B"/>
    <w:rsid w:val="09BD30EE"/>
    <w:rsid w:val="09CA2C26"/>
    <w:rsid w:val="0AF3D5C8"/>
    <w:rsid w:val="0B43C7B0"/>
    <w:rsid w:val="0B74CE6E"/>
    <w:rsid w:val="0B970922"/>
    <w:rsid w:val="0C33983E"/>
    <w:rsid w:val="0C5777E7"/>
    <w:rsid w:val="0D480752"/>
    <w:rsid w:val="0ED08C3A"/>
    <w:rsid w:val="0EE6DD23"/>
    <w:rsid w:val="0EF75A3F"/>
    <w:rsid w:val="0F2F8EA4"/>
    <w:rsid w:val="0F3633A3"/>
    <w:rsid w:val="0F893FC2"/>
    <w:rsid w:val="0F9E0714"/>
    <w:rsid w:val="103BE015"/>
    <w:rsid w:val="1064CC58"/>
    <w:rsid w:val="1091A0E0"/>
    <w:rsid w:val="1138DB56"/>
    <w:rsid w:val="11796D64"/>
    <w:rsid w:val="11D7B076"/>
    <w:rsid w:val="124C6939"/>
    <w:rsid w:val="126943E0"/>
    <w:rsid w:val="12C712B3"/>
    <w:rsid w:val="1310C223"/>
    <w:rsid w:val="13516606"/>
    <w:rsid w:val="13C6137D"/>
    <w:rsid w:val="13DEFDA4"/>
    <w:rsid w:val="142600D6"/>
    <w:rsid w:val="1540E7B7"/>
    <w:rsid w:val="15A309F9"/>
    <w:rsid w:val="15E1D9B0"/>
    <w:rsid w:val="162D930A"/>
    <w:rsid w:val="16461B8A"/>
    <w:rsid w:val="16ECA058"/>
    <w:rsid w:val="17A81CDA"/>
    <w:rsid w:val="17E070A4"/>
    <w:rsid w:val="1810F478"/>
    <w:rsid w:val="185B6260"/>
    <w:rsid w:val="1944E95A"/>
    <w:rsid w:val="198B0A19"/>
    <w:rsid w:val="19985365"/>
    <w:rsid w:val="19DCA469"/>
    <w:rsid w:val="1A87068B"/>
    <w:rsid w:val="1AE9621D"/>
    <w:rsid w:val="1B078C74"/>
    <w:rsid w:val="1B6D57E5"/>
    <w:rsid w:val="1D656094"/>
    <w:rsid w:val="1D76344D"/>
    <w:rsid w:val="1DEFB2EC"/>
    <w:rsid w:val="1E4375DC"/>
    <w:rsid w:val="1EBFA806"/>
    <w:rsid w:val="1F09B084"/>
    <w:rsid w:val="1F0CC6A3"/>
    <w:rsid w:val="1F2F6670"/>
    <w:rsid w:val="1FB42ADE"/>
    <w:rsid w:val="212BD7F5"/>
    <w:rsid w:val="21C0004C"/>
    <w:rsid w:val="2200AFBC"/>
    <w:rsid w:val="2284E1DE"/>
    <w:rsid w:val="22E257A0"/>
    <w:rsid w:val="22F6DAF2"/>
    <w:rsid w:val="232CB37E"/>
    <w:rsid w:val="239A53B4"/>
    <w:rsid w:val="23F9D673"/>
    <w:rsid w:val="2495465D"/>
    <w:rsid w:val="257E8F7C"/>
    <w:rsid w:val="260D3930"/>
    <w:rsid w:val="262230D9"/>
    <w:rsid w:val="2664356C"/>
    <w:rsid w:val="267FC362"/>
    <w:rsid w:val="276C64FC"/>
    <w:rsid w:val="279BDFF9"/>
    <w:rsid w:val="282BCC70"/>
    <w:rsid w:val="2897EF71"/>
    <w:rsid w:val="289F8F38"/>
    <w:rsid w:val="29008C9F"/>
    <w:rsid w:val="29145B33"/>
    <w:rsid w:val="291670AC"/>
    <w:rsid w:val="2962FAAA"/>
    <w:rsid w:val="298D7C45"/>
    <w:rsid w:val="299BC900"/>
    <w:rsid w:val="299BD62E"/>
    <w:rsid w:val="2A983766"/>
    <w:rsid w:val="2AE5F203"/>
    <w:rsid w:val="2B5D19B6"/>
    <w:rsid w:val="2BB6C23C"/>
    <w:rsid w:val="2BD07BFC"/>
    <w:rsid w:val="2BF15517"/>
    <w:rsid w:val="2C2D63AE"/>
    <w:rsid w:val="2C9F5DE5"/>
    <w:rsid w:val="2CA4AE4D"/>
    <w:rsid w:val="2CA9594B"/>
    <w:rsid w:val="2CC7E404"/>
    <w:rsid w:val="2D027A97"/>
    <w:rsid w:val="2D625C01"/>
    <w:rsid w:val="2D6F994D"/>
    <w:rsid w:val="2E6CF7D9"/>
    <w:rsid w:val="2E881477"/>
    <w:rsid w:val="2EB7E8A3"/>
    <w:rsid w:val="2F44B56C"/>
    <w:rsid w:val="2F45645E"/>
    <w:rsid w:val="2F7776E1"/>
    <w:rsid w:val="2FE99335"/>
    <w:rsid w:val="2FE9D308"/>
    <w:rsid w:val="307D2BBE"/>
    <w:rsid w:val="316E0C8F"/>
    <w:rsid w:val="31A7AFE5"/>
    <w:rsid w:val="31AD4EB9"/>
    <w:rsid w:val="32A2151C"/>
    <w:rsid w:val="32CD57C9"/>
    <w:rsid w:val="3309DCF0"/>
    <w:rsid w:val="354E259B"/>
    <w:rsid w:val="359F5782"/>
    <w:rsid w:val="3604F88B"/>
    <w:rsid w:val="36576242"/>
    <w:rsid w:val="3691F75D"/>
    <w:rsid w:val="36F3A8F1"/>
    <w:rsid w:val="376C41BB"/>
    <w:rsid w:val="37D26E62"/>
    <w:rsid w:val="37D91F06"/>
    <w:rsid w:val="37E90F6F"/>
    <w:rsid w:val="385647F3"/>
    <w:rsid w:val="38BF0740"/>
    <w:rsid w:val="38F9E80C"/>
    <w:rsid w:val="3974EF67"/>
    <w:rsid w:val="39D2A8FC"/>
    <w:rsid w:val="39E52AFE"/>
    <w:rsid w:val="39F34744"/>
    <w:rsid w:val="3A763B9A"/>
    <w:rsid w:val="3B4D6F22"/>
    <w:rsid w:val="3BF54641"/>
    <w:rsid w:val="3BF570A9"/>
    <w:rsid w:val="3C2283B6"/>
    <w:rsid w:val="3C743A0F"/>
    <w:rsid w:val="3D0E9391"/>
    <w:rsid w:val="3D2FB8F6"/>
    <w:rsid w:val="3D5597AF"/>
    <w:rsid w:val="3D639C4C"/>
    <w:rsid w:val="3E581A2C"/>
    <w:rsid w:val="3E772F39"/>
    <w:rsid w:val="3E917719"/>
    <w:rsid w:val="3EE58D3D"/>
    <w:rsid w:val="3F8016D7"/>
    <w:rsid w:val="3FC5B217"/>
    <w:rsid w:val="4057E817"/>
    <w:rsid w:val="40AA8D0D"/>
    <w:rsid w:val="40F5214A"/>
    <w:rsid w:val="411C88E3"/>
    <w:rsid w:val="422420BD"/>
    <w:rsid w:val="425DCED0"/>
    <w:rsid w:val="42AF05E7"/>
    <w:rsid w:val="42DD1262"/>
    <w:rsid w:val="43549B23"/>
    <w:rsid w:val="43AB7A8C"/>
    <w:rsid w:val="43C73938"/>
    <w:rsid w:val="43D5C4CB"/>
    <w:rsid w:val="44561A35"/>
    <w:rsid w:val="445665C1"/>
    <w:rsid w:val="447F4BF4"/>
    <w:rsid w:val="448F0202"/>
    <w:rsid w:val="44E770FC"/>
    <w:rsid w:val="45FE064A"/>
    <w:rsid w:val="461B1C55"/>
    <w:rsid w:val="462309DB"/>
    <w:rsid w:val="46D776C5"/>
    <w:rsid w:val="478248DA"/>
    <w:rsid w:val="48655413"/>
    <w:rsid w:val="48CE0C73"/>
    <w:rsid w:val="4A483035"/>
    <w:rsid w:val="4A9AA367"/>
    <w:rsid w:val="4AD7BF92"/>
    <w:rsid w:val="4BABFA05"/>
    <w:rsid w:val="4C00066D"/>
    <w:rsid w:val="4C024722"/>
    <w:rsid w:val="4C1AEFB1"/>
    <w:rsid w:val="4C924B5F"/>
    <w:rsid w:val="4CB0951D"/>
    <w:rsid w:val="4CCE99BF"/>
    <w:rsid w:val="4D3BE2E4"/>
    <w:rsid w:val="4DC6CF4A"/>
    <w:rsid w:val="4E0257C6"/>
    <w:rsid w:val="4E373BBD"/>
    <w:rsid w:val="4EE39AC7"/>
    <w:rsid w:val="4F2B57C9"/>
    <w:rsid w:val="4F34477F"/>
    <w:rsid w:val="4F6A3C0C"/>
    <w:rsid w:val="4F9C4CFC"/>
    <w:rsid w:val="4F9E2827"/>
    <w:rsid w:val="4FC9AE69"/>
    <w:rsid w:val="502BA708"/>
    <w:rsid w:val="517E3BCB"/>
    <w:rsid w:val="518BFB6E"/>
    <w:rsid w:val="51A523CB"/>
    <w:rsid w:val="53018CE3"/>
    <w:rsid w:val="5327CBCF"/>
    <w:rsid w:val="5340DF0F"/>
    <w:rsid w:val="53449CD4"/>
    <w:rsid w:val="53999C9E"/>
    <w:rsid w:val="53CDCEB5"/>
    <w:rsid w:val="540C900D"/>
    <w:rsid w:val="541E93DE"/>
    <w:rsid w:val="54B8BB75"/>
    <w:rsid w:val="54C39C30"/>
    <w:rsid w:val="55A2AE3A"/>
    <w:rsid w:val="5675E976"/>
    <w:rsid w:val="569F564F"/>
    <w:rsid w:val="58915876"/>
    <w:rsid w:val="58E7DD24"/>
    <w:rsid w:val="59970D53"/>
    <w:rsid w:val="59A77573"/>
    <w:rsid w:val="59BECAD3"/>
    <w:rsid w:val="5A26E513"/>
    <w:rsid w:val="5A2D28D7"/>
    <w:rsid w:val="5A72999D"/>
    <w:rsid w:val="5BD325D5"/>
    <w:rsid w:val="5BE6DB9B"/>
    <w:rsid w:val="5C1B3462"/>
    <w:rsid w:val="5C2244E3"/>
    <w:rsid w:val="5C983DEB"/>
    <w:rsid w:val="5CD3A418"/>
    <w:rsid w:val="5CD9D667"/>
    <w:rsid w:val="5CF56F76"/>
    <w:rsid w:val="5CF66B95"/>
    <w:rsid w:val="5DA7041A"/>
    <w:rsid w:val="5DAD8520"/>
    <w:rsid w:val="5E1937D7"/>
    <w:rsid w:val="5E9B8A15"/>
    <w:rsid w:val="5EBE122F"/>
    <w:rsid w:val="5F35028D"/>
    <w:rsid w:val="5F6E3725"/>
    <w:rsid w:val="5FD45927"/>
    <w:rsid w:val="60155518"/>
    <w:rsid w:val="607F8272"/>
    <w:rsid w:val="60F3FB6B"/>
    <w:rsid w:val="611665AF"/>
    <w:rsid w:val="621DBC31"/>
    <w:rsid w:val="6234A1D8"/>
    <w:rsid w:val="633DEF99"/>
    <w:rsid w:val="635AD5A1"/>
    <w:rsid w:val="63B573BF"/>
    <w:rsid w:val="64965796"/>
    <w:rsid w:val="650632D1"/>
    <w:rsid w:val="656257AA"/>
    <w:rsid w:val="65E374E1"/>
    <w:rsid w:val="6627D672"/>
    <w:rsid w:val="66B3C580"/>
    <w:rsid w:val="66E4906F"/>
    <w:rsid w:val="66F63770"/>
    <w:rsid w:val="6729EC05"/>
    <w:rsid w:val="67912835"/>
    <w:rsid w:val="67B4E368"/>
    <w:rsid w:val="68D21BE2"/>
    <w:rsid w:val="68D6A180"/>
    <w:rsid w:val="69156E60"/>
    <w:rsid w:val="693CF7BD"/>
    <w:rsid w:val="694D2BA1"/>
    <w:rsid w:val="699EAB33"/>
    <w:rsid w:val="69E343FF"/>
    <w:rsid w:val="6A35C8CD"/>
    <w:rsid w:val="6B25B85D"/>
    <w:rsid w:val="6B29047C"/>
    <w:rsid w:val="6BB870D1"/>
    <w:rsid w:val="6BEFB8BE"/>
    <w:rsid w:val="6C3C818A"/>
    <w:rsid w:val="6D147CE5"/>
    <w:rsid w:val="6D2DC434"/>
    <w:rsid w:val="6D544132"/>
    <w:rsid w:val="6DD71BCB"/>
    <w:rsid w:val="6DEC3B4A"/>
    <w:rsid w:val="6DECE1D4"/>
    <w:rsid w:val="6E93AD94"/>
    <w:rsid w:val="6E9C7668"/>
    <w:rsid w:val="6EC84B7F"/>
    <w:rsid w:val="6ED097B8"/>
    <w:rsid w:val="6EDE0A29"/>
    <w:rsid w:val="6EE4C924"/>
    <w:rsid w:val="6EF9FC83"/>
    <w:rsid w:val="6F746533"/>
    <w:rsid w:val="6F810F75"/>
    <w:rsid w:val="6F81FE37"/>
    <w:rsid w:val="6FB77F8F"/>
    <w:rsid w:val="6FD5C609"/>
    <w:rsid w:val="6FF4ABBD"/>
    <w:rsid w:val="70AA6C52"/>
    <w:rsid w:val="70D0CE4B"/>
    <w:rsid w:val="70DE3FE4"/>
    <w:rsid w:val="70F70D37"/>
    <w:rsid w:val="71A2B4DB"/>
    <w:rsid w:val="71D35F99"/>
    <w:rsid w:val="729BBCD2"/>
    <w:rsid w:val="72A3D89E"/>
    <w:rsid w:val="73001000"/>
    <w:rsid w:val="7317727B"/>
    <w:rsid w:val="7371B4A3"/>
    <w:rsid w:val="73783089"/>
    <w:rsid w:val="73FBD8D0"/>
    <w:rsid w:val="74183672"/>
    <w:rsid w:val="7433B4B7"/>
    <w:rsid w:val="74C72D66"/>
    <w:rsid w:val="7506666D"/>
    <w:rsid w:val="750D8504"/>
    <w:rsid w:val="7631B07F"/>
    <w:rsid w:val="76FB2378"/>
    <w:rsid w:val="77AE56AD"/>
    <w:rsid w:val="79021F1C"/>
    <w:rsid w:val="7904D70B"/>
    <w:rsid w:val="79273918"/>
    <w:rsid w:val="7A77B091"/>
    <w:rsid w:val="7A824A61"/>
    <w:rsid w:val="7AEDD4DB"/>
    <w:rsid w:val="7CCFD24A"/>
    <w:rsid w:val="7D0743E5"/>
    <w:rsid w:val="7D0B3877"/>
    <w:rsid w:val="7D2671A2"/>
    <w:rsid w:val="7D4B0BE4"/>
    <w:rsid w:val="7E39DDD9"/>
    <w:rsid w:val="7E449053"/>
    <w:rsid w:val="7F69D5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C5E6D07E-FD62-43BF-908D-3F0A42AF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0"/>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1"/>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22"/>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316820"/>
    <w:rPr>
      <w:lang w:val="en-GB"/>
    </w:rPr>
  </w:style>
  <w:style w:type="character" w:customStyle="1" w:styleId="H1GChar">
    <w:name w:val="_ H_1_G Char"/>
    <w:link w:val="H1G"/>
    <w:rsid w:val="00316820"/>
    <w:rPr>
      <w:b/>
      <w:sz w:val="24"/>
      <w:lang w:val="en-GB"/>
    </w:rPr>
  </w:style>
  <w:style w:type="character" w:customStyle="1" w:styleId="FootnoteTextChar">
    <w:name w:val="Footnote Text Char"/>
    <w:aliases w:val="5_G Char,5_GR Char,Footnote Creating Char"/>
    <w:link w:val="FootnoteText"/>
    <w:uiPriority w:val="99"/>
    <w:rsid w:val="00316820"/>
    <w:rPr>
      <w:sz w:val="18"/>
      <w:lang w:val="en-GB"/>
    </w:rPr>
  </w:style>
  <w:style w:type="character" w:styleId="CommentReference">
    <w:name w:val="annotation reference"/>
    <w:basedOn w:val="DefaultParagraphFont"/>
    <w:semiHidden/>
    <w:unhideWhenUsed/>
    <w:rsid w:val="0067503E"/>
    <w:rPr>
      <w:sz w:val="16"/>
      <w:szCs w:val="16"/>
    </w:rPr>
  </w:style>
  <w:style w:type="paragraph" w:styleId="CommentText">
    <w:name w:val="annotation text"/>
    <w:basedOn w:val="Normal"/>
    <w:link w:val="CommentTextChar"/>
    <w:unhideWhenUsed/>
    <w:rsid w:val="0067503E"/>
    <w:pPr>
      <w:spacing w:line="240" w:lineRule="auto"/>
    </w:pPr>
  </w:style>
  <w:style w:type="character" w:customStyle="1" w:styleId="CommentTextChar">
    <w:name w:val="Comment Text Char"/>
    <w:basedOn w:val="DefaultParagraphFont"/>
    <w:link w:val="CommentText"/>
    <w:rsid w:val="0067503E"/>
    <w:rPr>
      <w:lang w:val="en-GB"/>
    </w:rPr>
  </w:style>
  <w:style w:type="paragraph" w:styleId="CommentSubject">
    <w:name w:val="annotation subject"/>
    <w:basedOn w:val="CommentText"/>
    <w:next w:val="CommentText"/>
    <w:link w:val="CommentSubjectChar"/>
    <w:semiHidden/>
    <w:unhideWhenUsed/>
    <w:rsid w:val="0067503E"/>
    <w:rPr>
      <w:b/>
      <w:bCs/>
    </w:rPr>
  </w:style>
  <w:style w:type="character" w:customStyle="1" w:styleId="CommentSubjectChar">
    <w:name w:val="Comment Subject Char"/>
    <w:basedOn w:val="CommentTextChar"/>
    <w:link w:val="CommentSubject"/>
    <w:semiHidden/>
    <w:rsid w:val="0067503E"/>
    <w:rPr>
      <w:b/>
      <w:bCs/>
      <w:lang w:val="en-GB"/>
    </w:rPr>
  </w:style>
  <w:style w:type="paragraph" w:styleId="Revision">
    <w:name w:val="Revision"/>
    <w:hidden/>
    <w:uiPriority w:val="99"/>
    <w:semiHidden/>
    <w:rsid w:val="00C206D6"/>
    <w:rPr>
      <w:lang w:val="en-GB"/>
    </w:rPr>
  </w:style>
  <w:style w:type="paragraph" w:styleId="ListParagraph">
    <w:name w:val="List Paragraph"/>
    <w:basedOn w:val="Normal"/>
    <w:uiPriority w:val="34"/>
    <w:semiHidden/>
    <w:qFormat/>
    <w:rsid w:val="00A56204"/>
    <w:pPr>
      <w:ind w:left="720"/>
      <w:contextualSpacing/>
    </w:pPr>
  </w:style>
  <w:style w:type="character" w:styleId="UnresolvedMention">
    <w:name w:val="Unresolved Mention"/>
    <w:basedOn w:val="DefaultParagraphFont"/>
    <w:uiPriority w:val="99"/>
    <w:semiHidden/>
    <w:unhideWhenUsed/>
    <w:rsid w:val="00EC1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4349">
      <w:bodyDiv w:val="1"/>
      <w:marLeft w:val="0"/>
      <w:marRight w:val="0"/>
      <w:marTop w:val="0"/>
      <w:marBottom w:val="0"/>
      <w:divBdr>
        <w:top w:val="none" w:sz="0" w:space="0" w:color="auto"/>
        <w:left w:val="none" w:sz="0" w:space="0" w:color="auto"/>
        <w:bottom w:val="none" w:sz="0" w:space="0" w:color="auto"/>
        <w:right w:val="none" w:sz="0" w:space="0" w:color="auto"/>
      </w:divBdr>
    </w:div>
    <w:div w:id="20513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itf-oecd.org/itf-transport-outlook-2023" TargetMode="External"/><Relationship Id="rId18" Type="http://schemas.openxmlformats.org/officeDocument/2006/relationships/hyperlink" Target="https://unhabitat.org/sites/default/files/2022/07/executive_summary.pdf" TargetMode="External"/><Relationship Id="rId26" Type="http://schemas.openxmlformats.org/officeDocument/2006/relationships/hyperlink" Target="https://unhabitat.org/sites/default/files/2022/07/walking_and_cycling_in_africa.pdf" TargetMode="External"/><Relationship Id="rId39" Type="http://schemas.openxmlformats.org/officeDocument/2006/relationships/hyperlink" Target="https://www.eltis.org/in-brief/news/european-commission-releases-new-urban-mobility-framework" TargetMode="External"/><Relationship Id="rId21" Type="http://schemas.openxmlformats.org/officeDocument/2006/relationships/hyperlink" Target="https://unhabitat.org/sites/default/files/2022/07/executive_summary.pdf" TargetMode="External"/><Relationship Id="rId34" Type="http://schemas.openxmlformats.org/officeDocument/2006/relationships/hyperlink" Target="https://ec.europa.eu/eurostat/web/products-eurostat-news/-/ddn-20220202-2" TargetMode="External"/><Relationship Id="rId42" Type="http://schemas.openxmlformats.org/officeDocument/2006/relationships/hyperlink" Target="https://urbanaccessregulations.eu/" TargetMode="External"/><Relationship Id="rId47" Type="http://schemas.openxmlformats.org/officeDocument/2006/relationships/hyperlink" Target="http://dx.doi.org/10.18235/0002831" TargetMode="External"/><Relationship Id="rId50" Type="http://schemas.openxmlformats.org/officeDocument/2006/relationships/hyperlink" Target="https://www.census.gov/newsroom/press-releases/2022/people-working-from-home.html" TargetMode="External"/><Relationship Id="rId55" Type="http://schemas.openxmlformats.org/officeDocument/2006/relationships/hyperlink" Target="https://energyinnovation.org/wp-content/uploads/2022/08/Updated-Inflation-Reduction-Act-Modeling-Using-the-Energy-Policy-Simulator.pdf" TargetMode="External"/><Relationship Id="rId7" Type="http://schemas.openxmlformats.org/officeDocument/2006/relationships/hyperlink" Target="https://its.berkeley.edu/news/proximity-planning-local-strategy-global-problems-or-global-strategy-local-problems" TargetMode="External"/><Relationship Id="rId12" Type="http://schemas.openxmlformats.org/officeDocument/2006/relationships/hyperlink" Target="https://www.iea.org/reports/trucks-and-buses" TargetMode="External"/><Relationship Id="rId17" Type="http://schemas.openxmlformats.org/officeDocument/2006/relationships/hyperlink" Target="https://www.google.com/covid19/mobility" TargetMode="External"/><Relationship Id="rId25" Type="http://schemas.openxmlformats.org/officeDocument/2006/relationships/hyperlink" Target="https://www.routledge.com/Paratransit-in-African-Cities-Operations-Regulation-and-Reform/Behrens-McCormick-Mfinanga/p/book/9780415870337" TargetMode="External"/><Relationship Id="rId33" Type="http://schemas.openxmlformats.org/officeDocument/2006/relationships/hyperlink" Target="https://www.iea.org/reports/global-ev-outlook-2023" TargetMode="External"/><Relationship Id="rId38" Type="http://schemas.openxmlformats.org/officeDocument/2006/relationships/hyperlink" Target="https://sumps-up.eu/fileadmin/user_upload/Tools_and_Resources/Reports/SUMPs-Up___PROSPERITY-SUMP-Status-in-EU-Report.pdf" TargetMode="External"/><Relationship Id="rId46" Type="http://schemas.openxmlformats.org/officeDocument/2006/relationships/hyperlink" Target="http://dx.doi.org/10.18235/0002831" TargetMode="External"/><Relationship Id="rId59" Type="http://schemas.openxmlformats.org/officeDocument/2006/relationships/hyperlink" Target="https://www.dcceew.gov.au/energy/publications/australias-national-hydrogen-strategy" TargetMode="External"/><Relationship Id="rId2" Type="http://schemas.openxmlformats.org/officeDocument/2006/relationships/hyperlink" Target="https://unfccc.int/sites/default/files/NDC/2022-06/NDC%20%20per%20cent20actualizada%20%20per%20cent20de%20%20per%20cent20Colombia.pdf" TargetMode="External"/><Relationship Id="rId16" Type="http://schemas.openxmlformats.org/officeDocument/2006/relationships/hyperlink" Target="https://doi.org/10.1016/S1473-3099(20)30120-1" TargetMode="External"/><Relationship Id="rId20" Type="http://schemas.openxmlformats.org/officeDocument/2006/relationships/hyperlink" Target="https://unhabitat.org/sites/default/files/2022/07/executive_summary.pdf" TargetMode="External"/><Relationship Id="rId29" Type="http://schemas.openxmlformats.org/officeDocument/2006/relationships/hyperlink" Target="https://blogs.worldbank.org/transport/improving-viability-bus-rapid-transit-systems-nine-factors-sub-saharan-africa" TargetMode="External"/><Relationship Id="rId41" Type="http://schemas.openxmlformats.org/officeDocument/2006/relationships/hyperlink" Target="https://urbanaccessregulations.eu/" TargetMode="External"/><Relationship Id="rId54" Type="http://schemas.openxmlformats.org/officeDocument/2006/relationships/hyperlink" Target="https://www.urban.org/urban-wire/what-inflation-reduction-act-did-and-didnt-do-sustainable-transportation" TargetMode="External"/><Relationship Id="rId1" Type="http://schemas.openxmlformats.org/officeDocument/2006/relationships/hyperlink" Target="https://unfccc.int/sites/default/files/NDC/2022-06/EU_NDC_Submission_December%20%20per%20cent202020.pdf" TargetMode="External"/><Relationship Id="rId6" Type="http://schemas.openxmlformats.org/officeDocument/2006/relationships/hyperlink" Target="https://www.mobiliseyourcity.net/global-monitor-2023" TargetMode="External"/><Relationship Id="rId11" Type="http://schemas.openxmlformats.org/officeDocument/2006/relationships/hyperlink" Target="http://www.tcc-gsr.com" TargetMode="External"/><Relationship Id="rId24" Type="http://schemas.openxmlformats.org/officeDocument/2006/relationships/hyperlink" Target="https://www.routledge.com/Paratransit-in-African-Cities-Operations-Regulation-and-Reform/Behrens-McCormick-Mfinanga/p/book/9780415870337" TargetMode="External"/><Relationship Id="rId32" Type="http://schemas.openxmlformats.org/officeDocument/2006/relationships/hyperlink" Target="https://www.iea.org/reports/global-ev-outlook-2023" TargetMode="External"/><Relationship Id="rId37" Type="http://schemas.openxmlformats.org/officeDocument/2006/relationships/hyperlink" Target="https://sumps-up.eu/fileadmin/user_upload/Tools_and_Resources/Reports/SUMPs-Up___PROSPERITY-SUMP-Status-in-EU-Report.pdf" TargetMode="External"/><Relationship Id="rId40" Type="http://schemas.openxmlformats.org/officeDocument/2006/relationships/hyperlink" Target="https://www.eltis.org/in-brief/news/european-commission-releases-new-urban-mobility-framework" TargetMode="External"/><Relationship Id="rId45" Type="http://schemas.openxmlformats.org/officeDocument/2006/relationships/hyperlink" Target="https://data.unhabitat.org/pages/urban-transport" TargetMode="External"/><Relationship Id="rId53" Type="http://schemas.openxmlformats.org/officeDocument/2006/relationships/hyperlink" Target="https://bipartisanpolicy.org/blog/inflation-reduction-act-summary-energy-climate-provisions" TargetMode="External"/><Relationship Id="rId58" Type="http://schemas.openxmlformats.org/officeDocument/2006/relationships/hyperlink" Target="https://www.dcceew.gov.au/energy/publications/australias-national-hydrogen-strategy" TargetMode="External"/><Relationship Id="rId5" Type="http://schemas.openxmlformats.org/officeDocument/2006/relationships/hyperlink" Target="https://www.gov.br/mdr/pt-br/assuntos/mobilidade-e-servicos-urbanos/planejamento-da-mobilidade-urbana/levantamento-sobre-a-situacao-dos-planos-de-mobilidade-urbana" TargetMode="External"/><Relationship Id="rId15" Type="http://schemas.openxmlformats.org/officeDocument/2006/relationships/hyperlink" Target="https://www.iea.org/reports/global-ev-outlook-2022" TargetMode="External"/><Relationship Id="rId23" Type="http://schemas.openxmlformats.org/officeDocument/2006/relationships/hyperlink" Target="https://data.unhabitat.org/datasets/GUO-UN-Habitat::11-2-1-percentage-access-to-public-transport/about" TargetMode="External"/><Relationship Id="rId28" Type="http://schemas.openxmlformats.org/officeDocument/2006/relationships/hyperlink" Target="https://blogs.worldbank.org/transport/improving-viability-bus-rapid-transit-systems-nine-factors-sub-saharan-africa" TargetMode="External"/><Relationship Id="rId36" Type="http://schemas.openxmlformats.org/officeDocument/2006/relationships/hyperlink" Target="https://www.ren21.net/wp-content/uploads/2019/05/GSR2023_Demand_Modules.pdf" TargetMode="External"/><Relationship Id="rId49" Type="http://schemas.openxmlformats.org/officeDocument/2006/relationships/hyperlink" Target="https://www.census.gov/newsroom/press-releases/2022/people-working-from-home.html" TargetMode="External"/><Relationship Id="rId57" Type="http://schemas.openxmlformats.org/officeDocument/2006/relationships/hyperlink" Target="https://www.lanzajet.com/sustainable-aviation-fuel-readies-to-take-flight-in-australia" TargetMode="External"/><Relationship Id="rId10" Type="http://schemas.openxmlformats.org/officeDocument/2006/relationships/hyperlink" Target="https://doi.org/10.3389/frsc.2022.805125" TargetMode="External"/><Relationship Id="rId19" Type="http://schemas.openxmlformats.org/officeDocument/2006/relationships/hyperlink" Target="https://unhabitat.org/sites/default/files/2022/07/executive_summary.pdf" TargetMode="External"/><Relationship Id="rId31" Type="http://schemas.openxmlformats.org/officeDocument/2006/relationships/hyperlink" Target="https://ec.europa.eu/eurostat/statistics-explained/index.php?title=Passenger_cars_in_the_EU" TargetMode="External"/><Relationship Id="rId44" Type="http://schemas.openxmlformats.org/officeDocument/2006/relationships/hyperlink" Target="https://data.unhabitat.org/pages/urban-transport" TargetMode="External"/><Relationship Id="rId52" Type="http://schemas.openxmlformats.org/officeDocument/2006/relationships/hyperlink" Target="https://www.iea.org/reports/by-2030-evs-represent-more-than-60-of-vehicles-sold-globally-and-require-an-adequate-surge-in-chargers-installed-in-buildings" TargetMode="External"/><Relationship Id="rId4" Type="http://schemas.openxmlformats.org/officeDocument/2006/relationships/hyperlink" Target="https://hlpf.un.org/sites/default/files/vnrs/2023/VNR%20%20per%20cent202023%20%20per%20cent20Croatia%20%20per%20cent20Report_0.pdf" TargetMode="External"/><Relationship Id="rId9" Type="http://schemas.openxmlformats.org/officeDocument/2006/relationships/hyperlink" Target="https://ecf.com/dashboard" TargetMode="External"/><Relationship Id="rId14" Type="http://schemas.openxmlformats.org/officeDocument/2006/relationships/hyperlink" Target="https://www.iea.org/reports/global-fuel-economy-initiative-2021/executive-summary" TargetMode="External"/><Relationship Id="rId22" Type="http://schemas.openxmlformats.org/officeDocument/2006/relationships/hyperlink" Target="https://data.unhabitat.org/datasets/GUO-UN-Habitat::11-2-1-percentage-access-to-public-transport/about" TargetMode="External"/><Relationship Id="rId27" Type="http://schemas.openxmlformats.org/officeDocument/2006/relationships/hyperlink" Target="https://unhabitat.org/sites/default/files/2022/07/walking_and_cycling_in_africa.pdf" TargetMode="External"/><Relationship Id="rId30" Type="http://schemas.openxmlformats.org/officeDocument/2006/relationships/hyperlink" Target="https://ec.europa.eu/eurostat/statistics-explained/index.php?title=Passenger_cars_in_the_EU" TargetMode="External"/><Relationship Id="rId35" Type="http://schemas.openxmlformats.org/officeDocument/2006/relationships/hyperlink" Target="https://www.ren21.net/wp-content/uploads/2019/05/GSR2023_Demand_Modules.pdf" TargetMode="External"/><Relationship Id="rId43" Type="http://schemas.openxmlformats.org/officeDocument/2006/relationships/hyperlink" Target="https://eur02.safelinks.protection.outlook.com/?url=https%3A%2F%2Fdatawarehouse.worldroadstatistics.org%2F&amp;data=05%7C02%7Cfrancois.cuenot%40un.org%7C1a66337ef60547066a5408dbf5748f82%7C0f9e35db544f4f60bdcc5ea416e6dc70%7C0%7C0%7C638373653195337430%7CUnknown%7CTWFpbGZsb3d8eyJWIjoiMC4wLjAwMDAiLCJQIjoiV2luMzIiLCJBTiI6Ik1haWwiLCJXVCI6Mn0%3D%7C3000%7C%7C%7C&amp;sdata=eT%2B0ap3VtNOyNX9D40go%2B%2BYvDHl1DpAISVXENuGbPSY%3D&amp;reserved=0" TargetMode="External"/><Relationship Id="rId48" Type="http://schemas.openxmlformats.org/officeDocument/2006/relationships/hyperlink" Target="https://www.metropol.gov.co/Paginas/Noticias/primera-zona-urbana-de-aire-protegido-en-colombia.aspx" TargetMode="External"/><Relationship Id="rId56" Type="http://schemas.openxmlformats.org/officeDocument/2006/relationships/hyperlink" Target="https://www.lanzajet.com/sustainable-aviation-fuel-readies-to-take-flight-in-australia" TargetMode="External"/><Relationship Id="rId8" Type="http://schemas.openxmlformats.org/officeDocument/2006/relationships/hyperlink" Target="https://www.mcc-berlin.net/en/news/information/information-detail/article/corona-crisis-lesson-additional-bike-lanes-induce-large-increases-in-cycling.html" TargetMode="External"/><Relationship Id="rId51" Type="http://schemas.openxmlformats.org/officeDocument/2006/relationships/hyperlink" Target="https://www.iea.org/reports/by-2030-evs-represent-more-than-60-of-vehicles-sold-globally-and-require-an-adequate-surge-in-chargers-installed-in-buildings" TargetMode="External"/><Relationship Id="rId3" Type="http://schemas.openxmlformats.org/officeDocument/2006/relationships/hyperlink" Target="https://unfccc.int/sites/default/files/NDC/202206/United%20States%20NDC%20April%2021%202021%20Fin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Juhui Oh</DisplayName>
        <AccountId>1681</AccountId>
        <AccountType/>
      </UserInfo>
      <UserInfo>
        <DisplayName>Franziska Hirsch</DisplayName>
        <AccountId>1339</AccountId>
        <AccountType/>
      </UserInfo>
      <UserInfo>
        <DisplayName>Christine Seifert</DisplayName>
        <AccountId>941</AccountId>
        <AccountType/>
      </UserInfo>
      <UserInfo>
        <DisplayName>Francois Cuenot</DisplayName>
        <AccountId>59</AccountId>
        <AccountType/>
      </UserInfo>
      <UserInfo>
        <DisplayName>Romain Hubert</DisplayName>
        <AccountId>40</AccountId>
        <AccountType/>
      </UserInfo>
      <UserInfo>
        <DisplayName>Yuwei Li</DisplayName>
        <AccountId>42</AccountId>
        <AccountType/>
      </UserInfo>
      <UserInfo>
        <DisplayName>Walter Nissler</DisplayName>
        <AccountId>27</AccountId>
        <AccountType/>
      </UserInfo>
      <UserInfo>
        <DisplayName>Anastasia Barinova</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EA0AF-003C-4052-8A5E-87E834B409C1}">
  <ds:schemaRefs>
    <ds:schemaRef ds:uri="http://schemas.openxmlformats.org/officeDocument/2006/bibliography"/>
  </ds:schemaRefs>
</ds:datastoreItem>
</file>

<file path=customXml/itemProps2.xml><?xml version="1.0" encoding="utf-8"?>
<ds:datastoreItem xmlns:ds="http://schemas.openxmlformats.org/officeDocument/2006/customXml" ds:itemID="{31A93BC4-A4F7-461E-B73B-AF12C394F791}">
  <ds:schemaRefs>
    <ds:schemaRef ds:uri="http://schemas.microsoft.com/sharepoint/v3/contenttype/forms"/>
  </ds:schemaRefs>
</ds:datastoreItem>
</file>

<file path=customXml/itemProps3.xml><?xml version="1.0" encoding="utf-8"?>
<ds:datastoreItem xmlns:ds="http://schemas.openxmlformats.org/officeDocument/2006/customXml" ds:itemID="{2D253B3C-790D-434B-9E00-7DC6BED99ABC}">
  <ds:schemaRefs>
    <ds:schemaRef ds:uri="4b4a1c0d-4a69-4996-a84a-fc699b9f49de"/>
    <ds:schemaRef ds:uri="http://purl.org/dc/terms/"/>
    <ds:schemaRef ds:uri="http://purl.org/dc/dcmitype/"/>
    <ds:schemaRef ds:uri="acccb6d4-dbe5-46d2-b4d3-5733603d8cc6"/>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85ec44e-1bab-4c0b-9df0-6ba128686f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571A90-9DB5-4521-A408-634E5B1B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6835</Words>
  <Characters>38964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ECE/TRANS/2023/1</vt:lpstr>
    </vt:vector>
  </TitlesOfParts>
  <Company>CSD</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dc:title>
  <dc:subject>2227884</dc:subject>
  <dc:creator>ECE/TRANS/315/Add.1</dc:creator>
  <cp:keywords/>
  <dc:description/>
  <cp:lastModifiedBy>Anastasia Barinova</cp:lastModifiedBy>
  <cp:revision>3</cp:revision>
  <cp:lastPrinted>2023-12-11T11:17:00Z</cp:lastPrinted>
  <dcterms:created xsi:type="dcterms:W3CDTF">2023-12-27T07:35:00Z</dcterms:created>
  <dcterms:modified xsi:type="dcterms:W3CDTF">2023-12-27T07:35:00Z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