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98EC5BA" w14:textId="77777777" w:rsidTr="00C97039">
        <w:trPr>
          <w:trHeight w:hRule="exact" w:val="851"/>
        </w:trPr>
        <w:tc>
          <w:tcPr>
            <w:tcW w:w="1276" w:type="dxa"/>
            <w:tcBorders>
              <w:bottom w:val="single" w:sz="4" w:space="0" w:color="auto"/>
            </w:tcBorders>
          </w:tcPr>
          <w:p w14:paraId="20496478" w14:textId="77777777" w:rsidR="00F35BAF" w:rsidRPr="00DB58B5" w:rsidRDefault="00F35BAF" w:rsidP="00D86611"/>
        </w:tc>
        <w:tc>
          <w:tcPr>
            <w:tcW w:w="2268" w:type="dxa"/>
            <w:tcBorders>
              <w:bottom w:val="single" w:sz="4" w:space="0" w:color="auto"/>
            </w:tcBorders>
            <w:vAlign w:val="bottom"/>
          </w:tcPr>
          <w:p w14:paraId="3AA0216B" w14:textId="1DDE1FD2" w:rsidR="00F35BAF" w:rsidRPr="00DB58B5" w:rsidRDefault="00D86611" w:rsidP="00C97039">
            <w:pPr>
              <w:spacing w:after="80" w:line="300" w:lineRule="exact"/>
              <w:rPr>
                <w:sz w:val="28"/>
              </w:rPr>
            </w:pPr>
            <w:r>
              <w:rPr>
                <w:sz w:val="28"/>
              </w:rPr>
              <w:t>Nations Unies</w:t>
            </w:r>
          </w:p>
        </w:tc>
        <w:tc>
          <w:tcPr>
            <w:tcW w:w="6095" w:type="dxa"/>
            <w:gridSpan w:val="2"/>
            <w:tcBorders>
              <w:bottom w:val="single" w:sz="4" w:space="0" w:color="auto"/>
            </w:tcBorders>
            <w:vAlign w:val="bottom"/>
          </w:tcPr>
          <w:p w14:paraId="2C2EC6D6" w14:textId="7D32F8B2" w:rsidR="00F35BAF" w:rsidRPr="00DB58B5" w:rsidRDefault="00D86611" w:rsidP="00D86611">
            <w:pPr>
              <w:jc w:val="right"/>
            </w:pPr>
            <w:r w:rsidRPr="00D86611">
              <w:rPr>
                <w:sz w:val="40"/>
              </w:rPr>
              <w:t>ECE</w:t>
            </w:r>
            <w:r>
              <w:t>/TRANS/2024/</w:t>
            </w:r>
            <w:r w:rsidR="00664093">
              <w:t>5</w:t>
            </w:r>
          </w:p>
        </w:tc>
      </w:tr>
      <w:tr w:rsidR="00F35BAF" w:rsidRPr="00DB58B5" w14:paraId="101FF3A3" w14:textId="77777777" w:rsidTr="00C97039">
        <w:trPr>
          <w:trHeight w:hRule="exact" w:val="2835"/>
        </w:trPr>
        <w:tc>
          <w:tcPr>
            <w:tcW w:w="1276" w:type="dxa"/>
            <w:tcBorders>
              <w:top w:val="single" w:sz="4" w:space="0" w:color="auto"/>
              <w:bottom w:val="single" w:sz="12" w:space="0" w:color="auto"/>
            </w:tcBorders>
          </w:tcPr>
          <w:p w14:paraId="15443D13" w14:textId="77777777" w:rsidR="00F35BAF" w:rsidRPr="00DB58B5" w:rsidRDefault="00F35BAF" w:rsidP="00C97039">
            <w:pPr>
              <w:spacing w:before="120"/>
              <w:jc w:val="center"/>
            </w:pPr>
            <w:r>
              <w:rPr>
                <w:noProof/>
                <w:lang w:eastAsia="fr-CH"/>
              </w:rPr>
              <w:drawing>
                <wp:inline distT="0" distB="0" distL="0" distR="0" wp14:anchorId="06BB4A14" wp14:editId="5A15A36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E7C6D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6A518EF" w14:textId="77777777" w:rsidR="00F35BAF" w:rsidRDefault="00D86611" w:rsidP="00C97039">
            <w:pPr>
              <w:spacing w:before="240"/>
            </w:pPr>
            <w:r>
              <w:t>Distr. générale</w:t>
            </w:r>
          </w:p>
          <w:p w14:paraId="1EAEF288" w14:textId="77777777" w:rsidR="00D86611" w:rsidRDefault="00D86611" w:rsidP="00D86611">
            <w:pPr>
              <w:spacing w:line="240" w:lineRule="exact"/>
            </w:pPr>
            <w:r>
              <w:t>11 décembre 2023</w:t>
            </w:r>
          </w:p>
          <w:p w14:paraId="0B06BE24" w14:textId="77777777" w:rsidR="00D86611" w:rsidRDefault="00D86611" w:rsidP="00D86611">
            <w:pPr>
              <w:spacing w:line="240" w:lineRule="exact"/>
            </w:pPr>
            <w:r>
              <w:t>Français</w:t>
            </w:r>
          </w:p>
          <w:p w14:paraId="57C3DDC7" w14:textId="348F56DC" w:rsidR="00D86611" w:rsidRPr="00DB58B5" w:rsidRDefault="00D86611" w:rsidP="00D86611">
            <w:pPr>
              <w:spacing w:line="240" w:lineRule="exact"/>
            </w:pPr>
            <w:r>
              <w:t>Original : anglais</w:t>
            </w:r>
          </w:p>
        </w:tc>
      </w:tr>
    </w:tbl>
    <w:p w14:paraId="34D26D9C" w14:textId="77777777" w:rsidR="007F20FA" w:rsidRPr="000312C0" w:rsidRDefault="007F20FA" w:rsidP="007F20FA">
      <w:pPr>
        <w:spacing w:before="120"/>
        <w:rPr>
          <w:b/>
          <w:sz w:val="28"/>
          <w:szCs w:val="28"/>
        </w:rPr>
      </w:pPr>
      <w:r w:rsidRPr="000312C0">
        <w:rPr>
          <w:b/>
          <w:sz w:val="28"/>
          <w:szCs w:val="28"/>
        </w:rPr>
        <w:t>Commission économique pour l’Europe</w:t>
      </w:r>
    </w:p>
    <w:p w14:paraId="07C3D8C2" w14:textId="77777777" w:rsidR="007F20FA" w:rsidRDefault="007F20FA" w:rsidP="007F20FA">
      <w:pPr>
        <w:spacing w:before="120"/>
        <w:rPr>
          <w:sz w:val="28"/>
          <w:szCs w:val="28"/>
        </w:rPr>
      </w:pPr>
      <w:r w:rsidRPr="00685843">
        <w:rPr>
          <w:sz w:val="28"/>
          <w:szCs w:val="28"/>
        </w:rPr>
        <w:t>Comité des transports intérieurs</w:t>
      </w:r>
    </w:p>
    <w:p w14:paraId="48D86944" w14:textId="77777777" w:rsidR="00D86611" w:rsidRPr="00F20792" w:rsidRDefault="00D86611" w:rsidP="00D86611">
      <w:pPr>
        <w:spacing w:before="120"/>
        <w:rPr>
          <w:b/>
          <w:bCs/>
          <w:lang w:val="fr-FR"/>
        </w:rPr>
      </w:pPr>
      <w:r>
        <w:rPr>
          <w:b/>
          <w:bCs/>
          <w:lang w:val="fr-FR"/>
        </w:rPr>
        <w:t>Quatre-vingt-sixième session</w:t>
      </w:r>
    </w:p>
    <w:p w14:paraId="314B41AD" w14:textId="722CB24E" w:rsidR="00D86611" w:rsidRPr="00F20792" w:rsidRDefault="00D86611" w:rsidP="00D86611">
      <w:pPr>
        <w:rPr>
          <w:lang w:val="fr-FR"/>
        </w:rPr>
      </w:pPr>
      <w:r>
        <w:rPr>
          <w:lang w:val="fr-FR"/>
        </w:rPr>
        <w:t>Genève, 20</w:t>
      </w:r>
      <w:r>
        <w:rPr>
          <w:lang w:val="fr-FR"/>
        </w:rPr>
        <w:noBreakHyphen/>
        <w:t>23 février 2024</w:t>
      </w:r>
    </w:p>
    <w:p w14:paraId="2F2359DF" w14:textId="0B574460" w:rsidR="00D86611" w:rsidRPr="00F20792" w:rsidRDefault="00D86611" w:rsidP="00D86611">
      <w:pPr>
        <w:rPr>
          <w:lang w:val="fr-FR"/>
        </w:rPr>
      </w:pPr>
      <w:r>
        <w:rPr>
          <w:lang w:val="fr-FR"/>
        </w:rPr>
        <w:t>Point 4 de l’ordre du jour provisoire</w:t>
      </w:r>
    </w:p>
    <w:p w14:paraId="7A3B998C" w14:textId="1D25EA02" w:rsidR="00D86611" w:rsidRPr="00F20792" w:rsidRDefault="00D86611" w:rsidP="00D86611">
      <w:pPr>
        <w:rPr>
          <w:b/>
          <w:bCs/>
          <w:lang w:val="fr-FR"/>
        </w:rPr>
      </w:pPr>
      <w:r>
        <w:rPr>
          <w:b/>
          <w:bCs/>
          <w:lang w:val="fr-FR"/>
        </w:rPr>
        <w:t xml:space="preserve">Réunion sur l’adoption de la stratégie du Comité des transports </w:t>
      </w:r>
      <w:r>
        <w:rPr>
          <w:b/>
          <w:bCs/>
          <w:lang w:val="fr-FR"/>
        </w:rPr>
        <w:br/>
        <w:t xml:space="preserve">intérieurs sur la réduction des émissions de gaz à effet de serre </w:t>
      </w:r>
      <w:r>
        <w:rPr>
          <w:b/>
          <w:bCs/>
          <w:lang w:val="fr-FR"/>
        </w:rPr>
        <w:br/>
        <w:t xml:space="preserve">dans les transports intérieurs, réservée aux représentants des États, </w:t>
      </w:r>
      <w:r>
        <w:rPr>
          <w:b/>
          <w:bCs/>
          <w:lang w:val="fr-FR"/>
        </w:rPr>
        <w:br/>
        <w:t>avec la participation des présidents des organes subsidiaires du Comité</w:t>
      </w:r>
    </w:p>
    <w:p w14:paraId="5B7E9262" w14:textId="19E40EBC" w:rsidR="00D86611" w:rsidRPr="00F20792" w:rsidRDefault="00D86611" w:rsidP="00D86611">
      <w:pPr>
        <w:pStyle w:val="HChG"/>
        <w:rPr>
          <w:lang w:val="fr-FR"/>
        </w:rPr>
      </w:pPr>
      <w:r>
        <w:rPr>
          <w:lang w:val="fr-FR"/>
        </w:rPr>
        <w:tab/>
      </w:r>
      <w:r>
        <w:rPr>
          <w:lang w:val="fr-FR"/>
        </w:rPr>
        <w:tab/>
        <w:t>Rapport approfondi sur les transports intérieurs et les changements climatiques </w:t>
      </w:r>
      <w:r w:rsidR="00E5173E">
        <w:rPr>
          <w:lang w:val="fr-FR"/>
        </w:rPr>
        <w:t>−</w:t>
      </w:r>
      <w:r>
        <w:rPr>
          <w:lang w:val="fr-FR"/>
        </w:rPr>
        <w:t xml:space="preserve"> partie 2 : engagements, défis </w:t>
      </w:r>
      <w:r>
        <w:rPr>
          <w:lang w:val="fr-FR"/>
        </w:rPr>
        <w:br/>
        <w:t>et possibilités liés à la politique de décarbonisation</w:t>
      </w:r>
    </w:p>
    <w:p w14:paraId="6F835C7B" w14:textId="7B8CCB21" w:rsidR="00D86611" w:rsidRPr="00D86611" w:rsidRDefault="00D86611" w:rsidP="00D86611">
      <w:pPr>
        <w:pStyle w:val="H1G"/>
        <w:rPr>
          <w:b w:val="0"/>
          <w:bCs/>
          <w:sz w:val="20"/>
        </w:rPr>
      </w:pPr>
      <w:r>
        <w:rPr>
          <w:lang w:val="fr-FR"/>
        </w:rPr>
        <w:tab/>
      </w:r>
      <w:r>
        <w:rPr>
          <w:lang w:val="fr-FR"/>
        </w:rPr>
        <w:tab/>
        <w:t>Note du secrétariat</w:t>
      </w:r>
      <w:r w:rsidRPr="00D86611">
        <w:rPr>
          <w:rStyle w:val="Appelnotedebasdep"/>
          <w:b w:val="0"/>
          <w:bCs/>
          <w:sz w:val="20"/>
          <w:vertAlign w:val="baseline"/>
        </w:rPr>
        <w:footnoteReference w:customMarkFollows="1" w:id="2"/>
        <w:t>*</w:t>
      </w:r>
    </w:p>
    <w:tbl>
      <w:tblPr>
        <w:tblStyle w:val="Grilledutableau"/>
        <w:tblW w:w="9629" w:type="dxa"/>
        <w:jc w:val="center"/>
        <w:tblBorders>
          <w:insideH w:val="none" w:sz="0" w:space="0" w:color="auto"/>
        </w:tblBorders>
        <w:tblLayout w:type="fixed"/>
        <w:tblLook w:val="05E0" w:firstRow="1" w:lastRow="1" w:firstColumn="1" w:lastColumn="1" w:noHBand="0" w:noVBand="1"/>
      </w:tblPr>
      <w:tblGrid>
        <w:gridCol w:w="9629"/>
      </w:tblGrid>
      <w:tr w:rsidR="00D86611" w14:paraId="402D15FB" w14:textId="77777777" w:rsidTr="00621E65">
        <w:trPr>
          <w:jc w:val="center"/>
        </w:trPr>
        <w:tc>
          <w:tcPr>
            <w:tcW w:w="9629" w:type="dxa"/>
            <w:shd w:val="clear" w:color="auto" w:fill="auto"/>
          </w:tcPr>
          <w:p w14:paraId="430C0BCA" w14:textId="77777777" w:rsidR="00D86611" w:rsidRPr="00D86611" w:rsidRDefault="00D86611" w:rsidP="00136DE9">
            <w:pPr>
              <w:spacing w:before="240" w:after="120"/>
              <w:ind w:left="255"/>
              <w:rPr>
                <w:i/>
                <w:sz w:val="24"/>
                <w:szCs w:val="24"/>
              </w:rPr>
            </w:pPr>
            <w:r w:rsidRPr="00D86611">
              <w:rPr>
                <w:i/>
                <w:iCs/>
                <w:sz w:val="24"/>
                <w:szCs w:val="24"/>
                <w:lang w:val="fr-FR"/>
              </w:rPr>
              <w:t>Résumé</w:t>
            </w:r>
          </w:p>
        </w:tc>
      </w:tr>
      <w:tr w:rsidR="00621E65" w:rsidRPr="00621E65" w14:paraId="1597C924" w14:textId="77777777" w:rsidTr="00621E65">
        <w:trPr>
          <w:jc w:val="center"/>
        </w:trPr>
        <w:tc>
          <w:tcPr>
            <w:tcW w:w="9629" w:type="dxa"/>
            <w:shd w:val="clear" w:color="auto" w:fill="auto"/>
          </w:tcPr>
          <w:p w14:paraId="2B87D8E0" w14:textId="4F7B295F" w:rsidR="00621E65" w:rsidRPr="00621E65" w:rsidRDefault="00621E65" w:rsidP="00621E65">
            <w:pPr>
              <w:pStyle w:val="SingleTxtG"/>
              <w:ind w:firstLine="567"/>
              <w:rPr>
                <w:lang w:val="fr-FR"/>
              </w:rPr>
            </w:pPr>
            <w:r>
              <w:rPr>
                <w:lang w:val="fr-FR"/>
              </w:rPr>
              <w:t>Le secrétariat, avec l’aide d’un consultant externe (Nikola Medimorec), a rédigé deux rapports approfondis qui serviront de documents de référence pour l’élaboration du projet de stratégie du Comité des transports intérieurs concernant la réduction des émissions de gaz à effet de serre dues aux transports terrestres.</w:t>
            </w:r>
          </w:p>
        </w:tc>
      </w:tr>
      <w:tr w:rsidR="00621E65" w:rsidRPr="00621E65" w14:paraId="5803D28C" w14:textId="77777777" w:rsidTr="00621E65">
        <w:trPr>
          <w:jc w:val="center"/>
        </w:trPr>
        <w:tc>
          <w:tcPr>
            <w:tcW w:w="9629" w:type="dxa"/>
            <w:shd w:val="clear" w:color="auto" w:fill="auto"/>
          </w:tcPr>
          <w:p w14:paraId="191BBBE4" w14:textId="613567F0" w:rsidR="00621E65" w:rsidRDefault="00621E65" w:rsidP="00D86611">
            <w:pPr>
              <w:pStyle w:val="SingleTxtG"/>
              <w:ind w:firstLine="567"/>
              <w:rPr>
                <w:lang w:val="fr-FR"/>
              </w:rPr>
            </w:pPr>
            <w:r>
              <w:rPr>
                <w:lang w:val="fr-FR"/>
              </w:rPr>
              <w:tab/>
              <w:t>On trouvera dans le présent rapport, qui est le second, une analyse détaillée des engagements pris par les pays pour décarboniser leur secteur des transports intérieurs, en particulier des contributions déterminées au niveau national, des stratégies à long terme établies au titre de la Convention-cadre des Nations Unies sur les changements climatiques et des examens nationaux volontaires réalisés à l’aune des objectifs de développement durable.</w:t>
            </w:r>
          </w:p>
        </w:tc>
      </w:tr>
      <w:tr w:rsidR="00621E65" w:rsidRPr="00621E65" w14:paraId="653458DE" w14:textId="77777777" w:rsidTr="00621E65">
        <w:trPr>
          <w:jc w:val="center"/>
        </w:trPr>
        <w:tc>
          <w:tcPr>
            <w:tcW w:w="9629" w:type="dxa"/>
            <w:shd w:val="clear" w:color="auto" w:fill="auto"/>
          </w:tcPr>
          <w:p w14:paraId="1F88FBE6" w14:textId="0D9B24B3" w:rsidR="00621E65" w:rsidRDefault="00621E65" w:rsidP="00D86611">
            <w:pPr>
              <w:pStyle w:val="SingleTxtG"/>
              <w:ind w:firstLine="567"/>
              <w:rPr>
                <w:lang w:val="fr-FR"/>
              </w:rPr>
            </w:pPr>
            <w:r>
              <w:rPr>
                <w:lang w:val="fr-FR"/>
              </w:rPr>
              <w:t>On y trouvera également un examen des actions menées et des engagements pris au niveau national pour appuyer une réduction rapide de ces émissions. Malgré les progrès considérables réalisés ces dernières années, le secteur des transports terrestres n’est pas en mesure d’atteindre les objectifs fixés dans l’Accord de Paris.</w:t>
            </w:r>
          </w:p>
        </w:tc>
      </w:tr>
      <w:tr w:rsidR="00621E65" w:rsidRPr="00621E65" w14:paraId="00B158E7" w14:textId="77777777" w:rsidTr="00621E65">
        <w:trPr>
          <w:jc w:val="center"/>
        </w:trPr>
        <w:tc>
          <w:tcPr>
            <w:tcW w:w="9629" w:type="dxa"/>
            <w:shd w:val="clear" w:color="auto" w:fill="auto"/>
          </w:tcPr>
          <w:p w14:paraId="1D69D8DD" w14:textId="23B94C4F" w:rsidR="00621E65" w:rsidRDefault="00621E65" w:rsidP="00D86611">
            <w:pPr>
              <w:pStyle w:val="SingleTxtG"/>
              <w:ind w:firstLine="567"/>
              <w:rPr>
                <w:lang w:val="fr-FR"/>
              </w:rPr>
            </w:pPr>
            <w:r>
              <w:rPr>
                <w:lang w:val="fr-FR"/>
              </w:rPr>
              <w:t>Enfin, le rapport met en évidence les principales tendances régionales et les défis à relever pour poursuivre la décarbonisation des transports intérieurs, notamment la diversité des situations régionales et nationales, dont dépendront probablement les types d’actions à mener et leur efficacité.</w:t>
            </w:r>
          </w:p>
        </w:tc>
      </w:tr>
      <w:tr w:rsidR="00D86611" w:rsidRPr="008D69CF" w14:paraId="08742DBB" w14:textId="77777777" w:rsidTr="00621E65">
        <w:trPr>
          <w:jc w:val="center"/>
        </w:trPr>
        <w:tc>
          <w:tcPr>
            <w:tcW w:w="9629" w:type="dxa"/>
            <w:shd w:val="clear" w:color="auto" w:fill="auto"/>
          </w:tcPr>
          <w:p w14:paraId="557BC652" w14:textId="77777777" w:rsidR="00D86611" w:rsidRPr="00F20792" w:rsidRDefault="00D86611" w:rsidP="00136DE9">
            <w:pPr>
              <w:rPr>
                <w:lang w:val="fr-FR"/>
              </w:rPr>
            </w:pPr>
          </w:p>
        </w:tc>
      </w:tr>
    </w:tbl>
    <w:p w14:paraId="7F3E5E47" w14:textId="77777777" w:rsidR="00D86611" w:rsidRPr="00F20792" w:rsidRDefault="00D86611" w:rsidP="00D86611">
      <w:pPr>
        <w:suppressAutoHyphens w:val="0"/>
        <w:spacing w:line="240" w:lineRule="auto"/>
        <w:rPr>
          <w:u w:val="single"/>
          <w:lang w:val="fr-FR"/>
        </w:rPr>
      </w:pPr>
      <w:r w:rsidRPr="00F20792">
        <w:rPr>
          <w:u w:val="single"/>
          <w:lang w:val="fr-FR"/>
        </w:rPr>
        <w:br w:type="page"/>
      </w:r>
    </w:p>
    <w:p w14:paraId="16B3D7C9" w14:textId="40059CC1" w:rsidR="00D86611" w:rsidRPr="00F20792" w:rsidRDefault="00D86611" w:rsidP="00D86611">
      <w:pPr>
        <w:pStyle w:val="HChG"/>
        <w:rPr>
          <w:lang w:val="fr-FR"/>
        </w:rPr>
      </w:pPr>
      <w:r>
        <w:rPr>
          <w:lang w:val="fr-FR"/>
        </w:rPr>
        <w:lastRenderedPageBreak/>
        <w:tab/>
        <w:t>I.</w:t>
      </w:r>
      <w:r>
        <w:rPr>
          <w:lang w:val="fr-FR"/>
        </w:rPr>
        <w:tab/>
        <w:t>Engagements pris par les États membres</w:t>
      </w:r>
    </w:p>
    <w:p w14:paraId="0C69F597" w14:textId="325B5EC6" w:rsidR="00D86611" w:rsidRPr="00F20792" w:rsidRDefault="00D86611" w:rsidP="000C02B0">
      <w:pPr>
        <w:pStyle w:val="H1G"/>
        <w:rPr>
          <w:lang w:val="fr-FR"/>
        </w:rPr>
      </w:pPr>
      <w:bookmarkStart w:id="0" w:name="_35nkun2" w:colFirst="0" w:colLast="0"/>
      <w:bookmarkEnd w:id="0"/>
      <w:r>
        <w:rPr>
          <w:lang w:val="fr-FR"/>
        </w:rPr>
        <w:tab/>
        <w:t>A.</w:t>
      </w:r>
      <w:r>
        <w:rPr>
          <w:lang w:val="fr-FR"/>
        </w:rPr>
        <w:tab/>
        <w:t>Les transports intérieurs dans les contributions déterminées au niveau national et les stratégies à long terme</w:t>
      </w:r>
    </w:p>
    <w:p w14:paraId="57FF64D7" w14:textId="40299C5A" w:rsidR="00D86611" w:rsidRPr="00F20792" w:rsidRDefault="00D86611" w:rsidP="00D86611">
      <w:pPr>
        <w:pStyle w:val="H23G"/>
        <w:rPr>
          <w:lang w:val="fr-FR"/>
        </w:rPr>
      </w:pPr>
      <w:r>
        <w:rPr>
          <w:lang w:val="fr-FR"/>
        </w:rPr>
        <w:tab/>
        <w:t>1.</w:t>
      </w:r>
      <w:r>
        <w:rPr>
          <w:lang w:val="fr-FR"/>
        </w:rPr>
        <w:tab/>
        <w:t>Situation mondiale</w:t>
      </w:r>
    </w:p>
    <w:p w14:paraId="7BCC74C7" w14:textId="6959CAE5" w:rsidR="00D86611" w:rsidRDefault="00D86611" w:rsidP="00D86611">
      <w:pPr>
        <w:pStyle w:val="SingleTxtG"/>
        <w:rPr>
          <w:sz w:val="18"/>
          <w:lang w:val="fr-FR"/>
        </w:rPr>
      </w:pPr>
      <w:r w:rsidRPr="00D86611">
        <w:rPr>
          <w:lang w:val="fr-FR"/>
        </w:rPr>
        <w:t>1.</w:t>
      </w:r>
      <w:r>
        <w:rPr>
          <w:lang w:val="fr-FR"/>
        </w:rPr>
        <w:tab/>
        <w:t>La plupart des pays (169) ont soumis des contributions déterminées au niveau national (CDN) de deuxième génération avant la fin de 2022 et ont renforcé leurs ambitions s’agissant du climat. Dans leurs CDN de deuxième génération, 16</w:t>
      </w:r>
      <w:r w:rsidR="00780216">
        <w:rPr>
          <w:lang w:val="fr-FR"/>
        </w:rPr>
        <w:t> %</w:t>
      </w:r>
      <w:r>
        <w:rPr>
          <w:lang w:val="fr-FR"/>
        </w:rPr>
        <w:t xml:space="preserve"> des pays (soit 23), principalement des pays européens et africains, se sont fixé pour objectif de réduire leurs émissions de gaz à effet de serre (GES) dues aux transports d’ici à 2030. Ce chiffre est en augmentation par rapport à la première génération de CDN, dans lesquelles 13</w:t>
      </w:r>
      <w:r w:rsidR="00122086">
        <w:rPr>
          <w:lang w:val="fr-FR"/>
        </w:rPr>
        <w:t> </w:t>
      </w:r>
      <w:r>
        <w:rPr>
          <w:lang w:val="fr-FR"/>
        </w:rPr>
        <w:t>pays, soit 8</w:t>
      </w:r>
      <w:r w:rsidR="00780216">
        <w:rPr>
          <w:lang w:val="fr-FR"/>
        </w:rPr>
        <w:t> %</w:t>
      </w:r>
      <w:r>
        <w:rPr>
          <w:lang w:val="fr-FR"/>
        </w:rPr>
        <w:t>, avaient pris un tel engagement (voir annexe I).</w:t>
      </w:r>
    </w:p>
    <w:p w14:paraId="0498283D" w14:textId="36FCF1FF" w:rsidR="00D86611" w:rsidRDefault="00D86611" w:rsidP="00D86611">
      <w:pPr>
        <w:pStyle w:val="Titre1"/>
        <w:rPr>
          <w:b/>
          <w:bCs/>
          <w:lang w:val="fr-FR"/>
        </w:rPr>
      </w:pPr>
      <w:r w:rsidRPr="00D86611">
        <w:rPr>
          <w:lang w:val="fr-FR"/>
        </w:rPr>
        <w:t>Figure</w:t>
      </w:r>
      <w:r w:rsidR="00122086">
        <w:rPr>
          <w:lang w:val="fr-FR"/>
        </w:rPr>
        <w:t> </w:t>
      </w:r>
      <w:r w:rsidRPr="00D86611">
        <w:rPr>
          <w:lang w:val="fr-FR"/>
        </w:rPr>
        <w:t>I</w:t>
      </w:r>
      <w:r w:rsidRPr="00D86611">
        <w:rPr>
          <w:b/>
          <w:bCs/>
          <w:lang w:val="fr-FR"/>
        </w:rPr>
        <w:br/>
        <w:t xml:space="preserve">Typologie des objectifs liés aux transports dans </w:t>
      </w:r>
      <w:r w:rsidRPr="00D86611">
        <w:rPr>
          <w:b/>
          <w:bCs/>
        </w:rPr>
        <w:t>les</w:t>
      </w:r>
      <w:r w:rsidRPr="00D86611">
        <w:rPr>
          <w:b/>
          <w:bCs/>
          <w:lang w:val="fr-FR"/>
        </w:rPr>
        <w:t xml:space="preserve"> CDN de deuxième génération</w:t>
      </w:r>
    </w:p>
    <w:p w14:paraId="555F0FEE" w14:textId="21F723D2" w:rsidR="00304634" w:rsidRPr="00304634" w:rsidRDefault="00780216" w:rsidP="00780216">
      <w:pPr>
        <w:pStyle w:val="SingleTxtG"/>
        <w:ind w:left="0"/>
        <w:rPr>
          <w:lang w:val="fr-FR"/>
        </w:rPr>
      </w:pPr>
      <w:r>
        <w:rPr>
          <w:noProof/>
          <w:lang w:val="fr-FR"/>
        </w:rPr>
        <w:drawing>
          <wp:inline distT="0" distB="0" distL="0" distR="0" wp14:anchorId="2125E95D" wp14:editId="0C029618">
            <wp:extent cx="6120000" cy="3060000"/>
            <wp:effectExtent l="0" t="0" r="0" b="7620"/>
            <wp:docPr id="1416360514" name="Image 2" descr="Une image contenant texte, carte, atla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360514" name="Image 2" descr="Une image contenant texte, carte, atlas&#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000" cy="3060000"/>
                    </a:xfrm>
                    <a:prstGeom prst="rect">
                      <a:avLst/>
                    </a:prstGeom>
                  </pic:spPr>
                </pic:pic>
              </a:graphicData>
            </a:graphic>
          </wp:inline>
        </w:drawing>
      </w:r>
    </w:p>
    <w:p w14:paraId="51552C9A" w14:textId="296ACC87" w:rsidR="00D86611" w:rsidRPr="00780216" w:rsidRDefault="00D86611" w:rsidP="00780216">
      <w:pPr>
        <w:pStyle w:val="SingleTxtG"/>
        <w:spacing w:before="120" w:after="240"/>
        <w:ind w:firstLine="170"/>
        <w:rPr>
          <w:sz w:val="18"/>
          <w:szCs w:val="18"/>
          <w:lang w:val="fr-FR"/>
        </w:rPr>
      </w:pPr>
      <w:r w:rsidRPr="00780216">
        <w:rPr>
          <w:i/>
          <w:iCs/>
          <w:sz w:val="18"/>
          <w:szCs w:val="18"/>
          <w:lang w:val="fr-FR"/>
        </w:rPr>
        <w:t>Source</w:t>
      </w:r>
      <w:r w:rsidRPr="00780216">
        <w:rPr>
          <w:sz w:val="18"/>
          <w:szCs w:val="18"/>
          <w:lang w:val="fr-FR"/>
        </w:rPr>
        <w:t> : Partenariat pour des transports écologiques, à faible émission de carbone (SLoCaT).</w:t>
      </w:r>
    </w:p>
    <w:p w14:paraId="4B9CF2ED" w14:textId="665178F7" w:rsidR="00D86611" w:rsidRPr="00F20792" w:rsidRDefault="00D86611" w:rsidP="00780216">
      <w:pPr>
        <w:pStyle w:val="SingleTxtG"/>
        <w:rPr>
          <w:lang w:val="fr-FR"/>
        </w:rPr>
      </w:pPr>
      <w:r>
        <w:rPr>
          <w:lang w:val="fr-FR"/>
        </w:rPr>
        <w:t>2.</w:t>
      </w:r>
      <w:r>
        <w:rPr>
          <w:lang w:val="fr-FR"/>
        </w:rPr>
        <w:tab/>
        <w:t>Les CDN et les stratégies à long terme sont principalement axées sur les transports intérieurs. Des plus de 800</w:t>
      </w:r>
      <w:r w:rsidR="00780216">
        <w:rPr>
          <w:lang w:val="fr-FR"/>
        </w:rPr>
        <w:t> </w:t>
      </w:r>
      <w:r>
        <w:rPr>
          <w:lang w:val="fr-FR"/>
        </w:rPr>
        <w:t>mesures d’atténuation des effets liés au transport figurant dans les CDN de deuxième génération soumises jusqu’en juillet 2023, moins de 5</w:t>
      </w:r>
      <w:r w:rsidR="00780216">
        <w:rPr>
          <w:lang w:val="fr-FR"/>
        </w:rPr>
        <w:t> %</w:t>
      </w:r>
      <w:r>
        <w:rPr>
          <w:lang w:val="fr-FR"/>
        </w:rPr>
        <w:t xml:space="preserve"> concernaient les transports aériens ou maritimes</w:t>
      </w:r>
      <w:r w:rsidR="00780216">
        <w:rPr>
          <w:rStyle w:val="Appelnotedebasdep"/>
        </w:rPr>
        <w:footnoteReference w:id="3"/>
      </w:r>
      <w:r>
        <w:rPr>
          <w:lang w:val="fr-FR"/>
        </w:rPr>
        <w:t>.</w:t>
      </w:r>
    </w:p>
    <w:p w14:paraId="5F2045E9" w14:textId="01B36C56" w:rsidR="00D86611" w:rsidRPr="00F20792" w:rsidRDefault="00D86611" w:rsidP="00780216">
      <w:pPr>
        <w:pStyle w:val="SingleTxtG"/>
        <w:rPr>
          <w:vertAlign w:val="superscript"/>
          <w:lang w:val="fr-FR"/>
        </w:rPr>
      </w:pPr>
      <w:r>
        <w:rPr>
          <w:lang w:val="fr-FR"/>
        </w:rPr>
        <w:t>3.</w:t>
      </w:r>
      <w:r>
        <w:rPr>
          <w:lang w:val="fr-FR"/>
        </w:rPr>
        <w:tab/>
        <w:t xml:space="preserve">Une analyse des mesures </w:t>
      </w:r>
      <w:r w:rsidR="00780216">
        <w:rPr>
          <w:lang w:val="fr-FR"/>
        </w:rPr>
        <w:t>« </w:t>
      </w:r>
      <w:r>
        <w:rPr>
          <w:lang w:val="fr-FR"/>
        </w:rPr>
        <w:t>éviter-changer-améliorer</w:t>
      </w:r>
      <w:r w:rsidR="00780216">
        <w:rPr>
          <w:lang w:val="fr-FR"/>
        </w:rPr>
        <w:t> »</w:t>
      </w:r>
      <w:r>
        <w:rPr>
          <w:lang w:val="fr-FR"/>
        </w:rPr>
        <w:t xml:space="preserve"> figurant dans les CDN de deuxième génération met en évidence une plus grande disparité en comparaison des CDN de première génération. Dans les CDN de deuxième génération, les mesures de type </w:t>
      </w:r>
      <w:r w:rsidR="00780216">
        <w:rPr>
          <w:lang w:val="fr-FR"/>
        </w:rPr>
        <w:t>« </w:t>
      </w:r>
      <w:r>
        <w:rPr>
          <w:lang w:val="fr-FR"/>
        </w:rPr>
        <w:t>éviter</w:t>
      </w:r>
      <w:r w:rsidR="00780216">
        <w:rPr>
          <w:lang w:val="fr-FR"/>
        </w:rPr>
        <w:t> »</w:t>
      </w:r>
      <w:r>
        <w:rPr>
          <w:lang w:val="fr-FR"/>
        </w:rPr>
        <w:t xml:space="preserve"> ne représentent que 4</w:t>
      </w:r>
      <w:r w:rsidR="00780216">
        <w:rPr>
          <w:lang w:val="fr-FR"/>
        </w:rPr>
        <w:t> %</w:t>
      </w:r>
      <w:r>
        <w:rPr>
          <w:lang w:val="fr-FR"/>
        </w:rPr>
        <w:t xml:space="preserve"> des mesures d’atténuation dans le domaine des transports, contre 25</w:t>
      </w:r>
      <w:r w:rsidR="00780216">
        <w:rPr>
          <w:lang w:val="fr-FR"/>
        </w:rPr>
        <w:t> %</w:t>
      </w:r>
      <w:r>
        <w:rPr>
          <w:lang w:val="fr-FR"/>
        </w:rPr>
        <w:t xml:space="preserve"> pour les mesures de type </w:t>
      </w:r>
      <w:r w:rsidR="00780216">
        <w:rPr>
          <w:lang w:val="fr-FR"/>
        </w:rPr>
        <w:t>« </w:t>
      </w:r>
      <w:r>
        <w:rPr>
          <w:lang w:val="fr-FR"/>
        </w:rPr>
        <w:t>changer</w:t>
      </w:r>
      <w:r w:rsidR="00780216">
        <w:rPr>
          <w:lang w:val="fr-FR"/>
        </w:rPr>
        <w:t> »</w:t>
      </w:r>
      <w:r>
        <w:rPr>
          <w:lang w:val="fr-FR"/>
        </w:rPr>
        <w:t xml:space="preserve"> et 60</w:t>
      </w:r>
      <w:r w:rsidR="00780216">
        <w:rPr>
          <w:lang w:val="fr-FR"/>
        </w:rPr>
        <w:t> %</w:t>
      </w:r>
      <w:r>
        <w:rPr>
          <w:lang w:val="fr-FR"/>
        </w:rPr>
        <w:t xml:space="preserve"> pour les mesures de type </w:t>
      </w:r>
      <w:r w:rsidR="00780216">
        <w:rPr>
          <w:lang w:val="fr-FR"/>
        </w:rPr>
        <w:t>« </w:t>
      </w:r>
      <w:r>
        <w:rPr>
          <w:lang w:val="fr-FR"/>
        </w:rPr>
        <w:t>améliorer</w:t>
      </w:r>
      <w:r w:rsidR="00780216">
        <w:rPr>
          <w:lang w:val="fr-FR"/>
        </w:rPr>
        <w:t> »</w:t>
      </w:r>
      <w:r>
        <w:rPr>
          <w:lang w:val="fr-FR"/>
        </w:rPr>
        <w:t>. Dans les CDN de première génération, ces chiffres étaient de respectivement 3</w:t>
      </w:r>
      <w:r w:rsidR="00780216">
        <w:rPr>
          <w:lang w:val="fr-FR"/>
        </w:rPr>
        <w:t> %</w:t>
      </w:r>
      <w:r>
        <w:rPr>
          <w:lang w:val="fr-FR"/>
        </w:rPr>
        <w:t>, 32</w:t>
      </w:r>
      <w:r w:rsidR="00780216">
        <w:rPr>
          <w:lang w:val="fr-FR"/>
        </w:rPr>
        <w:t> %</w:t>
      </w:r>
      <w:r>
        <w:rPr>
          <w:lang w:val="fr-FR"/>
        </w:rPr>
        <w:t xml:space="preserve"> et 54</w:t>
      </w:r>
      <w:r w:rsidR="00780216">
        <w:rPr>
          <w:lang w:val="fr-FR"/>
        </w:rPr>
        <w:t> %</w:t>
      </w:r>
      <w:r>
        <w:rPr>
          <w:lang w:val="fr-FR"/>
        </w:rPr>
        <w:t>, les autres mesures étant transversales</w:t>
      </w:r>
      <w:r w:rsidR="00780216">
        <w:rPr>
          <w:rStyle w:val="Appelnotedebasdep"/>
        </w:rPr>
        <w:footnoteReference w:id="4"/>
      </w:r>
      <w:r>
        <w:rPr>
          <w:lang w:val="fr-FR"/>
        </w:rPr>
        <w:t>.</w:t>
      </w:r>
    </w:p>
    <w:p w14:paraId="7426F759" w14:textId="35D216C5" w:rsidR="00D86611" w:rsidRPr="00F20792" w:rsidRDefault="00D86611" w:rsidP="00621E65">
      <w:pPr>
        <w:pStyle w:val="SingleTxtG"/>
        <w:spacing w:after="100"/>
        <w:rPr>
          <w:lang w:val="fr-FR"/>
        </w:rPr>
      </w:pPr>
      <w:r>
        <w:rPr>
          <w:lang w:val="fr-FR"/>
        </w:rPr>
        <w:lastRenderedPageBreak/>
        <w:t>4.</w:t>
      </w:r>
      <w:r>
        <w:rPr>
          <w:lang w:val="fr-FR"/>
        </w:rPr>
        <w:tab/>
        <w:t>Dans les CDN des deux générations, il est très peu fait explicitement mention de mesures liées au fret. Environ deux tiers des mesures d’atténuation des effets liés aux transports ne font pas explicitement référence au fret ou aux passagers, tandis que 25</w:t>
      </w:r>
      <w:r w:rsidR="00780216">
        <w:rPr>
          <w:lang w:val="fr-FR"/>
        </w:rPr>
        <w:t> %</w:t>
      </w:r>
      <w:r>
        <w:rPr>
          <w:lang w:val="fr-FR"/>
        </w:rPr>
        <w:t xml:space="preserve"> mentionnent le transport de passagers et seulement 5</w:t>
      </w:r>
      <w:r w:rsidR="00780216">
        <w:rPr>
          <w:lang w:val="fr-FR"/>
        </w:rPr>
        <w:t> %</w:t>
      </w:r>
      <w:r>
        <w:rPr>
          <w:lang w:val="fr-FR"/>
        </w:rPr>
        <w:t xml:space="preserve"> environ le transport de marchandises.</w:t>
      </w:r>
    </w:p>
    <w:p w14:paraId="15EC0D44" w14:textId="3420F1F8" w:rsidR="00D86611" w:rsidRPr="00F20792" w:rsidRDefault="00D86611" w:rsidP="00621E65">
      <w:pPr>
        <w:pStyle w:val="SingleTxtG"/>
        <w:spacing w:after="100"/>
        <w:rPr>
          <w:lang w:val="fr-FR"/>
        </w:rPr>
      </w:pPr>
      <w:r>
        <w:rPr>
          <w:lang w:val="fr-FR"/>
        </w:rPr>
        <w:t>5.</w:t>
      </w:r>
      <w:r>
        <w:rPr>
          <w:lang w:val="fr-FR"/>
        </w:rPr>
        <w:tab/>
        <w:t>L’adaptation reste un sujet négligé, car peu de CDN de deuxième génération comportent des objectifs et des mesures liées à l’adaptation dans le domaine des transports. Alors que chaque CDN de deuxième génération comprend en moyenne 5,2</w:t>
      </w:r>
      <w:r w:rsidR="00780216">
        <w:rPr>
          <w:lang w:val="fr-FR"/>
        </w:rPr>
        <w:t> </w:t>
      </w:r>
      <w:r>
        <w:rPr>
          <w:lang w:val="fr-FR"/>
        </w:rPr>
        <w:t>mesures d’atténuation, on y trouve seulement en moyenne 1,2</w:t>
      </w:r>
      <w:r w:rsidR="00780216">
        <w:rPr>
          <w:lang w:val="fr-FR"/>
        </w:rPr>
        <w:t> </w:t>
      </w:r>
      <w:r>
        <w:rPr>
          <w:lang w:val="fr-FR"/>
        </w:rPr>
        <w:t xml:space="preserve">mesure d’adaptation. Seules six CDN de deuxième </w:t>
      </w:r>
      <w:r w:rsidRPr="00621E65">
        <w:rPr>
          <w:spacing w:val="-2"/>
          <w:lang w:val="fr-FR"/>
        </w:rPr>
        <w:t>génération</w:t>
      </w:r>
      <w:r>
        <w:rPr>
          <w:lang w:val="fr-FR"/>
        </w:rPr>
        <w:t xml:space="preserve"> (Antigua-et-Barbuda, Burundi, Cambodge, Kenya, Libéria et Papouasie-Nouvelle-Guinée) comportent des objectifs d’adaptation en matière de transport</w:t>
      </w:r>
      <w:r w:rsidR="0016543E">
        <w:rPr>
          <w:rStyle w:val="Appelnotedebasdep"/>
        </w:rPr>
        <w:footnoteReference w:id="5"/>
      </w:r>
      <w:r>
        <w:rPr>
          <w:lang w:val="fr-FR"/>
        </w:rPr>
        <w:t>.</w:t>
      </w:r>
    </w:p>
    <w:p w14:paraId="1BC5ADF7" w14:textId="4958D117" w:rsidR="00D86611" w:rsidRPr="00F20792" w:rsidRDefault="00D86611" w:rsidP="00621E65">
      <w:pPr>
        <w:pStyle w:val="SingleTxtG"/>
        <w:spacing w:after="100"/>
        <w:rPr>
          <w:lang w:val="fr-FR"/>
        </w:rPr>
      </w:pPr>
      <w:r>
        <w:rPr>
          <w:lang w:val="fr-FR"/>
        </w:rPr>
        <w:t>6.</w:t>
      </w:r>
      <w:r>
        <w:rPr>
          <w:lang w:val="fr-FR"/>
        </w:rPr>
        <w:tab/>
      </w:r>
      <w:r w:rsidRPr="00621E65">
        <w:rPr>
          <w:spacing w:val="-2"/>
          <w:lang w:val="fr-FR"/>
        </w:rPr>
        <w:t>Les CDN sont axées sur l’action climatique au niveau national, mais il est essentiel d’appuyer les mesures de décarbonisation prises par les autorités infranationales et locales. Toutefois, dans les CDN de deuxième génération, aucun appui n’est prévu pour les transports urbains</w:t>
      </w:r>
      <w:r w:rsidR="0016543E" w:rsidRPr="00621E65">
        <w:rPr>
          <w:rStyle w:val="Appelnotedebasdep"/>
          <w:spacing w:val="-2"/>
        </w:rPr>
        <w:footnoteReference w:id="6"/>
      </w:r>
      <w:r w:rsidRPr="00621E65">
        <w:rPr>
          <w:spacing w:val="-2"/>
          <w:lang w:val="fr-FR"/>
        </w:rPr>
        <w:t xml:space="preserve">. Plusieurs mesures de type </w:t>
      </w:r>
      <w:r w:rsidR="00780216" w:rsidRPr="00621E65">
        <w:rPr>
          <w:spacing w:val="-2"/>
          <w:lang w:val="fr-FR"/>
        </w:rPr>
        <w:t>« </w:t>
      </w:r>
      <w:r w:rsidRPr="00621E65">
        <w:rPr>
          <w:spacing w:val="-2"/>
          <w:lang w:val="fr-FR"/>
        </w:rPr>
        <w:t>éviter-changer-améliorer</w:t>
      </w:r>
      <w:r w:rsidR="00780216" w:rsidRPr="00621E65">
        <w:rPr>
          <w:spacing w:val="-2"/>
          <w:lang w:val="fr-FR"/>
        </w:rPr>
        <w:t> »</w:t>
      </w:r>
      <w:r w:rsidRPr="00621E65">
        <w:rPr>
          <w:spacing w:val="-2"/>
          <w:lang w:val="fr-FR"/>
        </w:rPr>
        <w:t xml:space="preserve"> requièrent une action au niveau local.</w:t>
      </w:r>
    </w:p>
    <w:p w14:paraId="09AFA26B" w14:textId="719378E1" w:rsidR="00D86611" w:rsidRPr="00F20792" w:rsidRDefault="00D86611" w:rsidP="00621E65">
      <w:pPr>
        <w:pStyle w:val="SingleTxtG"/>
        <w:spacing w:after="100"/>
        <w:rPr>
          <w:lang w:val="fr-FR"/>
        </w:rPr>
      </w:pPr>
      <w:r>
        <w:rPr>
          <w:lang w:val="fr-FR"/>
        </w:rPr>
        <w:t>7.</w:t>
      </w:r>
      <w:r>
        <w:rPr>
          <w:lang w:val="fr-FR"/>
        </w:rPr>
        <w:tab/>
        <w:t>À la fin de l’année 2022, seul un quart des pays du monde (soit 58</w:t>
      </w:r>
      <w:r w:rsidR="00780216">
        <w:rPr>
          <w:lang w:val="fr-FR"/>
        </w:rPr>
        <w:t> </w:t>
      </w:r>
      <w:r>
        <w:rPr>
          <w:lang w:val="fr-FR"/>
        </w:rPr>
        <w:t>pays) avaient mis en place des systèmes d’alerte rapide, et 11</w:t>
      </w:r>
      <w:r w:rsidR="00780216">
        <w:rPr>
          <w:lang w:val="fr-FR"/>
        </w:rPr>
        <w:t> </w:t>
      </w:r>
      <w:r>
        <w:rPr>
          <w:lang w:val="fr-FR"/>
        </w:rPr>
        <w:t>pays (voir annexe</w:t>
      </w:r>
      <w:r w:rsidR="00780216">
        <w:rPr>
          <w:lang w:val="fr-FR"/>
        </w:rPr>
        <w:t> </w:t>
      </w:r>
      <w:r>
        <w:rPr>
          <w:lang w:val="fr-FR"/>
        </w:rPr>
        <w:t>II) avaient défini des objectifs en matière de transport dans leur stratégie à long terme (ce qui représentait 21</w:t>
      </w:r>
      <w:r w:rsidR="00780216">
        <w:rPr>
          <w:lang w:val="fr-FR"/>
        </w:rPr>
        <w:t> %</w:t>
      </w:r>
      <w:r>
        <w:rPr>
          <w:lang w:val="fr-FR"/>
        </w:rPr>
        <w:t xml:space="preserve"> des stratégies locales de </w:t>
      </w:r>
      <w:r w:rsidRPr="00621E65">
        <w:rPr>
          <w:spacing w:val="-2"/>
          <w:lang w:val="fr-FR"/>
        </w:rPr>
        <w:t>transport</w:t>
      </w:r>
      <w:r>
        <w:rPr>
          <w:lang w:val="fr-FR"/>
        </w:rPr>
        <w:t xml:space="preserve"> soumises à cette date). Presque toutes les stratégies à long terme prévoyaient des actions dans le domaine des transports, mais avec des disparités similaires à celles des CDN de deuxième génération s’agissant des mesures de type </w:t>
      </w:r>
      <w:r w:rsidR="00780216">
        <w:rPr>
          <w:lang w:val="fr-FR"/>
        </w:rPr>
        <w:t>« </w:t>
      </w:r>
      <w:r>
        <w:rPr>
          <w:lang w:val="fr-FR"/>
        </w:rPr>
        <w:t>éviter</w:t>
      </w:r>
      <w:r w:rsidR="00122086">
        <w:rPr>
          <w:lang w:val="fr-FR"/>
        </w:rPr>
        <w:noBreakHyphen/>
      </w:r>
      <w:r>
        <w:rPr>
          <w:lang w:val="fr-FR"/>
        </w:rPr>
        <w:t>changer-améliorer</w:t>
      </w:r>
      <w:r w:rsidR="00780216">
        <w:rPr>
          <w:lang w:val="fr-FR"/>
        </w:rPr>
        <w:t> »</w:t>
      </w:r>
      <w:r w:rsidR="0016543E">
        <w:rPr>
          <w:rStyle w:val="Appelnotedebasdep"/>
        </w:rPr>
        <w:footnoteReference w:id="7"/>
      </w:r>
      <w:r>
        <w:rPr>
          <w:lang w:val="fr-FR"/>
        </w:rPr>
        <w:t>.</w:t>
      </w:r>
    </w:p>
    <w:p w14:paraId="31F69380" w14:textId="38F0E875" w:rsidR="00D86611" w:rsidRPr="00F20792" w:rsidRDefault="00780216" w:rsidP="009E38CB">
      <w:pPr>
        <w:pStyle w:val="H23G"/>
        <w:spacing w:before="200" w:after="100"/>
        <w:rPr>
          <w:sz w:val="24"/>
          <w:szCs w:val="24"/>
          <w:lang w:val="fr-FR"/>
        </w:rPr>
      </w:pPr>
      <w:r>
        <w:rPr>
          <w:lang w:val="fr-FR"/>
        </w:rPr>
        <w:tab/>
      </w:r>
      <w:r w:rsidR="00D86611">
        <w:rPr>
          <w:lang w:val="fr-FR"/>
        </w:rPr>
        <w:t>2.</w:t>
      </w:r>
      <w:r w:rsidR="00D86611">
        <w:rPr>
          <w:lang w:val="fr-FR"/>
        </w:rPr>
        <w:tab/>
        <w:t>Situation dans les différentes régions</w:t>
      </w:r>
    </w:p>
    <w:p w14:paraId="5B856AEB" w14:textId="47D2C0A4" w:rsidR="00D86611" w:rsidRPr="00F20792" w:rsidRDefault="00780216" w:rsidP="00621E65">
      <w:pPr>
        <w:pStyle w:val="H23G"/>
        <w:spacing w:before="200" w:after="100"/>
        <w:rPr>
          <w:lang w:val="fr-FR"/>
        </w:rPr>
      </w:pPr>
      <w:r>
        <w:rPr>
          <w:lang w:val="fr-FR"/>
        </w:rPr>
        <w:tab/>
      </w:r>
      <w:r w:rsidR="00D86611">
        <w:rPr>
          <w:lang w:val="fr-FR"/>
        </w:rPr>
        <w:t>a)</w:t>
      </w:r>
      <w:r w:rsidR="00D86611">
        <w:rPr>
          <w:lang w:val="fr-FR"/>
        </w:rPr>
        <w:tab/>
        <w:t>Afrique</w:t>
      </w:r>
    </w:p>
    <w:p w14:paraId="286395E9" w14:textId="7CA3BA17" w:rsidR="00D86611" w:rsidRPr="009E38CB" w:rsidRDefault="00D86611" w:rsidP="00621E65">
      <w:pPr>
        <w:pStyle w:val="SingleTxtG"/>
        <w:spacing w:after="100"/>
        <w:rPr>
          <w:spacing w:val="-2"/>
          <w:lang w:val="fr-FR"/>
        </w:rPr>
      </w:pPr>
      <w:r w:rsidRPr="009E38CB">
        <w:rPr>
          <w:spacing w:val="-2"/>
          <w:lang w:val="fr-FR"/>
        </w:rPr>
        <w:t>8.</w:t>
      </w:r>
      <w:r w:rsidRPr="009E38CB">
        <w:rPr>
          <w:spacing w:val="-2"/>
          <w:lang w:val="fr-FR"/>
        </w:rPr>
        <w:tab/>
        <w:t>À la fin de l’année 2022, 43</w:t>
      </w:r>
      <w:r w:rsidR="00780216" w:rsidRPr="009E38CB">
        <w:rPr>
          <w:spacing w:val="-2"/>
          <w:lang w:val="fr-FR"/>
        </w:rPr>
        <w:t> %</w:t>
      </w:r>
      <w:r w:rsidRPr="009E38CB">
        <w:rPr>
          <w:spacing w:val="-2"/>
          <w:lang w:val="fr-FR"/>
        </w:rPr>
        <w:t xml:space="preserve"> des pays ayant inclus dans leur CDN de deuxième génération des objectifs de réduction des émissions de GES dues aux transports étaient africains (soit 10</w:t>
      </w:r>
      <w:r w:rsidR="00122086" w:rsidRPr="009E38CB">
        <w:rPr>
          <w:spacing w:val="-2"/>
          <w:lang w:val="fr-FR"/>
        </w:rPr>
        <w:t> </w:t>
      </w:r>
      <w:r w:rsidRPr="009E38CB">
        <w:rPr>
          <w:spacing w:val="-2"/>
          <w:lang w:val="fr-FR"/>
        </w:rPr>
        <w:t xml:space="preserve">pays sur un total de 23). Il s’agissait du Burkina Faso, de l’Égypte, de la Gambie, de la Guinée, du Libéria, de la Mauritanie, de Maurice, de l’Ouganda, des Seychelles et du Soudan du Sud. Plusieurs pays africains avaient également inclus dans leur CDN d’autres types d’objectifs relatifs aux transports, par exemple l’efficacité des véhicules, les véhicules à </w:t>
      </w:r>
      <w:r w:rsidRPr="009E38CB">
        <w:rPr>
          <w:lang w:val="fr-FR"/>
        </w:rPr>
        <w:t>émission zéro, le partage des modes de transport, les biocarburants et les infrastructures</w:t>
      </w:r>
      <w:r w:rsidR="0016543E" w:rsidRPr="009E38CB">
        <w:rPr>
          <w:rStyle w:val="Appelnotedebasdep"/>
        </w:rPr>
        <w:footnoteReference w:id="8"/>
      </w:r>
      <w:r w:rsidRPr="009E38CB">
        <w:rPr>
          <w:lang w:val="fr-FR"/>
        </w:rPr>
        <w:t>.</w:t>
      </w:r>
    </w:p>
    <w:p w14:paraId="0F7ACBA3" w14:textId="7B352865" w:rsidR="00D86611" w:rsidRPr="00F20792" w:rsidRDefault="00780216" w:rsidP="00621E65">
      <w:pPr>
        <w:pStyle w:val="H23G"/>
        <w:spacing w:before="200" w:after="100" w:line="240" w:lineRule="atLeast"/>
        <w:rPr>
          <w:lang w:val="fr-FR"/>
        </w:rPr>
      </w:pPr>
      <w:r>
        <w:rPr>
          <w:bCs/>
          <w:lang w:val="fr-FR"/>
        </w:rPr>
        <w:tab/>
      </w:r>
      <w:r w:rsidR="00D86611">
        <w:rPr>
          <w:bCs/>
          <w:lang w:val="fr-FR"/>
        </w:rPr>
        <w:t>b)</w:t>
      </w:r>
      <w:r w:rsidR="00D86611">
        <w:rPr>
          <w:lang w:val="fr-FR"/>
        </w:rPr>
        <w:tab/>
      </w:r>
      <w:r w:rsidR="00D86611" w:rsidRPr="00621E65">
        <w:rPr>
          <w:lang w:val="fr-FR"/>
        </w:rPr>
        <w:t>Asie</w:t>
      </w:r>
    </w:p>
    <w:p w14:paraId="74E2E455" w14:textId="13D1DF3F" w:rsidR="00D86611" w:rsidRPr="00F20792" w:rsidRDefault="00D86611" w:rsidP="00621E65">
      <w:pPr>
        <w:pStyle w:val="SingleTxtG"/>
        <w:spacing w:after="100"/>
        <w:rPr>
          <w:lang w:val="fr-FR"/>
        </w:rPr>
      </w:pPr>
      <w:r>
        <w:rPr>
          <w:lang w:val="fr-FR"/>
        </w:rPr>
        <w:t>9.</w:t>
      </w:r>
      <w:r>
        <w:rPr>
          <w:lang w:val="fr-FR"/>
        </w:rPr>
        <w:tab/>
        <w:t>Six pays asiatiques</w:t>
      </w:r>
      <w:r w:rsidR="00122086">
        <w:rPr>
          <w:lang w:val="fr-FR"/>
        </w:rPr>
        <w:t> − </w:t>
      </w:r>
      <w:r>
        <w:rPr>
          <w:lang w:val="fr-FR"/>
        </w:rPr>
        <w:t>Bangladesh, Émirats arabes unis, Géorgie, Israël, Japon et Sri</w:t>
      </w:r>
      <w:r w:rsidR="00122086">
        <w:rPr>
          <w:lang w:val="fr-FR"/>
        </w:rPr>
        <w:t> </w:t>
      </w:r>
      <w:r>
        <w:rPr>
          <w:lang w:val="fr-FR"/>
        </w:rPr>
        <w:t>Lanka</w:t>
      </w:r>
      <w:r w:rsidR="00122086">
        <w:rPr>
          <w:lang w:val="fr-FR"/>
        </w:rPr>
        <w:t> − </w:t>
      </w:r>
      <w:r>
        <w:rPr>
          <w:lang w:val="fr-FR"/>
        </w:rPr>
        <w:t>font partie des 23</w:t>
      </w:r>
      <w:r w:rsidR="00122086">
        <w:rPr>
          <w:lang w:val="fr-FR"/>
        </w:rPr>
        <w:t> </w:t>
      </w:r>
      <w:r>
        <w:rPr>
          <w:lang w:val="fr-FR"/>
        </w:rPr>
        <w:t xml:space="preserve">pays à avoir soumis au titre de l’Accord de Paris des CDN de deuxième génération </w:t>
      </w:r>
      <w:r w:rsidRPr="00621E65">
        <w:rPr>
          <w:spacing w:val="-2"/>
          <w:lang w:val="fr-FR"/>
        </w:rPr>
        <w:t>comportant</w:t>
      </w:r>
      <w:r>
        <w:rPr>
          <w:lang w:val="fr-FR"/>
        </w:rPr>
        <w:t xml:space="preserve"> des objectifs d’atténuation des émissions de GES dues aux transports. Il s’agit, après l’Afrique, de la deuxième région la plus représentée</w:t>
      </w:r>
      <w:r w:rsidR="0016543E">
        <w:rPr>
          <w:rStyle w:val="Appelnotedebasdep"/>
        </w:rPr>
        <w:footnoteReference w:id="9"/>
      </w:r>
      <w:r>
        <w:rPr>
          <w:lang w:val="fr-FR"/>
        </w:rPr>
        <w:t>.</w:t>
      </w:r>
    </w:p>
    <w:p w14:paraId="28631779" w14:textId="3558624B" w:rsidR="003A445C" w:rsidRDefault="00D86611" w:rsidP="003A445C">
      <w:pPr>
        <w:pStyle w:val="SingleTxtG"/>
        <w:rPr>
          <w:lang w:val="fr-FR"/>
        </w:rPr>
      </w:pPr>
      <w:r>
        <w:rPr>
          <w:lang w:val="fr-FR"/>
        </w:rPr>
        <w:t>10.</w:t>
      </w:r>
      <w:r>
        <w:rPr>
          <w:lang w:val="fr-FR"/>
        </w:rPr>
        <w:tab/>
        <w:t>En 2022, au moins 14</w:t>
      </w:r>
      <w:r w:rsidR="00122086">
        <w:rPr>
          <w:lang w:val="fr-FR"/>
        </w:rPr>
        <w:t> </w:t>
      </w:r>
      <w:r>
        <w:rPr>
          <w:lang w:val="fr-FR"/>
        </w:rPr>
        <w:t>pays asiatiques s’étaient engagés, à l’échelle de leur territoire, à atteindre l’objectif de zéro émission nette, en plus des objectifs en matière de transport (qui visaient principalement la mobilité électrique).</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47643F" w14:paraId="25DD3BC6"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1E4DB31E" w14:textId="77777777" w:rsidR="0047643F" w:rsidRDefault="0047643F"/>
        </w:tc>
      </w:tr>
      <w:tr w:rsidR="0047643F" w:rsidRPr="0047643F" w14:paraId="5B4FB5C0" w14:textId="77777777">
        <w:trPr>
          <w:jc w:val="center"/>
        </w:trPr>
        <w:tc>
          <w:tcPr>
            <w:tcW w:w="7653" w:type="dxa"/>
            <w:tcBorders>
              <w:left w:val="single" w:sz="4" w:space="0" w:color="auto"/>
              <w:bottom w:val="nil"/>
              <w:right w:val="single" w:sz="4" w:space="0" w:color="auto"/>
            </w:tcBorders>
            <w:shd w:val="clear" w:color="auto" w:fill="auto"/>
          </w:tcPr>
          <w:p w14:paraId="334AE569" w14:textId="04A66DAE" w:rsidR="0047643F" w:rsidRPr="00621E65" w:rsidRDefault="0047643F" w:rsidP="0047643F">
            <w:pPr>
              <w:spacing w:after="120" w:line="240" w:lineRule="auto"/>
              <w:rPr>
                <w:lang w:val="fr-FR"/>
              </w:rPr>
            </w:pPr>
            <w:r w:rsidRPr="00621E65">
              <w:rPr>
                <w:lang w:val="fr-FR"/>
              </w:rPr>
              <w:t xml:space="preserve">Encadré 1 </w:t>
            </w:r>
            <w:r w:rsidRPr="00621E65">
              <w:rPr>
                <w:lang w:val="fr-FR"/>
              </w:rPr>
              <w:br/>
            </w:r>
            <w:r w:rsidRPr="00621E65">
              <w:rPr>
                <w:b/>
                <w:bCs/>
                <w:lang w:val="fr-FR"/>
              </w:rPr>
              <w:t>La stratégie à long terme de Singapour</w:t>
            </w:r>
          </w:p>
        </w:tc>
      </w:tr>
      <w:tr w:rsidR="0047643F" w:rsidRPr="0047643F" w14:paraId="0E6605BE" w14:textId="77777777">
        <w:trPr>
          <w:jc w:val="center"/>
        </w:trPr>
        <w:tc>
          <w:tcPr>
            <w:tcW w:w="7653" w:type="dxa"/>
            <w:tcBorders>
              <w:left w:val="single" w:sz="4" w:space="0" w:color="auto"/>
              <w:bottom w:val="nil"/>
              <w:right w:val="single" w:sz="4" w:space="0" w:color="auto"/>
            </w:tcBorders>
            <w:shd w:val="clear" w:color="auto" w:fill="auto"/>
          </w:tcPr>
          <w:p w14:paraId="0FF6E96F" w14:textId="6E8BA086" w:rsidR="0047643F" w:rsidRPr="00621E65" w:rsidRDefault="0047643F" w:rsidP="0047643F">
            <w:pPr>
              <w:spacing w:after="120" w:line="240" w:lineRule="auto"/>
              <w:ind w:firstLine="567"/>
              <w:rPr>
                <w:lang w:val="fr-FR"/>
              </w:rPr>
            </w:pPr>
            <w:r w:rsidRPr="00621E65">
              <w:rPr>
                <w:lang w:val="fr-FR"/>
              </w:rPr>
              <w:t>Singapour a établi des liens étroits entre les transports et l’aménagement du territoire :</w:t>
            </w:r>
          </w:p>
        </w:tc>
      </w:tr>
      <w:tr w:rsidR="0047643F" w:rsidRPr="0047643F" w14:paraId="3FCB3534" w14:textId="77777777">
        <w:trPr>
          <w:jc w:val="center"/>
        </w:trPr>
        <w:tc>
          <w:tcPr>
            <w:tcW w:w="7653" w:type="dxa"/>
            <w:tcBorders>
              <w:left w:val="single" w:sz="4" w:space="0" w:color="auto"/>
              <w:bottom w:val="nil"/>
              <w:right w:val="single" w:sz="4" w:space="0" w:color="auto"/>
            </w:tcBorders>
            <w:shd w:val="clear" w:color="auto" w:fill="auto"/>
          </w:tcPr>
          <w:p w14:paraId="789323A4" w14:textId="7931D429" w:rsidR="0047643F" w:rsidRPr="00621E65" w:rsidRDefault="0047643F" w:rsidP="0047643F">
            <w:pPr>
              <w:pStyle w:val="Bullet1G"/>
              <w:tabs>
                <w:tab w:val="clear" w:pos="1701"/>
              </w:tabs>
              <w:ind w:left="568" w:right="0" w:hanging="284"/>
              <w:rPr>
                <w:lang w:val="fr-FR"/>
              </w:rPr>
            </w:pPr>
            <w:r w:rsidRPr="00621E65">
              <w:rPr>
                <w:lang w:val="fr-FR"/>
              </w:rPr>
              <w:t>Faire de la mobilité active, de la mobilité publique et de la mobilité partagée les modes de déplacement privilégiés ;</w:t>
            </w:r>
          </w:p>
        </w:tc>
      </w:tr>
      <w:tr w:rsidR="0047643F" w:rsidRPr="0047643F" w14:paraId="665C60AF" w14:textId="77777777">
        <w:trPr>
          <w:jc w:val="center"/>
        </w:trPr>
        <w:tc>
          <w:tcPr>
            <w:tcW w:w="7653" w:type="dxa"/>
            <w:tcBorders>
              <w:left w:val="single" w:sz="4" w:space="0" w:color="auto"/>
              <w:bottom w:val="nil"/>
              <w:right w:val="single" w:sz="4" w:space="0" w:color="auto"/>
            </w:tcBorders>
            <w:shd w:val="clear" w:color="auto" w:fill="auto"/>
          </w:tcPr>
          <w:p w14:paraId="3F09645F" w14:textId="491710AF" w:rsidR="0047643F" w:rsidRPr="00621E65" w:rsidRDefault="0047643F" w:rsidP="0047643F">
            <w:pPr>
              <w:pStyle w:val="Bullet1G"/>
              <w:tabs>
                <w:tab w:val="clear" w:pos="1701"/>
              </w:tabs>
              <w:ind w:left="568" w:right="0" w:hanging="284"/>
              <w:rPr>
                <w:spacing w:val="-3"/>
                <w:lang w:val="fr-FR"/>
              </w:rPr>
            </w:pPr>
            <w:r w:rsidRPr="00621E65">
              <w:rPr>
                <w:spacing w:val="-3"/>
                <w:lang w:val="fr-FR"/>
              </w:rPr>
              <w:lastRenderedPageBreak/>
              <w:t>Mettre en place des « villes du quart d’heure » favorisant la marche, le vélo et les transports en commun ou partagés, et des « villes des trois quarts d’heure » (principalement pour les trajets domicile-travail) dotées de systèmes de transport public ;</w:t>
            </w:r>
          </w:p>
        </w:tc>
      </w:tr>
      <w:tr w:rsidR="0047643F" w:rsidRPr="0047643F" w14:paraId="75105491" w14:textId="77777777">
        <w:trPr>
          <w:jc w:val="center"/>
        </w:trPr>
        <w:tc>
          <w:tcPr>
            <w:tcW w:w="7653" w:type="dxa"/>
            <w:tcBorders>
              <w:left w:val="single" w:sz="4" w:space="0" w:color="auto"/>
              <w:bottom w:val="nil"/>
              <w:right w:val="single" w:sz="4" w:space="0" w:color="auto"/>
            </w:tcBorders>
            <w:shd w:val="clear" w:color="auto" w:fill="auto"/>
          </w:tcPr>
          <w:p w14:paraId="128435CA" w14:textId="53F731FF" w:rsidR="0047643F" w:rsidRPr="00621E65" w:rsidRDefault="0047643F" w:rsidP="0047643F">
            <w:pPr>
              <w:pStyle w:val="Bullet1G"/>
              <w:tabs>
                <w:tab w:val="clear" w:pos="1701"/>
              </w:tabs>
              <w:ind w:left="568" w:right="0" w:hanging="284"/>
              <w:rPr>
                <w:lang w:val="fr-FR"/>
              </w:rPr>
            </w:pPr>
            <w:r w:rsidRPr="00621E65">
              <w:rPr>
                <w:lang w:val="fr-FR"/>
              </w:rPr>
              <w:t>Développer le réseau de mobilité active ;</w:t>
            </w:r>
          </w:p>
        </w:tc>
      </w:tr>
      <w:tr w:rsidR="0047643F" w:rsidRPr="0047643F" w14:paraId="009F757A" w14:textId="77777777">
        <w:trPr>
          <w:jc w:val="center"/>
        </w:trPr>
        <w:tc>
          <w:tcPr>
            <w:tcW w:w="7653" w:type="dxa"/>
            <w:tcBorders>
              <w:left w:val="single" w:sz="4" w:space="0" w:color="auto"/>
              <w:bottom w:val="nil"/>
              <w:right w:val="single" w:sz="4" w:space="0" w:color="auto"/>
            </w:tcBorders>
            <w:shd w:val="clear" w:color="auto" w:fill="auto"/>
          </w:tcPr>
          <w:p w14:paraId="29D58D6E" w14:textId="27040670" w:rsidR="0047643F" w:rsidRPr="00621E65" w:rsidRDefault="0047643F" w:rsidP="0047643F">
            <w:pPr>
              <w:pStyle w:val="Bullet1G"/>
              <w:tabs>
                <w:tab w:val="clear" w:pos="1701"/>
              </w:tabs>
              <w:ind w:left="568" w:right="0" w:hanging="284"/>
              <w:rPr>
                <w:spacing w:val="-2"/>
                <w:lang w:val="fr-FR"/>
              </w:rPr>
            </w:pPr>
            <w:r w:rsidRPr="00621E65">
              <w:rPr>
                <w:spacing w:val="-2"/>
                <w:lang w:val="fr-FR"/>
              </w:rPr>
              <w:t>Développer et améliorer les systèmes de transport public de masse et de transport partagé ;</w:t>
            </w:r>
          </w:p>
        </w:tc>
      </w:tr>
      <w:tr w:rsidR="0047643F" w14:paraId="66B654DE" w14:textId="77777777">
        <w:trPr>
          <w:jc w:val="center"/>
        </w:trPr>
        <w:tc>
          <w:tcPr>
            <w:tcW w:w="7653" w:type="dxa"/>
            <w:tcBorders>
              <w:left w:val="single" w:sz="4" w:space="0" w:color="auto"/>
              <w:bottom w:val="nil"/>
              <w:right w:val="single" w:sz="4" w:space="0" w:color="auto"/>
            </w:tcBorders>
            <w:shd w:val="clear" w:color="auto" w:fill="auto"/>
          </w:tcPr>
          <w:p w14:paraId="1FA3B729" w14:textId="298306E4" w:rsidR="0047643F" w:rsidRPr="00621E65" w:rsidRDefault="0047643F" w:rsidP="0047643F">
            <w:pPr>
              <w:pStyle w:val="Bullet1G"/>
              <w:tabs>
                <w:tab w:val="clear" w:pos="1701"/>
              </w:tabs>
              <w:ind w:left="568" w:right="0" w:hanging="284"/>
              <w:rPr>
                <w:lang w:val="fr-FR"/>
              </w:rPr>
            </w:pPr>
            <w:r w:rsidRPr="00621E65">
              <w:rPr>
                <w:lang w:val="fr-FR"/>
              </w:rPr>
              <w:t>Promouvoir les véhicules à émission zéro et faire diminuer progressivement la commercialisation de véhicules à moteur à combustion interne jusqu’à l’arrêt complet en 2040.</w:t>
            </w:r>
          </w:p>
        </w:tc>
      </w:tr>
      <w:tr w:rsidR="0047643F" w14:paraId="3C20B1E2"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1BFC60F7" w14:textId="77777777" w:rsidR="0047643F" w:rsidRDefault="0047643F"/>
        </w:tc>
      </w:tr>
    </w:tbl>
    <w:p w14:paraId="203DCCD4" w14:textId="37BD6FA1" w:rsidR="00D86611" w:rsidRPr="00F20792" w:rsidRDefault="0016543E" w:rsidP="00EF6A7F">
      <w:pPr>
        <w:pStyle w:val="H23G"/>
        <w:rPr>
          <w:lang w:val="fr-FR"/>
        </w:rPr>
      </w:pPr>
      <w:r>
        <w:rPr>
          <w:bCs/>
          <w:lang w:val="fr-FR"/>
        </w:rPr>
        <w:tab/>
      </w:r>
      <w:r w:rsidR="00D86611">
        <w:rPr>
          <w:bCs/>
          <w:lang w:val="fr-FR"/>
        </w:rPr>
        <w:t>c)</w:t>
      </w:r>
      <w:r w:rsidR="00D86611">
        <w:rPr>
          <w:lang w:val="fr-FR"/>
        </w:rPr>
        <w:tab/>
      </w:r>
      <w:r w:rsidR="00D86611">
        <w:rPr>
          <w:bCs/>
          <w:lang w:val="fr-FR"/>
        </w:rPr>
        <w:t>Europe</w:t>
      </w:r>
    </w:p>
    <w:p w14:paraId="7DE79DB4" w14:textId="058C2ED8" w:rsidR="00D86611" w:rsidRPr="00F20792" w:rsidRDefault="00D86611" w:rsidP="00D86611">
      <w:pPr>
        <w:pStyle w:val="SingleTxtG"/>
        <w:rPr>
          <w:lang w:val="fr-FR"/>
        </w:rPr>
      </w:pPr>
      <w:r>
        <w:rPr>
          <w:lang w:val="fr-FR"/>
        </w:rPr>
        <w:t>11.</w:t>
      </w:r>
      <w:r>
        <w:rPr>
          <w:lang w:val="fr-FR"/>
        </w:rPr>
        <w:tab/>
        <w:t>En Europe, l’Union européenne (UE) a soumis en 2020 au nom de ses 27</w:t>
      </w:r>
      <w:r w:rsidR="00EF6A7F">
        <w:rPr>
          <w:lang w:val="fr-FR"/>
        </w:rPr>
        <w:t> </w:t>
      </w:r>
      <w:r>
        <w:rPr>
          <w:lang w:val="fr-FR"/>
        </w:rPr>
        <w:t>États membres une CDN de deuxième génération, dans laquelle sont définis des objectifs contraignants en matière d’émissions de CO</w:t>
      </w:r>
      <w:r w:rsidR="00CA5014" w:rsidRPr="00CA5014">
        <w:rPr>
          <w:vertAlign w:val="subscript"/>
          <w:lang w:val="fr-FR"/>
        </w:rPr>
        <w:t>2</w:t>
      </w:r>
      <w:r>
        <w:rPr>
          <w:lang w:val="fr-FR"/>
        </w:rPr>
        <w:t xml:space="preserve"> dues aux transports routiers à l’horizon 2030</w:t>
      </w:r>
      <w:r w:rsidR="00EF6A7F">
        <w:rPr>
          <w:rStyle w:val="Appelnotedebasdep"/>
        </w:rPr>
        <w:footnoteReference w:id="10"/>
      </w:r>
      <w:r>
        <w:rPr>
          <w:lang w:val="fr-FR"/>
        </w:rPr>
        <w:t>.</w:t>
      </w:r>
    </w:p>
    <w:p w14:paraId="399A078A" w14:textId="79703E30" w:rsidR="00D86611" w:rsidRPr="00F20792" w:rsidRDefault="0016543E" w:rsidP="00D86611">
      <w:pPr>
        <w:pStyle w:val="H23G"/>
        <w:rPr>
          <w:lang w:val="fr-FR"/>
        </w:rPr>
      </w:pPr>
      <w:r>
        <w:rPr>
          <w:bCs/>
          <w:lang w:val="fr-FR"/>
        </w:rPr>
        <w:tab/>
      </w:r>
      <w:r w:rsidR="00D86611">
        <w:rPr>
          <w:bCs/>
          <w:lang w:val="fr-FR"/>
        </w:rPr>
        <w:t>d)</w:t>
      </w:r>
      <w:r w:rsidR="00D86611">
        <w:rPr>
          <w:lang w:val="fr-FR"/>
        </w:rPr>
        <w:tab/>
      </w:r>
      <w:r w:rsidR="00D86611">
        <w:rPr>
          <w:bCs/>
          <w:lang w:val="fr-FR"/>
        </w:rPr>
        <w:t>Amérique latine et Caraïbes</w:t>
      </w:r>
    </w:p>
    <w:p w14:paraId="65200A6E" w14:textId="75F7AE48" w:rsidR="00D86611" w:rsidRDefault="00D86611" w:rsidP="00D86611">
      <w:pPr>
        <w:pStyle w:val="SingleTxtG"/>
        <w:spacing w:after="240"/>
        <w:rPr>
          <w:lang w:val="fr-FR"/>
        </w:rPr>
      </w:pPr>
      <w:r>
        <w:rPr>
          <w:lang w:val="fr-FR"/>
        </w:rPr>
        <w:t>12.</w:t>
      </w:r>
      <w:r>
        <w:rPr>
          <w:lang w:val="fr-FR"/>
        </w:rPr>
        <w:tab/>
        <w:t>Presque tous les pays (90</w:t>
      </w:r>
      <w:r w:rsidR="00EF6A7F">
        <w:rPr>
          <w:lang w:val="fr-FR"/>
        </w:rPr>
        <w:t> </w:t>
      </w:r>
      <w:r>
        <w:rPr>
          <w:lang w:val="fr-FR"/>
        </w:rPr>
        <w:t>%) d’Amérique latine et des Caraïbes ont soumis une CDN de deuxième génération, tandis que seulement 20</w:t>
      </w:r>
      <w:r w:rsidR="00780216">
        <w:rPr>
          <w:lang w:val="fr-FR"/>
        </w:rPr>
        <w:t> %</w:t>
      </w:r>
      <w:r>
        <w:rPr>
          <w:lang w:val="fr-FR"/>
        </w:rPr>
        <w:t xml:space="preserve"> ont présenté des stratégies à long terme. Au niveau mondial, ce sont les pays de cette région qui associent le plus étroitement énergies renouvelables et transports, puisque près de 12</w:t>
      </w:r>
      <w:r w:rsidR="00780216">
        <w:rPr>
          <w:lang w:val="fr-FR"/>
        </w:rPr>
        <w:t> %</w:t>
      </w:r>
      <w:r>
        <w:rPr>
          <w:lang w:val="fr-FR"/>
        </w:rPr>
        <w:t xml:space="preserve"> des actions figurant dans leurs CDN prévoient l’utilisation de carburants de remplacement. Quatre pays (Belize, Dominique, El</w:t>
      </w:r>
      <w:r w:rsidR="00EF6A7F">
        <w:rPr>
          <w:lang w:val="fr-FR"/>
        </w:rPr>
        <w:t> </w:t>
      </w:r>
      <w:r>
        <w:rPr>
          <w:lang w:val="fr-FR"/>
        </w:rPr>
        <w:t>Salvador et Grenade) ont également inclus des objectifs de réduction des émissions de GES dues aux transports. Huit pays (Antigua-et-Barbuda, Barbade, Bolivie (État plurinational de), Chili, Colombie, Costa Rica, Dominique et Panama) y ont en outre inclus des objectifs en matière d’e-mobilité (voir annexe</w:t>
      </w:r>
      <w:r w:rsidR="00EF6A7F">
        <w:rPr>
          <w:lang w:val="fr-FR"/>
        </w:rPr>
        <w:t> </w:t>
      </w:r>
      <w:r>
        <w:rPr>
          <w:lang w:val="fr-FR"/>
        </w:rPr>
        <w:t>III)</w:t>
      </w:r>
      <w:r w:rsidR="00EF6A7F">
        <w:rPr>
          <w:rStyle w:val="Appelnotedebasdep"/>
        </w:rPr>
        <w:footnoteReference w:id="11"/>
      </w:r>
      <w:r>
        <w:rPr>
          <w:lang w:val="fr-FR"/>
        </w:rPr>
        <w:t>.</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621E65" w14:paraId="65E999A0" w14:textId="77777777" w:rsidTr="000B1E2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1CF7B50E" w14:textId="77777777" w:rsidR="00621E65" w:rsidRDefault="00621E65" w:rsidP="000B1E26"/>
        </w:tc>
      </w:tr>
      <w:tr w:rsidR="00621E65" w:rsidRPr="0047643F" w14:paraId="10709B56" w14:textId="77777777" w:rsidTr="000B1E26">
        <w:trPr>
          <w:jc w:val="center"/>
        </w:trPr>
        <w:tc>
          <w:tcPr>
            <w:tcW w:w="7653" w:type="dxa"/>
            <w:tcBorders>
              <w:left w:val="single" w:sz="4" w:space="0" w:color="auto"/>
              <w:bottom w:val="nil"/>
              <w:right w:val="single" w:sz="4" w:space="0" w:color="auto"/>
            </w:tcBorders>
            <w:shd w:val="clear" w:color="auto" w:fill="auto"/>
          </w:tcPr>
          <w:p w14:paraId="4DB76A2A" w14:textId="43A9CC61" w:rsidR="00621E65" w:rsidRPr="00621E65" w:rsidRDefault="00621E65" w:rsidP="000B1E26">
            <w:pPr>
              <w:spacing w:after="120" w:line="240" w:lineRule="auto"/>
              <w:rPr>
                <w:lang w:val="fr-FR"/>
              </w:rPr>
            </w:pPr>
            <w:r w:rsidRPr="00621E65">
              <w:rPr>
                <w:lang w:val="fr-FR"/>
              </w:rPr>
              <w:t xml:space="preserve">Encadré </w:t>
            </w:r>
            <w:r>
              <w:rPr>
                <w:lang w:val="fr-FR"/>
              </w:rPr>
              <w:t>2</w:t>
            </w:r>
            <w:r w:rsidRPr="00621E65">
              <w:rPr>
                <w:lang w:val="fr-FR"/>
              </w:rPr>
              <w:t xml:space="preserve"> </w:t>
            </w:r>
            <w:r w:rsidRPr="00621E65">
              <w:rPr>
                <w:lang w:val="fr-FR"/>
              </w:rPr>
              <w:br/>
            </w:r>
            <w:r>
              <w:rPr>
                <w:b/>
                <w:bCs/>
                <w:lang w:val="fr-FR"/>
              </w:rPr>
              <w:t>CDN actualisée de la Colombie</w:t>
            </w:r>
            <w:r w:rsidRPr="00EF6A7F">
              <w:rPr>
                <w:rStyle w:val="Appelnotedebasdep"/>
              </w:rPr>
              <w:footnoteReference w:id="12"/>
            </w:r>
          </w:p>
        </w:tc>
      </w:tr>
      <w:tr w:rsidR="00621E65" w:rsidRPr="0047643F" w14:paraId="711D43AA" w14:textId="77777777" w:rsidTr="000B1E26">
        <w:trPr>
          <w:jc w:val="center"/>
        </w:trPr>
        <w:tc>
          <w:tcPr>
            <w:tcW w:w="7653" w:type="dxa"/>
            <w:tcBorders>
              <w:left w:val="single" w:sz="4" w:space="0" w:color="auto"/>
              <w:bottom w:val="nil"/>
              <w:right w:val="single" w:sz="4" w:space="0" w:color="auto"/>
            </w:tcBorders>
            <w:shd w:val="clear" w:color="auto" w:fill="auto"/>
          </w:tcPr>
          <w:p w14:paraId="4B03F00F" w14:textId="06181D59" w:rsidR="00621E65" w:rsidRPr="00621E65" w:rsidRDefault="00621E65" w:rsidP="00621E65">
            <w:pPr>
              <w:pStyle w:val="SingleTxtG"/>
              <w:ind w:left="0" w:right="0" w:firstLine="567"/>
              <w:rPr>
                <w:lang w:val="fr-FR"/>
              </w:rPr>
            </w:pPr>
            <w:r>
              <w:rPr>
                <w:lang w:val="fr-FR"/>
              </w:rPr>
              <w:t>La CDN actualisée de la Colombie comporte une série de mesures d’atténuation dans le domaine des transports qui peuvent être associées aux composantes « éviter », « changer » et « améliorer ». L’objectif est d’améliorer la planification urbaine en aménageant des villes compactes à taille humaine privilégiant la proximité. Un tel paradigme favorisera les transports publics et des déplacements à pied ou à vélo. Des stratégies d’optimisation de la logistique et la mise en place de normes d’émission permettront de faire diminuer les émissions dues au transport de marchandises. La Colombie envisage d’améliorer la navigabilité des principaux cours d’eau afin de faire transiter les marchandises par les voies de navigation intérieure plutôt que par la route. Le pays adopte une approche globale fondée sur des cadres réglementaires et financiers favorables à la mobilité électrique. La CDN fixe un objectif de 600 000 véhicules électriques (bus, taxis, camions et flottes des administrations) d’ici à 2030.</w:t>
            </w:r>
          </w:p>
        </w:tc>
      </w:tr>
      <w:tr w:rsidR="00621E65" w14:paraId="77BAD3DF" w14:textId="77777777" w:rsidTr="000B1E2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74262DE0" w14:textId="77777777" w:rsidR="00621E65" w:rsidRDefault="00621E65" w:rsidP="000B1E26"/>
        </w:tc>
      </w:tr>
    </w:tbl>
    <w:p w14:paraId="6AB09630" w14:textId="66336B9D" w:rsidR="00D86611" w:rsidRPr="00F20792" w:rsidRDefault="00EF6A7F" w:rsidP="00EF6A7F">
      <w:pPr>
        <w:pStyle w:val="H23G"/>
        <w:spacing w:before="220" w:after="100"/>
        <w:rPr>
          <w:lang w:val="fr-FR"/>
        </w:rPr>
      </w:pPr>
      <w:r>
        <w:rPr>
          <w:bCs/>
          <w:lang w:val="fr-FR"/>
        </w:rPr>
        <w:lastRenderedPageBreak/>
        <w:tab/>
      </w:r>
      <w:r w:rsidR="00D86611">
        <w:rPr>
          <w:bCs/>
          <w:lang w:val="fr-FR"/>
        </w:rPr>
        <w:t>e)</w:t>
      </w:r>
      <w:r w:rsidR="00D86611">
        <w:rPr>
          <w:lang w:val="fr-FR"/>
        </w:rPr>
        <w:tab/>
      </w:r>
      <w:r w:rsidR="00D86611">
        <w:rPr>
          <w:bCs/>
          <w:lang w:val="fr-FR"/>
        </w:rPr>
        <w:t>Amérique du Nord</w:t>
      </w:r>
    </w:p>
    <w:p w14:paraId="137EA0F5" w14:textId="5769D195" w:rsidR="00D86611" w:rsidRPr="00F20792" w:rsidRDefault="00D86611" w:rsidP="00EF6A7F">
      <w:pPr>
        <w:pStyle w:val="SingleTxtG"/>
        <w:spacing w:after="100"/>
        <w:rPr>
          <w:lang w:val="fr-FR"/>
        </w:rPr>
      </w:pPr>
      <w:r>
        <w:rPr>
          <w:lang w:val="fr-FR"/>
        </w:rPr>
        <w:t>13</w:t>
      </w:r>
      <w:r w:rsidRPr="00EF6A7F">
        <w:rPr>
          <w:spacing w:val="-2"/>
          <w:lang w:val="fr-FR"/>
        </w:rPr>
        <w:t>.</w:t>
      </w:r>
      <w:r w:rsidRPr="00EF6A7F">
        <w:rPr>
          <w:spacing w:val="-2"/>
          <w:lang w:val="fr-FR"/>
        </w:rPr>
        <w:tab/>
        <w:t>Dans leur CDN, les États-Unis d’Amérique se sont fixé l’objectif de réduire d’ici à 2030 les émissions de l’ensemble de l’économie de 50 à 52</w:t>
      </w:r>
      <w:r w:rsidR="00780216" w:rsidRPr="00EF6A7F">
        <w:rPr>
          <w:spacing w:val="-2"/>
          <w:lang w:val="fr-FR"/>
        </w:rPr>
        <w:t> %</w:t>
      </w:r>
      <w:r w:rsidRPr="00EF6A7F">
        <w:rPr>
          <w:spacing w:val="-2"/>
          <w:lang w:val="fr-FR"/>
        </w:rPr>
        <w:t xml:space="preserve"> par rapport aux niveaux de 2005</w:t>
      </w:r>
      <w:r w:rsidR="00EF6A7F" w:rsidRPr="00EF6A7F">
        <w:rPr>
          <w:rStyle w:val="Appelnotedebasdep"/>
          <w:spacing w:val="-2"/>
        </w:rPr>
        <w:footnoteReference w:id="13"/>
      </w:r>
      <w:r w:rsidRPr="00EF6A7F">
        <w:rPr>
          <w:spacing w:val="-2"/>
          <w:lang w:val="fr-FR"/>
        </w:rPr>
        <w:t>. Le</w:t>
      </w:r>
      <w:r w:rsidR="00CA5014">
        <w:rPr>
          <w:spacing w:val="-2"/>
          <w:lang w:val="fr-FR"/>
        </w:rPr>
        <w:t> </w:t>
      </w:r>
      <w:r w:rsidRPr="00EF6A7F">
        <w:rPr>
          <w:spacing w:val="-2"/>
          <w:lang w:val="fr-FR"/>
        </w:rPr>
        <w:t>Canada vise quant à lui un objectif relativement proche (une réduction de 40 à 45</w:t>
      </w:r>
      <w:r w:rsidR="00780216" w:rsidRPr="00EF6A7F">
        <w:rPr>
          <w:spacing w:val="-2"/>
          <w:lang w:val="fr-FR"/>
        </w:rPr>
        <w:t> %</w:t>
      </w:r>
      <w:r w:rsidRPr="00EF6A7F">
        <w:rPr>
          <w:spacing w:val="-2"/>
          <w:lang w:val="fr-FR"/>
        </w:rPr>
        <w:t>)</w:t>
      </w:r>
      <w:r w:rsidR="00EF6A7F" w:rsidRPr="00EF6A7F">
        <w:rPr>
          <w:rStyle w:val="Appelnotedebasdep"/>
          <w:spacing w:val="-2"/>
        </w:rPr>
        <w:footnoteReference w:id="14"/>
      </w:r>
      <w:r w:rsidRPr="00EF6A7F">
        <w:rPr>
          <w:spacing w:val="-2"/>
          <w:lang w:val="fr-FR"/>
        </w:rPr>
        <w:t>.</w:t>
      </w:r>
      <w:r>
        <w:rPr>
          <w:lang w:val="fr-FR"/>
        </w:rPr>
        <w:t xml:space="preserve"> </w:t>
      </w:r>
    </w:p>
    <w:p w14:paraId="7BF19198" w14:textId="6CAEE4BC" w:rsidR="00D86611" w:rsidRPr="00F20792" w:rsidRDefault="00EF6A7F" w:rsidP="00EF6A7F">
      <w:pPr>
        <w:pStyle w:val="H23G"/>
        <w:spacing w:before="220" w:after="100"/>
        <w:rPr>
          <w:lang w:val="fr-FR"/>
        </w:rPr>
      </w:pPr>
      <w:r>
        <w:rPr>
          <w:bCs/>
          <w:lang w:val="fr-FR"/>
        </w:rPr>
        <w:tab/>
      </w:r>
      <w:r w:rsidR="00D86611">
        <w:rPr>
          <w:bCs/>
          <w:lang w:val="fr-FR"/>
        </w:rPr>
        <w:t>f)</w:t>
      </w:r>
      <w:r w:rsidR="00D86611">
        <w:rPr>
          <w:lang w:val="fr-FR"/>
        </w:rPr>
        <w:tab/>
      </w:r>
      <w:r w:rsidR="00D86611">
        <w:rPr>
          <w:bCs/>
          <w:lang w:val="fr-FR"/>
        </w:rPr>
        <w:t>Océanie</w:t>
      </w:r>
    </w:p>
    <w:p w14:paraId="7D6B7611" w14:textId="72238549" w:rsidR="00D86611" w:rsidRPr="00F20792" w:rsidRDefault="00D86611" w:rsidP="00EF6A7F">
      <w:pPr>
        <w:pStyle w:val="SingleTxtG"/>
        <w:spacing w:after="100"/>
        <w:rPr>
          <w:vertAlign w:val="superscript"/>
          <w:lang w:val="fr-FR"/>
        </w:rPr>
      </w:pPr>
      <w:r>
        <w:rPr>
          <w:lang w:val="fr-FR"/>
        </w:rPr>
        <w:t>14.</w:t>
      </w:r>
      <w:r>
        <w:rPr>
          <w:lang w:val="fr-FR"/>
        </w:rPr>
        <w:tab/>
        <w:t xml:space="preserve">Les pays de l’Océanie proposent dans leur CDN un large éventail d’activités d’atténuation des changements climatiques et d’adaptation à ces changements. Le Samoa est le seul pays de la région à avoir soumis une CDN de deuxième génération comportant un objectif d’atténuation des émissions de GES dues aux transports. À la fin de l’année 2022, seuls cinq pays de la </w:t>
      </w:r>
      <w:r w:rsidRPr="00EF6A7F">
        <w:rPr>
          <w:spacing w:val="-2"/>
          <w:lang w:val="fr-FR"/>
        </w:rPr>
        <w:t>région</w:t>
      </w:r>
      <w:r>
        <w:rPr>
          <w:lang w:val="fr-FR"/>
        </w:rPr>
        <w:t xml:space="preserve"> (Australie, Fidji, Îles Marshall, Nouvelle-Zélande et Tonga), soit 33</w:t>
      </w:r>
      <w:r w:rsidR="00780216">
        <w:rPr>
          <w:lang w:val="fr-FR"/>
        </w:rPr>
        <w:t> %</w:t>
      </w:r>
      <w:r>
        <w:rPr>
          <w:lang w:val="fr-FR"/>
        </w:rPr>
        <w:t>, avaient soumis des stratégies à long terme au titre de l’Accord de Paris</w:t>
      </w:r>
      <w:r w:rsidR="00EF6A7F">
        <w:rPr>
          <w:rStyle w:val="Appelnotedebasdep"/>
        </w:rPr>
        <w:footnoteReference w:id="15"/>
      </w:r>
      <w:r>
        <w:rPr>
          <w:lang w:val="fr-FR"/>
        </w:rPr>
        <w:t>.</w:t>
      </w:r>
    </w:p>
    <w:p w14:paraId="1E9D6223" w14:textId="0C89F68A" w:rsidR="00D86611" w:rsidRPr="00F20792" w:rsidRDefault="00EF6A7F" w:rsidP="00EF6A7F">
      <w:pPr>
        <w:pStyle w:val="H23G"/>
        <w:spacing w:before="220" w:after="100"/>
        <w:rPr>
          <w:lang w:val="fr-FR"/>
        </w:rPr>
      </w:pPr>
      <w:r>
        <w:rPr>
          <w:bCs/>
          <w:lang w:val="fr-FR"/>
        </w:rPr>
        <w:tab/>
      </w:r>
      <w:r w:rsidR="00D86611">
        <w:rPr>
          <w:bCs/>
          <w:lang w:val="fr-FR"/>
        </w:rPr>
        <w:t>g)</w:t>
      </w:r>
      <w:r w:rsidR="00D86611">
        <w:rPr>
          <w:lang w:val="fr-FR"/>
        </w:rPr>
        <w:tab/>
      </w:r>
      <w:r w:rsidR="00D86611">
        <w:rPr>
          <w:bCs/>
          <w:lang w:val="fr-FR"/>
        </w:rPr>
        <w:t xml:space="preserve">Pratiques axées sur les composantes </w:t>
      </w:r>
      <w:r w:rsidR="00780216">
        <w:rPr>
          <w:bCs/>
          <w:lang w:val="fr-FR"/>
        </w:rPr>
        <w:t>« </w:t>
      </w:r>
      <w:r w:rsidR="00D86611">
        <w:rPr>
          <w:bCs/>
          <w:lang w:val="fr-FR"/>
        </w:rPr>
        <w:t>éviter</w:t>
      </w:r>
      <w:r w:rsidR="00780216">
        <w:rPr>
          <w:bCs/>
          <w:lang w:val="fr-FR"/>
        </w:rPr>
        <w:t> »</w:t>
      </w:r>
      <w:r w:rsidR="00D86611">
        <w:rPr>
          <w:bCs/>
          <w:lang w:val="fr-FR"/>
        </w:rPr>
        <w:t xml:space="preserve">, </w:t>
      </w:r>
      <w:r w:rsidR="00780216">
        <w:rPr>
          <w:bCs/>
          <w:lang w:val="fr-FR"/>
        </w:rPr>
        <w:t>« </w:t>
      </w:r>
      <w:r w:rsidR="00D86611">
        <w:rPr>
          <w:bCs/>
          <w:lang w:val="fr-FR"/>
        </w:rPr>
        <w:t>changer</w:t>
      </w:r>
      <w:r w:rsidR="00780216">
        <w:rPr>
          <w:bCs/>
          <w:lang w:val="fr-FR"/>
        </w:rPr>
        <w:t> »</w:t>
      </w:r>
      <w:r w:rsidR="00D86611">
        <w:rPr>
          <w:bCs/>
          <w:lang w:val="fr-FR"/>
        </w:rPr>
        <w:t xml:space="preserve"> et </w:t>
      </w:r>
      <w:r w:rsidR="00780216">
        <w:rPr>
          <w:bCs/>
          <w:lang w:val="fr-FR"/>
        </w:rPr>
        <w:t>« </w:t>
      </w:r>
      <w:r w:rsidR="00D86611">
        <w:rPr>
          <w:bCs/>
          <w:lang w:val="fr-FR"/>
        </w:rPr>
        <w:t>améliorer</w:t>
      </w:r>
      <w:r w:rsidR="00780216">
        <w:rPr>
          <w:bCs/>
          <w:lang w:val="fr-FR"/>
        </w:rPr>
        <w:t> »</w:t>
      </w:r>
      <w:r w:rsidR="00D86611">
        <w:rPr>
          <w:bCs/>
          <w:lang w:val="fr-FR"/>
        </w:rPr>
        <w:t xml:space="preserve"> figurant dans les CDN et les stratégies à long terme</w:t>
      </w:r>
    </w:p>
    <w:p w14:paraId="16CAAB37" w14:textId="5AFE90E5" w:rsidR="00D86611" w:rsidRPr="00F20792" w:rsidRDefault="00D86611" w:rsidP="00EF6A7F">
      <w:pPr>
        <w:pStyle w:val="SingleTxtG"/>
        <w:spacing w:after="100"/>
        <w:rPr>
          <w:lang w:val="fr-FR"/>
        </w:rPr>
      </w:pPr>
      <w:r>
        <w:rPr>
          <w:lang w:val="fr-FR"/>
        </w:rPr>
        <w:t>15.</w:t>
      </w:r>
      <w:r>
        <w:rPr>
          <w:lang w:val="fr-FR"/>
        </w:rPr>
        <w:tab/>
        <w:t xml:space="preserve">On trouvera ci-après des exemples illustrant chacune des trois composantes du cadre </w:t>
      </w:r>
      <w:r w:rsidR="00780216">
        <w:rPr>
          <w:lang w:val="fr-FR"/>
        </w:rPr>
        <w:t>« </w:t>
      </w:r>
      <w:r>
        <w:rPr>
          <w:lang w:val="fr-FR"/>
        </w:rPr>
        <w:t>éviter-changer-améliorer</w:t>
      </w:r>
      <w:r w:rsidR="00780216">
        <w:rPr>
          <w:lang w:val="fr-FR"/>
        </w:rPr>
        <w:t> »</w:t>
      </w:r>
      <w:r>
        <w:rPr>
          <w:lang w:val="fr-FR"/>
        </w:rPr>
        <w:t xml:space="preserve">. Ces exemples sont issus des stratégies à long terme et des CDN de deuxième génération qui ont été soumises. L’association des termes </w:t>
      </w:r>
      <w:r w:rsidR="00780216">
        <w:rPr>
          <w:lang w:val="fr-FR"/>
        </w:rPr>
        <w:t>« </w:t>
      </w:r>
      <w:r>
        <w:rPr>
          <w:lang w:val="fr-FR"/>
        </w:rPr>
        <w:t>éviter</w:t>
      </w:r>
      <w:r w:rsidR="00780216">
        <w:rPr>
          <w:lang w:val="fr-FR"/>
        </w:rPr>
        <w:t> »</w:t>
      </w:r>
      <w:r>
        <w:rPr>
          <w:lang w:val="fr-FR"/>
        </w:rPr>
        <w:t xml:space="preserve">, </w:t>
      </w:r>
      <w:r w:rsidR="00780216">
        <w:rPr>
          <w:lang w:val="fr-FR"/>
        </w:rPr>
        <w:t>« </w:t>
      </w:r>
      <w:r>
        <w:rPr>
          <w:lang w:val="fr-FR"/>
        </w:rPr>
        <w:t>changer</w:t>
      </w:r>
      <w:r w:rsidR="00780216">
        <w:rPr>
          <w:lang w:val="fr-FR"/>
        </w:rPr>
        <w:t> »</w:t>
      </w:r>
      <w:r>
        <w:rPr>
          <w:lang w:val="fr-FR"/>
        </w:rPr>
        <w:t xml:space="preserve"> et </w:t>
      </w:r>
      <w:r w:rsidR="00780216">
        <w:rPr>
          <w:lang w:val="fr-FR"/>
        </w:rPr>
        <w:t>« </w:t>
      </w:r>
      <w:r>
        <w:rPr>
          <w:lang w:val="fr-FR"/>
        </w:rPr>
        <w:t>améliorer</w:t>
      </w:r>
      <w:r w:rsidR="00780216">
        <w:rPr>
          <w:lang w:val="fr-FR"/>
        </w:rPr>
        <w:t> »</w:t>
      </w:r>
      <w:r>
        <w:rPr>
          <w:lang w:val="fr-FR"/>
        </w:rPr>
        <w:t xml:space="preserve"> </w:t>
      </w:r>
      <w:r w:rsidRPr="00EF6A7F">
        <w:rPr>
          <w:spacing w:val="-2"/>
          <w:lang w:val="fr-FR"/>
        </w:rPr>
        <w:t>dépend</w:t>
      </w:r>
      <w:r>
        <w:rPr>
          <w:lang w:val="fr-FR"/>
        </w:rPr>
        <w:t xml:space="preserve"> du contexte et de la manière dont ils sont énoncés dans le document d’orientation concerné.</w:t>
      </w:r>
    </w:p>
    <w:p w14:paraId="78170FEE" w14:textId="6D2A1D59" w:rsidR="00D86611" w:rsidRPr="00F20792" w:rsidRDefault="00EF6A7F" w:rsidP="00EF6A7F">
      <w:pPr>
        <w:pStyle w:val="H4G"/>
        <w:spacing w:before="200" w:after="100"/>
        <w:rPr>
          <w:lang w:val="fr-FR"/>
        </w:rPr>
      </w:pPr>
      <w:r>
        <w:rPr>
          <w:lang w:val="fr-FR"/>
        </w:rPr>
        <w:tab/>
      </w:r>
      <w:r w:rsidR="00D86611">
        <w:rPr>
          <w:lang w:val="fr-FR"/>
        </w:rPr>
        <w:t>i)</w:t>
      </w:r>
      <w:r w:rsidR="00D86611">
        <w:rPr>
          <w:lang w:val="fr-FR"/>
        </w:rPr>
        <w:tab/>
        <w:t xml:space="preserve">Actions de type </w:t>
      </w:r>
      <w:r w:rsidR="00780216">
        <w:rPr>
          <w:lang w:val="fr-FR"/>
        </w:rPr>
        <w:t>« </w:t>
      </w:r>
      <w:r w:rsidR="00D86611">
        <w:rPr>
          <w:lang w:val="fr-FR"/>
        </w:rPr>
        <w:t>éviter</w:t>
      </w:r>
      <w:r w:rsidR="00780216">
        <w:rPr>
          <w:lang w:val="fr-FR"/>
        </w:rPr>
        <w:t> »</w:t>
      </w:r>
    </w:p>
    <w:p w14:paraId="27CB0B15" w14:textId="1246D124" w:rsidR="00D86611" w:rsidRPr="00F20792" w:rsidRDefault="00D86611" w:rsidP="00EF6A7F">
      <w:pPr>
        <w:pStyle w:val="Bullet1G"/>
        <w:numPr>
          <w:ilvl w:val="0"/>
          <w:numId w:val="1"/>
        </w:numPr>
        <w:spacing w:after="100"/>
        <w:rPr>
          <w:lang w:val="fr-FR"/>
        </w:rPr>
      </w:pPr>
      <w:r>
        <w:rPr>
          <w:lang w:val="fr-FR"/>
        </w:rPr>
        <w:t>Stratégie à long terme du Chili : à tous les niveaux de gouvernement, les politiques d’aménagement du territoire tiendront compte des pratiques de mobilité à émissions faibles ou nulles, l’objectif étant d’améliorer l’accessibilité et de réduire les temps et les distances de déplacement.</w:t>
      </w:r>
    </w:p>
    <w:p w14:paraId="3374F494" w14:textId="32DDF6BB" w:rsidR="00D86611" w:rsidRPr="00F20792" w:rsidRDefault="00D86611" w:rsidP="00EF6A7F">
      <w:pPr>
        <w:pStyle w:val="Bullet1G"/>
        <w:numPr>
          <w:ilvl w:val="0"/>
          <w:numId w:val="1"/>
        </w:numPr>
        <w:spacing w:after="100"/>
        <w:rPr>
          <w:lang w:val="fr-FR"/>
        </w:rPr>
      </w:pPr>
      <w:r>
        <w:rPr>
          <w:lang w:val="fr-FR"/>
        </w:rPr>
        <w:t>Stratégie à long terme de la France : il s’agit de développer des zones urbaines à haute densité bien desservies. L’utilisation mixte des sols doit permettre d’éviter l’étalement urbain. Il faudra encourager de nouvelles méthodes de travail en tenant compte de l’évolution des habitudes de déplacement.</w:t>
      </w:r>
    </w:p>
    <w:p w14:paraId="28D7A457" w14:textId="30B88BFE" w:rsidR="00D86611" w:rsidRPr="00F20792" w:rsidRDefault="00D86611" w:rsidP="00EF6A7F">
      <w:pPr>
        <w:pStyle w:val="Bullet1G"/>
        <w:numPr>
          <w:ilvl w:val="0"/>
          <w:numId w:val="1"/>
        </w:numPr>
        <w:spacing w:after="100"/>
        <w:rPr>
          <w:lang w:val="fr-FR"/>
        </w:rPr>
      </w:pPr>
      <w:r>
        <w:rPr>
          <w:lang w:val="fr-FR"/>
        </w:rPr>
        <w:t>CDN actualisée de Singapour : l’objectif sera de minimiser les besoins de se déplacer et de réduire les distances et les temps de trajet. Les modalités de financement seront adaptées pour que les usagers de la route payent en fonction de leurs déplacements ; une taxe carbone sera mise en place</w:t>
      </w:r>
      <w:r w:rsidRPr="004F5DC7">
        <w:rPr>
          <w:lang w:val="fr-FR"/>
        </w:rPr>
        <w:t xml:space="preserve"> </w:t>
      </w:r>
      <w:r>
        <w:rPr>
          <w:lang w:val="fr-FR"/>
        </w:rPr>
        <w:t>sur les carburants, et la gestion du stationnement sera améliorée.</w:t>
      </w:r>
    </w:p>
    <w:p w14:paraId="73C85786" w14:textId="257E2DA9" w:rsidR="00D86611" w:rsidRPr="00F20792" w:rsidRDefault="00EF6A7F" w:rsidP="00EF6A7F">
      <w:pPr>
        <w:pStyle w:val="H4G"/>
        <w:spacing w:before="200" w:after="100"/>
        <w:rPr>
          <w:lang w:val="fr-FR"/>
        </w:rPr>
      </w:pPr>
      <w:r>
        <w:rPr>
          <w:iCs/>
          <w:lang w:val="fr-FR"/>
        </w:rPr>
        <w:tab/>
      </w:r>
      <w:r w:rsidR="00D86611">
        <w:rPr>
          <w:iCs/>
          <w:lang w:val="fr-FR"/>
        </w:rPr>
        <w:t>ii)</w:t>
      </w:r>
      <w:r w:rsidR="00D86611">
        <w:rPr>
          <w:lang w:val="fr-FR"/>
        </w:rPr>
        <w:tab/>
      </w:r>
      <w:r w:rsidR="00D86611">
        <w:rPr>
          <w:iCs/>
          <w:lang w:val="fr-FR"/>
        </w:rPr>
        <w:t xml:space="preserve">Actions </w:t>
      </w:r>
      <w:r w:rsidR="00D86611" w:rsidRPr="00EF6A7F">
        <w:rPr>
          <w:lang w:val="fr-FR"/>
        </w:rPr>
        <w:t>de</w:t>
      </w:r>
      <w:r w:rsidR="00D86611">
        <w:rPr>
          <w:iCs/>
          <w:lang w:val="fr-FR"/>
        </w:rPr>
        <w:t xml:space="preserve"> type </w:t>
      </w:r>
      <w:r w:rsidR="00780216">
        <w:rPr>
          <w:iCs/>
          <w:lang w:val="fr-FR"/>
        </w:rPr>
        <w:t>« </w:t>
      </w:r>
      <w:r w:rsidR="00D86611">
        <w:rPr>
          <w:iCs/>
          <w:lang w:val="fr-FR"/>
        </w:rPr>
        <w:t>changer</w:t>
      </w:r>
      <w:r w:rsidR="00780216">
        <w:rPr>
          <w:iCs/>
          <w:lang w:val="fr-FR"/>
        </w:rPr>
        <w:t> »</w:t>
      </w:r>
    </w:p>
    <w:p w14:paraId="67D2992D" w14:textId="11B4D857" w:rsidR="00D86611" w:rsidRPr="00F20792" w:rsidRDefault="00D86611" w:rsidP="00EF6A7F">
      <w:pPr>
        <w:pStyle w:val="Bullet1G"/>
        <w:numPr>
          <w:ilvl w:val="0"/>
          <w:numId w:val="1"/>
        </w:numPr>
        <w:spacing w:after="100"/>
        <w:rPr>
          <w:lang w:val="fr-FR"/>
        </w:rPr>
      </w:pPr>
      <w:r>
        <w:rPr>
          <w:lang w:val="fr-FR"/>
        </w:rPr>
        <w:t>Stratégie à long terme de l’Éthiopie : augmenter la part du ferroviaire dans le transport de marchandises et de passagers. Il s’agira également d’améliorer les transports publics et d’encourager les déplacements à pied ou à vélo grâce à de nouveaux services et à la construction d’infrastructures réservées à cet effet.</w:t>
      </w:r>
    </w:p>
    <w:p w14:paraId="154B49F6" w14:textId="5B207371" w:rsidR="00D86611" w:rsidRPr="00F20792" w:rsidRDefault="00D86611" w:rsidP="00EF6A7F">
      <w:pPr>
        <w:pStyle w:val="Bullet1G"/>
        <w:numPr>
          <w:ilvl w:val="0"/>
          <w:numId w:val="1"/>
        </w:numPr>
        <w:spacing w:after="100"/>
        <w:rPr>
          <w:lang w:val="fr-FR"/>
        </w:rPr>
      </w:pPr>
      <w:r>
        <w:rPr>
          <w:lang w:val="fr-FR"/>
        </w:rPr>
        <w:t>Stratégie à long terme de l’Inde : les transports seront intégrés à la planification urbaine, la connectivité multimodale sera améliorée et les capacités ferroviaires seront développées afin de promouvoir un transfert modal vers les transports publics.</w:t>
      </w:r>
    </w:p>
    <w:p w14:paraId="04612A74" w14:textId="1B89931D" w:rsidR="00D86611" w:rsidRPr="00F20792" w:rsidRDefault="00D86611" w:rsidP="00EF6A7F">
      <w:pPr>
        <w:pStyle w:val="Bullet1G"/>
        <w:widowControl w:val="0"/>
        <w:numPr>
          <w:ilvl w:val="0"/>
          <w:numId w:val="1"/>
        </w:numPr>
        <w:rPr>
          <w:lang w:val="fr-FR"/>
        </w:rPr>
      </w:pPr>
      <w:r>
        <w:rPr>
          <w:lang w:val="fr-FR"/>
        </w:rPr>
        <w:t>Deuxième CDN des Émirats arabes unis : un réseau ferroviaire de 1</w:t>
      </w:r>
      <w:r w:rsidR="00EF6A7F">
        <w:rPr>
          <w:lang w:val="fr-FR"/>
        </w:rPr>
        <w:t> </w:t>
      </w:r>
      <w:r>
        <w:rPr>
          <w:lang w:val="fr-FR"/>
        </w:rPr>
        <w:t>200</w:t>
      </w:r>
      <w:r w:rsidR="00EF6A7F">
        <w:rPr>
          <w:lang w:val="fr-FR"/>
        </w:rPr>
        <w:t> </w:t>
      </w:r>
      <w:r>
        <w:rPr>
          <w:lang w:val="fr-FR"/>
        </w:rPr>
        <w:t>kilomètres est en cours de construction depuis 2014 afin de transférer le transport de marchandises de la route vers le rail. Le réseau de métro de Dubaï passera de 89 à 379</w:t>
      </w:r>
      <w:r w:rsidR="00560966">
        <w:rPr>
          <w:lang w:val="fr-FR"/>
        </w:rPr>
        <w:t> </w:t>
      </w:r>
      <w:r>
        <w:rPr>
          <w:lang w:val="fr-FR"/>
        </w:rPr>
        <w:t>kilomètres.</w:t>
      </w:r>
    </w:p>
    <w:p w14:paraId="1EA64D94" w14:textId="2FAB7721" w:rsidR="00D86611" w:rsidRPr="00F20792" w:rsidRDefault="00E97DAA" w:rsidP="00D86611">
      <w:pPr>
        <w:pStyle w:val="H4G"/>
        <w:rPr>
          <w:lang w:val="fr-FR"/>
        </w:rPr>
      </w:pPr>
      <w:r>
        <w:rPr>
          <w:iCs/>
          <w:lang w:val="fr-FR"/>
        </w:rPr>
        <w:lastRenderedPageBreak/>
        <w:tab/>
      </w:r>
      <w:r w:rsidR="00D86611">
        <w:rPr>
          <w:iCs/>
          <w:lang w:val="fr-FR"/>
        </w:rPr>
        <w:t>iii)</w:t>
      </w:r>
      <w:r w:rsidR="00D86611">
        <w:rPr>
          <w:lang w:val="fr-FR"/>
        </w:rPr>
        <w:tab/>
      </w:r>
      <w:r w:rsidR="00D86611">
        <w:rPr>
          <w:iCs/>
          <w:lang w:val="fr-FR"/>
        </w:rPr>
        <w:t xml:space="preserve">Action de type </w:t>
      </w:r>
      <w:r w:rsidR="00780216">
        <w:rPr>
          <w:iCs/>
          <w:lang w:val="fr-FR"/>
        </w:rPr>
        <w:t>« </w:t>
      </w:r>
      <w:r w:rsidR="00D86611">
        <w:rPr>
          <w:iCs/>
          <w:lang w:val="fr-FR"/>
        </w:rPr>
        <w:t>améliorer</w:t>
      </w:r>
      <w:r w:rsidR="00780216">
        <w:rPr>
          <w:iCs/>
          <w:lang w:val="fr-FR"/>
        </w:rPr>
        <w:t> »</w:t>
      </w:r>
    </w:p>
    <w:p w14:paraId="6CFAEB66" w14:textId="305301C8" w:rsidR="00D86611" w:rsidRPr="00F20792" w:rsidRDefault="00D86611" w:rsidP="00D86611">
      <w:pPr>
        <w:pStyle w:val="Bullet1G"/>
        <w:numPr>
          <w:ilvl w:val="0"/>
          <w:numId w:val="1"/>
        </w:numPr>
        <w:rPr>
          <w:lang w:val="fr-FR"/>
        </w:rPr>
      </w:pPr>
      <w:r>
        <w:rPr>
          <w:lang w:val="fr-FR"/>
        </w:rPr>
        <w:t xml:space="preserve">CDN actualisée de la Chine : des mesures seront prises pour renforcer l’efficacité de la logistique verte. Des véhicules routiers fonctionnant avec de nouvelles sources énergétiques seront élaborés et l’électrification du réseau ferroviaire se poursuivra. </w:t>
      </w:r>
    </w:p>
    <w:p w14:paraId="71259094" w14:textId="4D558636" w:rsidR="00D86611" w:rsidRPr="00F20792" w:rsidRDefault="00D86611" w:rsidP="00D86611">
      <w:pPr>
        <w:pStyle w:val="Bullet1G"/>
        <w:numPr>
          <w:ilvl w:val="0"/>
          <w:numId w:val="1"/>
        </w:numPr>
        <w:rPr>
          <w:lang w:val="fr-FR"/>
        </w:rPr>
      </w:pPr>
      <w:r>
        <w:rPr>
          <w:lang w:val="fr-FR"/>
        </w:rPr>
        <w:t>CDN actualisée du Guatemala : pour promouvoir le renouvellement du parc automobile privé, les pouvoirs publics adopteront de nouvelles réglementations et institueront des crédits d’impôt et d’autres mesures fiscales pour favoriser l’achat de véhicules plus efficaces sur le plan énergétique.</w:t>
      </w:r>
    </w:p>
    <w:p w14:paraId="49286697" w14:textId="66853B4A" w:rsidR="00D86611" w:rsidRPr="00F20792" w:rsidRDefault="00D86611" w:rsidP="00D86611">
      <w:pPr>
        <w:pStyle w:val="Bullet1G"/>
        <w:numPr>
          <w:ilvl w:val="0"/>
          <w:numId w:val="1"/>
        </w:numPr>
        <w:rPr>
          <w:lang w:val="fr-FR"/>
        </w:rPr>
      </w:pPr>
      <w:r>
        <w:rPr>
          <w:lang w:val="fr-FR"/>
        </w:rPr>
        <w:t>Stratégie à long terme des Îles Marshall : les actions en faveur de l’électrification des transports comprendront des incitations fiscales pour l’importation de véhicules électriques, la transition du parc des administrations publiques et des taxis et l’achat de vélos électriques.</w:t>
      </w:r>
    </w:p>
    <w:p w14:paraId="2DF48D31" w14:textId="6005F4B1" w:rsidR="00D86611" w:rsidRPr="00F20792" w:rsidRDefault="00E97DAA" w:rsidP="000C02B0">
      <w:pPr>
        <w:pStyle w:val="H1G"/>
        <w:rPr>
          <w:lang w:val="fr-FR"/>
        </w:rPr>
      </w:pPr>
      <w:bookmarkStart w:id="1" w:name="_1ksv4uv" w:colFirst="0" w:colLast="0"/>
      <w:bookmarkEnd w:id="1"/>
      <w:r>
        <w:rPr>
          <w:lang w:val="fr-FR"/>
        </w:rPr>
        <w:tab/>
      </w:r>
      <w:r w:rsidR="00D86611">
        <w:rPr>
          <w:lang w:val="fr-FR"/>
        </w:rPr>
        <w:t>B.</w:t>
      </w:r>
      <w:r w:rsidR="00D86611">
        <w:rPr>
          <w:lang w:val="fr-FR"/>
        </w:rPr>
        <w:tab/>
      </w:r>
      <w:r w:rsidR="00D86611" w:rsidRPr="000C02B0">
        <w:rPr>
          <w:spacing w:val="-3"/>
          <w:lang w:val="fr-FR"/>
        </w:rPr>
        <w:t>La place des transports intérieurs dans les examens nationaux volontaires</w:t>
      </w:r>
      <w:r w:rsidR="00D86611">
        <w:rPr>
          <w:lang w:val="fr-FR"/>
        </w:rPr>
        <w:t xml:space="preserve"> réalisés au titre des objectifs de développement durable</w:t>
      </w:r>
    </w:p>
    <w:p w14:paraId="19D95E94" w14:textId="73F3260F" w:rsidR="00D86611" w:rsidRDefault="00D86611" w:rsidP="00D86611">
      <w:pPr>
        <w:pStyle w:val="SingleTxtG"/>
        <w:rPr>
          <w:lang w:val="fr-FR"/>
        </w:rPr>
      </w:pPr>
      <w:r>
        <w:rPr>
          <w:lang w:val="fr-FR"/>
        </w:rPr>
        <w:t>16.</w:t>
      </w:r>
      <w:r>
        <w:rPr>
          <w:lang w:val="fr-FR"/>
        </w:rPr>
        <w:tab/>
        <w:t>Les modes de déplacement durable et sobre en carbone sont un puissant moteur de transformation positive et systémique de nos sociétés. Cette transformation est décrite dans le Programme de développement durable à l’horizon 2030 et ses 17</w:t>
      </w:r>
      <w:r w:rsidR="000C02B0">
        <w:rPr>
          <w:lang w:val="fr-FR"/>
        </w:rPr>
        <w:t> </w:t>
      </w:r>
      <w:r>
        <w:rPr>
          <w:lang w:val="fr-FR"/>
        </w:rPr>
        <w:t xml:space="preserve">objectifs de développement durable (ODD), qui constituent </w:t>
      </w:r>
      <w:r w:rsidR="00780216">
        <w:rPr>
          <w:lang w:val="fr-FR"/>
        </w:rPr>
        <w:t>« </w:t>
      </w:r>
      <w:r>
        <w:rPr>
          <w:lang w:val="fr-FR"/>
        </w:rPr>
        <w:t>un plan directeur pour parvenir à un avenir meilleur et plus durable pour tous</w:t>
      </w:r>
      <w:r w:rsidR="00780216">
        <w:rPr>
          <w:lang w:val="fr-FR"/>
        </w:rPr>
        <w:t> »</w:t>
      </w:r>
      <w:r w:rsidR="00E97DAA">
        <w:rPr>
          <w:lang w:val="fr-FR"/>
        </w:rPr>
        <w:t>.</w:t>
      </w:r>
      <w:r>
        <w:rPr>
          <w:lang w:val="fr-FR"/>
        </w:rPr>
        <w:t xml:space="preserve"> Le Programme 2030, de par sa conception, est de nature transversale et interconnectée, et la réalisation d’un objectif dépend donc souvent de la réalisation de plusieurs autres. Bien que les transports et la mobilité durables et sobres en carbone ne fassent pas l’objet d’un objectif à part entière, leur mise en œuvre réussie contribue à la réalisation de presque tous les ODD</w:t>
      </w:r>
      <w:r w:rsidR="006D5C4B">
        <w:rPr>
          <w:rStyle w:val="Appelnotedebasdep"/>
        </w:rPr>
        <w:footnoteReference w:id="16"/>
      </w:r>
      <w:r>
        <w:rPr>
          <w:lang w:val="fr-FR"/>
        </w:rPr>
        <w:t>.</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621E65" w14:paraId="4E2FFAA0" w14:textId="77777777" w:rsidTr="000B1E2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2912B82A" w14:textId="77777777" w:rsidR="00621E65" w:rsidRDefault="00621E65" w:rsidP="000B1E26"/>
        </w:tc>
      </w:tr>
      <w:tr w:rsidR="00621E65" w:rsidRPr="007C1933" w14:paraId="42F1141C" w14:textId="77777777" w:rsidTr="000B1E26">
        <w:trPr>
          <w:jc w:val="center"/>
        </w:trPr>
        <w:tc>
          <w:tcPr>
            <w:tcW w:w="7653" w:type="dxa"/>
            <w:tcBorders>
              <w:left w:val="single" w:sz="4" w:space="0" w:color="auto"/>
              <w:bottom w:val="nil"/>
              <w:right w:val="single" w:sz="4" w:space="0" w:color="auto"/>
            </w:tcBorders>
            <w:shd w:val="clear" w:color="auto" w:fill="auto"/>
          </w:tcPr>
          <w:p w14:paraId="21AE9E06" w14:textId="0DC825C6" w:rsidR="00621E65" w:rsidRPr="007C1933" w:rsidRDefault="00621E65" w:rsidP="000B1E26">
            <w:pPr>
              <w:spacing w:after="120" w:line="240" w:lineRule="auto"/>
            </w:pPr>
            <w:r w:rsidRPr="007C1933">
              <w:rPr>
                <w:lang w:val="fr-FR"/>
              </w:rPr>
              <w:t xml:space="preserve">Encadré 3 </w:t>
            </w:r>
            <w:r w:rsidRPr="007C1933">
              <w:rPr>
                <w:lang w:val="fr-FR"/>
              </w:rPr>
              <w:br/>
            </w:r>
            <w:r w:rsidRPr="007C1933">
              <w:rPr>
                <w:b/>
                <w:bCs/>
                <w:lang w:val="fr-FR"/>
              </w:rPr>
              <w:t>Examen national volontaire de la Croatie de 2023</w:t>
            </w:r>
            <w:r w:rsidRPr="007C1933">
              <w:rPr>
                <w:rStyle w:val="Appelnotedebasdep"/>
              </w:rPr>
              <w:footnoteReference w:id="17"/>
            </w:r>
          </w:p>
        </w:tc>
      </w:tr>
      <w:tr w:rsidR="00621E65" w:rsidRPr="007C1933" w14:paraId="713B3BEE" w14:textId="77777777" w:rsidTr="000B1E26">
        <w:trPr>
          <w:jc w:val="center"/>
        </w:trPr>
        <w:tc>
          <w:tcPr>
            <w:tcW w:w="7653" w:type="dxa"/>
            <w:tcBorders>
              <w:left w:val="single" w:sz="4" w:space="0" w:color="auto"/>
              <w:bottom w:val="nil"/>
              <w:right w:val="single" w:sz="4" w:space="0" w:color="auto"/>
            </w:tcBorders>
            <w:shd w:val="clear" w:color="auto" w:fill="auto"/>
          </w:tcPr>
          <w:p w14:paraId="359D5E66" w14:textId="11B3D733" w:rsidR="00621E65" w:rsidRPr="007C1933" w:rsidRDefault="00621E65" w:rsidP="000B1E26">
            <w:pPr>
              <w:pStyle w:val="SingleTxtG"/>
              <w:ind w:left="0" w:right="0" w:firstLine="567"/>
              <w:rPr>
                <w:lang w:val="fr-FR"/>
              </w:rPr>
            </w:pPr>
            <w:r w:rsidRPr="007C1933">
              <w:rPr>
                <w:lang w:val="fr-FR"/>
              </w:rPr>
              <w:t>La Croatie entend appuyer la réalisation du Programme 2030 en améliorant ses infrastructures de transport, le transport ferroviaire, la navigation intérieure et la connectivité numérique. Elle a pour objectif de mettre en place des infrastructures de transport compétitives et neutres en carbone.</w:t>
            </w:r>
          </w:p>
        </w:tc>
      </w:tr>
      <w:tr w:rsidR="00621E65" w:rsidRPr="007C1933" w14:paraId="12CAE598" w14:textId="77777777" w:rsidTr="000B1E26">
        <w:trPr>
          <w:jc w:val="center"/>
        </w:trPr>
        <w:tc>
          <w:tcPr>
            <w:tcW w:w="7653" w:type="dxa"/>
            <w:tcBorders>
              <w:left w:val="single" w:sz="4" w:space="0" w:color="auto"/>
              <w:bottom w:val="nil"/>
              <w:right w:val="single" w:sz="4" w:space="0" w:color="auto"/>
            </w:tcBorders>
            <w:shd w:val="clear" w:color="auto" w:fill="auto"/>
          </w:tcPr>
          <w:p w14:paraId="62BD49F3" w14:textId="54DEA2F9" w:rsidR="00621E65" w:rsidRPr="007C1933" w:rsidRDefault="00621E65" w:rsidP="000B1E26">
            <w:pPr>
              <w:pStyle w:val="SingleTxtG"/>
              <w:ind w:left="0" w:right="0" w:firstLine="567"/>
              <w:rPr>
                <w:lang w:val="fr-FR"/>
              </w:rPr>
            </w:pPr>
            <w:r w:rsidRPr="007C1933">
              <w:rPr>
                <w:lang w:val="fr-FR"/>
              </w:rPr>
              <w:t>Les activités figurant dans son examen national volontaire sont liées à la réalisation de plusieurs ODD : l’objectif 1 sur la pauvreté, l’objectif 4 sur l’éducation, l’objectif 7 sur l’énergie, l’objectif 8 sur le travail, l’objectif 9 sur les infrastructures, l’objectif 10 sur les inégalités, l’objectif 12 sur la consommation (par l’intermédiaire des subventions allouées aux combustibles fossiles), l’objectif 13 sur le climat et l’objectif 14 sur la vie aquatique.</w:t>
            </w:r>
          </w:p>
        </w:tc>
      </w:tr>
      <w:tr w:rsidR="00621E65" w14:paraId="58774AAA" w14:textId="77777777" w:rsidTr="000B1E2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0877013E" w14:textId="77777777" w:rsidR="00621E65" w:rsidRDefault="00621E65" w:rsidP="000B1E26"/>
        </w:tc>
      </w:tr>
    </w:tbl>
    <w:p w14:paraId="07DAD966" w14:textId="6E463F12" w:rsidR="00D86611" w:rsidRDefault="00D86611" w:rsidP="006D5C4B">
      <w:pPr>
        <w:pStyle w:val="SingleTxtG"/>
        <w:widowControl w:val="0"/>
        <w:spacing w:before="240" w:after="240"/>
        <w:rPr>
          <w:spacing w:val="-3"/>
          <w:lang w:val="fr-FR"/>
        </w:rPr>
      </w:pPr>
      <w:r>
        <w:rPr>
          <w:lang w:val="fr-FR"/>
        </w:rPr>
        <w:t>17.</w:t>
      </w:r>
      <w:r>
        <w:rPr>
          <w:lang w:val="fr-FR"/>
        </w:rPr>
        <w:tab/>
      </w:r>
      <w:r w:rsidRPr="006D5C4B">
        <w:rPr>
          <w:spacing w:val="-3"/>
          <w:lang w:val="fr-FR"/>
        </w:rPr>
        <w:t xml:space="preserve">La mise en place dans le monde entier de systèmes de transport et de mobilité durables et sobres en carbone aura des effets directs et indirects sur la réalisation de l’ensemble du Programme 2030, ainsi qu’un effet de levier sur les plans social, environnemental et économique qui dépassera largement le cadre de l’investissement financier. Au nombre des domaines où les transports auront un effet très positif, on peut citer l’éradication de la pauvreté (objectif de développement durable </w:t>
      </w:r>
      <w:r w:rsidRPr="006A2C4F">
        <w:rPr>
          <w:spacing w:val="-3"/>
          <w:lang w:val="fr-FR"/>
        </w:rPr>
        <w:t>n</w:t>
      </w:r>
      <w:r w:rsidRPr="006A2C4F">
        <w:rPr>
          <w:spacing w:val="-3"/>
          <w:vertAlign w:val="superscript"/>
          <w:lang w:val="fr-FR"/>
        </w:rPr>
        <w:t>o</w:t>
      </w:r>
      <w:r w:rsidR="006D5C4B" w:rsidRPr="006A2C4F">
        <w:rPr>
          <w:spacing w:val="-3"/>
          <w:lang w:val="fr-FR"/>
        </w:rPr>
        <w:t> </w:t>
      </w:r>
      <w:r w:rsidRPr="006A2C4F">
        <w:rPr>
          <w:spacing w:val="-3"/>
          <w:lang w:val="fr-FR"/>
        </w:rPr>
        <w:t>1),</w:t>
      </w:r>
      <w:r w:rsidRPr="006D5C4B">
        <w:rPr>
          <w:spacing w:val="-3"/>
          <w:lang w:val="fr-FR"/>
        </w:rPr>
        <w:t xml:space="preserve"> la faim zéro (objectif 2), la bonne santé et le bien-être (objectif 3), l’égalité entre les sexes (objectif 5), l’accès à une énergie propre et d’un coût abordable (objectif</w:t>
      </w:r>
      <w:r w:rsidR="000C02B0">
        <w:rPr>
          <w:spacing w:val="-3"/>
          <w:lang w:val="fr-FR"/>
        </w:rPr>
        <w:t> </w:t>
      </w:r>
      <w:r w:rsidRPr="006D5C4B">
        <w:rPr>
          <w:spacing w:val="-3"/>
          <w:lang w:val="fr-FR"/>
        </w:rPr>
        <w:t>7), les infrastructures (objectif 9), les villes et communautés durables (objectif 11) et les mesures relatives à la lutte contre les changements climatiques (objectif 13)</w:t>
      </w:r>
      <w:r w:rsidR="00D36B89">
        <w:rPr>
          <w:rStyle w:val="Appelnotedebasdep"/>
          <w:spacing w:val="-3"/>
        </w:rPr>
        <w:footnoteReference w:id="18"/>
      </w:r>
      <w:r w:rsidRPr="006D5C4B">
        <w:rPr>
          <w:spacing w:val="-3"/>
          <w:lang w:val="fr-FR"/>
        </w:rPr>
        <w:t>.</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7C1933" w14:paraId="5C5C9F72" w14:textId="77777777" w:rsidTr="000B1E2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0945F88B" w14:textId="77777777" w:rsidR="007C1933" w:rsidRDefault="007C1933" w:rsidP="000B1E26"/>
        </w:tc>
      </w:tr>
      <w:tr w:rsidR="007C1933" w:rsidRPr="007C1933" w14:paraId="70831724" w14:textId="77777777" w:rsidTr="000B1E26">
        <w:trPr>
          <w:jc w:val="center"/>
        </w:trPr>
        <w:tc>
          <w:tcPr>
            <w:tcW w:w="7653" w:type="dxa"/>
            <w:tcBorders>
              <w:left w:val="single" w:sz="4" w:space="0" w:color="auto"/>
              <w:bottom w:val="nil"/>
              <w:right w:val="single" w:sz="4" w:space="0" w:color="auto"/>
            </w:tcBorders>
            <w:shd w:val="clear" w:color="auto" w:fill="auto"/>
          </w:tcPr>
          <w:p w14:paraId="685DC608" w14:textId="38DF13DB" w:rsidR="007C1933" w:rsidRPr="007C1933" w:rsidRDefault="007C1933" w:rsidP="000B1E26">
            <w:pPr>
              <w:spacing w:after="120" w:line="240" w:lineRule="auto"/>
            </w:pPr>
            <w:r w:rsidRPr="007C1933">
              <w:rPr>
                <w:lang w:val="fr-FR"/>
              </w:rPr>
              <w:t xml:space="preserve">Encadré </w:t>
            </w:r>
            <w:r>
              <w:rPr>
                <w:lang w:val="fr-FR"/>
              </w:rPr>
              <w:t>4</w:t>
            </w:r>
            <w:r w:rsidRPr="007C1933">
              <w:rPr>
                <w:lang w:val="fr-FR"/>
              </w:rPr>
              <w:t xml:space="preserve"> </w:t>
            </w:r>
            <w:r w:rsidRPr="007C1933">
              <w:rPr>
                <w:lang w:val="fr-FR"/>
              </w:rPr>
              <w:br/>
            </w:r>
            <w:r>
              <w:rPr>
                <w:b/>
                <w:bCs/>
                <w:lang w:val="fr-FR"/>
              </w:rPr>
              <w:t>E</w:t>
            </w:r>
            <w:r w:rsidRPr="007C1933">
              <w:rPr>
                <w:b/>
                <w:bCs/>
                <w:lang w:val="fr-FR"/>
              </w:rPr>
              <w:t>xamen national volontaire de Bahreïn de 2023</w:t>
            </w:r>
          </w:p>
        </w:tc>
      </w:tr>
      <w:tr w:rsidR="007C1933" w:rsidRPr="0047643F" w14:paraId="65B2983E" w14:textId="77777777" w:rsidTr="000B1E26">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7653" w:type="dxa"/>
            <w:shd w:val="clear" w:color="auto" w:fill="auto"/>
          </w:tcPr>
          <w:p w14:paraId="4E747B7F" w14:textId="02F1CE74" w:rsidR="007C1933" w:rsidRPr="007C1933" w:rsidRDefault="007C1933" w:rsidP="004F6AA0">
            <w:pPr>
              <w:pStyle w:val="SingleTxtG"/>
              <w:ind w:left="0" w:right="0" w:firstLine="567"/>
              <w:rPr>
                <w:b/>
                <w:bCs/>
                <w:lang w:val="fr-FR"/>
              </w:rPr>
            </w:pPr>
            <w:r w:rsidRPr="007C1933">
              <w:rPr>
                <w:lang w:val="fr-FR"/>
              </w:rPr>
              <w:t>Les activités relatives aux transports prévus dans l’examen national volontaire de Bahreïn de 2023 concernent plusieurs objectifs de développement durable, à savoir l’objectif 3 (santé), l’objectif 4 (éducation), l’objectif 7 (énergie), l’objectif 9 (infrastructures), l’objectif 11 (ville), l’objectif 12 (consommation, par l’intermédiaire des subventions allouées aux combustibles fossiles) et l’objectif 13 (climat), qui couvrent aussi bien le transport de passagers que de marchandises.</w:t>
            </w:r>
          </w:p>
        </w:tc>
      </w:tr>
      <w:tr w:rsidR="007C1933" w:rsidRPr="0047643F" w14:paraId="619C49E7" w14:textId="77777777" w:rsidTr="000B1E26">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7653" w:type="dxa"/>
            <w:shd w:val="clear" w:color="auto" w:fill="auto"/>
          </w:tcPr>
          <w:p w14:paraId="74D31A13" w14:textId="52A10DFD" w:rsidR="007C1933" w:rsidRPr="007C1933" w:rsidRDefault="007C1933" w:rsidP="004F6AA0">
            <w:pPr>
              <w:pStyle w:val="SingleTxtG"/>
              <w:ind w:left="0" w:right="0" w:firstLine="567"/>
              <w:rPr>
                <w:lang w:val="fr-FR"/>
              </w:rPr>
            </w:pPr>
            <w:r w:rsidRPr="007C1933">
              <w:rPr>
                <w:lang w:val="fr-FR"/>
              </w:rPr>
              <w:t>Dans cet examen, Bahreïn a fait état de la mise en œuvre d’une réglementation sur les véhicules électriques et de stratégies visant à promouvoir les transports durables (principalement en faisant de l’énergie solaire la principale source de production d’électricité), au moyen par exemple de la création de bornes de recharge. Le Royaume a également annoncé son intention de créer à l’échelle nationale un réseau de pistes cyclables accessibles aux vélos électriques, ce qui montre qu’il considère que ce mode de transport durable favorise un mode de vie sain et qu’il doit bénéficier d’un environnement sécurisé. Le réseau de métro de Bahreïn, d’une longueur de 109 kilomètres, devrait être achevé en 2027, la première phase de ce projet étant exécutée sous la forme d’un partenariat public</w:t>
            </w:r>
            <w:r w:rsidRPr="007C1933">
              <w:rPr>
                <w:lang w:val="fr-FR"/>
              </w:rPr>
              <w:noBreakHyphen/>
              <w:t>privé intégré.</w:t>
            </w:r>
          </w:p>
        </w:tc>
      </w:tr>
      <w:tr w:rsidR="007C1933" w14:paraId="073ECA9E" w14:textId="77777777" w:rsidTr="000B1E26">
        <w:tblPrEx>
          <w:tblBorders>
            <w:top w:val="single" w:sz="4" w:space="0" w:color="auto"/>
            <w:left w:val="single" w:sz="4" w:space="0" w:color="auto"/>
            <w:bottom w:val="single" w:sz="4" w:space="0" w:color="auto"/>
            <w:right w:val="single" w:sz="4" w:space="0" w:color="auto"/>
            <w:insideV w:val="none" w:sz="0" w:space="0" w:color="auto"/>
          </w:tblBorders>
        </w:tblPrEx>
        <w:trPr>
          <w:trHeight w:hRule="exact" w:val="23"/>
          <w:jc w:val="center"/>
        </w:trPr>
        <w:tc>
          <w:tcPr>
            <w:tcW w:w="7653" w:type="dxa"/>
            <w:shd w:val="clear" w:color="auto" w:fill="auto"/>
          </w:tcPr>
          <w:p w14:paraId="31FB0D6D" w14:textId="77777777" w:rsidR="007C1933" w:rsidRDefault="007C1933" w:rsidP="000B1E26"/>
        </w:tc>
      </w:tr>
    </w:tbl>
    <w:p w14:paraId="76EDC7A8" w14:textId="20212167" w:rsidR="00D86611" w:rsidRDefault="00D86611" w:rsidP="006A2C4F">
      <w:pPr>
        <w:pStyle w:val="SingleTxtG"/>
        <w:spacing w:before="240"/>
        <w:rPr>
          <w:lang w:val="fr-FR"/>
        </w:rPr>
      </w:pPr>
      <w:r>
        <w:rPr>
          <w:lang w:val="fr-FR"/>
        </w:rPr>
        <w:t>18.</w:t>
      </w:r>
      <w:r>
        <w:rPr>
          <w:lang w:val="fr-FR"/>
        </w:rPr>
        <w:tab/>
        <w:t>Dans les examens nationaux volontaires réalisés entre 2016 et 2022, on constate un consensus sur le rôle des transports en tant que facteur clef de la réalisation des ODD. Lors du premier cycle d’établissement des examens nationaux volontaires (2016-2019), les progrès réalisés dans le secteur des transports étaient mis en avant dans 92</w:t>
      </w:r>
      <w:r w:rsidR="00780216">
        <w:rPr>
          <w:lang w:val="fr-FR"/>
        </w:rPr>
        <w:t> %</w:t>
      </w:r>
      <w:r>
        <w:rPr>
          <w:lang w:val="fr-FR"/>
        </w:rPr>
        <w:t xml:space="preserve"> des rapports, et 18</w:t>
      </w:r>
      <w:r w:rsidR="00780216">
        <w:rPr>
          <w:lang w:val="fr-FR"/>
        </w:rPr>
        <w:t> %</w:t>
      </w:r>
      <w:r>
        <w:rPr>
          <w:lang w:val="fr-FR"/>
        </w:rPr>
        <w:t xml:space="preserve"> des examens contenaient des objectifs précis couvrant 12</w:t>
      </w:r>
      <w:r w:rsidR="006A2C4F">
        <w:rPr>
          <w:lang w:val="fr-FR"/>
        </w:rPr>
        <w:t> </w:t>
      </w:r>
      <w:r>
        <w:rPr>
          <w:lang w:val="fr-FR"/>
        </w:rPr>
        <w:t>domaines relatifs aux transports durables. Dans l’ensemble des examens nationaux volontaires soumis entre 2020 et 2022, les transports ont été considérés comme un facteur clef de la réalisation des ODD, ce qui s’inscrit dans le schéma constaté à l’occasion du premier cycle d’établissement de rapports (2016-2019). Les 40</w:t>
      </w:r>
      <w:r w:rsidR="006A2C4F">
        <w:rPr>
          <w:lang w:val="fr-FR"/>
        </w:rPr>
        <w:t> </w:t>
      </w:r>
      <w:r>
        <w:rPr>
          <w:lang w:val="fr-FR"/>
        </w:rPr>
        <w:t>examens nationaux volontaires soumis en 2021 faisaient tous référence à des politiques de transport durable et, pour la première fois depuis le premier Forum politique de haut niveau (2016), ils comportaient également des mesures relatives aux transports. En 2022, la proportion d’examens nationaux volontaires mentionnant les transports n’a été que de 86</w:t>
      </w:r>
      <w:r w:rsidR="00780216">
        <w:rPr>
          <w:lang w:val="fr-FR"/>
        </w:rPr>
        <w:t> %</w:t>
      </w:r>
      <w:r>
        <w:rPr>
          <w:lang w:val="fr-FR"/>
        </w:rPr>
        <w:t xml:space="preserve"> (soit 36 des 42</w:t>
      </w:r>
      <w:r w:rsidR="00AB6B82">
        <w:rPr>
          <w:lang w:val="fr-FR"/>
        </w:rPr>
        <w:t> </w:t>
      </w:r>
      <w:r>
        <w:rPr>
          <w:lang w:val="fr-FR"/>
        </w:rPr>
        <w:t>examens soumis), ce qui constitue le chiffre le plus faible depuis 2017. Toutefois, la part des objectifs spécifiques aux transports est restée stable : en 2022, 21</w:t>
      </w:r>
      <w:r w:rsidR="00780216">
        <w:rPr>
          <w:lang w:val="fr-FR"/>
        </w:rPr>
        <w:t> %</w:t>
      </w:r>
      <w:r>
        <w:rPr>
          <w:lang w:val="fr-FR"/>
        </w:rPr>
        <w:t xml:space="preserve"> des examens nationaux volontaires (9 sur 42) comportaient de tels objectifs, contre 22</w:t>
      </w:r>
      <w:r w:rsidR="00780216">
        <w:rPr>
          <w:lang w:val="fr-FR"/>
        </w:rPr>
        <w:t> %</w:t>
      </w:r>
      <w:r>
        <w:rPr>
          <w:lang w:val="fr-FR"/>
        </w:rPr>
        <w:t xml:space="preserve"> (9 sur 40) en 2021 et 17</w:t>
      </w:r>
      <w:r w:rsidR="00780216">
        <w:rPr>
          <w:lang w:val="fr-FR"/>
        </w:rPr>
        <w:t> %</w:t>
      </w:r>
      <w:r>
        <w:rPr>
          <w:lang w:val="fr-FR"/>
        </w:rPr>
        <w:t xml:space="preserve"> (8 sur 47) en 2020</w:t>
      </w:r>
      <w:r w:rsidR="00377E39">
        <w:rPr>
          <w:rStyle w:val="Appelnotedebasdep"/>
        </w:rPr>
        <w:footnoteReference w:id="19"/>
      </w:r>
      <w:r>
        <w:rPr>
          <w:lang w:val="fr-FR"/>
        </w:rPr>
        <w:t>.</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7C1933" w14:paraId="442F7570"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98F2948" w14:textId="77777777" w:rsidR="007C1933" w:rsidRPr="004F6AA0" w:rsidRDefault="007C1933"/>
        </w:tc>
      </w:tr>
      <w:tr w:rsidR="007C1933" w14:paraId="3AC26AA0" w14:textId="77777777">
        <w:trPr>
          <w:jc w:val="center"/>
        </w:trPr>
        <w:tc>
          <w:tcPr>
            <w:tcW w:w="7653" w:type="dxa"/>
            <w:tcBorders>
              <w:left w:val="single" w:sz="4" w:space="0" w:color="auto"/>
              <w:bottom w:val="nil"/>
              <w:right w:val="single" w:sz="4" w:space="0" w:color="auto"/>
            </w:tcBorders>
            <w:shd w:val="clear" w:color="auto" w:fill="auto"/>
          </w:tcPr>
          <w:p w14:paraId="6BB9320F" w14:textId="05510746" w:rsidR="007C1933" w:rsidRPr="004F6AA0" w:rsidRDefault="007C1933" w:rsidP="007C1933">
            <w:pPr>
              <w:spacing w:after="120"/>
            </w:pPr>
            <w:r w:rsidRPr="004F6AA0">
              <w:rPr>
                <w:lang w:val="fr-FR"/>
              </w:rPr>
              <w:t xml:space="preserve">Encadré 5 </w:t>
            </w:r>
            <w:r w:rsidRPr="004F6AA0">
              <w:rPr>
                <w:lang w:val="fr-FR"/>
              </w:rPr>
              <w:br/>
            </w:r>
            <w:r w:rsidRPr="004F6AA0">
              <w:rPr>
                <w:b/>
                <w:bCs/>
                <w:lang w:val="fr-FR"/>
              </w:rPr>
              <w:t>Examen national volontaire du Maroc de 2020</w:t>
            </w:r>
          </w:p>
        </w:tc>
      </w:tr>
      <w:tr w:rsidR="007C1933" w14:paraId="677BB099" w14:textId="77777777">
        <w:trPr>
          <w:jc w:val="center"/>
        </w:trPr>
        <w:tc>
          <w:tcPr>
            <w:tcW w:w="7653" w:type="dxa"/>
            <w:tcBorders>
              <w:left w:val="single" w:sz="4" w:space="0" w:color="auto"/>
              <w:bottom w:val="nil"/>
              <w:right w:val="single" w:sz="4" w:space="0" w:color="auto"/>
            </w:tcBorders>
            <w:shd w:val="clear" w:color="auto" w:fill="auto"/>
          </w:tcPr>
          <w:p w14:paraId="07190FB1" w14:textId="0F32B95F" w:rsidR="007C1933" w:rsidRPr="004F6AA0" w:rsidRDefault="007C1933" w:rsidP="004F6AA0">
            <w:pPr>
              <w:pStyle w:val="SingleTxtG"/>
              <w:ind w:left="0" w:right="0" w:firstLine="567"/>
              <w:rPr>
                <w:lang w:val="fr-FR"/>
              </w:rPr>
            </w:pPr>
            <w:r w:rsidRPr="004F6AA0">
              <w:rPr>
                <w:lang w:val="fr-FR"/>
              </w:rPr>
              <w:t>L’examen national du Maroc de 2020 s’inscrivait dans la réalisation de plusieurs objectifs de développement durable, à savoir l’objectif 3 (santé), l’objectif 4 (éducation), l’objectif 7 (énergie), l’objectif 9 (infrastructures), l’objectif 11 (villes) et l’objectif 13 (climat), qui couvrent aussi bien le transport de passagers que de marchandises (les transports aérien, ferroviaire, rural, maritime et urbain).</w:t>
            </w:r>
          </w:p>
        </w:tc>
      </w:tr>
      <w:tr w:rsidR="007C1933" w14:paraId="0E9B29CC" w14:textId="77777777">
        <w:trPr>
          <w:jc w:val="center"/>
        </w:trPr>
        <w:tc>
          <w:tcPr>
            <w:tcW w:w="7653" w:type="dxa"/>
            <w:tcBorders>
              <w:left w:val="single" w:sz="4" w:space="0" w:color="auto"/>
              <w:bottom w:val="nil"/>
              <w:right w:val="single" w:sz="4" w:space="0" w:color="auto"/>
            </w:tcBorders>
            <w:shd w:val="clear" w:color="auto" w:fill="auto"/>
          </w:tcPr>
          <w:p w14:paraId="254CCE82" w14:textId="719F1F0B" w:rsidR="007C1933" w:rsidRPr="004F6AA0" w:rsidRDefault="007C1933" w:rsidP="004F6AA0">
            <w:pPr>
              <w:pStyle w:val="SingleTxtG"/>
              <w:ind w:left="0" w:right="0" w:firstLine="567"/>
              <w:rPr>
                <w:spacing w:val="-2"/>
                <w:lang w:val="fr-FR"/>
              </w:rPr>
            </w:pPr>
            <w:r w:rsidRPr="004F6AA0">
              <w:rPr>
                <w:spacing w:val="-2"/>
                <w:lang w:val="fr-FR"/>
              </w:rPr>
              <w:t>Le Maroc a fait état de vastes programmes de développement des infrastructures et de la libéralisation des différents modes de transport, dans le but d’appuyer la croissance économique du pays. Plusieurs plans directeurs ont été élaborés pour la période 2030</w:t>
            </w:r>
            <w:r w:rsidRPr="004F6AA0">
              <w:rPr>
                <w:spacing w:val="-2"/>
                <w:lang w:val="fr-FR"/>
              </w:rPr>
              <w:noBreakHyphen/>
              <w:t>2035, l’accent étant mis sur les modes de transports intérieurs. Plusieurs mesures sectorielles ont été prises pour améliorer l’efficacité énergétique, par exemple l’interdiction d’importer de vieux véhicules. Le Maroc a également adopté, aux fins de l’homologation des nouveaux véhicules, une norme antipollution équivalente à la norme Euro IV, ce qui s’est traduit par une réduction substantielle de la consommation de carburant et une amélioration de la qualité de l’air.</w:t>
            </w:r>
          </w:p>
        </w:tc>
      </w:tr>
      <w:tr w:rsidR="007C1933" w14:paraId="1BCB66FA"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062D881D" w14:textId="77777777" w:rsidR="007C1933" w:rsidRDefault="007C1933"/>
        </w:tc>
      </w:tr>
    </w:tbl>
    <w:p w14:paraId="351FFAB4" w14:textId="02C009BE" w:rsidR="00D86611" w:rsidRPr="00F20792" w:rsidRDefault="00377E39" w:rsidP="00B47120">
      <w:pPr>
        <w:pStyle w:val="H1G"/>
        <w:spacing w:after="200" w:line="260" w:lineRule="exact"/>
        <w:rPr>
          <w:szCs w:val="24"/>
          <w:lang w:val="fr-FR"/>
        </w:rPr>
      </w:pPr>
      <w:bookmarkStart w:id="2" w:name="_x30knm97v51k" w:colFirst="0" w:colLast="0"/>
      <w:bookmarkStart w:id="3" w:name="_fyt9ms6w69t1" w:colFirst="0" w:colLast="0"/>
      <w:bookmarkStart w:id="4" w:name="_qyet6sefuans" w:colFirst="0" w:colLast="0"/>
      <w:bookmarkStart w:id="5" w:name="_44sinio" w:colFirst="0" w:colLast="0"/>
      <w:bookmarkStart w:id="6" w:name="_2jxsxqh" w:colFirst="0" w:colLast="0"/>
      <w:bookmarkEnd w:id="2"/>
      <w:bookmarkEnd w:id="3"/>
      <w:bookmarkEnd w:id="4"/>
      <w:bookmarkEnd w:id="5"/>
      <w:bookmarkEnd w:id="6"/>
      <w:r>
        <w:rPr>
          <w:bCs/>
          <w:lang w:val="fr-FR"/>
        </w:rPr>
        <w:lastRenderedPageBreak/>
        <w:tab/>
      </w:r>
      <w:r w:rsidR="00D86611">
        <w:rPr>
          <w:bCs/>
          <w:lang w:val="fr-FR"/>
        </w:rPr>
        <w:t>C.</w:t>
      </w:r>
      <w:r w:rsidR="00D86611">
        <w:rPr>
          <w:lang w:val="fr-FR"/>
        </w:rPr>
        <w:tab/>
      </w:r>
      <w:r w:rsidR="00D86611">
        <w:rPr>
          <w:bCs/>
          <w:lang w:val="fr-FR"/>
        </w:rPr>
        <w:t xml:space="preserve">Principaux engagements nationaux et régionaux en faveur </w:t>
      </w:r>
      <w:r w:rsidR="00E91F68">
        <w:rPr>
          <w:bCs/>
          <w:lang w:val="fr-FR"/>
        </w:rPr>
        <w:br/>
      </w:r>
      <w:r w:rsidR="00D86611">
        <w:rPr>
          <w:bCs/>
          <w:lang w:val="fr-FR"/>
        </w:rPr>
        <w:t>de la décarbonisation des transports</w:t>
      </w:r>
    </w:p>
    <w:p w14:paraId="26E19DBD" w14:textId="12E845B3" w:rsidR="00D86611" w:rsidRPr="00F20792" w:rsidRDefault="00377E39" w:rsidP="00B47120">
      <w:pPr>
        <w:pStyle w:val="H23G"/>
        <w:spacing w:before="200" w:after="100"/>
        <w:rPr>
          <w:i/>
          <w:lang w:val="fr-FR"/>
        </w:rPr>
      </w:pPr>
      <w:r>
        <w:rPr>
          <w:bCs/>
          <w:lang w:val="fr-FR"/>
        </w:rPr>
        <w:tab/>
      </w:r>
      <w:r w:rsidR="00D86611">
        <w:rPr>
          <w:bCs/>
          <w:lang w:val="fr-FR"/>
        </w:rPr>
        <w:t>1.</w:t>
      </w:r>
      <w:r w:rsidR="00D86611">
        <w:rPr>
          <w:lang w:val="fr-FR"/>
        </w:rPr>
        <w:tab/>
      </w:r>
      <w:r w:rsidR="00D86611">
        <w:rPr>
          <w:bCs/>
          <w:lang w:val="fr-FR"/>
        </w:rPr>
        <w:t xml:space="preserve">Engagements axés sur la composante </w:t>
      </w:r>
      <w:r w:rsidR="00780216">
        <w:rPr>
          <w:bCs/>
          <w:lang w:val="fr-FR"/>
        </w:rPr>
        <w:t>« </w:t>
      </w:r>
      <w:r w:rsidR="00D86611">
        <w:rPr>
          <w:bCs/>
          <w:lang w:val="fr-FR"/>
        </w:rPr>
        <w:t>éviter</w:t>
      </w:r>
      <w:r w:rsidR="00780216">
        <w:rPr>
          <w:bCs/>
          <w:lang w:val="fr-FR"/>
        </w:rPr>
        <w:t> »</w:t>
      </w:r>
    </w:p>
    <w:p w14:paraId="386D270A" w14:textId="77777777" w:rsidR="00D86611" w:rsidRPr="00F20792" w:rsidRDefault="00D86611" w:rsidP="00B47120">
      <w:pPr>
        <w:pStyle w:val="SingleTxtG"/>
        <w:spacing w:after="100"/>
        <w:rPr>
          <w:lang w:val="fr-FR"/>
        </w:rPr>
      </w:pPr>
      <w:r>
        <w:rPr>
          <w:lang w:val="fr-FR"/>
        </w:rPr>
        <w:t>19.</w:t>
      </w:r>
      <w:r>
        <w:rPr>
          <w:lang w:val="fr-FR"/>
        </w:rPr>
        <w:tab/>
        <w:t>La planification intégrée de l’aménagement du territoire et des transports témoigne du passage d’une approche de planification centrée sur l’automobile à une approche axée sur la capacité des personnes à accéder aux biens, aux services et aux activités. Cette nouvelle approche prévoit des stratégies de réduction de la circulation automobile afin de répondre aux besoins de mobilité et d’améliorer la qualité de vie. Elle s’appuie sur des outils tels que les plans de mobilité urbaine durable, les plans nationaux de mobilité urbaine, le développement axé sur les transports en commun et les zones à émissions limitées.</w:t>
      </w:r>
    </w:p>
    <w:p w14:paraId="4E7F7A22" w14:textId="3BABE5EB" w:rsidR="00D86611" w:rsidRPr="00F20792" w:rsidRDefault="00D86611" w:rsidP="00B47120">
      <w:pPr>
        <w:pStyle w:val="SingleTxtG"/>
        <w:spacing w:after="100"/>
        <w:rPr>
          <w:lang w:val="fr-FR"/>
        </w:rPr>
      </w:pPr>
      <w:r>
        <w:rPr>
          <w:lang w:val="fr-FR"/>
        </w:rPr>
        <w:t>20.</w:t>
      </w:r>
      <w:r>
        <w:rPr>
          <w:lang w:val="fr-FR"/>
        </w:rPr>
        <w:tab/>
        <w:t>Les plans de mobilité urbaine durable sont un outil fréquemment utilisé en Europe depuis 2013. Ainsi, en 2018, plus de 1</w:t>
      </w:r>
      <w:r w:rsidR="00E91F68">
        <w:rPr>
          <w:lang w:val="fr-FR"/>
        </w:rPr>
        <w:t> </w:t>
      </w:r>
      <w:r>
        <w:rPr>
          <w:lang w:val="fr-FR"/>
        </w:rPr>
        <w:t>000</w:t>
      </w:r>
      <w:r w:rsidR="00E91F68">
        <w:rPr>
          <w:lang w:val="fr-FR"/>
        </w:rPr>
        <w:t> </w:t>
      </w:r>
      <w:r>
        <w:rPr>
          <w:lang w:val="fr-FR"/>
        </w:rPr>
        <w:t>villes européennes ont mis en place de tels plans</w:t>
      </w:r>
      <w:r w:rsidR="00E91F68">
        <w:rPr>
          <w:rStyle w:val="Appelnotedebasdep"/>
        </w:rPr>
        <w:footnoteReference w:id="20"/>
      </w:r>
      <w:r>
        <w:rPr>
          <w:lang w:val="fr-FR"/>
        </w:rPr>
        <w:t>. À la fin de l’année 2022, 343</w:t>
      </w:r>
      <w:r w:rsidR="00E91F68">
        <w:rPr>
          <w:lang w:val="fr-FR"/>
        </w:rPr>
        <w:t> </w:t>
      </w:r>
      <w:r>
        <w:rPr>
          <w:lang w:val="fr-FR"/>
        </w:rPr>
        <w:t>municipalités brésiliennes (dont 90 de plus de 250 000</w:t>
      </w:r>
      <w:r w:rsidR="00E91F68">
        <w:rPr>
          <w:lang w:val="fr-FR"/>
        </w:rPr>
        <w:t> </w:t>
      </w:r>
      <w:r>
        <w:rPr>
          <w:lang w:val="fr-FR"/>
        </w:rPr>
        <w:t>habitants) avaient élaboré des plans de ce type</w:t>
      </w:r>
      <w:r w:rsidR="00E91F68">
        <w:rPr>
          <w:rStyle w:val="Appelnotedebasdep"/>
        </w:rPr>
        <w:footnoteReference w:id="21"/>
      </w:r>
      <w:r>
        <w:rPr>
          <w:lang w:val="fr-FR"/>
        </w:rPr>
        <w:t>.</w:t>
      </w:r>
    </w:p>
    <w:p w14:paraId="0B7D397B" w14:textId="322676F6" w:rsidR="00D86611" w:rsidRPr="00F20792" w:rsidRDefault="00D86611" w:rsidP="00B47120">
      <w:pPr>
        <w:pStyle w:val="SingleTxtG"/>
        <w:spacing w:after="100"/>
        <w:rPr>
          <w:lang w:val="fr-FR"/>
        </w:rPr>
      </w:pPr>
      <w:r>
        <w:rPr>
          <w:lang w:val="fr-FR"/>
        </w:rPr>
        <w:t>21.</w:t>
      </w:r>
      <w:r>
        <w:rPr>
          <w:lang w:val="fr-FR"/>
        </w:rPr>
        <w:tab/>
      </w:r>
      <w:r w:rsidRPr="00747EED">
        <w:rPr>
          <w:spacing w:val="-3"/>
          <w:lang w:val="fr-FR"/>
        </w:rPr>
        <w:t xml:space="preserve">La pratique des plans de mobilité urbaine durable et des plans nationaux de mobilité urbaine se </w:t>
      </w:r>
      <w:r w:rsidRPr="00B47120">
        <w:rPr>
          <w:lang w:val="fr-FR"/>
        </w:rPr>
        <w:t>généralise</w:t>
      </w:r>
      <w:r w:rsidRPr="00747EED">
        <w:rPr>
          <w:spacing w:val="-3"/>
          <w:lang w:val="fr-FR"/>
        </w:rPr>
        <w:t xml:space="preserve"> au niveau mondial dans le cadre du partenariat MobiliseYourCity, qui a appuyé l’élaboration de 12</w:t>
      </w:r>
      <w:r w:rsidR="00E91F68" w:rsidRPr="00747EED">
        <w:rPr>
          <w:spacing w:val="-3"/>
          <w:lang w:val="fr-FR"/>
        </w:rPr>
        <w:t> </w:t>
      </w:r>
      <w:r w:rsidRPr="00747EED">
        <w:rPr>
          <w:spacing w:val="-3"/>
          <w:lang w:val="fr-FR"/>
        </w:rPr>
        <w:t xml:space="preserve">plans de mobilité urbaine durable en Afrique, de </w:t>
      </w:r>
      <w:r w:rsidR="00AB6B82">
        <w:rPr>
          <w:spacing w:val="-3"/>
          <w:lang w:val="fr-FR"/>
        </w:rPr>
        <w:t>8</w:t>
      </w:r>
      <w:r w:rsidRPr="00747EED">
        <w:rPr>
          <w:spacing w:val="-3"/>
          <w:lang w:val="fr-FR"/>
        </w:rPr>
        <w:t xml:space="preserve"> en Asie, de </w:t>
      </w:r>
      <w:r w:rsidR="00AB6B82">
        <w:rPr>
          <w:spacing w:val="-3"/>
          <w:lang w:val="fr-FR"/>
        </w:rPr>
        <w:t>8</w:t>
      </w:r>
      <w:r w:rsidRPr="00747EED">
        <w:rPr>
          <w:spacing w:val="-3"/>
          <w:lang w:val="fr-FR"/>
        </w:rPr>
        <w:t xml:space="preserve"> en Amérique latine et de </w:t>
      </w:r>
      <w:r w:rsidR="00AB6B82">
        <w:rPr>
          <w:spacing w:val="-3"/>
          <w:lang w:val="fr-FR"/>
        </w:rPr>
        <w:t>3</w:t>
      </w:r>
      <w:r w:rsidRPr="00747EED">
        <w:rPr>
          <w:spacing w:val="-3"/>
          <w:lang w:val="fr-FR"/>
        </w:rPr>
        <w:t xml:space="preserve"> en Europe de l’Est, tandis que des plans nationaux de mobilité urbaine ont été élaborés dans </w:t>
      </w:r>
      <w:r w:rsidR="00AB6B82">
        <w:rPr>
          <w:spacing w:val="-3"/>
          <w:lang w:val="fr-FR"/>
        </w:rPr>
        <w:t>2</w:t>
      </w:r>
      <w:r w:rsidRPr="00747EED">
        <w:rPr>
          <w:spacing w:val="-3"/>
          <w:lang w:val="fr-FR"/>
        </w:rPr>
        <w:t xml:space="preserve"> pays d’Afrique, </w:t>
      </w:r>
      <w:r w:rsidR="00AB6B82">
        <w:rPr>
          <w:spacing w:val="-3"/>
          <w:lang w:val="fr-FR"/>
        </w:rPr>
        <w:t>2</w:t>
      </w:r>
      <w:r w:rsidRPr="00747EED">
        <w:rPr>
          <w:spacing w:val="-3"/>
          <w:lang w:val="fr-FR"/>
        </w:rPr>
        <w:t xml:space="preserve"> pays d’Asie et </w:t>
      </w:r>
      <w:r w:rsidR="00AB6B82">
        <w:rPr>
          <w:spacing w:val="-3"/>
          <w:lang w:val="fr-FR"/>
        </w:rPr>
        <w:t>5</w:t>
      </w:r>
      <w:r w:rsidRPr="00747EED">
        <w:rPr>
          <w:spacing w:val="-3"/>
          <w:lang w:val="fr-FR"/>
        </w:rPr>
        <w:t xml:space="preserve"> d’Amérique latine</w:t>
      </w:r>
      <w:r w:rsidR="00E91F68" w:rsidRPr="00747EED">
        <w:rPr>
          <w:rStyle w:val="Appelnotedebasdep"/>
          <w:spacing w:val="-3"/>
        </w:rPr>
        <w:footnoteReference w:id="22"/>
      </w:r>
      <w:r w:rsidRPr="00747EED">
        <w:rPr>
          <w:spacing w:val="-3"/>
          <w:lang w:val="fr-FR"/>
        </w:rPr>
        <w:t>.</w:t>
      </w:r>
    </w:p>
    <w:p w14:paraId="5E12CFF7" w14:textId="41AB4E2B" w:rsidR="00D86611" w:rsidRPr="00F20792" w:rsidRDefault="00D86611" w:rsidP="00B47120">
      <w:pPr>
        <w:pStyle w:val="SingleTxtG"/>
        <w:spacing w:after="100"/>
        <w:rPr>
          <w:lang w:val="fr-FR"/>
        </w:rPr>
      </w:pPr>
      <w:r>
        <w:rPr>
          <w:lang w:val="fr-FR"/>
        </w:rPr>
        <w:t>22.</w:t>
      </w:r>
      <w:r>
        <w:rPr>
          <w:lang w:val="fr-FR"/>
        </w:rPr>
        <w:tab/>
        <w:t>Le développement axé sur les transports en commun est pratiqué dans de nombreuses régions, car les décideurs estiment que le fait d’encourager l’utilisation des transports publics et la mobilité active peut contribuer à réduire considérablement les émissions</w:t>
      </w:r>
      <w:r w:rsidR="00E91F68">
        <w:rPr>
          <w:rStyle w:val="Appelnotedebasdep"/>
        </w:rPr>
        <w:footnoteReference w:id="23"/>
      </w:r>
      <w:r>
        <w:rPr>
          <w:lang w:val="fr-FR"/>
        </w:rPr>
        <w:t>. Cette approche peut avoir un effet significatif sur les émissions, car les milieux de vie qui en découlent sont généralement conçus pour être de taille réduite, accessibles à pied et à usage mixte afin que la possession et l’usage d’une voiture ne soient pas nécessaires.</w:t>
      </w:r>
    </w:p>
    <w:p w14:paraId="12C11DFC" w14:textId="77777777" w:rsidR="00D86611" w:rsidRPr="00F20792" w:rsidRDefault="00D86611" w:rsidP="00B47120">
      <w:pPr>
        <w:pStyle w:val="SingleTxtG"/>
        <w:spacing w:after="100"/>
        <w:rPr>
          <w:vertAlign w:val="superscript"/>
          <w:lang w:val="fr-FR"/>
        </w:rPr>
      </w:pPr>
      <w:r>
        <w:rPr>
          <w:lang w:val="fr-FR"/>
        </w:rPr>
        <w:t>23.</w:t>
      </w:r>
      <w:r>
        <w:rPr>
          <w:lang w:val="fr-FR"/>
        </w:rPr>
        <w:tab/>
        <w:t>Dans de nombreuses villes d’Asie de l’Est, le développement axé sur les transports en commun est un pilier essentiel de la planification urbaine. Les villes indiennes sont en train de s’approprier cet outil de planification. Ainsi, Chandigarh, Pune et Navi Mumbai l’ont intégré avec succès dans leurs plans directeurs d’urbanisme</w:t>
      </w:r>
      <w:r w:rsidRPr="008D69CF">
        <w:rPr>
          <w:rStyle w:val="Appelnotedebasdep"/>
        </w:rPr>
        <w:footnoteReference w:id="24"/>
      </w:r>
      <w:r>
        <w:rPr>
          <w:lang w:val="fr-FR"/>
        </w:rPr>
        <w:t>.</w:t>
      </w:r>
    </w:p>
    <w:p w14:paraId="15A80B91" w14:textId="2B8250BB" w:rsidR="00D86611" w:rsidRPr="00F20792" w:rsidRDefault="00D86611" w:rsidP="00D86611">
      <w:pPr>
        <w:pStyle w:val="SingleTxtG"/>
        <w:rPr>
          <w:lang w:val="fr-FR"/>
        </w:rPr>
      </w:pPr>
      <w:r>
        <w:rPr>
          <w:lang w:val="fr-FR"/>
        </w:rPr>
        <w:t>24.</w:t>
      </w:r>
      <w:r>
        <w:rPr>
          <w:lang w:val="fr-FR"/>
        </w:rPr>
        <w:tab/>
        <w:t>Le Gouvernement américain a annoncé fin 2022 qu’il allouerait à des villes des subventions d’un montant total de 13,1</w:t>
      </w:r>
      <w:r w:rsidR="00AB6B82">
        <w:rPr>
          <w:lang w:val="fr-FR"/>
        </w:rPr>
        <w:t> </w:t>
      </w:r>
      <w:r>
        <w:rPr>
          <w:lang w:val="fr-FR"/>
        </w:rPr>
        <w:t>millions de dollars pour les aider à planifier le développement axé sur les transports en commun, tandis que l’État de Californie et la Colombie-Britannique (Canada) ont modifié leur réglementation pour appuyer ce type de développement</w:t>
      </w:r>
      <w:r w:rsidRPr="008D69CF">
        <w:rPr>
          <w:rStyle w:val="Appelnotedebasdep"/>
        </w:rPr>
        <w:footnoteReference w:id="25"/>
      </w:r>
      <w:r>
        <w:rPr>
          <w:lang w:val="fr-FR"/>
        </w:rPr>
        <w:t xml:space="preserve">. Ces dernières années, le concept de planification de proximité a gagné en </w:t>
      </w:r>
      <w:r w:rsidRPr="00A73ADE">
        <w:rPr>
          <w:lang w:val="fr-FR"/>
        </w:rPr>
        <w:lastRenderedPageBreak/>
        <w:t xml:space="preserve">popularité, comme le montrent les projets de la </w:t>
      </w:r>
      <w:r w:rsidR="00780216" w:rsidRPr="00A73ADE">
        <w:rPr>
          <w:lang w:val="fr-FR"/>
        </w:rPr>
        <w:t>« </w:t>
      </w:r>
      <w:r w:rsidRPr="00A73ADE">
        <w:rPr>
          <w:lang w:val="fr-FR"/>
        </w:rPr>
        <w:t>ville du quart d’heure</w:t>
      </w:r>
      <w:r w:rsidR="00780216" w:rsidRPr="00A73ADE">
        <w:rPr>
          <w:lang w:val="fr-FR"/>
        </w:rPr>
        <w:t> »</w:t>
      </w:r>
      <w:r w:rsidRPr="00A73ADE">
        <w:rPr>
          <w:lang w:val="fr-FR"/>
        </w:rPr>
        <w:t xml:space="preserve"> à Paris et des </w:t>
      </w:r>
      <w:r w:rsidR="00780216" w:rsidRPr="00A73ADE">
        <w:rPr>
          <w:lang w:val="fr-FR"/>
        </w:rPr>
        <w:t>« </w:t>
      </w:r>
      <w:r w:rsidRPr="00A73ADE">
        <w:rPr>
          <w:lang w:val="fr-FR"/>
        </w:rPr>
        <w:t>super blocs</w:t>
      </w:r>
      <w:r w:rsidR="00780216" w:rsidRPr="00A73ADE">
        <w:rPr>
          <w:lang w:val="fr-FR"/>
        </w:rPr>
        <w:t> »</w:t>
      </w:r>
      <w:r w:rsidRPr="00A73ADE">
        <w:rPr>
          <w:lang w:val="fr-FR"/>
        </w:rPr>
        <w:t xml:space="preserve"> à Barcelone (Espagne)</w:t>
      </w:r>
      <w:r w:rsidRPr="00A73ADE">
        <w:rPr>
          <w:rStyle w:val="Appelnotedebasdep"/>
        </w:rPr>
        <w:footnoteReference w:id="26"/>
      </w:r>
      <w:r w:rsidRPr="00A73ADE">
        <w:rPr>
          <w:lang w:val="fr-FR"/>
        </w:rPr>
        <w:t>.</w:t>
      </w:r>
    </w:p>
    <w:p w14:paraId="6AD063EF" w14:textId="72EEBD57" w:rsidR="00D86611" w:rsidRPr="00F20792" w:rsidRDefault="00D86611" w:rsidP="00D86611">
      <w:pPr>
        <w:pStyle w:val="SingleTxtG"/>
        <w:rPr>
          <w:lang w:val="fr-FR"/>
        </w:rPr>
      </w:pPr>
      <w:r>
        <w:rPr>
          <w:lang w:val="fr-FR"/>
        </w:rPr>
        <w:t>25.</w:t>
      </w:r>
      <w:r>
        <w:rPr>
          <w:lang w:val="fr-FR"/>
        </w:rPr>
        <w:tab/>
        <w:t>En 2022, il existait en Europe 320</w:t>
      </w:r>
      <w:r w:rsidR="00B47120">
        <w:rPr>
          <w:lang w:val="fr-FR"/>
        </w:rPr>
        <w:t> </w:t>
      </w:r>
      <w:r>
        <w:rPr>
          <w:lang w:val="fr-FR"/>
        </w:rPr>
        <w:t>zones à émissions limitées</w:t>
      </w:r>
      <w:r w:rsidRPr="008D69CF">
        <w:rPr>
          <w:rStyle w:val="Appelnotedebasdep"/>
        </w:rPr>
        <w:footnoteReference w:id="27"/>
      </w:r>
      <w:r>
        <w:rPr>
          <w:lang w:val="fr-FR"/>
        </w:rPr>
        <w:t>. De telles zones sont en train d’être mises en place en Chine et en Inde</w:t>
      </w:r>
      <w:r w:rsidRPr="008D69CF">
        <w:rPr>
          <w:rStyle w:val="Appelnotedebasdep"/>
        </w:rPr>
        <w:footnoteReference w:id="28"/>
      </w:r>
      <w:r>
        <w:rPr>
          <w:lang w:val="fr-FR"/>
        </w:rPr>
        <w:t>. La Chine a également instauré des zones de transport de marchandises à émission zéro afin de promouvoir les véhicules de livraison propres et de réduire la congestion routière</w:t>
      </w:r>
      <w:r w:rsidRPr="008D69CF">
        <w:rPr>
          <w:rStyle w:val="Appelnotedebasdep"/>
        </w:rPr>
        <w:footnoteReference w:id="29"/>
      </w:r>
      <w:r>
        <w:rPr>
          <w:lang w:val="fr-FR"/>
        </w:rPr>
        <w:t xml:space="preserve">. Des zones à émissions limitées apparaissent dans la région de l’Amérique latine et des Caraïbes. Ainsi, les villes de Medellín (Colombie) et Rio de Janeiro (Brésil) en seront dotées </w:t>
      </w:r>
      <w:r w:rsidRPr="00A73ADE">
        <w:rPr>
          <w:lang w:val="fr-FR"/>
        </w:rPr>
        <w:t xml:space="preserve">d’ici </w:t>
      </w:r>
      <w:r w:rsidR="0047643F" w:rsidRPr="00A73ADE">
        <w:rPr>
          <w:lang w:val="fr-FR"/>
        </w:rPr>
        <w:t xml:space="preserve">à </w:t>
      </w:r>
      <w:r w:rsidRPr="00A73ADE">
        <w:rPr>
          <w:lang w:val="fr-FR"/>
        </w:rPr>
        <w:t>la fin</w:t>
      </w:r>
      <w:r>
        <w:rPr>
          <w:lang w:val="fr-FR"/>
        </w:rPr>
        <w:t xml:space="preserve"> de l’année 2023</w:t>
      </w:r>
      <w:r w:rsidRPr="008D69CF">
        <w:rPr>
          <w:rStyle w:val="Appelnotedebasdep"/>
        </w:rPr>
        <w:footnoteReference w:id="30"/>
      </w:r>
      <w:r>
        <w:rPr>
          <w:lang w:val="fr-FR"/>
        </w:rPr>
        <w:t>.</w:t>
      </w:r>
    </w:p>
    <w:p w14:paraId="5796B2BF" w14:textId="79FFE539" w:rsidR="00D86611" w:rsidRPr="00F20792" w:rsidRDefault="00747EED" w:rsidP="00D86611">
      <w:pPr>
        <w:pStyle w:val="H23G"/>
        <w:rPr>
          <w:lang w:val="fr-FR"/>
        </w:rPr>
      </w:pPr>
      <w:r>
        <w:rPr>
          <w:lang w:val="fr-FR"/>
        </w:rPr>
        <w:tab/>
      </w:r>
      <w:r w:rsidR="00D86611">
        <w:rPr>
          <w:lang w:val="fr-FR"/>
        </w:rPr>
        <w:t>2.</w:t>
      </w:r>
      <w:r w:rsidR="00D86611">
        <w:rPr>
          <w:lang w:val="fr-FR"/>
        </w:rPr>
        <w:tab/>
      </w:r>
      <w:r w:rsidR="00D86611">
        <w:rPr>
          <w:bCs/>
          <w:lang w:val="fr-FR"/>
        </w:rPr>
        <w:t xml:space="preserve">Engagements axés sur la composante </w:t>
      </w:r>
      <w:r w:rsidR="00780216">
        <w:rPr>
          <w:bCs/>
          <w:lang w:val="fr-FR"/>
        </w:rPr>
        <w:t>« </w:t>
      </w:r>
      <w:r w:rsidR="00D86611">
        <w:rPr>
          <w:bCs/>
          <w:lang w:val="fr-FR"/>
        </w:rPr>
        <w:t>changer</w:t>
      </w:r>
      <w:r w:rsidR="00780216">
        <w:rPr>
          <w:bCs/>
          <w:lang w:val="fr-FR"/>
        </w:rPr>
        <w:t> »</w:t>
      </w:r>
    </w:p>
    <w:p w14:paraId="4B542B05" w14:textId="3523F350" w:rsidR="00D86611" w:rsidRPr="00F20792" w:rsidRDefault="00D86611" w:rsidP="00D86611">
      <w:pPr>
        <w:pStyle w:val="SingleTxtG"/>
        <w:rPr>
          <w:lang w:val="fr-FR"/>
        </w:rPr>
      </w:pPr>
      <w:r>
        <w:rPr>
          <w:lang w:val="fr-FR"/>
        </w:rPr>
        <w:t>26.</w:t>
      </w:r>
      <w:r>
        <w:rPr>
          <w:lang w:val="fr-FR"/>
        </w:rPr>
        <w:tab/>
        <w:t>Parmi les principaux modes de transport public (bus à haut niveau de service, métro et métro léger), ce sont les systèmes de métro qui ont connu la plus forte croissance entre 2015 et 2021. Malgré les restrictions budgétaires, les retards et la faible fréquentation, les projets d’expansion des transports publics se sont poursuivis en 2020-2021 dans toutes les grandes régions et se sont traduits par l’ouverture de dizaines de nouvelles lignes de train, de bus, de métro léger et de tramway</w:t>
      </w:r>
      <w:r w:rsidRPr="008D69CF">
        <w:rPr>
          <w:rStyle w:val="Appelnotedebasdep"/>
        </w:rPr>
        <w:footnoteReference w:id="31"/>
      </w:r>
      <w:r>
        <w:rPr>
          <w:lang w:val="fr-FR"/>
        </w:rPr>
        <w:t>. De nouveaux systèmes de transport public ont été mis en service à Alger, au Caire, dans plusieurs villes chinoises, à Dakar, Lagos (Nigéria), Londres, Paris, Quito et Washington, et dans bien d’autres villes encore</w:t>
      </w:r>
      <w:r w:rsidRPr="008D69CF">
        <w:rPr>
          <w:rStyle w:val="Appelnotedebasdep"/>
        </w:rPr>
        <w:footnoteReference w:id="32"/>
      </w:r>
      <w:r>
        <w:rPr>
          <w:lang w:val="fr-FR"/>
        </w:rPr>
        <w:t>.</w:t>
      </w:r>
    </w:p>
    <w:p w14:paraId="77032C4A" w14:textId="469D64FE" w:rsidR="00D86611" w:rsidRPr="00F20792" w:rsidRDefault="00D86611" w:rsidP="00D86611">
      <w:pPr>
        <w:pStyle w:val="SingleTxtG"/>
        <w:rPr>
          <w:vertAlign w:val="superscript"/>
          <w:lang w:val="fr-FR"/>
        </w:rPr>
      </w:pPr>
      <w:r>
        <w:rPr>
          <w:lang w:val="fr-FR"/>
        </w:rPr>
        <w:t>27.</w:t>
      </w:r>
      <w:r>
        <w:rPr>
          <w:lang w:val="fr-FR"/>
        </w:rPr>
        <w:tab/>
        <w:t>La mobilité active, qui englobe la marche et le vélo, semble avoir bénéficié des changements de comportement induits par la pandémie de COVID-19. Le développement rapide et sans précédent d’infrastructures et de politiques d’appui</w:t>
      </w:r>
      <w:r w:rsidR="00E91F68">
        <w:rPr>
          <w:lang w:val="fr-FR"/>
        </w:rPr>
        <w:t> − </w:t>
      </w:r>
      <w:r>
        <w:rPr>
          <w:lang w:val="fr-FR"/>
        </w:rPr>
        <w:t>telles que les pistes cyclables provisoires, la piétonnisation des rues et la suppression du stationnement sur la voie publique dans de nombreuses villes</w:t>
      </w:r>
      <w:r w:rsidR="00E91F68">
        <w:rPr>
          <w:lang w:val="fr-FR"/>
        </w:rPr>
        <w:t> − </w:t>
      </w:r>
      <w:r>
        <w:rPr>
          <w:lang w:val="fr-FR"/>
        </w:rPr>
        <w:t>a libéré de l’espace auparavant occupé par les voitures</w:t>
      </w:r>
      <w:r w:rsidRPr="008D69CF">
        <w:rPr>
          <w:rStyle w:val="Appelnotedebasdep"/>
        </w:rPr>
        <w:footnoteReference w:id="33"/>
      </w:r>
      <w:r>
        <w:rPr>
          <w:lang w:val="fr-FR"/>
        </w:rPr>
        <w:t>. De même, la mobilité partagée s’est développée dans de nombreux endroits</w:t>
      </w:r>
      <w:r w:rsidR="00E91F68">
        <w:rPr>
          <w:lang w:val="fr-FR"/>
        </w:rPr>
        <w:t> </w:t>
      </w:r>
      <w:r w:rsidR="003A445C">
        <w:rPr>
          <w:lang w:val="fr-FR"/>
        </w:rPr>
        <w:t>−</w:t>
      </w:r>
      <w:r w:rsidR="00E91F68">
        <w:rPr>
          <w:lang w:val="fr-FR"/>
        </w:rPr>
        <w:t xml:space="preserve"> </w:t>
      </w:r>
      <w:r>
        <w:rPr>
          <w:lang w:val="fr-FR"/>
        </w:rPr>
        <w:t>en</w:t>
      </w:r>
      <w:r w:rsidR="00E91F68">
        <w:rPr>
          <w:lang w:val="fr-FR"/>
        </w:rPr>
        <w:t> </w:t>
      </w:r>
      <w:r>
        <w:rPr>
          <w:lang w:val="fr-FR"/>
        </w:rPr>
        <w:t xml:space="preserve">partie parce que les usagers ont délaissé les transports publics pendant la pandémie, ainsi </w:t>
      </w:r>
      <w:r w:rsidRPr="00A73ADE">
        <w:rPr>
          <w:lang w:val="fr-FR"/>
        </w:rPr>
        <w:lastRenderedPageBreak/>
        <w:t>que leur véhicule personnel en raison de la hausse des prix du carburant</w:t>
      </w:r>
      <w:r w:rsidR="00AB6B82" w:rsidRPr="00A73ADE">
        <w:rPr>
          <w:lang w:val="fr-FR"/>
        </w:rPr>
        <w:t> −</w:t>
      </w:r>
      <w:r w:rsidRPr="00A73ADE">
        <w:rPr>
          <w:lang w:val="fr-FR"/>
        </w:rPr>
        <w:t>, même si elle reste marginale au regard de l’utilisation des véhicules dans leur ensemble</w:t>
      </w:r>
      <w:r w:rsidRPr="00A73ADE">
        <w:rPr>
          <w:rStyle w:val="Appelnotedebasdep"/>
        </w:rPr>
        <w:footnoteReference w:id="34"/>
      </w:r>
      <w:r w:rsidRPr="00A73ADE">
        <w:rPr>
          <w:lang w:val="fr-FR"/>
        </w:rPr>
        <w:t>.</w:t>
      </w:r>
    </w:p>
    <w:p w14:paraId="4FC70C0B" w14:textId="3518EFCA" w:rsidR="00D86611" w:rsidRPr="00F20792" w:rsidRDefault="00747EED" w:rsidP="00D86611">
      <w:pPr>
        <w:pStyle w:val="H23G"/>
        <w:rPr>
          <w:lang w:val="fr-FR"/>
        </w:rPr>
      </w:pPr>
      <w:r>
        <w:rPr>
          <w:lang w:val="fr-FR"/>
        </w:rPr>
        <w:tab/>
      </w:r>
      <w:r>
        <w:rPr>
          <w:lang w:val="fr-FR"/>
        </w:rPr>
        <w:tab/>
      </w:r>
      <w:r w:rsidR="00D86611">
        <w:rPr>
          <w:lang w:val="fr-FR"/>
        </w:rPr>
        <w:t>3.</w:t>
      </w:r>
      <w:r w:rsidR="00D86611">
        <w:rPr>
          <w:lang w:val="fr-FR"/>
        </w:rPr>
        <w:tab/>
      </w:r>
      <w:r w:rsidR="00D86611">
        <w:rPr>
          <w:bCs/>
          <w:lang w:val="fr-FR"/>
        </w:rPr>
        <w:t xml:space="preserve">Engagements axés sur la composante </w:t>
      </w:r>
      <w:r w:rsidR="00780216">
        <w:rPr>
          <w:bCs/>
          <w:lang w:val="fr-FR"/>
        </w:rPr>
        <w:t>« </w:t>
      </w:r>
      <w:r w:rsidR="00D86611">
        <w:rPr>
          <w:bCs/>
          <w:lang w:val="fr-FR"/>
        </w:rPr>
        <w:t>améliorer</w:t>
      </w:r>
      <w:r w:rsidR="00780216">
        <w:rPr>
          <w:bCs/>
          <w:lang w:val="fr-FR"/>
        </w:rPr>
        <w:t> »</w:t>
      </w:r>
    </w:p>
    <w:p w14:paraId="2225D0E6" w14:textId="62014358" w:rsidR="00D86611" w:rsidRPr="00F20792" w:rsidRDefault="00D86611" w:rsidP="00D86611">
      <w:pPr>
        <w:pStyle w:val="SingleTxtG"/>
        <w:rPr>
          <w:lang w:val="fr-FR"/>
        </w:rPr>
      </w:pPr>
      <w:r>
        <w:rPr>
          <w:lang w:val="fr-FR"/>
        </w:rPr>
        <w:t>28.</w:t>
      </w:r>
      <w:r>
        <w:rPr>
          <w:lang w:val="fr-FR"/>
        </w:rPr>
        <w:tab/>
        <w:t xml:space="preserve">L’électrification de l’ensemble des modes de transport est une activité clef du pilier </w:t>
      </w:r>
      <w:r w:rsidR="00780216">
        <w:rPr>
          <w:lang w:val="fr-FR"/>
        </w:rPr>
        <w:t>« </w:t>
      </w:r>
      <w:r>
        <w:rPr>
          <w:lang w:val="fr-FR"/>
        </w:rPr>
        <w:t>améliorer</w:t>
      </w:r>
      <w:r w:rsidR="00780216">
        <w:rPr>
          <w:lang w:val="fr-FR"/>
        </w:rPr>
        <w:t> »</w:t>
      </w:r>
      <w:r>
        <w:rPr>
          <w:lang w:val="fr-FR"/>
        </w:rPr>
        <w:t>. L’Agence internationale de l’énergie (AIE) considère que les véhicules électriques sont la seule composante du domaine des transports qui soit en phase avec les scénarios mondiaux à zéro émission nette</w:t>
      </w:r>
      <w:r w:rsidRPr="008D69CF">
        <w:rPr>
          <w:rStyle w:val="Appelnotedebasdep"/>
        </w:rPr>
        <w:footnoteReference w:id="35"/>
      </w:r>
      <w:r>
        <w:rPr>
          <w:lang w:val="fr-FR"/>
        </w:rPr>
        <w:t>.</w:t>
      </w:r>
    </w:p>
    <w:p w14:paraId="1FCBC54C" w14:textId="3B9D6534" w:rsidR="00D86611" w:rsidRPr="00F20792" w:rsidRDefault="00D86611" w:rsidP="00D86611">
      <w:pPr>
        <w:pStyle w:val="SingleTxtG"/>
        <w:rPr>
          <w:lang w:val="fr-FR"/>
        </w:rPr>
      </w:pPr>
      <w:r>
        <w:rPr>
          <w:lang w:val="fr-FR"/>
        </w:rPr>
        <w:t>29.</w:t>
      </w:r>
      <w:r>
        <w:rPr>
          <w:lang w:val="fr-FR"/>
        </w:rPr>
        <w:tab/>
        <w:t>De plus en plus de pouvoirs publics (au niveau local, régional ou national) fixent des objectifs pour l’élimination progressive des voitures particulières à moteur à combustion interne. Ainsi, en avril 2023, au moins 41</w:t>
      </w:r>
      <w:r w:rsidR="00B47120">
        <w:rPr>
          <w:lang w:val="fr-FR"/>
        </w:rPr>
        <w:t> </w:t>
      </w:r>
      <w:r>
        <w:rPr>
          <w:lang w:val="fr-FR"/>
        </w:rPr>
        <w:t>pays ou entités infranationales avaient fixé de tels objectifs, soit deux fois plus qu’en 2020. La majorité de ces pays se trouvent en Europe et en Amérique du Nord (voir tableau 1).</w:t>
      </w:r>
    </w:p>
    <w:p w14:paraId="6C85F92C" w14:textId="6479E704" w:rsidR="00D86611" w:rsidRPr="00F20792" w:rsidRDefault="00D86611" w:rsidP="003A445C">
      <w:pPr>
        <w:pStyle w:val="Titre1"/>
        <w:spacing w:after="120"/>
        <w:rPr>
          <w:lang w:val="fr-FR"/>
        </w:rPr>
      </w:pPr>
      <w:r>
        <w:rPr>
          <w:lang w:val="fr-FR"/>
        </w:rPr>
        <w:t>Tableau 1</w:t>
      </w:r>
      <w:r w:rsidR="0047643F">
        <w:rPr>
          <w:lang w:val="fr-FR"/>
        </w:rPr>
        <w:t xml:space="preserve"> </w:t>
      </w:r>
      <w:r w:rsidR="0047643F">
        <w:rPr>
          <w:lang w:val="fr-FR"/>
        </w:rPr>
        <w:br/>
        <w:t>P</w:t>
      </w:r>
      <w:r w:rsidRPr="00B47120">
        <w:rPr>
          <w:b/>
          <w:bCs/>
          <w:lang w:val="fr-FR"/>
        </w:rPr>
        <w:t xml:space="preserve">ays ayant fixé des objectifs officiels d’élimination progressive des ventes de véhicules </w:t>
      </w:r>
      <w:r w:rsidR="007E4019">
        <w:rPr>
          <w:b/>
          <w:bCs/>
          <w:lang w:val="fr-FR"/>
        </w:rPr>
        <w:br/>
      </w:r>
      <w:r w:rsidRPr="00B47120">
        <w:rPr>
          <w:b/>
          <w:bCs/>
          <w:lang w:val="fr-FR"/>
        </w:rPr>
        <w:t>à moteur à combustion interne</w:t>
      </w:r>
      <w:r w:rsidRPr="008D69CF">
        <w:rPr>
          <w:rStyle w:val="Appelnotedebasdep"/>
        </w:rPr>
        <w:footnoteReference w:id="36"/>
      </w:r>
    </w:p>
    <w:tbl>
      <w:tblPr>
        <w:tblW w:w="7370" w:type="dxa"/>
        <w:tblInd w:w="1134" w:type="dxa"/>
        <w:tblLayout w:type="fixed"/>
        <w:tblCellMar>
          <w:left w:w="0" w:type="dxa"/>
          <w:right w:w="0" w:type="dxa"/>
        </w:tblCellMar>
        <w:tblLook w:val="0600" w:firstRow="0" w:lastRow="0" w:firstColumn="0" w:lastColumn="0" w:noHBand="1" w:noVBand="1"/>
      </w:tblPr>
      <w:tblGrid>
        <w:gridCol w:w="2835"/>
        <w:gridCol w:w="1136"/>
        <w:gridCol w:w="3399"/>
      </w:tblGrid>
      <w:tr w:rsidR="00D86611" w:rsidRPr="0047643F" w14:paraId="26380B14" w14:textId="77777777" w:rsidTr="00A73ADE">
        <w:trPr>
          <w:tblHeader/>
        </w:trPr>
        <w:tc>
          <w:tcPr>
            <w:tcW w:w="283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AB50E88" w14:textId="77777777" w:rsidR="00D86611" w:rsidRPr="00A73ADE" w:rsidRDefault="00D86611" w:rsidP="0008580A">
            <w:pPr>
              <w:spacing w:before="80" w:after="80" w:line="200" w:lineRule="exact"/>
              <w:ind w:left="28" w:right="113"/>
              <w:rPr>
                <w:i/>
                <w:sz w:val="16"/>
              </w:rPr>
            </w:pPr>
            <w:r w:rsidRPr="00A73ADE">
              <w:rPr>
                <w:i/>
                <w:sz w:val="16"/>
                <w:lang w:val="fr-FR"/>
              </w:rPr>
              <w:t>Type de cible</w:t>
            </w:r>
          </w:p>
        </w:tc>
        <w:tc>
          <w:tcPr>
            <w:tcW w:w="113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EFB79DB" w14:textId="77777777" w:rsidR="00D86611" w:rsidRPr="00A73ADE" w:rsidRDefault="00D86611" w:rsidP="0008580A">
            <w:pPr>
              <w:spacing w:before="80" w:after="80" w:line="200" w:lineRule="exact"/>
              <w:ind w:left="28" w:right="113"/>
              <w:rPr>
                <w:i/>
                <w:sz w:val="16"/>
              </w:rPr>
            </w:pPr>
            <w:r w:rsidRPr="00A73ADE">
              <w:rPr>
                <w:i/>
                <w:sz w:val="16"/>
                <w:lang w:val="fr-FR"/>
              </w:rPr>
              <w:t>Année</w:t>
            </w:r>
          </w:p>
        </w:tc>
        <w:tc>
          <w:tcPr>
            <w:tcW w:w="3399"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07EA977" w14:textId="77777777" w:rsidR="00D86611" w:rsidRPr="00A73ADE" w:rsidRDefault="00D86611" w:rsidP="0008580A">
            <w:pPr>
              <w:spacing w:before="80" w:after="80" w:line="200" w:lineRule="exact"/>
              <w:ind w:left="28" w:right="113"/>
              <w:rPr>
                <w:i/>
                <w:sz w:val="16"/>
              </w:rPr>
            </w:pPr>
            <w:r w:rsidRPr="00A73ADE">
              <w:rPr>
                <w:i/>
                <w:sz w:val="16"/>
                <w:lang w:val="fr-FR"/>
              </w:rPr>
              <w:t>Pays</w:t>
            </w:r>
          </w:p>
        </w:tc>
      </w:tr>
      <w:tr w:rsidR="0008580A" w:rsidRPr="0047643F" w14:paraId="36F48CBB" w14:textId="77777777" w:rsidTr="00A73ADE">
        <w:trPr>
          <w:trHeight w:hRule="exact" w:val="113"/>
          <w:tblHeader/>
        </w:trPr>
        <w:tc>
          <w:tcPr>
            <w:tcW w:w="2835" w:type="dxa"/>
            <w:tcBorders>
              <w:top w:val="single" w:sz="12" w:space="0" w:color="auto"/>
            </w:tcBorders>
            <w:shd w:val="clear" w:color="auto" w:fill="auto"/>
            <w:tcMar>
              <w:top w:w="0" w:type="dxa"/>
              <w:left w:w="0" w:type="dxa"/>
              <w:bottom w:w="0" w:type="dxa"/>
              <w:right w:w="0" w:type="dxa"/>
            </w:tcMar>
          </w:tcPr>
          <w:p w14:paraId="6B9C4152" w14:textId="77777777" w:rsidR="0008580A" w:rsidRPr="00A73ADE" w:rsidRDefault="0008580A" w:rsidP="0008580A">
            <w:pPr>
              <w:spacing w:before="40" w:after="120"/>
              <w:ind w:left="28" w:right="113"/>
              <w:rPr>
                <w:lang w:val="fr-FR"/>
              </w:rPr>
            </w:pPr>
          </w:p>
        </w:tc>
        <w:tc>
          <w:tcPr>
            <w:tcW w:w="1136" w:type="dxa"/>
            <w:tcBorders>
              <w:top w:val="single" w:sz="12" w:space="0" w:color="auto"/>
            </w:tcBorders>
            <w:shd w:val="clear" w:color="auto" w:fill="auto"/>
            <w:tcMar>
              <w:top w:w="0" w:type="dxa"/>
              <w:left w:w="0" w:type="dxa"/>
              <w:bottom w:w="0" w:type="dxa"/>
              <w:right w:w="0" w:type="dxa"/>
            </w:tcMar>
          </w:tcPr>
          <w:p w14:paraId="6482D8E7" w14:textId="77777777" w:rsidR="0008580A" w:rsidRPr="00A73ADE" w:rsidRDefault="0008580A" w:rsidP="0008580A">
            <w:pPr>
              <w:spacing w:before="40" w:after="120"/>
              <w:ind w:left="28" w:right="113"/>
              <w:rPr>
                <w:lang w:val="fr-FR"/>
              </w:rPr>
            </w:pPr>
          </w:p>
        </w:tc>
        <w:tc>
          <w:tcPr>
            <w:tcW w:w="3399" w:type="dxa"/>
            <w:tcBorders>
              <w:top w:val="single" w:sz="12" w:space="0" w:color="auto"/>
            </w:tcBorders>
            <w:shd w:val="clear" w:color="auto" w:fill="auto"/>
            <w:tcMar>
              <w:top w:w="0" w:type="dxa"/>
              <w:left w:w="0" w:type="dxa"/>
              <w:bottom w:w="0" w:type="dxa"/>
              <w:right w:w="0" w:type="dxa"/>
            </w:tcMar>
          </w:tcPr>
          <w:p w14:paraId="0AC80856" w14:textId="77777777" w:rsidR="0008580A" w:rsidRPr="00A73ADE" w:rsidRDefault="0008580A" w:rsidP="0008580A">
            <w:pPr>
              <w:spacing w:before="40" w:after="120"/>
              <w:ind w:left="28" w:right="113"/>
              <w:rPr>
                <w:lang w:val="fr-FR"/>
              </w:rPr>
            </w:pPr>
          </w:p>
        </w:tc>
      </w:tr>
      <w:tr w:rsidR="00D86611" w:rsidRPr="0047643F" w14:paraId="04F4DC02" w14:textId="77777777" w:rsidTr="00A73ADE">
        <w:tc>
          <w:tcPr>
            <w:tcW w:w="2835" w:type="dxa"/>
            <w:vMerge w:val="restart"/>
            <w:shd w:val="clear" w:color="auto" w:fill="auto"/>
            <w:tcMar>
              <w:top w:w="0" w:type="dxa"/>
              <w:left w:w="0" w:type="dxa"/>
              <w:bottom w:w="0" w:type="dxa"/>
              <w:right w:w="0" w:type="dxa"/>
            </w:tcMar>
          </w:tcPr>
          <w:p w14:paraId="345064E6" w14:textId="6D83FADE" w:rsidR="00D86611" w:rsidRPr="00A73ADE" w:rsidRDefault="00D86611" w:rsidP="0008580A">
            <w:pPr>
              <w:spacing w:before="40" w:after="120"/>
              <w:ind w:left="28" w:right="113"/>
              <w:rPr>
                <w:lang w:val="fr-FR"/>
              </w:rPr>
            </w:pPr>
            <w:r w:rsidRPr="00A73ADE">
              <w:rPr>
                <w:lang w:val="fr-FR"/>
              </w:rPr>
              <w:t>Seule la vente de véhicules électriques à</w:t>
            </w:r>
            <w:r w:rsidR="0008580A" w:rsidRPr="00A73ADE">
              <w:rPr>
                <w:lang w:val="fr-FR"/>
              </w:rPr>
              <w:t> </w:t>
            </w:r>
            <w:r w:rsidRPr="00A73ADE">
              <w:rPr>
                <w:lang w:val="fr-FR"/>
              </w:rPr>
              <w:t>batterie ou à</w:t>
            </w:r>
            <w:r w:rsidR="0008580A" w:rsidRPr="00A73ADE">
              <w:rPr>
                <w:lang w:val="fr-FR"/>
              </w:rPr>
              <w:t> </w:t>
            </w:r>
            <w:r w:rsidRPr="00A73ADE">
              <w:rPr>
                <w:lang w:val="fr-FR"/>
              </w:rPr>
              <w:t>pile à combustible neufs sera autorisée</w:t>
            </w:r>
          </w:p>
        </w:tc>
        <w:tc>
          <w:tcPr>
            <w:tcW w:w="1136" w:type="dxa"/>
            <w:shd w:val="clear" w:color="auto" w:fill="auto"/>
            <w:tcMar>
              <w:top w:w="0" w:type="dxa"/>
              <w:left w:w="0" w:type="dxa"/>
              <w:bottom w:w="0" w:type="dxa"/>
              <w:right w:w="0" w:type="dxa"/>
            </w:tcMar>
          </w:tcPr>
          <w:p w14:paraId="0B3B8B79" w14:textId="77777777" w:rsidR="00D86611" w:rsidRPr="00A73ADE" w:rsidRDefault="00D86611" w:rsidP="0008580A">
            <w:pPr>
              <w:spacing w:before="40" w:after="120"/>
              <w:ind w:left="28" w:right="113"/>
            </w:pPr>
            <w:r w:rsidRPr="00A73ADE">
              <w:rPr>
                <w:lang w:val="fr-FR"/>
              </w:rPr>
              <w:t>2035</w:t>
            </w:r>
          </w:p>
        </w:tc>
        <w:tc>
          <w:tcPr>
            <w:tcW w:w="3399" w:type="dxa"/>
            <w:shd w:val="clear" w:color="auto" w:fill="auto"/>
            <w:tcMar>
              <w:top w:w="0" w:type="dxa"/>
              <w:left w:w="0" w:type="dxa"/>
              <w:bottom w:w="0" w:type="dxa"/>
              <w:right w:w="0" w:type="dxa"/>
            </w:tcMar>
          </w:tcPr>
          <w:p w14:paraId="0662521D" w14:textId="6408D05F" w:rsidR="00D86611" w:rsidRPr="00A73ADE" w:rsidRDefault="00D86611" w:rsidP="0008580A">
            <w:pPr>
              <w:spacing w:before="40" w:after="120"/>
              <w:ind w:left="28" w:right="113"/>
              <w:rPr>
                <w:lang w:val="fr-FR"/>
              </w:rPr>
            </w:pPr>
            <w:r w:rsidRPr="00A73ADE">
              <w:rPr>
                <w:lang w:val="fr-FR"/>
              </w:rPr>
              <w:t>Cabo Verde, Chili, Espace économique européen et</w:t>
            </w:r>
            <w:r w:rsidR="00051F7C" w:rsidRPr="00A73ADE">
              <w:rPr>
                <w:lang w:val="fr-FR"/>
              </w:rPr>
              <w:t> </w:t>
            </w:r>
            <w:r w:rsidRPr="00A73ADE">
              <w:rPr>
                <w:lang w:val="fr-FR"/>
              </w:rPr>
              <w:t>Royaume-Uni</w:t>
            </w:r>
          </w:p>
        </w:tc>
      </w:tr>
      <w:tr w:rsidR="00D86611" w:rsidRPr="0047643F" w14:paraId="4A7589AB" w14:textId="77777777" w:rsidTr="00A73ADE">
        <w:tc>
          <w:tcPr>
            <w:tcW w:w="2835" w:type="dxa"/>
            <w:vMerge/>
            <w:shd w:val="clear" w:color="auto" w:fill="auto"/>
            <w:tcMar>
              <w:top w:w="0" w:type="dxa"/>
              <w:left w:w="0" w:type="dxa"/>
              <w:bottom w:w="0" w:type="dxa"/>
              <w:right w:w="0" w:type="dxa"/>
            </w:tcMar>
          </w:tcPr>
          <w:p w14:paraId="40A8F86A" w14:textId="77777777" w:rsidR="00D86611" w:rsidRPr="00A73ADE" w:rsidRDefault="00D86611" w:rsidP="0008580A">
            <w:pPr>
              <w:spacing w:before="40" w:after="120"/>
              <w:ind w:left="28" w:right="113"/>
              <w:rPr>
                <w:lang w:val="fr-FR"/>
              </w:rPr>
            </w:pPr>
          </w:p>
        </w:tc>
        <w:tc>
          <w:tcPr>
            <w:tcW w:w="1136" w:type="dxa"/>
            <w:shd w:val="clear" w:color="auto" w:fill="auto"/>
            <w:tcMar>
              <w:top w:w="0" w:type="dxa"/>
              <w:left w:w="0" w:type="dxa"/>
              <w:bottom w:w="0" w:type="dxa"/>
              <w:right w:w="0" w:type="dxa"/>
            </w:tcMar>
          </w:tcPr>
          <w:p w14:paraId="2D4EE37C" w14:textId="77777777" w:rsidR="00D86611" w:rsidRPr="00A73ADE" w:rsidRDefault="00D86611" w:rsidP="0008580A">
            <w:pPr>
              <w:spacing w:before="40" w:after="120"/>
              <w:ind w:left="28" w:right="113"/>
            </w:pPr>
            <w:r w:rsidRPr="00A73ADE">
              <w:rPr>
                <w:lang w:val="fr-FR"/>
              </w:rPr>
              <w:t>2050</w:t>
            </w:r>
          </w:p>
        </w:tc>
        <w:tc>
          <w:tcPr>
            <w:tcW w:w="3399" w:type="dxa"/>
            <w:shd w:val="clear" w:color="auto" w:fill="auto"/>
            <w:tcMar>
              <w:top w:w="0" w:type="dxa"/>
              <w:left w:w="0" w:type="dxa"/>
              <w:bottom w:w="0" w:type="dxa"/>
              <w:right w:w="0" w:type="dxa"/>
            </w:tcMar>
          </w:tcPr>
          <w:p w14:paraId="4679D1E1" w14:textId="77777777" w:rsidR="00D86611" w:rsidRPr="00A73ADE" w:rsidRDefault="00D86611" w:rsidP="0008580A">
            <w:pPr>
              <w:spacing w:before="40" w:after="120"/>
              <w:ind w:left="28" w:right="113"/>
            </w:pPr>
            <w:r w:rsidRPr="00A73ADE">
              <w:rPr>
                <w:lang w:val="fr-FR"/>
              </w:rPr>
              <w:t>Costa Rica</w:t>
            </w:r>
          </w:p>
        </w:tc>
      </w:tr>
      <w:tr w:rsidR="00D86611" w:rsidRPr="0047643F" w14:paraId="01AAB424" w14:textId="77777777" w:rsidTr="00A73ADE">
        <w:tc>
          <w:tcPr>
            <w:tcW w:w="2835" w:type="dxa"/>
            <w:vMerge w:val="restart"/>
            <w:shd w:val="clear" w:color="auto" w:fill="auto"/>
            <w:tcMar>
              <w:top w:w="0" w:type="dxa"/>
              <w:left w:w="0" w:type="dxa"/>
              <w:bottom w:w="0" w:type="dxa"/>
              <w:right w:w="0" w:type="dxa"/>
            </w:tcMar>
          </w:tcPr>
          <w:p w14:paraId="1A2F324D" w14:textId="77777777" w:rsidR="00D86611" w:rsidRPr="00A73ADE" w:rsidRDefault="00D86611" w:rsidP="0008580A">
            <w:pPr>
              <w:spacing w:before="40" w:after="120"/>
              <w:ind w:left="28" w:right="113"/>
              <w:rPr>
                <w:lang w:val="fr-FR"/>
              </w:rPr>
            </w:pPr>
            <w:r w:rsidRPr="00A73ADE">
              <w:rPr>
                <w:lang w:val="fr-FR"/>
              </w:rPr>
              <w:t>Seule la vente de véhicules électriques à batterie, hybrides rechargeables ou à pile à combustible neufs sera autorisée</w:t>
            </w:r>
          </w:p>
        </w:tc>
        <w:tc>
          <w:tcPr>
            <w:tcW w:w="1136" w:type="dxa"/>
            <w:shd w:val="clear" w:color="auto" w:fill="auto"/>
            <w:tcMar>
              <w:top w:w="0" w:type="dxa"/>
              <w:left w:w="0" w:type="dxa"/>
              <w:bottom w:w="0" w:type="dxa"/>
              <w:right w:w="0" w:type="dxa"/>
            </w:tcMar>
          </w:tcPr>
          <w:p w14:paraId="1FA96AE6" w14:textId="77777777" w:rsidR="00D86611" w:rsidRPr="00A73ADE" w:rsidRDefault="00D86611" w:rsidP="0008580A">
            <w:pPr>
              <w:spacing w:before="40" w:after="120"/>
              <w:ind w:left="28" w:right="113"/>
            </w:pPr>
            <w:r w:rsidRPr="00A73ADE">
              <w:rPr>
                <w:lang w:val="fr-FR"/>
              </w:rPr>
              <w:t>2030</w:t>
            </w:r>
          </w:p>
        </w:tc>
        <w:tc>
          <w:tcPr>
            <w:tcW w:w="3399" w:type="dxa"/>
            <w:shd w:val="clear" w:color="auto" w:fill="auto"/>
            <w:tcMar>
              <w:top w:w="0" w:type="dxa"/>
              <w:left w:w="0" w:type="dxa"/>
              <w:bottom w:w="0" w:type="dxa"/>
              <w:right w:w="0" w:type="dxa"/>
            </w:tcMar>
          </w:tcPr>
          <w:p w14:paraId="4176B280" w14:textId="77777777" w:rsidR="00D86611" w:rsidRPr="00A73ADE" w:rsidRDefault="00D86611" w:rsidP="0008580A">
            <w:pPr>
              <w:spacing w:before="40" w:after="120"/>
              <w:ind w:left="28" w:right="113"/>
            </w:pPr>
            <w:r w:rsidRPr="00A73ADE">
              <w:rPr>
                <w:lang w:val="fr-FR"/>
              </w:rPr>
              <w:t>Singapour</w:t>
            </w:r>
          </w:p>
        </w:tc>
      </w:tr>
      <w:tr w:rsidR="00D86611" w:rsidRPr="0047643F" w14:paraId="6B5735DD" w14:textId="77777777" w:rsidTr="00A73ADE">
        <w:tc>
          <w:tcPr>
            <w:tcW w:w="2835" w:type="dxa"/>
            <w:vMerge/>
            <w:shd w:val="clear" w:color="auto" w:fill="auto"/>
            <w:tcMar>
              <w:top w:w="0" w:type="dxa"/>
              <w:left w:w="0" w:type="dxa"/>
              <w:bottom w:w="0" w:type="dxa"/>
              <w:right w:w="0" w:type="dxa"/>
            </w:tcMar>
          </w:tcPr>
          <w:p w14:paraId="0CCD822D" w14:textId="77777777" w:rsidR="00D86611" w:rsidRPr="00A73ADE" w:rsidRDefault="00D86611" w:rsidP="0008580A">
            <w:pPr>
              <w:spacing w:before="40" w:after="120"/>
              <w:ind w:left="28" w:right="113"/>
            </w:pPr>
          </w:p>
        </w:tc>
        <w:tc>
          <w:tcPr>
            <w:tcW w:w="1136" w:type="dxa"/>
            <w:shd w:val="clear" w:color="auto" w:fill="auto"/>
            <w:tcMar>
              <w:top w:w="0" w:type="dxa"/>
              <w:left w:w="0" w:type="dxa"/>
              <w:bottom w:w="0" w:type="dxa"/>
              <w:right w:w="0" w:type="dxa"/>
            </w:tcMar>
          </w:tcPr>
          <w:p w14:paraId="4307BB90" w14:textId="77777777" w:rsidR="00D86611" w:rsidRPr="00A73ADE" w:rsidRDefault="00D86611" w:rsidP="0008580A">
            <w:pPr>
              <w:spacing w:before="40" w:after="120"/>
              <w:ind w:left="28" w:right="113"/>
            </w:pPr>
            <w:r w:rsidRPr="00A73ADE">
              <w:rPr>
                <w:lang w:val="fr-FR"/>
              </w:rPr>
              <w:t>2035</w:t>
            </w:r>
          </w:p>
        </w:tc>
        <w:tc>
          <w:tcPr>
            <w:tcW w:w="3399" w:type="dxa"/>
            <w:shd w:val="clear" w:color="auto" w:fill="auto"/>
            <w:tcMar>
              <w:top w:w="0" w:type="dxa"/>
              <w:left w:w="0" w:type="dxa"/>
              <w:bottom w:w="0" w:type="dxa"/>
              <w:right w:w="0" w:type="dxa"/>
            </w:tcMar>
          </w:tcPr>
          <w:p w14:paraId="1AB34B29" w14:textId="4CFAC59A" w:rsidR="00D86611" w:rsidRPr="00A73ADE" w:rsidRDefault="00D86611" w:rsidP="0008580A">
            <w:pPr>
              <w:spacing w:before="40" w:after="120"/>
              <w:ind w:left="28" w:right="113"/>
              <w:rPr>
                <w:lang w:val="fr-FR"/>
              </w:rPr>
            </w:pPr>
            <w:r w:rsidRPr="00A73ADE">
              <w:rPr>
                <w:lang w:val="fr-FR"/>
              </w:rPr>
              <w:t>États des États-Unis (Californie, Massachusetts, New</w:t>
            </w:r>
            <w:r w:rsidR="0008580A" w:rsidRPr="00A73ADE">
              <w:rPr>
                <w:lang w:val="fr-FR"/>
              </w:rPr>
              <w:t> </w:t>
            </w:r>
            <w:r w:rsidRPr="00A73ADE">
              <w:rPr>
                <w:lang w:val="fr-FR"/>
              </w:rPr>
              <w:t>York, Oregon, Vermont et Washington)</w:t>
            </w:r>
          </w:p>
        </w:tc>
      </w:tr>
      <w:tr w:rsidR="00D86611" w:rsidRPr="0047643F" w14:paraId="48326D54" w14:textId="77777777" w:rsidTr="00A73ADE">
        <w:tc>
          <w:tcPr>
            <w:tcW w:w="2835" w:type="dxa"/>
            <w:shd w:val="clear" w:color="auto" w:fill="auto"/>
            <w:tcMar>
              <w:top w:w="0" w:type="dxa"/>
              <w:left w:w="0" w:type="dxa"/>
              <w:bottom w:w="0" w:type="dxa"/>
              <w:right w:w="0" w:type="dxa"/>
            </w:tcMar>
          </w:tcPr>
          <w:p w14:paraId="0BBA548D" w14:textId="77777777" w:rsidR="00D86611" w:rsidRPr="00A73ADE" w:rsidRDefault="00D86611" w:rsidP="0008580A">
            <w:pPr>
              <w:spacing w:before="40" w:after="120"/>
              <w:ind w:left="28" w:right="113"/>
              <w:rPr>
                <w:lang w:val="fr-FR"/>
              </w:rPr>
            </w:pPr>
            <w:r w:rsidRPr="00A73ADE">
              <w:rPr>
                <w:lang w:val="fr-FR"/>
              </w:rPr>
              <w:t>Déclaration en faveur des véhicules à émission zéro</w:t>
            </w:r>
          </w:p>
        </w:tc>
        <w:tc>
          <w:tcPr>
            <w:tcW w:w="1136" w:type="dxa"/>
            <w:shd w:val="clear" w:color="auto" w:fill="auto"/>
            <w:tcMar>
              <w:top w:w="0" w:type="dxa"/>
              <w:left w:w="0" w:type="dxa"/>
              <w:bottom w:w="0" w:type="dxa"/>
              <w:right w:w="0" w:type="dxa"/>
            </w:tcMar>
          </w:tcPr>
          <w:p w14:paraId="064A630B" w14:textId="77777777" w:rsidR="00D86611" w:rsidRPr="00A73ADE" w:rsidRDefault="00D86611" w:rsidP="0008580A">
            <w:pPr>
              <w:spacing w:before="40" w:after="120"/>
              <w:ind w:left="28" w:right="113"/>
            </w:pPr>
            <w:r w:rsidRPr="00A73ADE">
              <w:rPr>
                <w:lang w:val="fr-FR"/>
              </w:rPr>
              <w:t>2035-2040</w:t>
            </w:r>
          </w:p>
        </w:tc>
        <w:tc>
          <w:tcPr>
            <w:tcW w:w="3399" w:type="dxa"/>
            <w:shd w:val="clear" w:color="auto" w:fill="auto"/>
            <w:tcMar>
              <w:top w:w="0" w:type="dxa"/>
              <w:left w:w="0" w:type="dxa"/>
              <w:bottom w:w="0" w:type="dxa"/>
              <w:right w:w="0" w:type="dxa"/>
            </w:tcMar>
          </w:tcPr>
          <w:p w14:paraId="6EC64ADA" w14:textId="77777777" w:rsidR="00D86611" w:rsidRPr="00A73ADE" w:rsidRDefault="00D86611" w:rsidP="0008580A">
            <w:pPr>
              <w:spacing w:before="40" w:after="120"/>
              <w:ind w:left="28" w:right="113"/>
              <w:rPr>
                <w:lang w:val="fr-FR"/>
              </w:rPr>
            </w:pPr>
            <w:r w:rsidRPr="00A73ADE">
              <w:rPr>
                <w:lang w:val="fr-FR"/>
              </w:rPr>
              <w:t>Azerbaïdjan, Israël, Nouvelle-Zélande et Uruguay</w:t>
            </w:r>
          </w:p>
        </w:tc>
      </w:tr>
      <w:tr w:rsidR="00D86611" w:rsidRPr="0008580A" w14:paraId="46A20752" w14:textId="77777777" w:rsidTr="00A73ADE">
        <w:tc>
          <w:tcPr>
            <w:tcW w:w="2835" w:type="dxa"/>
            <w:tcBorders>
              <w:bottom w:val="single" w:sz="12" w:space="0" w:color="auto"/>
            </w:tcBorders>
            <w:shd w:val="clear" w:color="auto" w:fill="auto"/>
            <w:tcMar>
              <w:top w:w="0" w:type="dxa"/>
              <w:left w:w="0" w:type="dxa"/>
              <w:bottom w:w="0" w:type="dxa"/>
              <w:right w:w="0" w:type="dxa"/>
            </w:tcMar>
          </w:tcPr>
          <w:p w14:paraId="51990B27" w14:textId="77777777" w:rsidR="00D86611" w:rsidRPr="00A73ADE" w:rsidRDefault="00D86611" w:rsidP="0008580A">
            <w:pPr>
              <w:spacing w:before="40" w:after="120"/>
              <w:ind w:left="28" w:right="113"/>
              <w:rPr>
                <w:lang w:val="fr-FR"/>
              </w:rPr>
            </w:pPr>
            <w:r w:rsidRPr="00A73ADE">
              <w:rPr>
                <w:lang w:val="fr-FR"/>
              </w:rPr>
              <w:t>Déclaration en faveur des véhicules à émission zéro dans les marchés émergents et les économies en développement</w:t>
            </w:r>
          </w:p>
        </w:tc>
        <w:tc>
          <w:tcPr>
            <w:tcW w:w="1136" w:type="dxa"/>
            <w:tcBorders>
              <w:bottom w:val="single" w:sz="12" w:space="0" w:color="auto"/>
            </w:tcBorders>
            <w:shd w:val="clear" w:color="auto" w:fill="auto"/>
            <w:tcMar>
              <w:top w:w="0" w:type="dxa"/>
              <w:left w:w="0" w:type="dxa"/>
              <w:bottom w:w="0" w:type="dxa"/>
              <w:right w:w="0" w:type="dxa"/>
            </w:tcMar>
          </w:tcPr>
          <w:p w14:paraId="774DB6A0" w14:textId="77777777" w:rsidR="00D86611" w:rsidRPr="00A73ADE" w:rsidRDefault="00D86611" w:rsidP="0008580A">
            <w:pPr>
              <w:spacing w:before="40" w:after="120"/>
              <w:ind w:left="28" w:right="113"/>
            </w:pPr>
            <w:r w:rsidRPr="00A73ADE">
              <w:rPr>
                <w:lang w:val="fr-FR"/>
              </w:rPr>
              <w:t>2040</w:t>
            </w:r>
          </w:p>
        </w:tc>
        <w:tc>
          <w:tcPr>
            <w:tcW w:w="3399" w:type="dxa"/>
            <w:tcBorders>
              <w:bottom w:val="single" w:sz="12" w:space="0" w:color="auto"/>
            </w:tcBorders>
            <w:shd w:val="clear" w:color="auto" w:fill="auto"/>
            <w:tcMar>
              <w:top w:w="0" w:type="dxa"/>
              <w:left w:w="0" w:type="dxa"/>
              <w:bottom w:w="0" w:type="dxa"/>
              <w:right w:w="0" w:type="dxa"/>
            </w:tcMar>
          </w:tcPr>
          <w:p w14:paraId="7B6401B2" w14:textId="77777777" w:rsidR="00D86611" w:rsidRPr="00A73ADE" w:rsidRDefault="00D86611" w:rsidP="0008580A">
            <w:pPr>
              <w:spacing w:before="40" w:after="120"/>
              <w:ind w:left="28" w:right="113"/>
            </w:pPr>
            <w:r w:rsidRPr="00A73ADE">
              <w:rPr>
                <w:lang w:val="fr-FR"/>
              </w:rPr>
              <w:t>Ghana, Inde, Kenya, Mexique, Maroc, Paraguay, Türkiye et Ukraine</w:t>
            </w:r>
          </w:p>
        </w:tc>
      </w:tr>
    </w:tbl>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A73ADE" w14:paraId="653A1DE2" w14:textId="77777777" w:rsidTr="000B1E2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453D8C3F" w14:textId="77777777" w:rsidR="00A73ADE" w:rsidRDefault="00A73ADE" w:rsidP="00A73ADE">
            <w:pPr>
              <w:keepNext/>
              <w:keepLines/>
            </w:pPr>
          </w:p>
        </w:tc>
      </w:tr>
      <w:tr w:rsidR="00A73ADE" w14:paraId="716577D0" w14:textId="77777777" w:rsidTr="000B1E26">
        <w:trPr>
          <w:jc w:val="center"/>
        </w:trPr>
        <w:tc>
          <w:tcPr>
            <w:tcW w:w="7653" w:type="dxa"/>
            <w:tcBorders>
              <w:left w:val="single" w:sz="4" w:space="0" w:color="auto"/>
              <w:bottom w:val="nil"/>
              <w:right w:val="single" w:sz="4" w:space="0" w:color="auto"/>
            </w:tcBorders>
            <w:shd w:val="clear" w:color="auto" w:fill="auto"/>
          </w:tcPr>
          <w:p w14:paraId="01994E82" w14:textId="77777777" w:rsidR="00A73ADE" w:rsidRPr="00A73ADE" w:rsidRDefault="00A73ADE" w:rsidP="00A73ADE">
            <w:pPr>
              <w:keepNext/>
              <w:keepLines/>
              <w:spacing w:after="120"/>
            </w:pPr>
            <w:r w:rsidRPr="00A73ADE">
              <w:rPr>
                <w:lang w:val="fr-FR"/>
              </w:rPr>
              <w:t>Encadré 6</w:t>
            </w:r>
            <w:r w:rsidRPr="00A73ADE">
              <w:rPr>
                <w:lang w:val="fr-FR"/>
              </w:rPr>
              <w:br/>
            </w:r>
            <w:r w:rsidRPr="00A73ADE">
              <w:rPr>
                <w:b/>
                <w:bCs/>
                <w:lang w:val="fr-FR"/>
              </w:rPr>
              <w:t>Le paquet « Ajustement à l’objectif 55 » de l’Union européenne</w:t>
            </w:r>
          </w:p>
        </w:tc>
      </w:tr>
      <w:tr w:rsidR="00A73ADE" w14:paraId="407F888C" w14:textId="77777777" w:rsidTr="000B1E26">
        <w:trPr>
          <w:jc w:val="center"/>
        </w:trPr>
        <w:tc>
          <w:tcPr>
            <w:tcW w:w="7653" w:type="dxa"/>
            <w:tcBorders>
              <w:left w:val="single" w:sz="4" w:space="0" w:color="auto"/>
              <w:bottom w:val="nil"/>
              <w:right w:val="single" w:sz="4" w:space="0" w:color="auto"/>
            </w:tcBorders>
            <w:shd w:val="clear" w:color="auto" w:fill="auto"/>
          </w:tcPr>
          <w:p w14:paraId="5CB2554E" w14:textId="77777777" w:rsidR="00A73ADE" w:rsidRPr="00A73ADE" w:rsidRDefault="00A73ADE" w:rsidP="00A73ADE">
            <w:pPr>
              <w:keepNext/>
              <w:keepLines/>
              <w:spacing w:after="120"/>
              <w:ind w:firstLine="567"/>
              <w:jc w:val="both"/>
              <w:rPr>
                <w:lang w:val="fr-FR"/>
              </w:rPr>
            </w:pPr>
            <w:r w:rsidRPr="00A73ADE">
              <w:rPr>
                <w:lang w:val="fr-FR"/>
              </w:rPr>
              <w:t>Le paquet « Ajustement à l’objectif 55 » de l’UE, mis en place en 2021, vise à réduire de 55 % les émissions de GES de la région d’ici à 2030 et à atteindre la neutralité climatique d’ici à 2050. Pour le secteur des transports, cela signifierait que les émissions de CO</w:t>
            </w:r>
            <w:r w:rsidRPr="00A73ADE">
              <w:rPr>
                <w:vertAlign w:val="subscript"/>
                <w:lang w:val="fr-FR"/>
              </w:rPr>
              <w:t>2</w:t>
            </w:r>
            <w:r w:rsidRPr="00A73ADE">
              <w:rPr>
                <w:lang w:val="fr-FR"/>
              </w:rPr>
              <w:t xml:space="preserve"> à l’échappement des voitures neuves devraient être nulles d’ici à 2035. Début 2023, l’UE a approuvé à la quasi-unanimité l’interdiction des ventes de véhicules à moteur à combustion interne (à l’exception des carburants neutres en CO</w:t>
            </w:r>
            <w:r w:rsidRPr="00A73ADE">
              <w:rPr>
                <w:vertAlign w:val="subscript"/>
                <w:lang w:val="fr-FR"/>
              </w:rPr>
              <w:t>2</w:t>
            </w:r>
            <w:r w:rsidRPr="00A73ADE">
              <w:rPr>
                <w:lang w:val="fr-FR"/>
              </w:rPr>
              <w:t xml:space="preserve"> ou en carbone) à compter de 2035</w:t>
            </w:r>
            <w:r w:rsidRPr="00A73ADE">
              <w:rPr>
                <w:rStyle w:val="Appelnotedebasdep"/>
              </w:rPr>
              <w:footnoteReference w:id="37"/>
            </w:r>
            <w:r w:rsidRPr="00A73ADE">
              <w:rPr>
                <w:vertAlign w:val="superscript"/>
                <w:lang w:val="fr-FR"/>
              </w:rPr>
              <w:t xml:space="preserve">, </w:t>
            </w:r>
            <w:r w:rsidRPr="00A73ADE">
              <w:rPr>
                <w:rStyle w:val="Appelnotedebasdep"/>
              </w:rPr>
              <w:footnoteReference w:id="38"/>
            </w:r>
            <w:r w:rsidRPr="00A73ADE">
              <w:rPr>
                <w:lang w:val="fr-FR"/>
              </w:rPr>
              <w:t>.</w:t>
            </w:r>
          </w:p>
        </w:tc>
      </w:tr>
      <w:tr w:rsidR="00A73ADE" w14:paraId="3F651159" w14:textId="77777777" w:rsidTr="000B1E26">
        <w:trPr>
          <w:jc w:val="center"/>
        </w:trPr>
        <w:tc>
          <w:tcPr>
            <w:tcW w:w="7653" w:type="dxa"/>
            <w:tcBorders>
              <w:left w:val="single" w:sz="4" w:space="0" w:color="auto"/>
              <w:bottom w:val="nil"/>
              <w:right w:val="single" w:sz="4" w:space="0" w:color="auto"/>
            </w:tcBorders>
            <w:shd w:val="clear" w:color="auto" w:fill="auto"/>
          </w:tcPr>
          <w:p w14:paraId="77A63C52" w14:textId="77777777" w:rsidR="00A73ADE" w:rsidRPr="00A73ADE" w:rsidRDefault="00A73ADE" w:rsidP="00A73ADE">
            <w:pPr>
              <w:spacing w:after="120"/>
              <w:ind w:firstLine="567"/>
              <w:jc w:val="both"/>
              <w:rPr>
                <w:lang w:val="fr-FR"/>
              </w:rPr>
            </w:pPr>
            <w:r w:rsidRPr="00A73ADE">
              <w:rPr>
                <w:spacing w:val="-3"/>
                <w:lang w:val="fr-FR"/>
              </w:rPr>
              <w:t>En 2022, 9 pays européens avaient adopté soit un objectif que ne soient vendus que des véhicules électriques, soit une interdiction des véhicules à moteur à combustion interne (généralement en ciblant les ventes), tandis que 11 pays avaient annoncé ou prévu un tel objectif.</w:t>
            </w:r>
          </w:p>
        </w:tc>
      </w:tr>
      <w:tr w:rsidR="00A73ADE" w14:paraId="66E691F3" w14:textId="77777777" w:rsidTr="000B1E2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23574B0A" w14:textId="77777777" w:rsidR="00A73ADE" w:rsidRDefault="00A73ADE" w:rsidP="000B1E26"/>
        </w:tc>
      </w:tr>
    </w:tbl>
    <w:p w14:paraId="29929797" w14:textId="0E4DEDC0" w:rsidR="00D86611" w:rsidRPr="00A73ADE" w:rsidRDefault="00D86611" w:rsidP="00D86611">
      <w:pPr>
        <w:pStyle w:val="SingleTxtG"/>
        <w:spacing w:before="240"/>
        <w:rPr>
          <w:lang w:val="fr-FR"/>
        </w:rPr>
      </w:pPr>
      <w:r>
        <w:rPr>
          <w:lang w:val="fr-FR"/>
        </w:rPr>
        <w:t>30.</w:t>
      </w:r>
      <w:r>
        <w:rPr>
          <w:lang w:val="fr-FR"/>
        </w:rPr>
        <w:tab/>
      </w:r>
      <w:r w:rsidRPr="00051F7C">
        <w:rPr>
          <w:spacing w:val="-2"/>
          <w:lang w:val="fr-FR"/>
        </w:rPr>
        <w:t>Les émissions provenant des voitures particulières et utilitaires légers doivent être examinées de près, car ces véhicules sont responsables d’une grande partie des émissions dues aux transports. Entre 2019 et 2022, la consommation énergétique de ces véhicules, pondérée en fonction des ventes, s’est améliorée de 3,2</w:t>
      </w:r>
      <w:r w:rsidR="00780216" w:rsidRPr="00051F7C">
        <w:rPr>
          <w:spacing w:val="-2"/>
          <w:lang w:val="fr-FR"/>
        </w:rPr>
        <w:t> %</w:t>
      </w:r>
      <w:r w:rsidRPr="00051F7C">
        <w:rPr>
          <w:spacing w:val="-2"/>
          <w:lang w:val="fr-FR"/>
        </w:rPr>
        <w:t xml:space="preserve"> par an sur tous les principaux marchés automobiles. Ce taux d’amélioration est deux fois plus élevé que celui observé entre 2005 et 2019 (1,6</w:t>
      </w:r>
      <w:r w:rsidR="00780216" w:rsidRPr="00051F7C">
        <w:rPr>
          <w:spacing w:val="-2"/>
          <w:lang w:val="fr-FR"/>
        </w:rPr>
        <w:t> %</w:t>
      </w:r>
      <w:r w:rsidRPr="00051F7C">
        <w:rPr>
          <w:spacing w:val="-2"/>
          <w:lang w:val="fr-FR"/>
        </w:rPr>
        <w:t>). En 2022, la consommation énergétique était estimée à 6,9</w:t>
      </w:r>
      <w:r w:rsidR="00051F7C" w:rsidRPr="00051F7C">
        <w:rPr>
          <w:spacing w:val="-2"/>
          <w:lang w:val="fr-FR"/>
        </w:rPr>
        <w:t> </w:t>
      </w:r>
      <w:r w:rsidRPr="00051F7C">
        <w:rPr>
          <w:spacing w:val="-2"/>
          <w:lang w:val="fr-FR"/>
        </w:rPr>
        <w:t>litres d’équivalent essence/100</w:t>
      </w:r>
      <w:r w:rsidR="00051F7C" w:rsidRPr="00051F7C">
        <w:rPr>
          <w:spacing w:val="-2"/>
          <w:lang w:val="fr-FR"/>
        </w:rPr>
        <w:t> </w:t>
      </w:r>
      <w:r w:rsidRPr="00051F7C">
        <w:rPr>
          <w:spacing w:val="-2"/>
          <w:lang w:val="fr-FR"/>
        </w:rPr>
        <w:t>km, soit une baisse de près de 30</w:t>
      </w:r>
      <w:r w:rsidR="00780216" w:rsidRPr="00051F7C">
        <w:rPr>
          <w:spacing w:val="-2"/>
          <w:lang w:val="fr-FR"/>
        </w:rPr>
        <w:t> %</w:t>
      </w:r>
      <w:r w:rsidRPr="00051F7C">
        <w:rPr>
          <w:spacing w:val="-2"/>
          <w:lang w:val="fr-FR"/>
        </w:rPr>
        <w:t xml:space="preserve"> par rapport à 2005. Les</w:t>
      </w:r>
      <w:r w:rsidR="00051F7C" w:rsidRPr="00051F7C">
        <w:rPr>
          <w:spacing w:val="-2"/>
          <w:lang w:val="fr-FR"/>
        </w:rPr>
        <w:t> </w:t>
      </w:r>
      <w:r w:rsidRPr="00051F7C">
        <w:rPr>
          <w:spacing w:val="-2"/>
          <w:lang w:val="fr-FR"/>
        </w:rPr>
        <w:t>émissions directes de CO</w:t>
      </w:r>
      <w:r w:rsidR="00051F7C" w:rsidRPr="00051F7C">
        <w:rPr>
          <w:spacing w:val="-2"/>
          <w:vertAlign w:val="subscript"/>
          <w:lang w:val="fr-FR"/>
        </w:rPr>
        <w:t>2</w:t>
      </w:r>
      <w:r w:rsidRPr="00051F7C">
        <w:rPr>
          <w:spacing w:val="-2"/>
          <w:lang w:val="fr-FR"/>
        </w:rPr>
        <w:t xml:space="preserve"> de ces véhicules ont diminué encore plus rapidement, à un rythme de 2,1</w:t>
      </w:r>
      <w:r w:rsidR="00780216" w:rsidRPr="00051F7C">
        <w:rPr>
          <w:spacing w:val="-2"/>
          <w:lang w:val="fr-FR"/>
        </w:rPr>
        <w:t> %</w:t>
      </w:r>
      <w:r w:rsidRPr="00051F7C">
        <w:rPr>
          <w:spacing w:val="-2"/>
          <w:lang w:val="fr-FR"/>
        </w:rPr>
        <w:t xml:space="preserve"> par an entre 2005 et 2022. Pour atteindre les objectifs fixés par l’Initiative mondiale pour les économies de carburant</w:t>
      </w:r>
      <w:r w:rsidRPr="00051F7C">
        <w:rPr>
          <w:rStyle w:val="Appelnotedebasdep"/>
          <w:spacing w:val="-2"/>
        </w:rPr>
        <w:footnoteReference w:id="39"/>
      </w:r>
      <w:r w:rsidRPr="00051F7C">
        <w:rPr>
          <w:spacing w:val="-2"/>
          <w:lang w:val="fr-FR"/>
        </w:rPr>
        <w:t xml:space="preserve">, il faudra maintenir jusqu’en 2030 le taux annuel moyen de réduction de l’intensité énergétique </w:t>
      </w:r>
      <w:r w:rsidRPr="00A73ADE">
        <w:rPr>
          <w:spacing w:val="-2"/>
          <w:lang w:val="fr-FR"/>
        </w:rPr>
        <w:t>actuellement enregistré (4,2</w:t>
      </w:r>
      <w:r w:rsidR="00780216" w:rsidRPr="00A73ADE">
        <w:rPr>
          <w:spacing w:val="-2"/>
          <w:lang w:val="fr-FR"/>
        </w:rPr>
        <w:t> %</w:t>
      </w:r>
      <w:r w:rsidRPr="00A73ADE">
        <w:rPr>
          <w:spacing w:val="-2"/>
          <w:lang w:val="fr-FR"/>
        </w:rPr>
        <w:t xml:space="preserve"> entre 2020 et 2022).</w:t>
      </w:r>
    </w:p>
    <w:p w14:paraId="3FB4F69D" w14:textId="5CD5A1AC" w:rsidR="00D86611" w:rsidRPr="00F20792" w:rsidRDefault="00D86611" w:rsidP="003A445C">
      <w:pPr>
        <w:pStyle w:val="Titre1"/>
        <w:spacing w:after="120"/>
        <w:ind w:left="0"/>
        <w:rPr>
          <w:b/>
          <w:bCs/>
          <w:lang w:val="fr-FR"/>
        </w:rPr>
      </w:pPr>
      <w:r w:rsidRPr="00A73ADE">
        <w:rPr>
          <w:lang w:val="fr-FR"/>
        </w:rPr>
        <w:t>Figure II</w:t>
      </w:r>
      <w:r w:rsidR="008C73A8" w:rsidRPr="00A73ADE">
        <w:rPr>
          <w:lang w:val="fr-FR"/>
        </w:rPr>
        <w:br/>
      </w:r>
      <w:r w:rsidRPr="00A73ADE">
        <w:rPr>
          <w:b/>
          <w:bCs/>
          <w:lang w:val="fr-FR"/>
        </w:rPr>
        <w:t>Tendances de la consommation énergétique des voitures particulières et utilitaires légers</w:t>
      </w:r>
    </w:p>
    <w:p w14:paraId="1C65CB77" w14:textId="63E985EF" w:rsidR="00D86611" w:rsidRDefault="008C73A8" w:rsidP="00D86611">
      <w:r>
        <w:rPr>
          <w:noProof/>
        </w:rPr>
        <w:drawing>
          <wp:inline distT="0" distB="0" distL="0" distR="0" wp14:anchorId="407EE009" wp14:editId="10C40C27">
            <wp:extent cx="6120130" cy="3053080"/>
            <wp:effectExtent l="0" t="0" r="0" b="0"/>
            <wp:docPr id="460843317" name="Image 1" descr="Une image contenant texte, capture d’écran, Tracé,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43317" name="Image 1" descr="Une image contenant texte, capture d’écran, Tracé, ligne&#10;&#10;Description générée automatiquement"/>
                    <pic:cNvPicPr/>
                  </pic:nvPicPr>
                  <pic:blipFill>
                    <a:blip r:embed="rId10"/>
                    <a:stretch>
                      <a:fillRect/>
                    </a:stretch>
                  </pic:blipFill>
                  <pic:spPr>
                    <a:xfrm>
                      <a:off x="0" y="0"/>
                      <a:ext cx="6120130" cy="3053080"/>
                    </a:xfrm>
                    <a:prstGeom prst="rect">
                      <a:avLst/>
                    </a:prstGeom>
                  </pic:spPr>
                </pic:pic>
              </a:graphicData>
            </a:graphic>
          </wp:inline>
        </w:drawing>
      </w:r>
    </w:p>
    <w:p w14:paraId="083B5353" w14:textId="77777777" w:rsidR="00D86611" w:rsidRPr="00F20792" w:rsidRDefault="00D86611" w:rsidP="003A445C">
      <w:pPr>
        <w:pStyle w:val="SingleTxtG"/>
        <w:spacing w:before="120"/>
        <w:rPr>
          <w:lang w:val="fr-FR"/>
        </w:rPr>
      </w:pPr>
      <w:r>
        <w:rPr>
          <w:lang w:val="fr-FR"/>
        </w:rPr>
        <w:lastRenderedPageBreak/>
        <w:t>31.</w:t>
      </w:r>
      <w:r>
        <w:rPr>
          <w:lang w:val="fr-FR"/>
        </w:rPr>
        <w:tab/>
      </w:r>
      <w:r w:rsidRPr="00A73ADE">
        <w:rPr>
          <w:lang w:val="fr-FR"/>
        </w:rPr>
        <w:t>Les normes de réduction de la consommation de carburant et des émissions de GES applicables aux véhicules utilitaires lourds</w:t>
      </w:r>
      <w:r>
        <w:rPr>
          <w:lang w:val="fr-FR"/>
        </w:rPr>
        <w:t xml:space="preserve"> jouent un rôle important dans la décarbonisation du secteur du fret, en particulier compte tenu du fait qu’il est difficile de trouver des carburants de substitution et des systèmes de propulsion de remplacement adaptés au transport routier de marchandises sur de longues distances</w:t>
      </w:r>
      <w:r w:rsidRPr="008D69CF">
        <w:rPr>
          <w:rStyle w:val="Appelnotedebasdep"/>
        </w:rPr>
        <w:footnoteReference w:id="40"/>
      </w:r>
      <w:r>
        <w:rPr>
          <w:lang w:val="fr-FR"/>
        </w:rPr>
        <w:t xml:space="preserve">. </w:t>
      </w:r>
    </w:p>
    <w:p w14:paraId="66F84861" w14:textId="392BF12A" w:rsidR="00D86611" w:rsidRPr="00F20792" w:rsidRDefault="00D86611" w:rsidP="00D86611">
      <w:pPr>
        <w:pStyle w:val="SingleTxtG"/>
        <w:rPr>
          <w:lang w:val="fr-FR"/>
        </w:rPr>
      </w:pPr>
      <w:r>
        <w:rPr>
          <w:lang w:val="fr-FR"/>
        </w:rPr>
        <w:t>32.</w:t>
      </w:r>
      <w:r>
        <w:rPr>
          <w:lang w:val="fr-FR"/>
        </w:rPr>
        <w:tab/>
        <w:t>Toutefois, les politiques visant à décarboniser les véhicules utilitaires lourds sont généralement en retard par rapport aux politiques relatives aux voitures particulières et utilitaires légers. En 2022, seuls cinq pays</w:t>
      </w:r>
      <w:r w:rsidR="008C73A8">
        <w:rPr>
          <w:lang w:val="fr-FR"/>
        </w:rPr>
        <w:t> − </w:t>
      </w:r>
      <w:r>
        <w:rPr>
          <w:lang w:val="fr-FR"/>
        </w:rPr>
        <w:t>le Canada, la Chine, les États-Unis d’Amérique, l’Inde et le Japon</w:t>
      </w:r>
      <w:r w:rsidR="008C73A8">
        <w:rPr>
          <w:lang w:val="fr-FR"/>
        </w:rPr>
        <w:t> − </w:t>
      </w:r>
      <w:r>
        <w:rPr>
          <w:lang w:val="fr-FR"/>
        </w:rPr>
        <w:t>disposaient de normes de réduction de la consommation de carburant applicables aux véhicules utilitaires lourds. Malgré le faible nombre de pays appliquant ces normes, plus de 70</w:t>
      </w:r>
      <w:r w:rsidR="00780216">
        <w:rPr>
          <w:lang w:val="fr-FR"/>
        </w:rPr>
        <w:t> %</w:t>
      </w:r>
      <w:r>
        <w:rPr>
          <w:lang w:val="fr-FR"/>
        </w:rPr>
        <w:t xml:space="preserve"> des camions vendus en 2022 étaient conformes à ces réglementations</w:t>
      </w:r>
      <w:r w:rsidRPr="008D69CF">
        <w:rPr>
          <w:rStyle w:val="Appelnotedebasdep"/>
        </w:rPr>
        <w:footnoteReference w:id="41"/>
      </w:r>
      <w:r>
        <w:rPr>
          <w:lang w:val="fr-FR"/>
        </w:rPr>
        <w:t xml:space="preserve">. </w:t>
      </w:r>
    </w:p>
    <w:p w14:paraId="5DFD980A" w14:textId="37AF5A56" w:rsidR="00D86611" w:rsidRPr="00F20792" w:rsidRDefault="00D86611" w:rsidP="00D86611">
      <w:pPr>
        <w:pStyle w:val="SingleTxtG"/>
        <w:rPr>
          <w:lang w:val="fr-FR"/>
        </w:rPr>
      </w:pPr>
      <w:r>
        <w:rPr>
          <w:lang w:val="fr-FR"/>
        </w:rPr>
        <w:t>33.</w:t>
      </w:r>
      <w:r>
        <w:rPr>
          <w:lang w:val="fr-FR"/>
        </w:rPr>
        <w:tab/>
        <w:t>En 2023, l’UE a proposé que des normes renforcées s’appliquent à partir de 2030, de façon à faire passer l’objectif d’amélioration de l’efficacité énergétique de 30</w:t>
      </w:r>
      <w:r w:rsidR="00780216">
        <w:rPr>
          <w:lang w:val="fr-FR"/>
        </w:rPr>
        <w:t> %</w:t>
      </w:r>
      <w:r>
        <w:rPr>
          <w:lang w:val="fr-FR"/>
        </w:rPr>
        <w:t xml:space="preserve"> actuellement à 45</w:t>
      </w:r>
      <w:r w:rsidR="00780216">
        <w:rPr>
          <w:lang w:val="fr-FR"/>
        </w:rPr>
        <w:t> %</w:t>
      </w:r>
      <w:r>
        <w:rPr>
          <w:lang w:val="fr-FR"/>
        </w:rPr>
        <w:t>, ce qui réduirait les émissions de 90</w:t>
      </w:r>
      <w:r w:rsidR="00780216">
        <w:rPr>
          <w:lang w:val="fr-FR"/>
        </w:rPr>
        <w:t> %</w:t>
      </w:r>
      <w:r>
        <w:rPr>
          <w:lang w:val="fr-FR"/>
        </w:rPr>
        <w:t xml:space="preserve"> à l’horizon 2040</w:t>
      </w:r>
      <w:r w:rsidRPr="008D69CF">
        <w:rPr>
          <w:rStyle w:val="Appelnotedebasdep"/>
        </w:rPr>
        <w:footnoteReference w:id="42"/>
      </w:r>
      <w:r>
        <w:rPr>
          <w:lang w:val="fr-FR"/>
        </w:rPr>
        <w:t>. Au Chili, la loi sur l’efficacité énergétique a institué les premières normes applicables aux véhicules utilitaires moyens et lourds, qui seront définies en 2024 et entreront en vigueur en 2026 pour les véhicules utilitaires moyens (et respectivement en 2026 et 2028 pour les véhicules utilitaires lourds)</w:t>
      </w:r>
      <w:r w:rsidRPr="008D69CF">
        <w:rPr>
          <w:rStyle w:val="Appelnotedebasdep"/>
        </w:rPr>
        <w:footnoteReference w:id="43"/>
      </w:r>
      <w:r>
        <w:rPr>
          <w:lang w:val="fr-FR"/>
        </w:rPr>
        <w:t xml:space="preserve">. La Californie a promulgué en 2020 la réglementation intitulée Advanced Clean Trucks, qui est la première au monde à exiger des constructeurs qu’ils augmentent la part des camions à émission zéro dans leurs ventes. D’ici à 2035, la part de ces véhicules devrait être </w:t>
      </w:r>
      <w:r w:rsidRPr="00A73ADE">
        <w:rPr>
          <w:lang w:val="fr-FR"/>
        </w:rPr>
        <w:t>de 40</w:t>
      </w:r>
      <w:r w:rsidR="00780216" w:rsidRPr="00A73ADE">
        <w:rPr>
          <w:lang w:val="fr-FR"/>
        </w:rPr>
        <w:t> %</w:t>
      </w:r>
      <w:r w:rsidRPr="00A73ADE">
        <w:rPr>
          <w:lang w:val="fr-FR"/>
        </w:rPr>
        <w:t xml:space="preserve"> pour les tracteurs routiers (classe 7</w:t>
      </w:r>
      <w:r w:rsidR="00051F7C" w:rsidRPr="00A73ADE">
        <w:rPr>
          <w:lang w:val="fr-FR"/>
        </w:rPr>
        <w:noBreakHyphen/>
      </w:r>
      <w:r w:rsidRPr="00A73ADE">
        <w:rPr>
          <w:lang w:val="fr-FR"/>
        </w:rPr>
        <w:t>8), de 75</w:t>
      </w:r>
      <w:r w:rsidR="00780216" w:rsidRPr="00A73ADE">
        <w:rPr>
          <w:lang w:val="fr-FR"/>
        </w:rPr>
        <w:t> %</w:t>
      </w:r>
      <w:r w:rsidRPr="00A73ADE">
        <w:rPr>
          <w:lang w:val="fr-FR"/>
        </w:rPr>
        <w:t xml:space="preserve"> pour les camions porteurs (classe</w:t>
      </w:r>
      <w:r w:rsidR="00A73ADE" w:rsidRPr="00A73ADE">
        <w:rPr>
          <w:lang w:val="fr-FR"/>
        </w:rPr>
        <w:t> </w:t>
      </w:r>
      <w:r w:rsidRPr="00A73ADE">
        <w:rPr>
          <w:lang w:val="fr-FR"/>
        </w:rPr>
        <w:t>4</w:t>
      </w:r>
      <w:r w:rsidR="008C73A8" w:rsidRPr="00A73ADE">
        <w:rPr>
          <w:lang w:val="fr-FR"/>
        </w:rPr>
        <w:noBreakHyphen/>
      </w:r>
      <w:r w:rsidRPr="00A73ADE">
        <w:rPr>
          <w:lang w:val="fr-FR"/>
        </w:rPr>
        <w:t>8) et de 55</w:t>
      </w:r>
      <w:r w:rsidR="00780216">
        <w:rPr>
          <w:lang w:val="fr-FR"/>
        </w:rPr>
        <w:t> %</w:t>
      </w:r>
      <w:r>
        <w:rPr>
          <w:lang w:val="fr-FR"/>
        </w:rPr>
        <w:t xml:space="preserve"> pour les camionnettes et les fourgonnettes (classe 2b-3)</w:t>
      </w:r>
      <w:r w:rsidRPr="008D69CF">
        <w:rPr>
          <w:rStyle w:val="Appelnotedebasdep"/>
        </w:rPr>
        <w:footnoteReference w:id="44"/>
      </w:r>
      <w:r>
        <w:rPr>
          <w:lang w:val="fr-FR"/>
        </w:rPr>
        <w:t>.</w:t>
      </w:r>
    </w:p>
    <w:p w14:paraId="64BE9990" w14:textId="0E47A144" w:rsidR="00D86611" w:rsidRPr="00F20792" w:rsidRDefault="00747EED" w:rsidP="008C73A8">
      <w:pPr>
        <w:pStyle w:val="HChG"/>
        <w:rPr>
          <w:lang w:val="fr-FR"/>
        </w:rPr>
      </w:pPr>
      <w:bookmarkStart w:id="8" w:name="_z337ya" w:colFirst="0" w:colLast="0"/>
      <w:bookmarkEnd w:id="8"/>
      <w:r>
        <w:rPr>
          <w:lang w:val="fr-FR"/>
        </w:rPr>
        <w:tab/>
      </w:r>
      <w:r w:rsidR="00D86611">
        <w:rPr>
          <w:lang w:val="fr-FR"/>
        </w:rPr>
        <w:t>II.</w:t>
      </w:r>
      <w:r w:rsidR="00D86611">
        <w:rPr>
          <w:lang w:val="fr-FR"/>
        </w:rPr>
        <w:tab/>
        <w:t>Actions menées au niveau national par des États membres dans différentes régions</w:t>
      </w:r>
      <w:bookmarkStart w:id="9" w:name="_3j2qqm3" w:colFirst="0" w:colLast="0"/>
      <w:bookmarkEnd w:id="9"/>
    </w:p>
    <w:p w14:paraId="7F1612A8" w14:textId="28F14E7F" w:rsidR="00D86611" w:rsidRPr="00F20792" w:rsidRDefault="00D86611" w:rsidP="008C73A8">
      <w:pPr>
        <w:pStyle w:val="SingleTxtG"/>
        <w:rPr>
          <w:vertAlign w:val="superscript"/>
          <w:lang w:val="fr-FR"/>
        </w:rPr>
      </w:pPr>
      <w:r>
        <w:rPr>
          <w:lang w:val="fr-FR"/>
        </w:rPr>
        <w:t>34.</w:t>
      </w:r>
      <w:r>
        <w:rPr>
          <w:lang w:val="fr-FR"/>
        </w:rPr>
        <w:tab/>
        <w:t>Dans le secteur des transports, l’action climatique reste très insuffisante, et les politiques actuelles mises en œuvre ou annoncées devraient contribuer à une augmentation moyenne de la température mondiale de 2,8°C d’ici à 2100</w:t>
      </w:r>
      <w:r w:rsidRPr="008D69CF">
        <w:rPr>
          <w:rStyle w:val="Appelnotedebasdep"/>
        </w:rPr>
        <w:footnoteReference w:id="45"/>
      </w:r>
      <w:r>
        <w:rPr>
          <w:lang w:val="fr-FR"/>
        </w:rPr>
        <w:t xml:space="preserve">. Par exemple, même si les objectifs actuels figurant dans les CDN en matière d’atténuation des émissions dues aux transports étaient atteints, le volume de ces émissions continuerait d’augmenter. Cela peut s’expliquer par le fait que les deux générations de CDN privilégient les mesures visant à </w:t>
      </w:r>
      <w:r w:rsidR="00780216">
        <w:rPr>
          <w:lang w:val="fr-FR"/>
        </w:rPr>
        <w:t>« </w:t>
      </w:r>
      <w:r>
        <w:rPr>
          <w:lang w:val="fr-FR"/>
        </w:rPr>
        <w:t>améliorer</w:t>
      </w:r>
      <w:r w:rsidR="00780216">
        <w:rPr>
          <w:lang w:val="fr-FR"/>
        </w:rPr>
        <w:t> »</w:t>
      </w:r>
      <w:r>
        <w:rPr>
          <w:lang w:val="fr-FR"/>
        </w:rPr>
        <w:t xml:space="preserve"> plutôt qu’à </w:t>
      </w:r>
      <w:r w:rsidR="00780216">
        <w:rPr>
          <w:lang w:val="fr-FR"/>
        </w:rPr>
        <w:t>« </w:t>
      </w:r>
      <w:r>
        <w:rPr>
          <w:lang w:val="fr-FR"/>
        </w:rPr>
        <w:t>éviter</w:t>
      </w:r>
      <w:r w:rsidR="00780216">
        <w:rPr>
          <w:lang w:val="fr-FR"/>
        </w:rPr>
        <w:t> »</w:t>
      </w:r>
      <w:r>
        <w:rPr>
          <w:lang w:val="fr-FR"/>
        </w:rPr>
        <w:t xml:space="preserve"> ou à </w:t>
      </w:r>
      <w:r w:rsidR="00780216">
        <w:rPr>
          <w:lang w:val="fr-FR"/>
        </w:rPr>
        <w:t>« </w:t>
      </w:r>
      <w:r>
        <w:rPr>
          <w:lang w:val="fr-FR"/>
        </w:rPr>
        <w:t>changer</w:t>
      </w:r>
      <w:r w:rsidR="00780216">
        <w:rPr>
          <w:lang w:val="fr-FR"/>
        </w:rPr>
        <w:t> »</w:t>
      </w:r>
      <w:r w:rsidRPr="008D69CF">
        <w:rPr>
          <w:rStyle w:val="Appelnotedebasdep"/>
        </w:rPr>
        <w:footnoteReference w:id="46"/>
      </w:r>
      <w:r>
        <w:rPr>
          <w:lang w:val="fr-FR"/>
        </w:rPr>
        <w:t>.</w:t>
      </w:r>
    </w:p>
    <w:p w14:paraId="0CD6C613" w14:textId="0F3CD09C" w:rsidR="00D86611" w:rsidRPr="00F20792" w:rsidRDefault="00D86611" w:rsidP="00D86611">
      <w:pPr>
        <w:pStyle w:val="SingleTxtG"/>
        <w:rPr>
          <w:lang w:val="fr-FR"/>
        </w:rPr>
      </w:pPr>
      <w:r>
        <w:rPr>
          <w:lang w:val="fr-FR"/>
        </w:rPr>
        <w:lastRenderedPageBreak/>
        <w:t>35.</w:t>
      </w:r>
      <w:r>
        <w:rPr>
          <w:lang w:val="fr-FR"/>
        </w:rPr>
        <w:tab/>
        <w:t>Le parc mondial de voitures particulières devrait se situer entre 1,4 et 1,55</w:t>
      </w:r>
      <w:r w:rsidR="008C73A8">
        <w:rPr>
          <w:lang w:val="fr-FR"/>
        </w:rPr>
        <w:t> </w:t>
      </w:r>
      <w:r>
        <w:rPr>
          <w:lang w:val="fr-FR"/>
        </w:rPr>
        <w:t>milliard de véhicules d’ici à 2050, contre environ 1,2</w:t>
      </w:r>
      <w:r w:rsidR="008C73A8">
        <w:rPr>
          <w:lang w:val="fr-FR"/>
        </w:rPr>
        <w:t> </w:t>
      </w:r>
      <w:r>
        <w:rPr>
          <w:lang w:val="fr-FR"/>
        </w:rPr>
        <w:t>milliard de véhicules en 2020</w:t>
      </w:r>
      <w:r w:rsidRPr="008D69CF">
        <w:rPr>
          <w:rStyle w:val="Appelnotedebasdep"/>
        </w:rPr>
        <w:footnoteReference w:id="47"/>
      </w:r>
      <w:r>
        <w:rPr>
          <w:lang w:val="fr-FR"/>
        </w:rPr>
        <w:t>. L’augmentation constante de la taille des véhicules de tourisme a eu un impact direct considérable sur l’augmentation des émissions dues au transport. Les véhicules tout-terrain de loisirs (SUV) et les gros véhicules à passagers consomment environ 20</w:t>
      </w:r>
      <w:r w:rsidR="00780216">
        <w:rPr>
          <w:lang w:val="fr-FR"/>
        </w:rPr>
        <w:t> %</w:t>
      </w:r>
      <w:r>
        <w:rPr>
          <w:lang w:val="fr-FR"/>
        </w:rPr>
        <w:t xml:space="preserve"> de carburant en plus qu’une voiture de taille moyenne, ce qui réduit à néant jusqu’à 40</w:t>
      </w:r>
      <w:r w:rsidR="00780216">
        <w:rPr>
          <w:lang w:val="fr-FR"/>
        </w:rPr>
        <w:t> %</w:t>
      </w:r>
      <w:r>
        <w:rPr>
          <w:lang w:val="fr-FR"/>
        </w:rPr>
        <w:t xml:space="preserve"> des gains enregistrés ces dernières années en matière d’efficacité. Les SUV sont le seul segment de marché</w:t>
      </w:r>
      <w:r w:rsidR="00236DA1">
        <w:rPr>
          <w:lang w:val="fr-FR"/>
        </w:rPr>
        <w:t> – </w:t>
      </w:r>
      <w:r>
        <w:rPr>
          <w:lang w:val="fr-FR"/>
        </w:rPr>
        <w:t>y</w:t>
      </w:r>
      <w:r w:rsidR="00236DA1">
        <w:rPr>
          <w:lang w:val="fr-FR"/>
        </w:rPr>
        <w:t> </w:t>
      </w:r>
      <w:r>
        <w:rPr>
          <w:lang w:val="fr-FR"/>
        </w:rPr>
        <w:t>compris en dehors des transports</w:t>
      </w:r>
      <w:r w:rsidR="008C73A8">
        <w:rPr>
          <w:lang w:val="fr-FR"/>
        </w:rPr>
        <w:t> − </w:t>
      </w:r>
      <w:r>
        <w:rPr>
          <w:lang w:val="fr-FR"/>
        </w:rPr>
        <w:t>dans lequel les émissions ont augmenté au plus fort de la pandémie</w:t>
      </w:r>
      <w:r w:rsidRPr="008D69CF">
        <w:rPr>
          <w:rStyle w:val="Appelnotedebasdep"/>
        </w:rPr>
        <w:footnoteReference w:id="48"/>
      </w:r>
      <w:r>
        <w:rPr>
          <w:lang w:val="fr-FR"/>
        </w:rPr>
        <w:t>. Alors que la taille globale des véhicules a augmenté de 7</w:t>
      </w:r>
      <w:r w:rsidR="00780216">
        <w:rPr>
          <w:lang w:val="fr-FR"/>
        </w:rPr>
        <w:t> %</w:t>
      </w:r>
      <w:r>
        <w:rPr>
          <w:lang w:val="fr-FR"/>
        </w:rPr>
        <w:t xml:space="preserve"> en moyenne entre 2010 et 2019, celle de certains modèles a augmenté massivement depuis le début de la pandémie, de près de 30</w:t>
      </w:r>
      <w:r w:rsidR="00780216">
        <w:rPr>
          <w:lang w:val="fr-FR"/>
        </w:rPr>
        <w:t> %</w:t>
      </w:r>
      <w:r>
        <w:rPr>
          <w:lang w:val="fr-FR"/>
        </w:rPr>
        <w:t xml:space="preserve"> rien qu’en 2021 par rapport à 2020</w:t>
      </w:r>
      <w:r w:rsidRPr="008D69CF">
        <w:rPr>
          <w:rStyle w:val="Appelnotedebasdep"/>
        </w:rPr>
        <w:footnoteReference w:id="49"/>
      </w:r>
      <w:r>
        <w:rPr>
          <w:lang w:val="fr-FR"/>
        </w:rPr>
        <w:t xml:space="preserve">. </w:t>
      </w:r>
    </w:p>
    <w:p w14:paraId="267970F0" w14:textId="2C2B66AC" w:rsidR="00D86611" w:rsidRPr="00F20792" w:rsidRDefault="00D86611" w:rsidP="00D86611">
      <w:pPr>
        <w:pStyle w:val="SingleTxtG"/>
        <w:rPr>
          <w:lang w:val="fr-FR"/>
        </w:rPr>
      </w:pPr>
      <w:r>
        <w:rPr>
          <w:lang w:val="fr-FR"/>
        </w:rPr>
        <w:t>36.</w:t>
      </w:r>
      <w:r>
        <w:rPr>
          <w:lang w:val="fr-FR"/>
        </w:rPr>
        <w:tab/>
        <w:t>La Banque mondiale estime que les subventions nationales allouées à la consommation de combustibles fossiles sont six fois supérieures au montant des engagements pris dans le cadre de l’Accord de Paris</w:t>
      </w:r>
      <w:r w:rsidRPr="008D69CF">
        <w:rPr>
          <w:rStyle w:val="Appelnotedebasdep"/>
        </w:rPr>
        <w:footnoteReference w:id="50"/>
      </w:r>
      <w:r>
        <w:rPr>
          <w:lang w:val="fr-FR"/>
        </w:rPr>
        <w:t>. Dans ce contexte, la dépendance des transports routiers à l’égard des combustibles fossiles doit diminuer considérablement et passer de 95</w:t>
      </w:r>
      <w:r w:rsidR="00780216">
        <w:rPr>
          <w:lang w:val="fr-FR"/>
        </w:rPr>
        <w:t> %</w:t>
      </w:r>
      <w:r>
        <w:rPr>
          <w:lang w:val="fr-FR"/>
        </w:rPr>
        <w:t xml:space="preserve"> en 2020 à 10</w:t>
      </w:r>
      <w:r w:rsidR="00780216">
        <w:rPr>
          <w:lang w:val="fr-FR"/>
        </w:rPr>
        <w:t> %</w:t>
      </w:r>
      <w:r>
        <w:rPr>
          <w:lang w:val="fr-FR"/>
        </w:rPr>
        <w:t xml:space="preserve"> d’ici à 2050, l’objectif étant que l’électricité devienne la principale source énergétique des véhicules d’ici au début des années 2040. Dans le scénario </w:t>
      </w:r>
      <w:r w:rsidR="00780216">
        <w:rPr>
          <w:lang w:val="fr-FR"/>
        </w:rPr>
        <w:t>« </w:t>
      </w:r>
      <w:r>
        <w:rPr>
          <w:lang w:val="fr-FR"/>
        </w:rPr>
        <w:t>zéro émission nette</w:t>
      </w:r>
      <w:r w:rsidR="00780216">
        <w:rPr>
          <w:lang w:val="fr-FR"/>
        </w:rPr>
        <w:t> »</w:t>
      </w:r>
      <w:r>
        <w:rPr>
          <w:lang w:val="fr-FR"/>
        </w:rPr>
        <w:t xml:space="preserve"> de l’AIE, les biocarburants avancés joueront un rôle à court et à moyen terme dans la transition vers un parc automobile propre</w:t>
      </w:r>
      <w:r w:rsidRPr="008D69CF">
        <w:rPr>
          <w:rStyle w:val="Appelnotedebasdep"/>
        </w:rPr>
        <w:footnoteReference w:id="51"/>
      </w:r>
      <w:r>
        <w:rPr>
          <w:lang w:val="fr-FR"/>
        </w:rPr>
        <w:t xml:space="preserve">. </w:t>
      </w:r>
    </w:p>
    <w:p w14:paraId="1BEE7D35" w14:textId="5E5858C5" w:rsidR="00D86611" w:rsidRPr="00F20792" w:rsidRDefault="00D86611" w:rsidP="00D86611">
      <w:pPr>
        <w:pStyle w:val="SingleTxtG"/>
        <w:rPr>
          <w:vertAlign w:val="superscript"/>
          <w:lang w:val="fr-FR"/>
        </w:rPr>
      </w:pPr>
      <w:r>
        <w:rPr>
          <w:lang w:val="fr-FR"/>
        </w:rPr>
        <w:t>37.</w:t>
      </w:r>
      <w:r>
        <w:rPr>
          <w:lang w:val="fr-FR"/>
        </w:rPr>
        <w:tab/>
        <w:t>À cet égard, les ventes mondiales de véhicules électriques (y</w:t>
      </w:r>
      <w:r w:rsidR="00236DA1">
        <w:rPr>
          <w:lang w:val="fr-FR"/>
        </w:rPr>
        <w:t> </w:t>
      </w:r>
      <w:r>
        <w:rPr>
          <w:lang w:val="fr-FR"/>
        </w:rPr>
        <w:t>compris les véhicules hybrides rechargeables) ont augmenté de 55</w:t>
      </w:r>
      <w:r w:rsidR="00780216">
        <w:rPr>
          <w:lang w:val="fr-FR"/>
        </w:rPr>
        <w:t> %</w:t>
      </w:r>
      <w:r>
        <w:rPr>
          <w:lang w:val="fr-FR"/>
        </w:rPr>
        <w:t xml:space="preserve"> en 2022 pour dépasser les 10</w:t>
      </w:r>
      <w:r w:rsidR="008C73A8">
        <w:rPr>
          <w:lang w:val="fr-FR"/>
        </w:rPr>
        <w:t> </w:t>
      </w:r>
      <w:r>
        <w:rPr>
          <w:lang w:val="fr-FR"/>
        </w:rPr>
        <w:t>millions d’unités, ce qui représente une part de marché de 14</w:t>
      </w:r>
      <w:r w:rsidR="00780216">
        <w:rPr>
          <w:lang w:val="fr-FR"/>
        </w:rPr>
        <w:t> %</w:t>
      </w:r>
      <w:r w:rsidRPr="008D69CF">
        <w:rPr>
          <w:rStyle w:val="Appelnotedebasdep"/>
        </w:rPr>
        <w:footnoteReference w:id="52"/>
      </w:r>
      <w:r>
        <w:rPr>
          <w:lang w:val="fr-FR"/>
        </w:rPr>
        <w:t>. L’électrification concerne toujours principalement les voitures particulières, puisque la part de marché des voitures électriques au niveau mondial est passée de 9</w:t>
      </w:r>
      <w:r w:rsidR="00780216">
        <w:rPr>
          <w:lang w:val="fr-FR"/>
        </w:rPr>
        <w:t> %</w:t>
      </w:r>
      <w:r>
        <w:rPr>
          <w:lang w:val="fr-FR"/>
        </w:rPr>
        <w:t xml:space="preserve"> en 2021 à 14</w:t>
      </w:r>
      <w:r w:rsidR="00780216">
        <w:rPr>
          <w:lang w:val="fr-FR"/>
        </w:rPr>
        <w:t> %</w:t>
      </w:r>
      <w:r>
        <w:rPr>
          <w:lang w:val="fr-FR"/>
        </w:rPr>
        <w:t xml:space="preserve"> en 2022.</w:t>
      </w:r>
      <w:r w:rsidR="008C73A8">
        <w:rPr>
          <w:lang w:val="fr-FR"/>
        </w:rPr>
        <w:t xml:space="preserve"> </w:t>
      </w:r>
      <w:r>
        <w:rPr>
          <w:lang w:val="fr-FR"/>
        </w:rPr>
        <w:t>Environ 60</w:t>
      </w:r>
      <w:r w:rsidR="00780216">
        <w:rPr>
          <w:lang w:val="fr-FR"/>
        </w:rPr>
        <w:t> %</w:t>
      </w:r>
      <w:r>
        <w:rPr>
          <w:lang w:val="fr-FR"/>
        </w:rPr>
        <w:t xml:space="preserve"> (soit 6,2</w:t>
      </w:r>
      <w:r w:rsidR="008C73A8">
        <w:rPr>
          <w:lang w:val="fr-FR"/>
        </w:rPr>
        <w:t> </w:t>
      </w:r>
      <w:r>
        <w:rPr>
          <w:lang w:val="fr-FR"/>
        </w:rPr>
        <w:t>millions) des voitures électriques vendues en 2022 l’ont été en Asie, 26</w:t>
      </w:r>
      <w:r w:rsidR="00780216">
        <w:rPr>
          <w:lang w:val="fr-FR"/>
        </w:rPr>
        <w:t> %</w:t>
      </w:r>
      <w:r>
        <w:rPr>
          <w:lang w:val="fr-FR"/>
        </w:rPr>
        <w:t xml:space="preserve"> en Europe et 11</w:t>
      </w:r>
      <w:r w:rsidR="00780216">
        <w:rPr>
          <w:lang w:val="fr-FR"/>
        </w:rPr>
        <w:t> %</w:t>
      </w:r>
      <w:r>
        <w:rPr>
          <w:lang w:val="fr-FR"/>
        </w:rPr>
        <w:t xml:space="preserve"> en Amérique du Nord. Cependant, les voitures électriques ne représentent encore qu’environ 1</w:t>
      </w:r>
      <w:r w:rsidR="00780216">
        <w:rPr>
          <w:lang w:val="fr-FR"/>
        </w:rPr>
        <w:t> %</w:t>
      </w:r>
      <w:r>
        <w:rPr>
          <w:lang w:val="fr-FR"/>
        </w:rPr>
        <w:t xml:space="preserve"> du parc mondial de véhicules</w:t>
      </w:r>
      <w:r w:rsidRPr="008D69CF">
        <w:rPr>
          <w:rStyle w:val="Appelnotedebasdep"/>
        </w:rPr>
        <w:footnoteReference w:id="53"/>
      </w:r>
      <w:r>
        <w:rPr>
          <w:lang w:val="fr-FR"/>
        </w:rPr>
        <w:t>.</w:t>
      </w:r>
    </w:p>
    <w:p w14:paraId="274621D0" w14:textId="4690B011" w:rsidR="00D86611" w:rsidRPr="00F20792" w:rsidRDefault="00D86611" w:rsidP="00D86611">
      <w:pPr>
        <w:pStyle w:val="SingleTxtG"/>
        <w:rPr>
          <w:lang w:val="fr-FR"/>
        </w:rPr>
      </w:pPr>
      <w:r>
        <w:rPr>
          <w:lang w:val="fr-FR"/>
        </w:rPr>
        <w:t>38.</w:t>
      </w:r>
      <w:r>
        <w:rPr>
          <w:lang w:val="fr-FR"/>
        </w:rPr>
        <w:tab/>
        <w:t>Dans les secteurs</w:t>
      </w:r>
      <w:r w:rsidR="008C73A8">
        <w:rPr>
          <w:lang w:val="fr-FR"/>
        </w:rPr>
        <w:t> − </w:t>
      </w:r>
      <w:r>
        <w:rPr>
          <w:lang w:val="fr-FR"/>
        </w:rPr>
        <w:t>dont fait partie le transport de marchandises à longue distance</w:t>
      </w:r>
      <w:r w:rsidR="008C73A8">
        <w:rPr>
          <w:lang w:val="fr-FR"/>
        </w:rPr>
        <w:t> − </w:t>
      </w:r>
      <w:r>
        <w:rPr>
          <w:lang w:val="fr-FR"/>
        </w:rPr>
        <w:t>où il est difficile de réduire les émissions, les gains d’efficacité obtenus ces dernières années ne se sont pas traduits par une réduction en valeur absolue des émissions, du fait de la lenteur des progrès.</w:t>
      </w:r>
    </w:p>
    <w:p w14:paraId="488BEDF2" w14:textId="4B0D201D" w:rsidR="00D86611" w:rsidRPr="00F20792" w:rsidRDefault="00D86611" w:rsidP="009C2E09">
      <w:pPr>
        <w:pStyle w:val="SingleTxtG"/>
        <w:widowControl w:val="0"/>
        <w:rPr>
          <w:lang w:val="fr-FR"/>
        </w:rPr>
      </w:pPr>
      <w:r>
        <w:rPr>
          <w:lang w:val="fr-FR"/>
        </w:rPr>
        <w:t>39.</w:t>
      </w:r>
      <w:r w:rsidRPr="009C2E09">
        <w:rPr>
          <w:spacing w:val="-2"/>
          <w:lang w:val="fr-FR"/>
        </w:rPr>
        <w:tab/>
        <w:t>Les opérateurs de transports publics ont été durement touchés dès le début de la pandémie et ils continuent de lutter pour maintenir leurs activités. Au cours de la première année de la pandémie, dans certaines régions, les citadins se sont éloignés des centres-villes, en particulier dans les pays à revenu élevé, ce qui a contribué à l’étalement urbain</w:t>
      </w:r>
      <w:r w:rsidRPr="009C2E09">
        <w:rPr>
          <w:rStyle w:val="Appelnotedebasdep"/>
          <w:spacing w:val="-2"/>
        </w:rPr>
        <w:footnoteReference w:id="54"/>
      </w:r>
      <w:r w:rsidRPr="009C2E09">
        <w:rPr>
          <w:spacing w:val="-2"/>
          <w:lang w:val="fr-FR"/>
        </w:rPr>
        <w:t>.</w:t>
      </w:r>
    </w:p>
    <w:p w14:paraId="3B343E65" w14:textId="77777777" w:rsidR="00D86611" w:rsidRPr="00F20792" w:rsidRDefault="00D86611" w:rsidP="00D86611">
      <w:pPr>
        <w:pStyle w:val="SingleTxtG"/>
        <w:rPr>
          <w:lang w:val="fr-FR"/>
        </w:rPr>
      </w:pPr>
      <w:r>
        <w:rPr>
          <w:lang w:val="fr-FR"/>
        </w:rPr>
        <w:lastRenderedPageBreak/>
        <w:t>40.</w:t>
      </w:r>
      <w:r>
        <w:rPr>
          <w:lang w:val="fr-FR"/>
        </w:rPr>
        <w:tab/>
        <w:t>Les dépenses de transport représentent souvent une part importante du budget des ménages, et les coûts afférents varient considérablement, au détriment en particulier des usagers à faible revenu. Il faut que les usagers, peu importe leur niveau de revenu, aient accès à un système de transport intégré et durable.</w:t>
      </w:r>
    </w:p>
    <w:p w14:paraId="5E4A8E98" w14:textId="0E3FF8E0" w:rsidR="00D86611" w:rsidRPr="00F20792" w:rsidRDefault="00747EED" w:rsidP="00747EED">
      <w:pPr>
        <w:pStyle w:val="H1G"/>
        <w:rPr>
          <w:lang w:val="fr-FR"/>
        </w:rPr>
      </w:pPr>
      <w:r>
        <w:rPr>
          <w:lang w:val="fr-FR"/>
        </w:rPr>
        <w:tab/>
      </w:r>
      <w:r w:rsidR="00D86611">
        <w:rPr>
          <w:lang w:val="fr-FR"/>
        </w:rPr>
        <w:t>A.</w:t>
      </w:r>
      <w:r w:rsidR="00D86611">
        <w:rPr>
          <w:lang w:val="fr-FR"/>
        </w:rPr>
        <w:tab/>
        <w:t>Afrique</w:t>
      </w:r>
      <w:r w:rsidR="008C2EC4">
        <w:rPr>
          <w:lang w:val="fr-FR"/>
        </w:rPr>
        <w:t> − </w:t>
      </w:r>
      <w:r w:rsidR="00D86611">
        <w:rPr>
          <w:lang w:val="fr-FR"/>
        </w:rPr>
        <w:t>Tendances et défis majeurs</w:t>
      </w:r>
    </w:p>
    <w:p w14:paraId="6D4D3841" w14:textId="04333E0C" w:rsidR="00D86611" w:rsidRPr="00F20792" w:rsidRDefault="00D86611" w:rsidP="00D86611">
      <w:pPr>
        <w:pStyle w:val="SingleTxtG"/>
        <w:rPr>
          <w:lang w:val="fr-FR"/>
        </w:rPr>
      </w:pPr>
      <w:r>
        <w:rPr>
          <w:lang w:val="fr-FR"/>
        </w:rPr>
        <w:t>41.</w:t>
      </w:r>
      <w:r>
        <w:rPr>
          <w:lang w:val="fr-FR"/>
        </w:rPr>
        <w:tab/>
        <w:t>En Afrique, 78</w:t>
      </w:r>
      <w:r w:rsidR="00780216">
        <w:rPr>
          <w:lang w:val="fr-FR"/>
        </w:rPr>
        <w:t> %</w:t>
      </w:r>
      <w:r>
        <w:rPr>
          <w:lang w:val="fr-FR"/>
        </w:rPr>
        <w:t xml:space="preserve"> des personnes se déplacent à pied chaque jour. En 2022, les Africains devaient faire en moyenne </w:t>
      </w:r>
      <w:r w:rsidR="008C2EC4">
        <w:rPr>
          <w:lang w:val="fr-FR"/>
        </w:rPr>
        <w:t>cinquante-six</w:t>
      </w:r>
      <w:r>
        <w:rPr>
          <w:lang w:val="fr-FR"/>
        </w:rPr>
        <w:t xml:space="preserve"> minutes par jour de marche ou de vélo</w:t>
      </w:r>
      <w:r w:rsidRPr="008D69CF">
        <w:rPr>
          <w:rStyle w:val="Appelnotedebasdep"/>
        </w:rPr>
        <w:footnoteReference w:id="55"/>
      </w:r>
      <w:r>
        <w:rPr>
          <w:lang w:val="fr-FR"/>
        </w:rPr>
        <w:t>. Cependant, seulement 59</w:t>
      </w:r>
      <w:r w:rsidR="00780216">
        <w:rPr>
          <w:lang w:val="fr-FR"/>
        </w:rPr>
        <w:t> %</w:t>
      </w:r>
      <w:r>
        <w:rPr>
          <w:lang w:val="fr-FR"/>
        </w:rPr>
        <w:t xml:space="preserve"> des personnes qui se déplacent à pied ou à vélo bénéficient d’une politique de promotion de ces modes de déplacement, qui n’existe que dans 35</w:t>
      </w:r>
      <w:r w:rsidR="00780216">
        <w:rPr>
          <w:lang w:val="fr-FR"/>
        </w:rPr>
        <w:t> %</w:t>
      </w:r>
      <w:r>
        <w:rPr>
          <w:lang w:val="fr-FR"/>
        </w:rPr>
        <w:t xml:space="preserve"> des pays du continent</w:t>
      </w:r>
      <w:r w:rsidRPr="008D69CF">
        <w:rPr>
          <w:rStyle w:val="Appelnotedebasdep"/>
        </w:rPr>
        <w:footnoteReference w:id="56"/>
      </w:r>
      <w:r>
        <w:rPr>
          <w:lang w:val="fr-FR"/>
        </w:rPr>
        <w:t>.</w:t>
      </w:r>
    </w:p>
    <w:p w14:paraId="46740A0D" w14:textId="4D61568B" w:rsidR="00D86611" w:rsidRPr="00F20792" w:rsidRDefault="00D86611" w:rsidP="00D86611">
      <w:pPr>
        <w:pStyle w:val="SingleTxtG"/>
        <w:rPr>
          <w:lang w:val="fr-FR"/>
        </w:rPr>
      </w:pPr>
      <w:r>
        <w:rPr>
          <w:lang w:val="fr-FR"/>
        </w:rPr>
        <w:t>42.</w:t>
      </w:r>
      <w:r>
        <w:rPr>
          <w:lang w:val="fr-FR"/>
        </w:rPr>
        <w:tab/>
      </w:r>
      <w:r w:rsidRPr="008C2EC4">
        <w:rPr>
          <w:spacing w:val="2"/>
          <w:lang w:val="fr-FR"/>
        </w:rPr>
        <w:t>En 2020, seuls 32</w:t>
      </w:r>
      <w:r w:rsidR="00780216" w:rsidRPr="008C2EC4">
        <w:rPr>
          <w:spacing w:val="2"/>
          <w:lang w:val="fr-FR"/>
        </w:rPr>
        <w:t> %</w:t>
      </w:r>
      <w:r w:rsidRPr="008C2EC4">
        <w:rPr>
          <w:spacing w:val="2"/>
          <w:lang w:val="fr-FR"/>
        </w:rPr>
        <w:t xml:space="preserve"> de la population étaient en mesure d’accéder à un système de transport public situé à une distance de marche comprise entre 500 et 1</w:t>
      </w:r>
      <w:r w:rsidR="008C2EC4" w:rsidRPr="008C2EC4">
        <w:rPr>
          <w:spacing w:val="2"/>
          <w:lang w:val="fr-FR"/>
        </w:rPr>
        <w:t> </w:t>
      </w:r>
      <w:r w:rsidRPr="008C2EC4">
        <w:rPr>
          <w:spacing w:val="2"/>
          <w:lang w:val="fr-FR"/>
        </w:rPr>
        <w:t>000</w:t>
      </w:r>
      <w:r w:rsidR="008C2EC4" w:rsidRPr="008C2EC4">
        <w:rPr>
          <w:spacing w:val="2"/>
          <w:lang w:val="fr-FR"/>
        </w:rPr>
        <w:t> </w:t>
      </w:r>
      <w:r w:rsidRPr="008C2EC4">
        <w:rPr>
          <w:spacing w:val="2"/>
          <w:lang w:val="fr-FR"/>
        </w:rPr>
        <w:t>mètres, ce qui est bien inférieur à la moyenne mondiale de 56</w:t>
      </w:r>
      <w:r w:rsidR="00780216" w:rsidRPr="008C2EC4">
        <w:rPr>
          <w:spacing w:val="2"/>
          <w:lang w:val="fr-FR"/>
        </w:rPr>
        <w:t> %</w:t>
      </w:r>
      <w:r w:rsidRPr="008C2EC4">
        <w:rPr>
          <w:rStyle w:val="Appelnotedebasdep"/>
          <w:spacing w:val="2"/>
        </w:rPr>
        <w:footnoteReference w:id="57"/>
      </w:r>
      <w:r w:rsidRPr="008C2EC4">
        <w:rPr>
          <w:spacing w:val="2"/>
          <w:lang w:val="fr-FR"/>
        </w:rPr>
        <w:t>. Dans certains pays d’Afrique, le transport informel représente entre 40 et 98</w:t>
      </w:r>
      <w:r w:rsidR="00780216" w:rsidRPr="008C2EC4">
        <w:rPr>
          <w:spacing w:val="2"/>
          <w:lang w:val="fr-FR"/>
        </w:rPr>
        <w:t> %</w:t>
      </w:r>
      <w:r w:rsidRPr="008C2EC4">
        <w:rPr>
          <w:spacing w:val="2"/>
          <w:lang w:val="fr-FR"/>
        </w:rPr>
        <w:t xml:space="preserve"> des déplacements en transport collectif et partagé</w:t>
      </w:r>
      <w:r w:rsidRPr="008C2EC4">
        <w:rPr>
          <w:rStyle w:val="Appelnotedebasdep"/>
          <w:spacing w:val="2"/>
        </w:rPr>
        <w:footnoteReference w:id="58"/>
      </w:r>
      <w:r w:rsidRPr="008C2EC4">
        <w:rPr>
          <w:spacing w:val="2"/>
          <w:lang w:val="fr-FR"/>
        </w:rPr>
        <w:t>.</w:t>
      </w:r>
    </w:p>
    <w:p w14:paraId="6CB2790D" w14:textId="77777777" w:rsidR="00D86611" w:rsidRPr="00F20792" w:rsidRDefault="00D86611" w:rsidP="00D86611">
      <w:pPr>
        <w:pStyle w:val="SingleTxtG"/>
        <w:rPr>
          <w:lang w:val="fr-FR"/>
        </w:rPr>
      </w:pPr>
      <w:r>
        <w:rPr>
          <w:lang w:val="fr-FR"/>
        </w:rPr>
        <w:t>43.</w:t>
      </w:r>
      <w:r>
        <w:rPr>
          <w:lang w:val="fr-FR"/>
        </w:rPr>
        <w:tab/>
        <w:t>Pour faire face à ces défis, associés à l’augmentation rapide des taux d’urbanisation et de motorisation, il a fallu prendre en urgence des mesures pour répondre aux besoins croissants de l’Afrique en matière de transport, notamment par l’élaboration de plans de mobilité urbaine durable et de plans nationaux de mobilité urbaine</w:t>
      </w:r>
      <w:r w:rsidRPr="008D69CF">
        <w:rPr>
          <w:rStyle w:val="Appelnotedebasdep"/>
        </w:rPr>
        <w:footnoteReference w:id="59"/>
      </w:r>
      <w:r>
        <w:rPr>
          <w:lang w:val="fr-FR"/>
        </w:rPr>
        <w:t>. Des couloirs et/ou des systèmes de bus à haut niveau de service ont été mis en place ou sont en cours de développement à Addis-Abeba, au Caire, à Dar es-Salaam (Tanzanie), à Lagos (Nigéria), à Nairobi et dans des villes d’Afrique du Sud (George, Johannesburg, Le Cap et Pretoria), l’accent étant mis sur les bus électriques à haut niveau de service, qui permettent de décarboniser les flottes et d’assurer la transition vers des solutions de transport public durables</w:t>
      </w:r>
      <w:r w:rsidRPr="008D69CF">
        <w:rPr>
          <w:rStyle w:val="Appelnotedebasdep"/>
        </w:rPr>
        <w:footnoteReference w:id="60"/>
      </w:r>
      <w:r>
        <w:rPr>
          <w:lang w:val="fr-FR"/>
        </w:rPr>
        <w:t>.</w:t>
      </w:r>
    </w:p>
    <w:p w14:paraId="15DAC9E2" w14:textId="5290F5E3" w:rsidR="00D86611" w:rsidRPr="00F20792" w:rsidRDefault="00747EED" w:rsidP="00D86611">
      <w:pPr>
        <w:pStyle w:val="H1G"/>
        <w:rPr>
          <w:lang w:val="fr-FR"/>
        </w:rPr>
      </w:pPr>
      <w:r>
        <w:rPr>
          <w:bCs/>
          <w:lang w:val="fr-FR"/>
        </w:rPr>
        <w:tab/>
      </w:r>
      <w:r w:rsidR="00D86611">
        <w:rPr>
          <w:bCs/>
          <w:lang w:val="fr-FR"/>
        </w:rPr>
        <w:t>B.</w:t>
      </w:r>
      <w:r w:rsidR="00D86611">
        <w:rPr>
          <w:lang w:val="fr-FR"/>
        </w:rPr>
        <w:tab/>
      </w:r>
      <w:r w:rsidR="00D86611">
        <w:rPr>
          <w:bCs/>
          <w:lang w:val="fr-FR"/>
        </w:rPr>
        <w:t>Asie</w:t>
      </w:r>
      <w:r w:rsidR="008C2EC4">
        <w:rPr>
          <w:lang w:val="fr-FR"/>
        </w:rPr>
        <w:t> − </w:t>
      </w:r>
      <w:r w:rsidR="00D86611">
        <w:rPr>
          <w:bCs/>
          <w:lang w:val="fr-FR"/>
        </w:rPr>
        <w:t>Tendances et défis majeurs</w:t>
      </w:r>
    </w:p>
    <w:p w14:paraId="057F94C8" w14:textId="5DAA8762" w:rsidR="00D86611" w:rsidRPr="00F20792" w:rsidRDefault="00D86611" w:rsidP="00D86611">
      <w:pPr>
        <w:pStyle w:val="SingleTxtG"/>
        <w:rPr>
          <w:lang w:val="fr-FR"/>
        </w:rPr>
      </w:pPr>
      <w:r>
        <w:rPr>
          <w:lang w:val="fr-FR"/>
        </w:rPr>
        <w:t>44.</w:t>
      </w:r>
      <w:r>
        <w:rPr>
          <w:lang w:val="fr-FR"/>
        </w:rPr>
        <w:tab/>
        <w:t>En 2021, l’Asie, bien qu’elle soit la région la plus émettrice de CO</w:t>
      </w:r>
      <w:r w:rsidR="00197C64" w:rsidRPr="00197C64">
        <w:rPr>
          <w:vertAlign w:val="subscript"/>
          <w:lang w:val="fr-FR"/>
        </w:rPr>
        <w:t>2</w:t>
      </w:r>
      <w:r>
        <w:rPr>
          <w:lang w:val="fr-FR"/>
        </w:rPr>
        <w:t xml:space="preserve"> dans le secteur des transports, abritait 95</w:t>
      </w:r>
      <w:r w:rsidR="00780216">
        <w:rPr>
          <w:lang w:val="fr-FR"/>
        </w:rPr>
        <w:t> %</w:t>
      </w:r>
      <w:r>
        <w:rPr>
          <w:lang w:val="fr-FR"/>
        </w:rPr>
        <w:t xml:space="preserve"> du parc mondial de véhicules électriques, et 92</w:t>
      </w:r>
      <w:r w:rsidR="00780216">
        <w:rPr>
          <w:lang w:val="fr-FR"/>
        </w:rPr>
        <w:t> %</w:t>
      </w:r>
      <w:r>
        <w:rPr>
          <w:lang w:val="fr-FR"/>
        </w:rPr>
        <w:t xml:space="preserve"> des véhicules électriques qui y circulaient étaient des deux-roues. L’intensité carbone moyenne de l’électricité y est plus élevée que dans d’autres régions. Par exemple, alors que la moyenne mondiale était en 2022 de 436</w:t>
      </w:r>
      <w:r w:rsidR="008C2EC4">
        <w:rPr>
          <w:lang w:val="fr-FR"/>
        </w:rPr>
        <w:t> </w:t>
      </w:r>
      <w:r>
        <w:rPr>
          <w:lang w:val="fr-FR"/>
        </w:rPr>
        <w:t>grammes de CO</w:t>
      </w:r>
      <w:r w:rsidR="00197C64" w:rsidRPr="00197C64">
        <w:rPr>
          <w:vertAlign w:val="subscript"/>
          <w:lang w:val="fr-FR"/>
        </w:rPr>
        <w:t>2</w:t>
      </w:r>
      <w:r w:rsidRPr="00FC40F1">
        <w:rPr>
          <w:vertAlign w:val="subscript"/>
          <w:lang w:val="fr-FR"/>
        </w:rPr>
        <w:t>eq</w:t>
      </w:r>
      <w:r>
        <w:rPr>
          <w:lang w:val="fr-FR"/>
        </w:rPr>
        <w:t xml:space="preserve"> par kilowattheure d’électricité, l’Inde et la Chine atteignaient respectivement 632 et 531</w:t>
      </w:r>
      <w:r w:rsidR="008C2EC4">
        <w:rPr>
          <w:lang w:val="fr-FR"/>
        </w:rPr>
        <w:t> </w:t>
      </w:r>
      <w:r>
        <w:rPr>
          <w:lang w:val="fr-FR"/>
        </w:rPr>
        <w:t>grammes</w:t>
      </w:r>
      <w:r w:rsidRPr="008D69CF">
        <w:rPr>
          <w:rStyle w:val="Appelnotedebasdep"/>
        </w:rPr>
        <w:footnoteReference w:id="61"/>
      </w:r>
      <w:r>
        <w:rPr>
          <w:lang w:val="fr-FR"/>
        </w:rPr>
        <w:t>.</w:t>
      </w:r>
    </w:p>
    <w:p w14:paraId="0A7B808B" w14:textId="3DF1E017" w:rsidR="00D86611" w:rsidRPr="00F20792" w:rsidRDefault="00D86611" w:rsidP="00197C64">
      <w:pPr>
        <w:pStyle w:val="SingleTxtG"/>
        <w:keepNext/>
        <w:keepLines/>
        <w:rPr>
          <w:lang w:val="fr-FR"/>
        </w:rPr>
      </w:pPr>
      <w:r>
        <w:rPr>
          <w:lang w:val="fr-FR"/>
        </w:rPr>
        <w:lastRenderedPageBreak/>
        <w:t>45.</w:t>
      </w:r>
      <w:r>
        <w:rPr>
          <w:lang w:val="fr-FR"/>
        </w:rPr>
        <w:tab/>
        <w:t>L’utilisation des énergies renouvelables dans les transports en Asie a augmenté de 14</w:t>
      </w:r>
      <w:r w:rsidR="00780216">
        <w:rPr>
          <w:lang w:val="fr-FR"/>
        </w:rPr>
        <w:t> %</w:t>
      </w:r>
      <w:r>
        <w:rPr>
          <w:lang w:val="fr-FR"/>
        </w:rPr>
        <w:t xml:space="preserve"> par an entre 2010 et 2019, soit la croissance annuelle la plus forte de toutes les régions, et ce taux devrait être maintenu pour tirer parti au maximum de l’électrification des transports.</w:t>
      </w:r>
    </w:p>
    <w:p w14:paraId="3EFF1DB4" w14:textId="0251975F" w:rsidR="00D86611" w:rsidRPr="00F20792" w:rsidRDefault="00D86611" w:rsidP="00D86611">
      <w:pPr>
        <w:pStyle w:val="SingleTxtG"/>
        <w:rPr>
          <w:lang w:val="fr-FR"/>
        </w:rPr>
      </w:pPr>
      <w:r>
        <w:rPr>
          <w:lang w:val="fr-FR"/>
        </w:rPr>
        <w:t>46.</w:t>
      </w:r>
      <w:r>
        <w:rPr>
          <w:lang w:val="fr-FR"/>
        </w:rPr>
        <w:tab/>
        <w:t>Entre 2015 et 2021, le nombre de villes asiatiques dotées de systèmes de bus à haut niveau de service a augmenté de 36</w:t>
      </w:r>
      <w:r w:rsidR="00780216">
        <w:rPr>
          <w:lang w:val="fr-FR"/>
        </w:rPr>
        <w:t> %</w:t>
      </w:r>
      <w:r>
        <w:rPr>
          <w:lang w:val="fr-FR"/>
        </w:rPr>
        <w:t>, et celui des villes équipées de métros et de systèmes ferroviaires légers de 49</w:t>
      </w:r>
      <w:r w:rsidR="00780216">
        <w:rPr>
          <w:lang w:val="fr-FR"/>
        </w:rPr>
        <w:t> %</w:t>
      </w:r>
      <w:r>
        <w:rPr>
          <w:lang w:val="fr-FR"/>
        </w:rPr>
        <w:t>. En 2021, l’Asie était également le premier marché mondial pour les vélos en libre-service, avec près de 800</w:t>
      </w:r>
      <w:r w:rsidR="00197C64">
        <w:rPr>
          <w:lang w:val="fr-FR"/>
        </w:rPr>
        <w:t> </w:t>
      </w:r>
      <w:r>
        <w:rPr>
          <w:lang w:val="fr-FR"/>
        </w:rPr>
        <w:t>systèmes opérationnels.</w:t>
      </w:r>
    </w:p>
    <w:p w14:paraId="5C23479F" w14:textId="7A981100" w:rsidR="00D86611" w:rsidRPr="00F20792" w:rsidRDefault="00747EED" w:rsidP="00D86611">
      <w:pPr>
        <w:pStyle w:val="H1G"/>
        <w:rPr>
          <w:sz w:val="28"/>
          <w:szCs w:val="28"/>
          <w:lang w:val="fr-FR"/>
        </w:rPr>
      </w:pPr>
      <w:r>
        <w:rPr>
          <w:bCs/>
          <w:lang w:val="fr-FR"/>
        </w:rPr>
        <w:tab/>
      </w:r>
      <w:r w:rsidR="00D86611">
        <w:rPr>
          <w:bCs/>
          <w:lang w:val="fr-FR"/>
        </w:rPr>
        <w:t>C.</w:t>
      </w:r>
      <w:r w:rsidR="00D86611">
        <w:rPr>
          <w:lang w:val="fr-FR"/>
        </w:rPr>
        <w:tab/>
      </w:r>
      <w:r w:rsidR="00D86611">
        <w:rPr>
          <w:bCs/>
          <w:lang w:val="fr-FR"/>
        </w:rPr>
        <w:t>Europe</w:t>
      </w:r>
      <w:r w:rsidR="008C2EC4">
        <w:rPr>
          <w:lang w:val="fr-FR"/>
        </w:rPr>
        <w:t> − </w:t>
      </w:r>
      <w:r w:rsidR="00D86611">
        <w:rPr>
          <w:bCs/>
          <w:lang w:val="fr-FR"/>
        </w:rPr>
        <w:t>Tendances et défis majeurs</w:t>
      </w:r>
    </w:p>
    <w:p w14:paraId="507F98AB" w14:textId="720AD5DF" w:rsidR="00D86611" w:rsidRPr="00F20792" w:rsidRDefault="00D86611" w:rsidP="00D86611">
      <w:pPr>
        <w:pStyle w:val="SingleTxtG"/>
        <w:rPr>
          <w:lang w:val="fr-FR"/>
        </w:rPr>
      </w:pPr>
      <w:r>
        <w:rPr>
          <w:lang w:val="fr-FR"/>
        </w:rPr>
        <w:t>47.</w:t>
      </w:r>
      <w:r>
        <w:rPr>
          <w:lang w:val="fr-FR"/>
        </w:rPr>
        <w:tab/>
        <w:t>Le nombre de voitures particulières immatriculées dans l’UE a atteint 253</w:t>
      </w:r>
      <w:r w:rsidR="008C2EC4">
        <w:rPr>
          <w:lang w:val="fr-FR"/>
        </w:rPr>
        <w:t> </w:t>
      </w:r>
      <w:r>
        <w:rPr>
          <w:lang w:val="fr-FR"/>
        </w:rPr>
        <w:t>millions en 2021, soit une hausse de 8,6</w:t>
      </w:r>
      <w:r w:rsidR="00780216">
        <w:rPr>
          <w:lang w:val="fr-FR"/>
        </w:rPr>
        <w:t> %</w:t>
      </w:r>
      <w:r>
        <w:rPr>
          <w:lang w:val="fr-FR"/>
        </w:rPr>
        <w:t xml:space="preserve"> par rapport à 2016</w:t>
      </w:r>
      <w:r w:rsidRPr="008D69CF">
        <w:rPr>
          <w:rStyle w:val="Appelnotedebasdep"/>
        </w:rPr>
        <w:footnoteReference w:id="62"/>
      </w:r>
      <w:r>
        <w:rPr>
          <w:lang w:val="fr-FR"/>
        </w:rPr>
        <w:t>. Bien que l’Europe soit, après la Chine, le deuxième marché mondial de la voiture électrique, la quasi-totalité des pays européens restent très dépendants à l’égard des véhicules à moteur à combustion interne.</w:t>
      </w:r>
    </w:p>
    <w:p w14:paraId="4A10C644" w14:textId="27F813CD" w:rsidR="00D86611" w:rsidRPr="00F20792" w:rsidRDefault="00D86611" w:rsidP="00D86611">
      <w:pPr>
        <w:pStyle w:val="SingleTxtG"/>
        <w:rPr>
          <w:lang w:val="fr-FR"/>
        </w:rPr>
      </w:pPr>
      <w:r>
        <w:rPr>
          <w:lang w:val="fr-FR"/>
        </w:rPr>
        <w:t>48.</w:t>
      </w:r>
      <w:r>
        <w:rPr>
          <w:lang w:val="fr-FR"/>
        </w:rPr>
        <w:tab/>
        <w:t>Les ventes de voitures électriques à batterie et de voitures hybrides rechargeables ont augmenté de plus de 15</w:t>
      </w:r>
      <w:r w:rsidR="00780216">
        <w:rPr>
          <w:lang w:val="fr-FR"/>
        </w:rPr>
        <w:t> %</w:t>
      </w:r>
      <w:r>
        <w:rPr>
          <w:lang w:val="fr-FR"/>
        </w:rPr>
        <w:t xml:space="preserve"> en 2022, et plus de 1,6 million de voitures électriques à batterie ont été vendues, soit plus de quatre fois plus qu’en 2019</w:t>
      </w:r>
      <w:r w:rsidRPr="008D69CF">
        <w:rPr>
          <w:rStyle w:val="Appelnotedebasdep"/>
        </w:rPr>
        <w:footnoteReference w:id="63"/>
      </w:r>
      <w:r>
        <w:rPr>
          <w:lang w:val="fr-FR"/>
        </w:rPr>
        <w:t>. En 2022, seulement 2,4</w:t>
      </w:r>
      <w:r w:rsidR="00780216">
        <w:rPr>
          <w:lang w:val="fr-FR"/>
        </w:rPr>
        <w:t> %</w:t>
      </w:r>
      <w:r>
        <w:rPr>
          <w:lang w:val="fr-FR"/>
        </w:rPr>
        <w:t xml:space="preserve"> des voitures particulières immatriculées en Europe étaient électriques</w:t>
      </w:r>
      <w:r w:rsidRPr="008D69CF">
        <w:rPr>
          <w:rStyle w:val="Appelnotedebasdep"/>
        </w:rPr>
        <w:footnoteReference w:id="64"/>
      </w:r>
      <w:r>
        <w:rPr>
          <w:lang w:val="fr-FR"/>
        </w:rPr>
        <w:t>.</w:t>
      </w:r>
    </w:p>
    <w:p w14:paraId="0092F8FF" w14:textId="538DA31E" w:rsidR="00D86611" w:rsidRPr="00F20792" w:rsidRDefault="00D86611" w:rsidP="00D86611">
      <w:pPr>
        <w:pStyle w:val="SingleTxtG"/>
        <w:rPr>
          <w:lang w:val="fr-FR"/>
        </w:rPr>
      </w:pPr>
      <w:r>
        <w:rPr>
          <w:lang w:val="fr-FR"/>
        </w:rPr>
        <w:t>49.</w:t>
      </w:r>
      <w:r>
        <w:rPr>
          <w:lang w:val="fr-FR"/>
        </w:rPr>
        <w:tab/>
        <w:t>En 2022, l’UE a annoncé qu’elle avait atteint l’objectif qu’elle s’était fixé pour 2020, à savoir une part de 10</w:t>
      </w:r>
      <w:r w:rsidR="00780216">
        <w:rPr>
          <w:lang w:val="fr-FR"/>
        </w:rPr>
        <w:t> %</w:t>
      </w:r>
      <w:r>
        <w:rPr>
          <w:lang w:val="fr-FR"/>
        </w:rPr>
        <w:t xml:space="preserve"> d’énergies renouvelables dans le bouquet énergétique des transports, 12 des 27</w:t>
      </w:r>
      <w:r w:rsidR="008C2EC4">
        <w:rPr>
          <w:lang w:val="fr-FR"/>
        </w:rPr>
        <w:t> </w:t>
      </w:r>
      <w:r>
        <w:rPr>
          <w:lang w:val="fr-FR"/>
        </w:rPr>
        <w:t>États membres ayant dépassé cet objectif</w:t>
      </w:r>
      <w:r w:rsidRPr="008D69CF">
        <w:rPr>
          <w:rStyle w:val="Appelnotedebasdep"/>
        </w:rPr>
        <w:footnoteReference w:id="65"/>
      </w:r>
      <w:r>
        <w:rPr>
          <w:lang w:val="fr-FR"/>
        </w:rPr>
        <w:t>. En 2019, l’Europe dans son ensemble représentait 18</w:t>
      </w:r>
      <w:r w:rsidR="00780216">
        <w:rPr>
          <w:lang w:val="fr-FR"/>
        </w:rPr>
        <w:t> %</w:t>
      </w:r>
      <w:r>
        <w:rPr>
          <w:lang w:val="fr-FR"/>
        </w:rPr>
        <w:t xml:space="preserve"> de la demande mondiale d’énergies renouvelables utilisées pour les transports</w:t>
      </w:r>
      <w:r w:rsidRPr="008D69CF">
        <w:rPr>
          <w:rStyle w:val="Appelnotedebasdep"/>
        </w:rPr>
        <w:footnoteReference w:id="66"/>
      </w:r>
      <w:r>
        <w:rPr>
          <w:lang w:val="fr-FR"/>
        </w:rPr>
        <w:t xml:space="preserve">. </w:t>
      </w:r>
    </w:p>
    <w:p w14:paraId="2166FD65" w14:textId="454D7081" w:rsidR="00D86611" w:rsidRPr="00F20792" w:rsidRDefault="00D86611" w:rsidP="00D86611">
      <w:pPr>
        <w:pStyle w:val="SingleTxtG"/>
        <w:rPr>
          <w:lang w:val="fr-FR"/>
        </w:rPr>
      </w:pPr>
      <w:r>
        <w:rPr>
          <w:lang w:val="fr-FR"/>
        </w:rPr>
        <w:t>50.</w:t>
      </w:r>
      <w:r>
        <w:rPr>
          <w:lang w:val="fr-FR"/>
        </w:rPr>
        <w:tab/>
        <w:t>En Europe, le nombre de plans de mobilité urbaine durable est passé de 800 en 2013 à 1</w:t>
      </w:r>
      <w:r w:rsidR="008C2EC4">
        <w:rPr>
          <w:lang w:val="fr-FR"/>
        </w:rPr>
        <w:t> </w:t>
      </w:r>
      <w:r>
        <w:rPr>
          <w:lang w:val="fr-FR"/>
        </w:rPr>
        <w:t>000</w:t>
      </w:r>
      <w:r w:rsidR="008C2EC4">
        <w:rPr>
          <w:lang w:val="fr-FR"/>
        </w:rPr>
        <w:t> </w:t>
      </w:r>
      <w:r>
        <w:rPr>
          <w:lang w:val="fr-FR"/>
        </w:rPr>
        <w:t>en 2018, plusieurs villes ayant par ailleurs actualisé leur plan au moins une fois</w:t>
      </w:r>
      <w:r w:rsidRPr="008D69CF">
        <w:rPr>
          <w:rStyle w:val="Appelnotedebasdep"/>
        </w:rPr>
        <w:footnoteReference w:id="67"/>
      </w:r>
      <w:r>
        <w:rPr>
          <w:lang w:val="fr-FR"/>
        </w:rPr>
        <w:t xml:space="preserve">. Dans le cadre de son paquet Mobilité efficace et verte, l’UE a publié en décembre 2021 le </w:t>
      </w:r>
      <w:r w:rsidR="00223202">
        <w:rPr>
          <w:lang w:val="fr-FR"/>
        </w:rPr>
        <w:t>C</w:t>
      </w:r>
      <w:r>
        <w:rPr>
          <w:lang w:val="fr-FR"/>
        </w:rPr>
        <w:t>adre européen pour la mobilité urbaine, qui prévoit que toutes les grandes villes devront d’ici à 2025 élaborer un plan de mobilité urbaine durable</w:t>
      </w:r>
      <w:r w:rsidRPr="008D69CF">
        <w:rPr>
          <w:rStyle w:val="Appelnotedebasdep"/>
        </w:rPr>
        <w:footnoteReference w:id="68"/>
      </w:r>
      <w:r>
        <w:rPr>
          <w:lang w:val="fr-FR"/>
        </w:rPr>
        <w:t>. Un nombre croissant de villes européennes ont également mis en place des zones à émissions limitées, des zones à émissions très limitées ou des zones sans aucune émission, y</w:t>
      </w:r>
      <w:r w:rsidR="008C2EC4">
        <w:rPr>
          <w:lang w:val="fr-FR"/>
        </w:rPr>
        <w:t> </w:t>
      </w:r>
      <w:r>
        <w:rPr>
          <w:lang w:val="fr-FR"/>
        </w:rPr>
        <w:t>compris pour les véhicules de transport de marchandises</w:t>
      </w:r>
      <w:r w:rsidRPr="008D69CF">
        <w:rPr>
          <w:rStyle w:val="Appelnotedebasdep"/>
        </w:rPr>
        <w:footnoteReference w:id="69"/>
      </w:r>
      <w:r>
        <w:rPr>
          <w:lang w:val="fr-FR"/>
        </w:rPr>
        <w:t>.</w:t>
      </w:r>
    </w:p>
    <w:p w14:paraId="0713CC5C" w14:textId="1B262EB5" w:rsidR="00D86611" w:rsidRPr="00F20792" w:rsidRDefault="00D86611" w:rsidP="00D86611">
      <w:pPr>
        <w:pStyle w:val="SingleTxtG"/>
        <w:rPr>
          <w:lang w:val="fr-FR"/>
        </w:rPr>
      </w:pPr>
      <w:r>
        <w:rPr>
          <w:lang w:val="fr-FR"/>
        </w:rPr>
        <w:t>51.</w:t>
      </w:r>
      <w:r>
        <w:rPr>
          <w:lang w:val="fr-FR"/>
        </w:rPr>
        <w:tab/>
        <w:t>En 2023, l’UE et de grands pays européens ont adopté un objectif de zéro émission de CO₂ à l’échappement pour les voitures et les camionnettes (voir encadré</w:t>
      </w:r>
      <w:r w:rsidR="00DD76FF">
        <w:rPr>
          <w:lang w:val="fr-FR"/>
        </w:rPr>
        <w:t> </w:t>
      </w:r>
      <w:r>
        <w:rPr>
          <w:lang w:val="fr-FR"/>
        </w:rPr>
        <w:t>6).</w:t>
      </w:r>
    </w:p>
    <w:p w14:paraId="1D939B09" w14:textId="5324AB6B" w:rsidR="00D86611" w:rsidRPr="00F20792" w:rsidRDefault="00747EED" w:rsidP="00D86611">
      <w:pPr>
        <w:pStyle w:val="H1G"/>
        <w:rPr>
          <w:lang w:val="fr-FR"/>
        </w:rPr>
      </w:pPr>
      <w:r>
        <w:rPr>
          <w:bCs/>
          <w:lang w:val="fr-FR"/>
        </w:rPr>
        <w:lastRenderedPageBreak/>
        <w:tab/>
      </w:r>
      <w:r w:rsidR="00D86611">
        <w:rPr>
          <w:bCs/>
          <w:lang w:val="fr-FR"/>
        </w:rPr>
        <w:t>D.</w:t>
      </w:r>
      <w:r w:rsidR="00D86611">
        <w:rPr>
          <w:lang w:val="fr-FR"/>
        </w:rPr>
        <w:tab/>
      </w:r>
      <w:r w:rsidR="00D86611">
        <w:rPr>
          <w:bCs/>
          <w:lang w:val="fr-FR"/>
        </w:rPr>
        <w:t>Amérique latine et Caraïbes</w:t>
      </w:r>
      <w:r w:rsidR="008C2EC4">
        <w:rPr>
          <w:lang w:val="fr-FR"/>
        </w:rPr>
        <w:t> − </w:t>
      </w:r>
      <w:r w:rsidR="00D86611">
        <w:rPr>
          <w:bCs/>
          <w:lang w:val="fr-FR"/>
        </w:rPr>
        <w:t>Tendances et défis majeurs</w:t>
      </w:r>
    </w:p>
    <w:p w14:paraId="42AF6D8A" w14:textId="2ECB68E0" w:rsidR="00D86611" w:rsidRPr="00F20792" w:rsidRDefault="00D86611" w:rsidP="00D86611">
      <w:pPr>
        <w:pStyle w:val="SingleTxtG"/>
        <w:rPr>
          <w:lang w:val="fr-FR"/>
        </w:rPr>
      </w:pPr>
      <w:r>
        <w:rPr>
          <w:lang w:val="fr-FR"/>
        </w:rPr>
        <w:t>52.</w:t>
      </w:r>
      <w:r>
        <w:rPr>
          <w:lang w:val="fr-FR"/>
        </w:rPr>
        <w:tab/>
        <w:t>Entre 2016 et 2020, le taux de motorisation moyen en Amérique latine et dans les Caraïbes était de 267</w:t>
      </w:r>
      <w:r w:rsidR="008C2EC4">
        <w:rPr>
          <w:lang w:val="fr-FR"/>
        </w:rPr>
        <w:t> </w:t>
      </w:r>
      <w:r>
        <w:rPr>
          <w:lang w:val="fr-FR"/>
        </w:rPr>
        <w:t>véhicules pour 1</w:t>
      </w:r>
      <w:r w:rsidR="008C2EC4">
        <w:rPr>
          <w:lang w:val="fr-FR"/>
        </w:rPr>
        <w:t> </w:t>
      </w:r>
      <w:r>
        <w:rPr>
          <w:lang w:val="fr-FR"/>
        </w:rPr>
        <w:t>000</w:t>
      </w:r>
      <w:r w:rsidR="008C2EC4">
        <w:rPr>
          <w:lang w:val="fr-FR"/>
        </w:rPr>
        <w:t> </w:t>
      </w:r>
      <w:r>
        <w:rPr>
          <w:lang w:val="fr-FR"/>
        </w:rPr>
        <w:t>habitants, un chiffre 1,35</w:t>
      </w:r>
      <w:r w:rsidR="008C2EC4">
        <w:rPr>
          <w:lang w:val="fr-FR"/>
        </w:rPr>
        <w:t> </w:t>
      </w:r>
      <w:r>
        <w:rPr>
          <w:lang w:val="fr-FR"/>
        </w:rPr>
        <w:t>fois plus élevé que la moyenne mondiale</w:t>
      </w:r>
      <w:r w:rsidRPr="008D69CF">
        <w:rPr>
          <w:rStyle w:val="Appelnotedebasdep"/>
        </w:rPr>
        <w:footnoteReference w:id="70"/>
      </w:r>
      <w:r>
        <w:rPr>
          <w:lang w:val="fr-FR"/>
        </w:rPr>
        <w:t>. Presque la moitié (43</w:t>
      </w:r>
      <w:r w:rsidR="00780216">
        <w:rPr>
          <w:lang w:val="fr-FR"/>
        </w:rPr>
        <w:t> %</w:t>
      </w:r>
      <w:r>
        <w:rPr>
          <w:lang w:val="fr-FR"/>
        </w:rPr>
        <w:t>) de la population urbaine dispose d’un accès aisé aux transports publics</w:t>
      </w:r>
      <w:r w:rsidRPr="008D69CF">
        <w:rPr>
          <w:rStyle w:val="Appelnotedebasdep"/>
        </w:rPr>
        <w:footnoteReference w:id="71"/>
      </w:r>
      <w:r>
        <w:rPr>
          <w:lang w:val="fr-FR"/>
        </w:rPr>
        <w:t>, et les pays de la région sont desservis par des services de transport semi-formels et informels souples et adaptés à la demande qui pallient l’insuffisance de l’offre de transports publics</w:t>
      </w:r>
      <w:r w:rsidRPr="008D69CF">
        <w:rPr>
          <w:rStyle w:val="Appelnotedebasdep"/>
        </w:rPr>
        <w:footnoteReference w:id="72"/>
      </w:r>
      <w:r>
        <w:rPr>
          <w:lang w:val="fr-FR"/>
        </w:rPr>
        <w:t>.</w:t>
      </w:r>
    </w:p>
    <w:p w14:paraId="5F0A3158" w14:textId="77777777" w:rsidR="00D86611" w:rsidRPr="00F20792" w:rsidRDefault="00D86611" w:rsidP="00D86611">
      <w:pPr>
        <w:pStyle w:val="SingleTxtG"/>
        <w:rPr>
          <w:lang w:val="fr-FR"/>
        </w:rPr>
      </w:pPr>
      <w:r>
        <w:rPr>
          <w:lang w:val="fr-FR"/>
        </w:rPr>
        <w:t>53.</w:t>
      </w:r>
      <w:r>
        <w:rPr>
          <w:lang w:val="fr-FR"/>
        </w:rPr>
        <w:tab/>
        <w:t>Des plans de mobilité urbaine durable sont en cours d’élaboration au Brésil, au Chili, à Cuba, en Équateur et au Pérou. Des zones à émissions limitées apparaissent également dans la région et, début 2023, les municipalités de Medellín (Colombie) et de Rio de Janeiro (Brésil) ont lancé des processus en vue de leur mise en œuvre</w:t>
      </w:r>
      <w:r w:rsidRPr="008D69CF">
        <w:rPr>
          <w:rStyle w:val="Appelnotedebasdep"/>
        </w:rPr>
        <w:footnoteReference w:id="73"/>
      </w:r>
      <w:r>
        <w:rPr>
          <w:lang w:val="fr-FR"/>
        </w:rPr>
        <w:t>.</w:t>
      </w:r>
    </w:p>
    <w:p w14:paraId="2513D5D6" w14:textId="5571180F" w:rsidR="00D86611" w:rsidRPr="00F20792" w:rsidRDefault="00D86611" w:rsidP="00D86611">
      <w:pPr>
        <w:pStyle w:val="SingleTxtG"/>
        <w:rPr>
          <w:lang w:val="fr-FR"/>
        </w:rPr>
      </w:pPr>
      <w:r>
        <w:rPr>
          <w:lang w:val="fr-FR"/>
        </w:rPr>
        <w:t>54.</w:t>
      </w:r>
      <w:r>
        <w:rPr>
          <w:lang w:val="fr-FR"/>
        </w:rPr>
        <w:tab/>
        <w:t>Des bus électriques, dont le nombre a doublé entre 2020 et 2023, circulent dans 30</w:t>
      </w:r>
      <w:r w:rsidR="008C2EC4">
        <w:rPr>
          <w:lang w:val="fr-FR"/>
        </w:rPr>
        <w:t> </w:t>
      </w:r>
      <w:r>
        <w:rPr>
          <w:lang w:val="fr-FR"/>
        </w:rPr>
        <w:t>villes de 11</w:t>
      </w:r>
      <w:r w:rsidR="008C2EC4">
        <w:rPr>
          <w:lang w:val="fr-FR"/>
        </w:rPr>
        <w:t> </w:t>
      </w:r>
      <w:r>
        <w:rPr>
          <w:lang w:val="fr-FR"/>
        </w:rPr>
        <w:t>pays et représentent près de 5</w:t>
      </w:r>
      <w:r w:rsidR="00780216">
        <w:rPr>
          <w:lang w:val="fr-FR"/>
        </w:rPr>
        <w:t> %</w:t>
      </w:r>
      <w:r>
        <w:rPr>
          <w:lang w:val="fr-FR"/>
        </w:rPr>
        <w:t xml:space="preserve"> de la flotte régionale d’autobus. En outre, certains pays ont mis au point des labels d’efficacité énergétique pour encourager l’achat et l’utilisation de véhicules moins polluants ou pour réglementer la circulation de certains types de véhicules.</w:t>
      </w:r>
    </w:p>
    <w:p w14:paraId="04FF368E" w14:textId="5400C286" w:rsidR="00D86611" w:rsidRPr="00F20792" w:rsidRDefault="00747EED" w:rsidP="00D86611">
      <w:pPr>
        <w:pStyle w:val="H1G"/>
        <w:rPr>
          <w:lang w:val="fr-FR"/>
        </w:rPr>
      </w:pPr>
      <w:r>
        <w:rPr>
          <w:bCs/>
          <w:lang w:val="fr-FR"/>
        </w:rPr>
        <w:tab/>
      </w:r>
      <w:r w:rsidR="00D86611">
        <w:rPr>
          <w:bCs/>
          <w:lang w:val="fr-FR"/>
        </w:rPr>
        <w:t>E.</w:t>
      </w:r>
      <w:r w:rsidR="00D86611">
        <w:rPr>
          <w:lang w:val="fr-FR"/>
        </w:rPr>
        <w:tab/>
      </w:r>
      <w:r w:rsidR="00D86611">
        <w:rPr>
          <w:bCs/>
          <w:lang w:val="fr-FR"/>
        </w:rPr>
        <w:t>Amérique du Nord</w:t>
      </w:r>
      <w:r w:rsidR="008C2EC4">
        <w:rPr>
          <w:lang w:val="fr-FR"/>
        </w:rPr>
        <w:t> − </w:t>
      </w:r>
      <w:r w:rsidR="00D86611">
        <w:rPr>
          <w:bCs/>
          <w:lang w:val="fr-FR"/>
        </w:rPr>
        <w:t>Tendances et défis majeurs</w:t>
      </w:r>
    </w:p>
    <w:p w14:paraId="4DDCA7D2" w14:textId="49FBDC92" w:rsidR="00D86611" w:rsidRPr="00F20792" w:rsidRDefault="00D86611" w:rsidP="00D86611">
      <w:pPr>
        <w:pStyle w:val="SingleTxtG"/>
        <w:rPr>
          <w:lang w:val="fr-FR"/>
        </w:rPr>
      </w:pPr>
      <w:r>
        <w:rPr>
          <w:lang w:val="fr-FR"/>
        </w:rPr>
        <w:t>55.</w:t>
      </w:r>
      <w:r>
        <w:rPr>
          <w:lang w:val="fr-FR"/>
        </w:rPr>
        <w:tab/>
        <w:t>En 2021, l’Amérique du Nord était la région du monde dont les émissions par habitant étaient les plus élevées. Aux États-Unis, le nombre de personnes travaillant à domicile a été multiplié par trois entre 2019 et 2021 en raison de la pandémie. En 2021, l’utilisation des transports publics a chuté d’environ 30</w:t>
      </w:r>
      <w:r w:rsidR="00780216">
        <w:rPr>
          <w:lang w:val="fr-FR"/>
        </w:rPr>
        <w:t> %</w:t>
      </w:r>
      <w:r>
        <w:rPr>
          <w:lang w:val="fr-FR"/>
        </w:rPr>
        <w:t xml:space="preserve"> au niveau national</w:t>
      </w:r>
      <w:r w:rsidRPr="008D69CF">
        <w:rPr>
          <w:rStyle w:val="Appelnotedebasdep"/>
        </w:rPr>
        <w:footnoteReference w:id="74"/>
      </w:r>
      <w:r>
        <w:rPr>
          <w:lang w:val="fr-FR"/>
        </w:rPr>
        <w:t>.</w:t>
      </w:r>
    </w:p>
    <w:p w14:paraId="251F1302" w14:textId="396F4BBA" w:rsidR="00D86611" w:rsidRPr="00F20792" w:rsidRDefault="00D86611" w:rsidP="00D86611">
      <w:pPr>
        <w:pStyle w:val="SingleTxtG"/>
        <w:spacing w:after="240"/>
        <w:rPr>
          <w:lang w:val="fr-FR"/>
        </w:rPr>
      </w:pPr>
      <w:r>
        <w:rPr>
          <w:lang w:val="fr-FR"/>
        </w:rPr>
        <w:t>56.</w:t>
      </w:r>
      <w:r>
        <w:rPr>
          <w:lang w:val="fr-FR"/>
        </w:rPr>
        <w:tab/>
        <w:t>Les ventes de véhicules ont baissé en 2022 en raison de l’inflation, des prix de l’énergie et des perturbations de la chaîne d’approvisionnement. Les ventes de véhicules électriques à batterie ont triplé au Canada et aux États-Unis et ont représenté plus de 6</w:t>
      </w:r>
      <w:r w:rsidR="00780216">
        <w:rPr>
          <w:lang w:val="fr-FR"/>
        </w:rPr>
        <w:t> %</w:t>
      </w:r>
      <w:r>
        <w:rPr>
          <w:lang w:val="fr-FR"/>
        </w:rPr>
        <w:t xml:space="preserve"> des ventes totales de véhicules en 2022. Les projections de la demande énergétique des voitures particulières et utilitaires légers en Amérique du Nord montrent que les économies d’énergie réalisées grâce à des véhicules électriques plus efficaces et à des normes plus strictes en matière de consommation de carburant devraient se situer entre 3 et 28</w:t>
      </w:r>
      <w:r w:rsidR="00780216">
        <w:rPr>
          <w:lang w:val="fr-FR"/>
        </w:rPr>
        <w:t> %</w:t>
      </w:r>
      <w:r>
        <w:rPr>
          <w:lang w:val="fr-FR"/>
        </w:rPr>
        <w:t xml:space="preserve"> d’ici à 2050 par rapport à 2022, malgré une augmentation continue des déplacements</w:t>
      </w:r>
      <w:r w:rsidRPr="008D69CF">
        <w:rPr>
          <w:rStyle w:val="Appelnotedebasdep"/>
        </w:rPr>
        <w:footnoteReference w:id="75"/>
      </w:r>
      <w:r>
        <w:rPr>
          <w:lang w:val="fr-FR"/>
        </w:rPr>
        <w:t>.</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EA0CDE" w14:paraId="0CF632B3"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22D97F52" w14:textId="77777777" w:rsidR="00EA0CDE" w:rsidRPr="001268E3" w:rsidRDefault="00EA0CDE" w:rsidP="001268E3">
            <w:pPr>
              <w:keepNext/>
              <w:keepLines/>
            </w:pPr>
          </w:p>
        </w:tc>
      </w:tr>
      <w:tr w:rsidR="00EA0CDE" w14:paraId="174BD75F" w14:textId="77777777">
        <w:trPr>
          <w:jc w:val="center"/>
        </w:trPr>
        <w:tc>
          <w:tcPr>
            <w:tcW w:w="7653" w:type="dxa"/>
            <w:tcBorders>
              <w:left w:val="single" w:sz="4" w:space="0" w:color="auto"/>
              <w:bottom w:val="nil"/>
              <w:right w:val="single" w:sz="4" w:space="0" w:color="auto"/>
            </w:tcBorders>
            <w:shd w:val="clear" w:color="auto" w:fill="auto"/>
          </w:tcPr>
          <w:p w14:paraId="5C03C28F" w14:textId="1E54FD3E" w:rsidR="00EA0CDE" w:rsidRPr="001268E3" w:rsidRDefault="001268E3" w:rsidP="001268E3">
            <w:pPr>
              <w:spacing w:after="120"/>
            </w:pPr>
            <w:r w:rsidRPr="001268E3">
              <w:rPr>
                <w:lang w:val="fr-FR"/>
              </w:rPr>
              <w:t>Encadré 7</w:t>
            </w:r>
            <w:r w:rsidRPr="001268E3">
              <w:rPr>
                <w:lang w:val="fr-FR"/>
              </w:rPr>
              <w:br/>
            </w:r>
            <w:r w:rsidRPr="001268E3">
              <w:rPr>
                <w:b/>
                <w:bCs/>
                <w:lang w:val="fr-FR"/>
              </w:rPr>
              <w:t>La loi américaine de 2022 sur la réduction de l’inflation</w:t>
            </w:r>
            <w:r w:rsidRPr="001268E3">
              <w:rPr>
                <w:rStyle w:val="Appelnotedebasdep"/>
              </w:rPr>
              <w:footnoteReference w:id="76"/>
            </w:r>
          </w:p>
        </w:tc>
      </w:tr>
      <w:tr w:rsidR="001268E3" w14:paraId="100C5401" w14:textId="77777777">
        <w:trPr>
          <w:jc w:val="center"/>
        </w:trPr>
        <w:tc>
          <w:tcPr>
            <w:tcW w:w="7653" w:type="dxa"/>
            <w:tcBorders>
              <w:left w:val="single" w:sz="4" w:space="0" w:color="auto"/>
              <w:bottom w:val="nil"/>
              <w:right w:val="single" w:sz="4" w:space="0" w:color="auto"/>
            </w:tcBorders>
            <w:shd w:val="clear" w:color="auto" w:fill="auto"/>
          </w:tcPr>
          <w:p w14:paraId="6EA02084" w14:textId="63C0F932" w:rsidR="001268E3" w:rsidRPr="001268E3" w:rsidRDefault="001268E3" w:rsidP="001268E3">
            <w:pPr>
              <w:spacing w:after="120"/>
              <w:ind w:firstLine="567"/>
              <w:jc w:val="both"/>
            </w:pPr>
            <w:r w:rsidRPr="001268E3">
              <w:rPr>
                <w:lang w:val="fr-FR"/>
              </w:rPr>
              <w:t>La loi américaine de 2022 sur la réduction de l’inflation a notamment pour objectif d’ici à 2030 de réduire les émissions de l’ensemble de l’économie de 31 à 44 % par rapport aux niveaux de 2005. Cette loi prévoit différentes mesures liées aux transports, par exemple des incitations à l’achat d’un véhicule électrique, des subventions à l’accès aux transports et à la sécurité routière, des remises et des subventions pour les véhicules utilitaires lourds et le financement des infrastructures de transport de surface.</w:t>
            </w:r>
          </w:p>
        </w:tc>
      </w:tr>
      <w:tr w:rsidR="001268E3" w14:paraId="49C1E656" w14:textId="77777777">
        <w:trPr>
          <w:jc w:val="center"/>
        </w:trPr>
        <w:tc>
          <w:tcPr>
            <w:tcW w:w="7653" w:type="dxa"/>
            <w:tcBorders>
              <w:left w:val="single" w:sz="4" w:space="0" w:color="auto"/>
              <w:bottom w:val="nil"/>
              <w:right w:val="single" w:sz="4" w:space="0" w:color="auto"/>
            </w:tcBorders>
            <w:shd w:val="clear" w:color="auto" w:fill="auto"/>
          </w:tcPr>
          <w:p w14:paraId="4697D48C" w14:textId="4B28365B" w:rsidR="001268E3" w:rsidRPr="001268E3" w:rsidRDefault="001268E3" w:rsidP="001268E3">
            <w:pPr>
              <w:spacing w:after="120"/>
              <w:ind w:firstLine="567"/>
              <w:jc w:val="both"/>
            </w:pPr>
            <w:r w:rsidRPr="001268E3">
              <w:rPr>
                <w:lang w:val="fr-FR"/>
              </w:rPr>
              <w:t xml:space="preserve">Elle donne la priorité à l’électrification des </w:t>
            </w:r>
            <w:r w:rsidRPr="001268E3">
              <w:t>véhicules</w:t>
            </w:r>
            <w:r w:rsidRPr="001268E3">
              <w:rPr>
                <w:lang w:val="fr-FR"/>
              </w:rPr>
              <w:t>, et l’on estime que le secteur des transports ne contribuera que très peu aux réductions d’émissions prévues et que ses émissions resteront très probablement à leur niveau actuel</w:t>
            </w:r>
            <w:r w:rsidRPr="001268E3">
              <w:rPr>
                <w:rStyle w:val="Appelnotedebasdep"/>
              </w:rPr>
              <w:footnoteReference w:id="77"/>
            </w:r>
            <w:r w:rsidRPr="001268E3">
              <w:rPr>
                <w:vertAlign w:val="superscript"/>
                <w:lang w:val="fr-FR"/>
              </w:rPr>
              <w:t xml:space="preserve">, </w:t>
            </w:r>
            <w:r w:rsidRPr="001268E3">
              <w:rPr>
                <w:rStyle w:val="Appelnotedebasdep"/>
              </w:rPr>
              <w:footnoteReference w:id="78"/>
            </w:r>
            <w:r w:rsidRPr="001268E3">
              <w:rPr>
                <w:lang w:val="fr-FR"/>
              </w:rPr>
              <w:t>.</w:t>
            </w:r>
          </w:p>
        </w:tc>
      </w:tr>
      <w:tr w:rsidR="00EA0CDE" w14:paraId="254EF6FD"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3920ECF" w14:textId="77777777" w:rsidR="00EA0CDE" w:rsidRDefault="00EA0CDE"/>
        </w:tc>
      </w:tr>
    </w:tbl>
    <w:p w14:paraId="2B54BD92" w14:textId="595966E1" w:rsidR="00D86611" w:rsidRPr="00F20792" w:rsidRDefault="00094C70" w:rsidP="00D86611">
      <w:pPr>
        <w:pStyle w:val="H1G"/>
        <w:rPr>
          <w:lang w:val="fr-FR"/>
        </w:rPr>
      </w:pPr>
      <w:r>
        <w:rPr>
          <w:bCs/>
          <w:lang w:val="fr-FR"/>
        </w:rPr>
        <w:tab/>
      </w:r>
      <w:r w:rsidR="00D86611">
        <w:rPr>
          <w:bCs/>
          <w:lang w:val="fr-FR"/>
        </w:rPr>
        <w:t>F.</w:t>
      </w:r>
      <w:r w:rsidR="00D86611">
        <w:rPr>
          <w:lang w:val="fr-FR"/>
        </w:rPr>
        <w:tab/>
      </w:r>
      <w:r w:rsidR="00D86611">
        <w:rPr>
          <w:bCs/>
          <w:lang w:val="fr-FR"/>
        </w:rPr>
        <w:t>Océanie</w:t>
      </w:r>
      <w:r>
        <w:rPr>
          <w:bCs/>
          <w:lang w:val="fr-FR"/>
        </w:rPr>
        <w:t> − </w:t>
      </w:r>
      <w:r w:rsidR="00D86611">
        <w:rPr>
          <w:bCs/>
          <w:lang w:val="fr-FR"/>
        </w:rPr>
        <w:t>Tendances et défis majeurs</w:t>
      </w:r>
    </w:p>
    <w:p w14:paraId="6CF95DBB" w14:textId="6C78CF37" w:rsidR="00D86611" w:rsidRPr="00F20792" w:rsidRDefault="00D86611" w:rsidP="00D86611">
      <w:pPr>
        <w:pStyle w:val="SingleTxtG"/>
        <w:rPr>
          <w:lang w:val="fr-FR"/>
        </w:rPr>
      </w:pPr>
      <w:r>
        <w:rPr>
          <w:lang w:val="fr-FR"/>
        </w:rPr>
        <w:t>57.</w:t>
      </w:r>
      <w:r>
        <w:rPr>
          <w:lang w:val="fr-FR"/>
        </w:rPr>
        <w:tab/>
        <w:t>En 2021, l’Australie et la Nouvelle-Zélande affichaient la plus forte proportion de la population urbaine ayant accès aux transports publics (82,8</w:t>
      </w:r>
      <w:r w:rsidR="00780216">
        <w:rPr>
          <w:lang w:val="fr-FR"/>
        </w:rPr>
        <w:t> %</w:t>
      </w:r>
      <w:r>
        <w:rPr>
          <w:lang w:val="fr-FR"/>
        </w:rPr>
        <w:t>, à comparer à une moyenne mondiale de 56</w:t>
      </w:r>
      <w:r w:rsidR="00780216">
        <w:rPr>
          <w:lang w:val="fr-FR"/>
        </w:rPr>
        <w:t> %</w:t>
      </w:r>
      <w:r>
        <w:rPr>
          <w:lang w:val="fr-FR"/>
        </w:rPr>
        <w:t>). Malgré cela, la voiture particulière continue d’occuper une place prépondérante en Australie, puisqu’en 2021, 87</w:t>
      </w:r>
      <w:r w:rsidR="00780216">
        <w:rPr>
          <w:lang w:val="fr-FR"/>
        </w:rPr>
        <w:t> %</w:t>
      </w:r>
      <w:r>
        <w:rPr>
          <w:lang w:val="fr-FR"/>
        </w:rPr>
        <w:t xml:space="preserve"> des trajets domicile-travail étaient effectués par les conducteurs ou les passagers d’une voiture, d’une moto ou d’un camion, tandis que les transports publics représentaient seulement 7</w:t>
      </w:r>
      <w:r w:rsidR="00780216">
        <w:rPr>
          <w:lang w:val="fr-FR"/>
        </w:rPr>
        <w:t> %</w:t>
      </w:r>
      <w:r>
        <w:rPr>
          <w:lang w:val="fr-FR"/>
        </w:rPr>
        <w:t xml:space="preserve"> des trajets, et la marche ou le vélo 5</w:t>
      </w:r>
      <w:r w:rsidR="00780216">
        <w:rPr>
          <w:lang w:val="fr-FR"/>
        </w:rPr>
        <w:t> %</w:t>
      </w:r>
      <w:r>
        <w:rPr>
          <w:lang w:val="fr-FR"/>
        </w:rPr>
        <w:t>.</w:t>
      </w:r>
    </w:p>
    <w:p w14:paraId="358DCB04" w14:textId="439D6D1E" w:rsidR="00D86611" w:rsidRPr="00F20792" w:rsidRDefault="00D86611" w:rsidP="00D86611">
      <w:pPr>
        <w:pStyle w:val="SingleTxtG"/>
        <w:rPr>
          <w:lang w:val="fr-FR"/>
        </w:rPr>
      </w:pPr>
      <w:r>
        <w:rPr>
          <w:lang w:val="fr-FR"/>
        </w:rPr>
        <w:t>58.</w:t>
      </w:r>
      <w:r>
        <w:rPr>
          <w:lang w:val="fr-FR"/>
        </w:rPr>
        <w:tab/>
        <w:t>Bien que les ventes de véhicules électriques aient connu une croissance exponentielle en Australie, le parc électrique australien et néo-zélandais représentait moins de 1</w:t>
      </w:r>
      <w:r w:rsidR="00780216">
        <w:rPr>
          <w:lang w:val="fr-FR"/>
        </w:rPr>
        <w:t> %</w:t>
      </w:r>
      <w:r>
        <w:rPr>
          <w:lang w:val="fr-FR"/>
        </w:rPr>
        <w:t xml:space="preserve"> du parc mondial. En 2021 et 2022, les pays d’Océanie, y compris les petits États insulaires, ont pris des mesures pour faciliter et appuyer le développement des véhicules électriques et pour améliorer les normes de rendement énergétique. En outre, l’Australie s’est fixé</w:t>
      </w:r>
      <w:r w:rsidR="00094C70">
        <w:rPr>
          <w:lang w:val="fr-FR"/>
        </w:rPr>
        <w:t>e</w:t>
      </w:r>
      <w:r>
        <w:rPr>
          <w:lang w:val="fr-FR"/>
        </w:rPr>
        <w:t xml:space="preserve"> depuis 2019 des objectifs plus ambitieux en matière de carburants de substitution tels que l’hydrogène et les carburants durables pour l’aviation</w:t>
      </w:r>
      <w:r w:rsidRPr="008D69CF">
        <w:rPr>
          <w:rStyle w:val="Appelnotedebasdep"/>
        </w:rPr>
        <w:footnoteReference w:id="79"/>
      </w:r>
      <w:r>
        <w:rPr>
          <w:lang w:val="fr-FR"/>
        </w:rPr>
        <w:t>.</w:t>
      </w:r>
    </w:p>
    <w:p w14:paraId="1BB22A81" w14:textId="77777777" w:rsidR="00D86611" w:rsidRPr="00F20792" w:rsidRDefault="00D86611" w:rsidP="00D86611">
      <w:pPr>
        <w:pStyle w:val="SingleTxtG"/>
        <w:rPr>
          <w:lang w:val="fr-FR"/>
        </w:rPr>
      </w:pPr>
      <w:r>
        <w:rPr>
          <w:lang w:val="fr-FR"/>
        </w:rPr>
        <w:t>59.</w:t>
      </w:r>
      <w:r>
        <w:rPr>
          <w:lang w:val="fr-FR"/>
        </w:rPr>
        <w:tab/>
        <w:t>Les petits pays insulaires d’Océanie ont des besoins importants en matière de transport durable et à faibles émissions de carbone, car ils sont très vulnérables aux effets des changements climatiques en raison de leur superficie limitée, de leur situation géographique et de leur isolement.</w:t>
      </w:r>
    </w:p>
    <w:p w14:paraId="1D15465F" w14:textId="3A1167C8" w:rsidR="00D86611" w:rsidRPr="00F20792" w:rsidRDefault="00747EED" w:rsidP="00223202">
      <w:pPr>
        <w:pStyle w:val="HChG"/>
        <w:rPr>
          <w:lang w:val="fr-FR"/>
        </w:rPr>
      </w:pPr>
      <w:bookmarkStart w:id="10" w:name="_1y810tw" w:colFirst="0" w:colLast="0"/>
      <w:bookmarkStart w:id="11" w:name="_2xcytpi" w:colFirst="0" w:colLast="0"/>
      <w:bookmarkEnd w:id="10"/>
      <w:bookmarkEnd w:id="11"/>
      <w:r>
        <w:rPr>
          <w:lang w:val="fr-FR"/>
        </w:rPr>
        <w:tab/>
      </w:r>
      <w:r w:rsidR="00D86611">
        <w:rPr>
          <w:lang w:val="fr-FR"/>
        </w:rPr>
        <w:t>III.</w:t>
      </w:r>
      <w:r w:rsidR="00D86611">
        <w:rPr>
          <w:lang w:val="fr-FR"/>
        </w:rPr>
        <w:tab/>
        <w:t>Possibilités et voie à suivre</w:t>
      </w:r>
    </w:p>
    <w:p w14:paraId="54396421" w14:textId="77777777" w:rsidR="00D86611" w:rsidRPr="00F20792" w:rsidRDefault="00D86611" w:rsidP="00223202">
      <w:pPr>
        <w:pStyle w:val="SingleTxtG"/>
        <w:rPr>
          <w:lang w:val="fr-FR"/>
        </w:rPr>
      </w:pPr>
      <w:r>
        <w:rPr>
          <w:lang w:val="fr-FR"/>
        </w:rPr>
        <w:t>60.</w:t>
      </w:r>
      <w:r>
        <w:rPr>
          <w:lang w:val="fr-FR"/>
        </w:rPr>
        <w:tab/>
        <w:t xml:space="preserve">Comme le montrent les sections précédentes, il est nécessaire d’adopter une approche globale et intégrée pour relever les défis liés aux transports intérieurs et lutter contre les émissions. Il faut changer radicalement de trajectoire pour parvenir à une transformation systémique des transports et de la mobilité, et il est prouvé que ces changements auront des </w:t>
      </w:r>
      <w:r w:rsidRPr="001268E3">
        <w:rPr>
          <w:lang w:val="fr-FR"/>
        </w:rPr>
        <w:lastRenderedPageBreak/>
        <w:t>effets positifs sur l’ensemble de la société grâce à des solutions transversales associant l’équité, le climat, la santé, l’énergie, l’urbanisme et le développement économique.</w:t>
      </w:r>
    </w:p>
    <w:p w14:paraId="38C339FA" w14:textId="3FEC59D2" w:rsidR="00D86611" w:rsidRPr="00F20792" w:rsidRDefault="00D86611" w:rsidP="00D86611">
      <w:pPr>
        <w:pStyle w:val="SingleTxtG"/>
        <w:rPr>
          <w:lang w:val="fr-FR"/>
        </w:rPr>
      </w:pPr>
      <w:r>
        <w:rPr>
          <w:lang w:val="fr-FR"/>
        </w:rPr>
        <w:t>61.</w:t>
      </w:r>
      <w:r>
        <w:rPr>
          <w:lang w:val="fr-FR"/>
        </w:rPr>
        <w:tab/>
        <w:t>De plus en plus de pays mettent en œuvre des CDN et des stratégies à long terme spécifiques aux transports afin de présenter des actions et des objectifs dans ce domaine. Le</w:t>
      </w:r>
      <w:r w:rsidR="00D07931">
        <w:rPr>
          <w:lang w:val="fr-FR"/>
        </w:rPr>
        <w:t> </w:t>
      </w:r>
      <w:r>
        <w:rPr>
          <w:lang w:val="fr-FR"/>
        </w:rPr>
        <w:t>fait d’encourager un plus grand nombre de pays à élaborer des plans de décarbonisation du secteur des transports permettrait d’établir des priorités en matière d’actions, de réglementation technique et de normes et de déploiement des politiques au niveau international.</w:t>
      </w:r>
    </w:p>
    <w:p w14:paraId="34940C8E" w14:textId="77777777" w:rsidR="00D86611" w:rsidRPr="00F20792" w:rsidRDefault="00D86611" w:rsidP="00D86611">
      <w:pPr>
        <w:pStyle w:val="SingleTxtG"/>
        <w:rPr>
          <w:i/>
          <w:lang w:val="fr-FR"/>
        </w:rPr>
      </w:pPr>
      <w:r>
        <w:rPr>
          <w:lang w:val="fr-FR"/>
        </w:rPr>
        <w:t>62.</w:t>
      </w:r>
      <w:r>
        <w:rPr>
          <w:lang w:val="fr-FR"/>
        </w:rPr>
        <w:tab/>
        <w:t>Il faut exploiter les synergies importantes qui existent entre les actions menées pour réaliser les objectifs de développement durable et les mesures de décarbonisation, d’adaptation et de résilience dans le domaine des transports, et procéder aux arbitrages nécessaires. Dans l’ensemble, l’intérêt des synergies dépasse les contraintes liées aux arbitrages, que l’on peut minimiser en mettant l’accent sur des activités telles que le renforcement des capacités, le financement et le transfert de technologie, et en intégrant des considérations telles que la gouvernance, l’égalité des sexes et l’équité et en associant les peuples autochtones, les communautés locales et les populations vulnérables</w:t>
      </w:r>
      <w:r w:rsidRPr="008D69CF">
        <w:rPr>
          <w:rStyle w:val="Appelnotedebasdep"/>
        </w:rPr>
        <w:footnoteReference w:id="80"/>
      </w:r>
      <w:r>
        <w:rPr>
          <w:lang w:val="fr-FR"/>
        </w:rPr>
        <w:t>.</w:t>
      </w:r>
    </w:p>
    <w:p w14:paraId="2EB26A2B" w14:textId="77777777" w:rsidR="00D86611" w:rsidRPr="00F20792" w:rsidRDefault="00D86611" w:rsidP="00D86611">
      <w:pPr>
        <w:ind w:left="1134"/>
        <w:rPr>
          <w:lang w:val="fr-FR"/>
        </w:rPr>
      </w:pPr>
      <w:bookmarkStart w:id="12" w:name="_cuv721fnxnpx" w:colFirst="0" w:colLast="0"/>
      <w:bookmarkEnd w:id="12"/>
      <w:r w:rsidRPr="00F20792">
        <w:rPr>
          <w:lang w:val="fr-FR"/>
        </w:rPr>
        <w:br w:type="page"/>
      </w:r>
    </w:p>
    <w:p w14:paraId="0D9FD182" w14:textId="77777777" w:rsidR="00D86611" w:rsidRPr="00F20792" w:rsidRDefault="00D86611" w:rsidP="00D86611">
      <w:pPr>
        <w:pStyle w:val="HChG"/>
        <w:rPr>
          <w:lang w:val="fr-FR"/>
        </w:rPr>
      </w:pPr>
      <w:bookmarkStart w:id="13" w:name="_8kxajqwgb7l7" w:colFirst="0" w:colLast="0"/>
      <w:bookmarkEnd w:id="13"/>
      <w:r>
        <w:rPr>
          <w:bCs/>
          <w:lang w:val="fr-FR"/>
        </w:rPr>
        <w:lastRenderedPageBreak/>
        <w:t>Annexe I</w:t>
      </w:r>
    </w:p>
    <w:p w14:paraId="5EE1529E" w14:textId="357096E9" w:rsidR="00D86611" w:rsidRPr="00094C70" w:rsidRDefault="00D86611" w:rsidP="00094C70">
      <w:pPr>
        <w:pStyle w:val="HChG"/>
        <w:rPr>
          <w:bCs/>
          <w:lang w:val="fr-FR"/>
        </w:rPr>
      </w:pPr>
      <w:r>
        <w:rPr>
          <w:lang w:val="fr-FR"/>
        </w:rPr>
        <w:tab/>
      </w:r>
      <w:r>
        <w:rPr>
          <w:lang w:val="fr-FR"/>
        </w:rPr>
        <w:tab/>
      </w:r>
      <w:r>
        <w:rPr>
          <w:bCs/>
          <w:lang w:val="fr-FR"/>
        </w:rPr>
        <w:t xml:space="preserve">Objectifs d’atténuation des émissions de gaz à effet de serre dues aux transports dans les CDN de deuxième génération, </w:t>
      </w:r>
      <w:r w:rsidR="00094C70">
        <w:rPr>
          <w:bCs/>
          <w:lang w:val="fr-FR"/>
        </w:rPr>
        <w:br/>
      </w:r>
      <w:r>
        <w:rPr>
          <w:bCs/>
          <w:lang w:val="fr-FR"/>
        </w:rPr>
        <w:t>à la fin de l’année 2022</w:t>
      </w:r>
    </w:p>
    <w:tbl>
      <w:tblPr>
        <w:tblW w:w="7370" w:type="dxa"/>
        <w:tblInd w:w="1134" w:type="dxa"/>
        <w:tblLayout w:type="fixed"/>
        <w:tblCellMar>
          <w:left w:w="0" w:type="dxa"/>
          <w:right w:w="0" w:type="dxa"/>
        </w:tblCellMar>
        <w:tblLook w:val="0600" w:firstRow="0" w:lastRow="0" w:firstColumn="0" w:lastColumn="0" w:noHBand="1" w:noVBand="1"/>
      </w:tblPr>
      <w:tblGrid>
        <w:gridCol w:w="1291"/>
        <w:gridCol w:w="4663"/>
        <w:gridCol w:w="1416"/>
      </w:tblGrid>
      <w:tr w:rsidR="00D86611" w:rsidRPr="00094C70" w14:paraId="140C811D" w14:textId="77777777" w:rsidTr="00E861DF">
        <w:trPr>
          <w:tblHeader/>
        </w:trPr>
        <w:tc>
          <w:tcPr>
            <w:tcW w:w="129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52B59DC" w14:textId="77777777" w:rsidR="00D86611" w:rsidRPr="00094C70" w:rsidRDefault="00D86611" w:rsidP="00094C70">
            <w:pPr>
              <w:spacing w:before="80" w:after="80" w:line="200" w:lineRule="exact"/>
              <w:ind w:right="113"/>
              <w:rPr>
                <w:i/>
                <w:sz w:val="16"/>
              </w:rPr>
            </w:pPr>
            <w:r w:rsidRPr="00094C70">
              <w:rPr>
                <w:i/>
                <w:sz w:val="16"/>
                <w:lang w:val="fr-FR"/>
              </w:rPr>
              <w:t>Pays</w:t>
            </w:r>
          </w:p>
        </w:tc>
        <w:tc>
          <w:tcPr>
            <w:tcW w:w="466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B22F3F5" w14:textId="0E6EFD87" w:rsidR="00D86611" w:rsidRPr="00094C70" w:rsidRDefault="00D86611" w:rsidP="00094C70">
            <w:pPr>
              <w:spacing w:before="80" w:after="80" w:line="200" w:lineRule="exact"/>
              <w:ind w:right="113"/>
              <w:rPr>
                <w:i/>
                <w:sz w:val="16"/>
                <w:lang w:val="fr-FR"/>
              </w:rPr>
            </w:pPr>
            <w:r w:rsidRPr="00094C70">
              <w:rPr>
                <w:i/>
                <w:sz w:val="16"/>
                <w:lang w:val="fr-FR"/>
              </w:rPr>
              <w:t xml:space="preserve">Réductions ciblées des émissions dues aux transports </w:t>
            </w:r>
            <w:r w:rsidR="000A1D0B">
              <w:rPr>
                <w:i/>
                <w:sz w:val="16"/>
                <w:lang w:val="fr-FR"/>
              </w:rPr>
              <w:br/>
            </w:r>
            <w:r w:rsidRPr="00094C70">
              <w:rPr>
                <w:i/>
                <w:sz w:val="16"/>
                <w:lang w:val="fr-FR"/>
              </w:rPr>
              <w:t>(</w:t>
            </w:r>
            <w:r w:rsidR="000A1D0B">
              <w:rPr>
                <w:i/>
                <w:sz w:val="16"/>
                <w:lang w:val="fr-FR"/>
              </w:rPr>
              <w:t>E</w:t>
            </w:r>
            <w:r w:rsidRPr="00094C70">
              <w:rPr>
                <w:i/>
                <w:sz w:val="16"/>
                <w:lang w:val="fr-FR"/>
              </w:rPr>
              <w:t>n</w:t>
            </w:r>
            <w:r w:rsidR="00094C70">
              <w:rPr>
                <w:i/>
                <w:sz w:val="16"/>
                <w:lang w:val="fr-FR"/>
              </w:rPr>
              <w:t> </w:t>
            </w:r>
            <w:r w:rsidRPr="00094C70">
              <w:rPr>
                <w:i/>
                <w:sz w:val="16"/>
                <w:lang w:val="fr-FR"/>
              </w:rPr>
              <w:t>équivalent CO</w:t>
            </w:r>
            <w:r w:rsidR="00D07931" w:rsidRPr="00D07931">
              <w:rPr>
                <w:i/>
                <w:sz w:val="16"/>
                <w:vertAlign w:val="subscript"/>
                <w:lang w:val="fr-FR"/>
              </w:rPr>
              <w:t>2</w:t>
            </w:r>
            <w:r w:rsidRPr="00094C70">
              <w:rPr>
                <w:i/>
                <w:sz w:val="16"/>
                <w:lang w:val="fr-FR"/>
              </w:rPr>
              <w:t>)</w:t>
            </w:r>
          </w:p>
        </w:tc>
        <w:tc>
          <w:tcPr>
            <w:tcW w:w="141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6F5F032" w14:textId="5300EAED" w:rsidR="00D86611" w:rsidRPr="00094C70" w:rsidRDefault="00D86611" w:rsidP="00094C70">
            <w:pPr>
              <w:spacing w:before="80" w:after="80" w:line="200" w:lineRule="exact"/>
              <w:ind w:right="113"/>
              <w:rPr>
                <w:i/>
                <w:sz w:val="16"/>
              </w:rPr>
            </w:pPr>
            <w:r w:rsidRPr="00094C70">
              <w:rPr>
                <w:i/>
                <w:sz w:val="16"/>
                <w:lang w:val="fr-FR"/>
              </w:rPr>
              <w:t xml:space="preserve">Caractère </w:t>
            </w:r>
            <w:r w:rsidR="000A1D0B">
              <w:rPr>
                <w:i/>
                <w:sz w:val="16"/>
                <w:lang w:val="fr-FR"/>
              </w:rPr>
              <w:br/>
            </w:r>
            <w:r w:rsidRPr="00094C70">
              <w:rPr>
                <w:i/>
                <w:sz w:val="16"/>
                <w:lang w:val="fr-FR"/>
              </w:rPr>
              <w:t>de la cible</w:t>
            </w:r>
          </w:p>
        </w:tc>
      </w:tr>
      <w:tr w:rsidR="00094C70" w:rsidRPr="00094C70" w14:paraId="4B0C995A" w14:textId="77777777" w:rsidTr="00E861DF">
        <w:trPr>
          <w:trHeight w:hRule="exact" w:val="113"/>
          <w:tblHeader/>
        </w:trPr>
        <w:tc>
          <w:tcPr>
            <w:tcW w:w="1291" w:type="dxa"/>
            <w:tcBorders>
              <w:top w:val="single" w:sz="12" w:space="0" w:color="auto"/>
            </w:tcBorders>
            <w:shd w:val="clear" w:color="auto" w:fill="auto"/>
            <w:tcMar>
              <w:top w:w="0" w:type="dxa"/>
              <w:left w:w="0" w:type="dxa"/>
              <w:bottom w:w="0" w:type="dxa"/>
              <w:right w:w="0" w:type="dxa"/>
            </w:tcMar>
          </w:tcPr>
          <w:p w14:paraId="34BFF0F7" w14:textId="77777777" w:rsidR="00094C70" w:rsidRPr="00094C70" w:rsidRDefault="00094C70" w:rsidP="00094C70">
            <w:pPr>
              <w:spacing w:before="40" w:after="120"/>
              <w:ind w:right="113"/>
              <w:rPr>
                <w:lang w:val="fr-FR"/>
              </w:rPr>
            </w:pPr>
          </w:p>
        </w:tc>
        <w:tc>
          <w:tcPr>
            <w:tcW w:w="4663" w:type="dxa"/>
            <w:tcBorders>
              <w:top w:val="single" w:sz="12" w:space="0" w:color="auto"/>
            </w:tcBorders>
            <w:shd w:val="clear" w:color="auto" w:fill="auto"/>
            <w:tcMar>
              <w:top w:w="0" w:type="dxa"/>
              <w:left w:w="0" w:type="dxa"/>
              <w:bottom w:w="0" w:type="dxa"/>
              <w:right w:w="0" w:type="dxa"/>
            </w:tcMar>
          </w:tcPr>
          <w:p w14:paraId="428BF452" w14:textId="77777777" w:rsidR="00094C70" w:rsidRPr="00094C70" w:rsidRDefault="00094C70" w:rsidP="00094C70">
            <w:pPr>
              <w:spacing w:before="40" w:after="120"/>
              <w:ind w:right="113"/>
              <w:rPr>
                <w:lang w:val="fr-FR"/>
              </w:rPr>
            </w:pPr>
          </w:p>
        </w:tc>
        <w:tc>
          <w:tcPr>
            <w:tcW w:w="1416" w:type="dxa"/>
            <w:tcBorders>
              <w:top w:val="single" w:sz="12" w:space="0" w:color="auto"/>
            </w:tcBorders>
            <w:shd w:val="clear" w:color="auto" w:fill="auto"/>
            <w:tcMar>
              <w:top w:w="0" w:type="dxa"/>
              <w:left w:w="0" w:type="dxa"/>
              <w:bottom w:w="0" w:type="dxa"/>
              <w:right w:w="0" w:type="dxa"/>
            </w:tcMar>
          </w:tcPr>
          <w:p w14:paraId="0E28B74C" w14:textId="77777777" w:rsidR="00094C70" w:rsidRPr="00094C70" w:rsidRDefault="00094C70" w:rsidP="00094C70">
            <w:pPr>
              <w:spacing w:before="40" w:after="120"/>
              <w:ind w:right="113"/>
              <w:rPr>
                <w:lang w:val="fr-FR"/>
              </w:rPr>
            </w:pPr>
          </w:p>
        </w:tc>
      </w:tr>
      <w:tr w:rsidR="00D86611" w:rsidRPr="00094C70" w14:paraId="45EFDFDB" w14:textId="77777777" w:rsidTr="00E861DF">
        <w:tc>
          <w:tcPr>
            <w:tcW w:w="1291" w:type="dxa"/>
            <w:shd w:val="clear" w:color="auto" w:fill="auto"/>
            <w:tcMar>
              <w:top w:w="0" w:type="dxa"/>
              <w:left w:w="0" w:type="dxa"/>
              <w:bottom w:w="0" w:type="dxa"/>
              <w:right w:w="0" w:type="dxa"/>
            </w:tcMar>
          </w:tcPr>
          <w:p w14:paraId="4DC48E9D" w14:textId="77777777" w:rsidR="00D86611" w:rsidRPr="00094C70" w:rsidRDefault="00D86611" w:rsidP="00094C70">
            <w:pPr>
              <w:spacing w:before="40" w:after="120"/>
              <w:ind w:right="113"/>
            </w:pPr>
            <w:r w:rsidRPr="00094C70">
              <w:rPr>
                <w:lang w:val="fr-FR"/>
              </w:rPr>
              <w:t>Andorre</w:t>
            </w:r>
          </w:p>
        </w:tc>
        <w:tc>
          <w:tcPr>
            <w:tcW w:w="4663" w:type="dxa"/>
            <w:shd w:val="clear" w:color="auto" w:fill="auto"/>
            <w:tcMar>
              <w:top w:w="0" w:type="dxa"/>
              <w:left w:w="0" w:type="dxa"/>
              <w:bottom w:w="0" w:type="dxa"/>
              <w:right w:w="0" w:type="dxa"/>
            </w:tcMar>
          </w:tcPr>
          <w:p w14:paraId="089FF202" w14:textId="03025E29" w:rsidR="00D86611" w:rsidRPr="00094C70" w:rsidRDefault="00D86611" w:rsidP="00094C70">
            <w:pPr>
              <w:spacing w:before="40" w:after="120"/>
              <w:ind w:right="113"/>
              <w:rPr>
                <w:lang w:val="fr-FR"/>
              </w:rPr>
            </w:pPr>
            <w:r w:rsidRPr="00094C70">
              <w:rPr>
                <w:lang w:val="fr-FR"/>
              </w:rPr>
              <w:t>50</w:t>
            </w:r>
            <w:r w:rsidR="00780216" w:rsidRPr="00094C70">
              <w:rPr>
                <w:lang w:val="fr-FR"/>
              </w:rPr>
              <w:t> %</w:t>
            </w:r>
            <w:r w:rsidRPr="00094C70">
              <w:rPr>
                <w:lang w:val="fr-FR"/>
              </w:rPr>
              <w:t xml:space="preserve"> pour le transport routier d’ici à 2030</w:t>
            </w:r>
          </w:p>
        </w:tc>
        <w:tc>
          <w:tcPr>
            <w:tcW w:w="1416" w:type="dxa"/>
            <w:shd w:val="clear" w:color="auto" w:fill="auto"/>
            <w:tcMar>
              <w:top w:w="0" w:type="dxa"/>
              <w:left w:w="0" w:type="dxa"/>
              <w:bottom w:w="0" w:type="dxa"/>
              <w:right w:w="0" w:type="dxa"/>
            </w:tcMar>
          </w:tcPr>
          <w:p w14:paraId="7B13E973" w14:textId="77777777" w:rsidR="00D86611" w:rsidRPr="00094C70" w:rsidRDefault="00D86611" w:rsidP="00094C70">
            <w:pPr>
              <w:spacing w:before="40" w:after="120"/>
              <w:ind w:right="113"/>
            </w:pPr>
            <w:r w:rsidRPr="00094C70">
              <w:rPr>
                <w:lang w:val="fr-FR"/>
              </w:rPr>
              <w:t>Inconditionnel</w:t>
            </w:r>
          </w:p>
        </w:tc>
      </w:tr>
      <w:tr w:rsidR="00D86611" w:rsidRPr="00094C70" w14:paraId="2D43A5C8" w14:textId="77777777" w:rsidTr="00E861DF">
        <w:tc>
          <w:tcPr>
            <w:tcW w:w="1291" w:type="dxa"/>
            <w:shd w:val="clear" w:color="auto" w:fill="auto"/>
            <w:tcMar>
              <w:top w:w="0" w:type="dxa"/>
              <w:left w:w="0" w:type="dxa"/>
              <w:bottom w:w="0" w:type="dxa"/>
              <w:right w:w="0" w:type="dxa"/>
            </w:tcMar>
          </w:tcPr>
          <w:p w14:paraId="1E6BB0CC" w14:textId="77777777" w:rsidR="00D86611" w:rsidRPr="00094C70" w:rsidRDefault="00D86611" w:rsidP="00094C70">
            <w:pPr>
              <w:spacing w:before="40" w:after="120"/>
              <w:ind w:right="113"/>
            </w:pPr>
            <w:r w:rsidRPr="00094C70">
              <w:rPr>
                <w:lang w:val="fr-FR"/>
              </w:rPr>
              <w:t>Bangladesh</w:t>
            </w:r>
          </w:p>
        </w:tc>
        <w:tc>
          <w:tcPr>
            <w:tcW w:w="4663" w:type="dxa"/>
            <w:shd w:val="clear" w:color="auto" w:fill="auto"/>
            <w:tcMar>
              <w:top w:w="0" w:type="dxa"/>
              <w:left w:w="0" w:type="dxa"/>
              <w:bottom w:w="0" w:type="dxa"/>
              <w:right w:w="0" w:type="dxa"/>
            </w:tcMar>
          </w:tcPr>
          <w:p w14:paraId="246A4C97" w14:textId="7519CE6C" w:rsidR="00D86611" w:rsidRPr="00094C70" w:rsidRDefault="00D86611" w:rsidP="00094C70">
            <w:pPr>
              <w:spacing w:before="40" w:after="120"/>
              <w:ind w:right="113"/>
              <w:rPr>
                <w:lang w:val="fr-FR"/>
              </w:rPr>
            </w:pPr>
            <w:r w:rsidRPr="00094C70">
              <w:rPr>
                <w:lang w:val="fr-FR"/>
              </w:rPr>
              <w:t>9,3</w:t>
            </w:r>
            <w:r w:rsidR="00780216" w:rsidRPr="00094C70">
              <w:rPr>
                <w:lang w:val="fr-FR"/>
              </w:rPr>
              <w:t> %</w:t>
            </w:r>
            <w:r w:rsidRPr="00094C70">
              <w:rPr>
                <w:lang w:val="fr-FR"/>
              </w:rPr>
              <w:t xml:space="preserve"> par rapport au scénario tendanciel d’ici à</w:t>
            </w:r>
            <w:r w:rsidR="00D07931">
              <w:rPr>
                <w:lang w:val="fr-FR"/>
              </w:rPr>
              <w:t> </w:t>
            </w:r>
            <w:r w:rsidRPr="00094C70">
              <w:rPr>
                <w:lang w:val="fr-FR"/>
              </w:rPr>
              <w:t>2030, pour atteindre 32,9</w:t>
            </w:r>
            <w:r w:rsidR="00D07931">
              <w:rPr>
                <w:lang w:val="fr-FR"/>
              </w:rPr>
              <w:t> </w:t>
            </w:r>
            <w:r w:rsidRPr="00094C70">
              <w:rPr>
                <w:lang w:val="fr-FR"/>
              </w:rPr>
              <w:t>millions de tonnes (cible</w:t>
            </w:r>
            <w:r w:rsidR="00D07931">
              <w:rPr>
                <w:lang w:val="fr-FR"/>
              </w:rPr>
              <w:t> </w:t>
            </w:r>
            <w:r w:rsidRPr="00094C70">
              <w:rPr>
                <w:lang w:val="fr-FR"/>
              </w:rPr>
              <w:t xml:space="preserve">inconditionnelle) </w:t>
            </w:r>
          </w:p>
          <w:p w14:paraId="1D090577" w14:textId="7B1E5F04" w:rsidR="00D86611" w:rsidRPr="00094C70" w:rsidRDefault="00D86611" w:rsidP="00094C70">
            <w:pPr>
              <w:spacing w:before="40" w:after="120"/>
              <w:ind w:right="113"/>
              <w:rPr>
                <w:lang w:val="fr-FR"/>
              </w:rPr>
            </w:pPr>
            <w:r w:rsidRPr="00094C70">
              <w:rPr>
                <w:lang w:val="fr-FR"/>
              </w:rPr>
              <w:t>27</w:t>
            </w:r>
            <w:r w:rsidR="00780216" w:rsidRPr="00094C70">
              <w:rPr>
                <w:lang w:val="fr-FR"/>
              </w:rPr>
              <w:t> %</w:t>
            </w:r>
            <w:r w:rsidRPr="00094C70">
              <w:rPr>
                <w:lang w:val="fr-FR"/>
              </w:rPr>
              <w:t xml:space="preserve"> par rapport au scénario tendanciel d’ici à 2030, pour atteindre 26,6 millions de tonnes (cible</w:t>
            </w:r>
            <w:r w:rsidR="00D07931">
              <w:rPr>
                <w:lang w:val="fr-FR"/>
              </w:rPr>
              <w:t> </w:t>
            </w:r>
            <w:r w:rsidRPr="00094C70">
              <w:rPr>
                <w:lang w:val="fr-FR"/>
              </w:rPr>
              <w:t>conditionnelle)</w:t>
            </w:r>
          </w:p>
        </w:tc>
        <w:tc>
          <w:tcPr>
            <w:tcW w:w="1416" w:type="dxa"/>
            <w:shd w:val="clear" w:color="auto" w:fill="auto"/>
            <w:tcMar>
              <w:top w:w="0" w:type="dxa"/>
              <w:left w:w="0" w:type="dxa"/>
              <w:bottom w:w="0" w:type="dxa"/>
              <w:right w:w="0" w:type="dxa"/>
            </w:tcMar>
          </w:tcPr>
          <w:p w14:paraId="7E235A14" w14:textId="77777777" w:rsidR="00D86611" w:rsidRPr="00094C70" w:rsidRDefault="00D86611" w:rsidP="00094C70">
            <w:pPr>
              <w:spacing w:before="40" w:after="120"/>
              <w:ind w:right="113"/>
            </w:pPr>
            <w:r w:rsidRPr="00094C70">
              <w:rPr>
                <w:lang w:val="fr-FR"/>
              </w:rPr>
              <w:t>Inconditionnel, conditionnel</w:t>
            </w:r>
          </w:p>
        </w:tc>
      </w:tr>
      <w:tr w:rsidR="00D86611" w:rsidRPr="00094C70" w14:paraId="7B3B730F" w14:textId="77777777" w:rsidTr="00E861DF">
        <w:tc>
          <w:tcPr>
            <w:tcW w:w="1291" w:type="dxa"/>
            <w:shd w:val="clear" w:color="auto" w:fill="auto"/>
            <w:tcMar>
              <w:top w:w="0" w:type="dxa"/>
              <w:left w:w="0" w:type="dxa"/>
              <w:bottom w:w="0" w:type="dxa"/>
              <w:right w:w="0" w:type="dxa"/>
            </w:tcMar>
          </w:tcPr>
          <w:p w14:paraId="173BAE85" w14:textId="77777777" w:rsidR="00D86611" w:rsidRPr="00094C70" w:rsidRDefault="00D86611" w:rsidP="00094C70">
            <w:pPr>
              <w:spacing w:before="40" w:after="120"/>
              <w:ind w:right="113"/>
            </w:pPr>
            <w:r w:rsidRPr="00094C70">
              <w:rPr>
                <w:lang w:val="fr-FR"/>
              </w:rPr>
              <w:t>Belize</w:t>
            </w:r>
          </w:p>
        </w:tc>
        <w:tc>
          <w:tcPr>
            <w:tcW w:w="4663" w:type="dxa"/>
            <w:shd w:val="clear" w:color="auto" w:fill="auto"/>
            <w:tcMar>
              <w:top w:w="0" w:type="dxa"/>
              <w:left w:w="0" w:type="dxa"/>
              <w:bottom w:w="0" w:type="dxa"/>
              <w:right w:w="0" w:type="dxa"/>
            </w:tcMar>
          </w:tcPr>
          <w:p w14:paraId="67A2D505" w14:textId="6AF93416" w:rsidR="00D86611" w:rsidRPr="00094C70" w:rsidRDefault="00D86611" w:rsidP="00094C70">
            <w:pPr>
              <w:spacing w:before="40" w:after="120"/>
              <w:ind w:right="113"/>
              <w:rPr>
                <w:lang w:val="fr-FR"/>
              </w:rPr>
            </w:pPr>
            <w:r w:rsidRPr="00094C70">
              <w:rPr>
                <w:lang w:val="fr-FR"/>
              </w:rPr>
              <w:t>Réduire de 15</w:t>
            </w:r>
            <w:r w:rsidR="00780216" w:rsidRPr="00094C70">
              <w:rPr>
                <w:lang w:val="fr-FR"/>
              </w:rPr>
              <w:t> %</w:t>
            </w:r>
            <w:r w:rsidRPr="00094C70">
              <w:rPr>
                <w:lang w:val="fr-FR"/>
              </w:rPr>
              <w:t xml:space="preserve"> d’ici à 2030 le volume de carburant traditionnel utilisé pour les transports, pour réduire de 117</w:t>
            </w:r>
            <w:r w:rsidR="00D07931">
              <w:rPr>
                <w:lang w:val="fr-FR"/>
              </w:rPr>
              <w:t> </w:t>
            </w:r>
            <w:r w:rsidRPr="00094C70">
              <w:rPr>
                <w:lang w:val="fr-FR"/>
              </w:rPr>
              <w:t xml:space="preserve">kilotonnes les émissions annuelles </w:t>
            </w:r>
          </w:p>
          <w:p w14:paraId="6CD2FD33" w14:textId="1CAFF453" w:rsidR="00D86611" w:rsidRPr="00094C70" w:rsidRDefault="00D86611" w:rsidP="00094C70">
            <w:pPr>
              <w:spacing w:before="40" w:after="120"/>
              <w:ind w:right="113"/>
              <w:rPr>
                <w:lang w:val="fr-FR"/>
              </w:rPr>
            </w:pPr>
            <w:r w:rsidRPr="00094C70">
              <w:rPr>
                <w:lang w:val="fr-FR"/>
              </w:rPr>
              <w:t>Atteindre une efficacité de 15</w:t>
            </w:r>
            <w:r w:rsidR="00780216" w:rsidRPr="00094C70">
              <w:rPr>
                <w:lang w:val="fr-FR"/>
              </w:rPr>
              <w:t> %</w:t>
            </w:r>
            <w:r w:rsidRPr="00094C70">
              <w:rPr>
                <w:lang w:val="fr-FR"/>
              </w:rPr>
              <w:t xml:space="preserve"> par passager et</w:t>
            </w:r>
            <w:r w:rsidR="00D07931">
              <w:rPr>
                <w:lang w:val="fr-FR"/>
              </w:rPr>
              <w:t> </w:t>
            </w:r>
            <w:r w:rsidRPr="00094C70">
              <w:rPr>
                <w:lang w:val="fr-FR"/>
              </w:rPr>
              <w:t>tonne</w:t>
            </w:r>
            <w:r w:rsidR="00E5173E">
              <w:rPr>
                <w:lang w:val="fr-FR"/>
              </w:rPr>
              <w:noBreakHyphen/>
            </w:r>
            <w:r w:rsidRPr="00094C70">
              <w:rPr>
                <w:lang w:val="fr-FR"/>
              </w:rPr>
              <w:t>kilomètre grâce à des politiques et des</w:t>
            </w:r>
            <w:r w:rsidR="00E5173E">
              <w:rPr>
                <w:lang w:val="fr-FR"/>
              </w:rPr>
              <w:t> </w:t>
            </w:r>
            <w:r w:rsidRPr="00094C70">
              <w:rPr>
                <w:lang w:val="fr-FR"/>
              </w:rPr>
              <w:t>investissements appropriés</w:t>
            </w:r>
          </w:p>
        </w:tc>
        <w:tc>
          <w:tcPr>
            <w:tcW w:w="1416" w:type="dxa"/>
            <w:shd w:val="clear" w:color="auto" w:fill="auto"/>
            <w:tcMar>
              <w:top w:w="0" w:type="dxa"/>
              <w:left w:w="0" w:type="dxa"/>
              <w:bottom w:w="0" w:type="dxa"/>
              <w:right w:w="0" w:type="dxa"/>
            </w:tcMar>
          </w:tcPr>
          <w:p w14:paraId="75488C4E" w14:textId="77777777" w:rsidR="00D86611" w:rsidRPr="00094C70" w:rsidRDefault="00D86611" w:rsidP="00094C70">
            <w:pPr>
              <w:spacing w:before="40" w:after="120"/>
              <w:ind w:right="113"/>
            </w:pPr>
            <w:r w:rsidRPr="00094C70">
              <w:rPr>
                <w:lang w:val="fr-FR"/>
              </w:rPr>
              <w:t>Inconditionnel</w:t>
            </w:r>
          </w:p>
        </w:tc>
      </w:tr>
      <w:tr w:rsidR="00D86611" w:rsidRPr="00094C70" w14:paraId="209AB426" w14:textId="77777777" w:rsidTr="00E861DF">
        <w:tc>
          <w:tcPr>
            <w:tcW w:w="1291" w:type="dxa"/>
            <w:shd w:val="clear" w:color="auto" w:fill="auto"/>
            <w:tcMar>
              <w:top w:w="0" w:type="dxa"/>
              <w:left w:w="0" w:type="dxa"/>
              <w:bottom w:w="0" w:type="dxa"/>
              <w:right w:w="0" w:type="dxa"/>
            </w:tcMar>
          </w:tcPr>
          <w:p w14:paraId="32BA07DA" w14:textId="77777777" w:rsidR="00D86611" w:rsidRPr="00094C70" w:rsidRDefault="00D86611" w:rsidP="00094C70">
            <w:pPr>
              <w:spacing w:before="40" w:after="120"/>
              <w:ind w:right="113"/>
            </w:pPr>
            <w:r w:rsidRPr="00094C70">
              <w:rPr>
                <w:lang w:val="fr-FR"/>
              </w:rPr>
              <w:t>Burkina Faso</w:t>
            </w:r>
          </w:p>
        </w:tc>
        <w:tc>
          <w:tcPr>
            <w:tcW w:w="4663" w:type="dxa"/>
            <w:shd w:val="clear" w:color="auto" w:fill="auto"/>
            <w:tcMar>
              <w:top w:w="0" w:type="dxa"/>
              <w:left w:w="0" w:type="dxa"/>
              <w:bottom w:w="0" w:type="dxa"/>
              <w:right w:w="0" w:type="dxa"/>
            </w:tcMar>
          </w:tcPr>
          <w:p w14:paraId="25CC0459" w14:textId="1C272307" w:rsidR="00D86611" w:rsidRPr="00094C70" w:rsidRDefault="00D86611" w:rsidP="00094C70">
            <w:pPr>
              <w:spacing w:before="40" w:after="120"/>
              <w:ind w:right="113"/>
              <w:rPr>
                <w:lang w:val="fr-FR"/>
              </w:rPr>
            </w:pPr>
            <w:r w:rsidRPr="00094C70">
              <w:rPr>
                <w:lang w:val="fr-FR"/>
              </w:rPr>
              <w:t>Limiter l’augmentation des émissions à 1</w:t>
            </w:r>
            <w:r w:rsidR="00DD76FF">
              <w:rPr>
                <w:lang w:val="fr-FR"/>
              </w:rPr>
              <w:t> </w:t>
            </w:r>
            <w:r w:rsidRPr="00094C70">
              <w:rPr>
                <w:lang w:val="fr-FR"/>
              </w:rPr>
              <w:t>210</w:t>
            </w:r>
            <w:r w:rsidR="00DD76FF">
              <w:rPr>
                <w:lang w:val="fr-FR"/>
              </w:rPr>
              <w:t> </w:t>
            </w:r>
            <w:r w:rsidRPr="00094C70">
              <w:rPr>
                <w:lang w:val="fr-FR"/>
              </w:rPr>
              <w:t>gigagrammes (Gg) d’ici à 2025, 3</w:t>
            </w:r>
            <w:r w:rsidR="00DD76FF">
              <w:rPr>
                <w:lang w:val="fr-FR"/>
              </w:rPr>
              <w:t> </w:t>
            </w:r>
            <w:r w:rsidRPr="00094C70">
              <w:rPr>
                <w:lang w:val="fr-FR"/>
              </w:rPr>
              <w:t>563</w:t>
            </w:r>
            <w:r w:rsidR="00DD76FF">
              <w:rPr>
                <w:lang w:val="fr-FR"/>
              </w:rPr>
              <w:t> </w:t>
            </w:r>
            <w:r w:rsidRPr="00094C70">
              <w:rPr>
                <w:lang w:val="fr-FR"/>
              </w:rPr>
              <w:t>Gg d’ici à</w:t>
            </w:r>
            <w:r w:rsidR="00E5173E">
              <w:rPr>
                <w:lang w:val="fr-FR"/>
              </w:rPr>
              <w:t> </w:t>
            </w:r>
            <w:r w:rsidRPr="00094C70">
              <w:rPr>
                <w:lang w:val="fr-FR"/>
              </w:rPr>
              <w:t>2030 et 8</w:t>
            </w:r>
            <w:r w:rsidR="00DD76FF">
              <w:rPr>
                <w:lang w:val="fr-FR"/>
              </w:rPr>
              <w:t> </w:t>
            </w:r>
            <w:r w:rsidRPr="00094C70">
              <w:rPr>
                <w:lang w:val="fr-FR"/>
              </w:rPr>
              <w:t>265</w:t>
            </w:r>
            <w:r w:rsidR="00DD76FF">
              <w:rPr>
                <w:lang w:val="fr-FR"/>
              </w:rPr>
              <w:t> </w:t>
            </w:r>
            <w:r w:rsidRPr="00094C70">
              <w:rPr>
                <w:lang w:val="fr-FR"/>
              </w:rPr>
              <w:t>Gg d’ici à 2050 (cible</w:t>
            </w:r>
            <w:r w:rsidR="00D07931">
              <w:rPr>
                <w:lang w:val="fr-FR"/>
              </w:rPr>
              <w:t> </w:t>
            </w:r>
            <w:r w:rsidRPr="00094C70">
              <w:rPr>
                <w:lang w:val="fr-FR"/>
              </w:rPr>
              <w:t>inconditionnelle)</w:t>
            </w:r>
          </w:p>
          <w:p w14:paraId="1ECF8F1E" w14:textId="490CD3F5" w:rsidR="00D86611" w:rsidRPr="00094C70" w:rsidRDefault="00D86611" w:rsidP="00094C70">
            <w:pPr>
              <w:spacing w:before="40" w:after="120"/>
              <w:ind w:right="113"/>
              <w:rPr>
                <w:lang w:val="fr-FR"/>
              </w:rPr>
            </w:pPr>
            <w:r w:rsidRPr="00094C70">
              <w:rPr>
                <w:lang w:val="fr-FR"/>
              </w:rPr>
              <w:t>Instaurer une limitation supplémentaire à 267</w:t>
            </w:r>
            <w:r w:rsidR="00DD76FF">
              <w:rPr>
                <w:lang w:val="fr-FR"/>
              </w:rPr>
              <w:t> </w:t>
            </w:r>
            <w:r w:rsidRPr="00094C70">
              <w:rPr>
                <w:lang w:val="fr-FR"/>
              </w:rPr>
              <w:t>Gg en</w:t>
            </w:r>
            <w:r w:rsidR="00DD76FF">
              <w:rPr>
                <w:lang w:val="fr-FR"/>
              </w:rPr>
              <w:t> </w:t>
            </w:r>
            <w:r w:rsidRPr="00094C70">
              <w:rPr>
                <w:lang w:val="fr-FR"/>
              </w:rPr>
              <w:t>2025, 867</w:t>
            </w:r>
            <w:r w:rsidR="00DD76FF">
              <w:rPr>
                <w:lang w:val="fr-FR"/>
              </w:rPr>
              <w:t> </w:t>
            </w:r>
            <w:r w:rsidRPr="00094C70">
              <w:rPr>
                <w:lang w:val="fr-FR"/>
              </w:rPr>
              <w:t>Gg en 2030 et 4</w:t>
            </w:r>
            <w:r w:rsidR="00DD76FF">
              <w:rPr>
                <w:lang w:val="fr-FR"/>
              </w:rPr>
              <w:t> </w:t>
            </w:r>
            <w:r w:rsidRPr="00094C70">
              <w:rPr>
                <w:lang w:val="fr-FR"/>
              </w:rPr>
              <w:t>153</w:t>
            </w:r>
            <w:r w:rsidR="00DD76FF">
              <w:rPr>
                <w:lang w:val="fr-FR"/>
              </w:rPr>
              <w:t> </w:t>
            </w:r>
            <w:r w:rsidRPr="00094C70">
              <w:rPr>
                <w:lang w:val="fr-FR"/>
              </w:rPr>
              <w:t>Gg en 2050 (cible</w:t>
            </w:r>
            <w:r w:rsidR="00DD76FF">
              <w:rPr>
                <w:lang w:val="fr-FR"/>
              </w:rPr>
              <w:t> </w:t>
            </w:r>
            <w:r w:rsidRPr="00094C70">
              <w:rPr>
                <w:lang w:val="fr-FR"/>
              </w:rPr>
              <w:t>conditionnelle)</w:t>
            </w:r>
          </w:p>
        </w:tc>
        <w:tc>
          <w:tcPr>
            <w:tcW w:w="1416" w:type="dxa"/>
            <w:shd w:val="clear" w:color="auto" w:fill="auto"/>
            <w:tcMar>
              <w:top w:w="0" w:type="dxa"/>
              <w:left w:w="0" w:type="dxa"/>
              <w:bottom w:w="0" w:type="dxa"/>
              <w:right w:w="0" w:type="dxa"/>
            </w:tcMar>
          </w:tcPr>
          <w:p w14:paraId="1BB24200" w14:textId="77777777" w:rsidR="00D86611" w:rsidRPr="00094C70" w:rsidRDefault="00D86611" w:rsidP="00094C70">
            <w:pPr>
              <w:spacing w:before="40" w:after="120"/>
              <w:ind w:right="113"/>
            </w:pPr>
            <w:r w:rsidRPr="00094C70">
              <w:rPr>
                <w:lang w:val="fr-FR"/>
              </w:rPr>
              <w:t>Inconditionnel, conditionnel</w:t>
            </w:r>
          </w:p>
        </w:tc>
      </w:tr>
      <w:tr w:rsidR="00D86611" w:rsidRPr="00094C70" w14:paraId="2492E524" w14:textId="77777777" w:rsidTr="00E861DF">
        <w:tc>
          <w:tcPr>
            <w:tcW w:w="1291" w:type="dxa"/>
            <w:shd w:val="clear" w:color="auto" w:fill="auto"/>
            <w:tcMar>
              <w:top w:w="0" w:type="dxa"/>
              <w:left w:w="0" w:type="dxa"/>
              <w:bottom w:w="0" w:type="dxa"/>
              <w:right w:w="0" w:type="dxa"/>
            </w:tcMar>
          </w:tcPr>
          <w:p w14:paraId="69FDC77B" w14:textId="77777777" w:rsidR="00D86611" w:rsidRPr="00094C70" w:rsidRDefault="00D86611" w:rsidP="00094C70">
            <w:pPr>
              <w:spacing w:before="40" w:after="120"/>
              <w:ind w:right="113"/>
            </w:pPr>
            <w:r w:rsidRPr="00094C70">
              <w:rPr>
                <w:lang w:val="fr-FR"/>
              </w:rPr>
              <w:t>Dominique</w:t>
            </w:r>
          </w:p>
        </w:tc>
        <w:tc>
          <w:tcPr>
            <w:tcW w:w="4663" w:type="dxa"/>
            <w:shd w:val="clear" w:color="auto" w:fill="auto"/>
            <w:tcMar>
              <w:top w:w="0" w:type="dxa"/>
              <w:left w:w="0" w:type="dxa"/>
              <w:bottom w:w="0" w:type="dxa"/>
              <w:right w:w="0" w:type="dxa"/>
            </w:tcMar>
          </w:tcPr>
          <w:p w14:paraId="47DAA3EF" w14:textId="2CD45EEA" w:rsidR="00D86611" w:rsidRPr="00094C70" w:rsidRDefault="00D86611" w:rsidP="00094C70">
            <w:pPr>
              <w:spacing w:before="40" w:after="120"/>
              <w:ind w:right="113"/>
              <w:rPr>
                <w:lang w:val="fr-FR"/>
              </w:rPr>
            </w:pPr>
            <w:r w:rsidRPr="00094C70">
              <w:rPr>
                <w:lang w:val="fr-FR"/>
              </w:rPr>
              <w:t>20</w:t>
            </w:r>
            <w:r w:rsidR="00780216" w:rsidRPr="00094C70">
              <w:rPr>
                <w:lang w:val="fr-FR"/>
              </w:rPr>
              <w:t> %</w:t>
            </w:r>
            <w:r w:rsidRPr="00094C70">
              <w:rPr>
                <w:lang w:val="fr-FR"/>
              </w:rPr>
              <w:t xml:space="preserve"> d’ici à 2030 par rapport aux niveaux de 2014 ; pour le transport maritime, 100</w:t>
            </w:r>
            <w:r w:rsidR="00780216" w:rsidRPr="00094C70">
              <w:rPr>
                <w:lang w:val="fr-FR"/>
              </w:rPr>
              <w:t> %</w:t>
            </w:r>
            <w:r w:rsidRPr="00094C70">
              <w:rPr>
                <w:lang w:val="fr-FR"/>
              </w:rPr>
              <w:t xml:space="preserve"> d’ici à 2030 par rapport aux niveaux de 2014</w:t>
            </w:r>
          </w:p>
        </w:tc>
        <w:tc>
          <w:tcPr>
            <w:tcW w:w="1416" w:type="dxa"/>
            <w:shd w:val="clear" w:color="auto" w:fill="auto"/>
            <w:tcMar>
              <w:top w:w="0" w:type="dxa"/>
              <w:left w:w="0" w:type="dxa"/>
              <w:bottom w:w="0" w:type="dxa"/>
              <w:right w:w="0" w:type="dxa"/>
            </w:tcMar>
          </w:tcPr>
          <w:p w14:paraId="29CFD108" w14:textId="77777777" w:rsidR="00D86611" w:rsidRPr="00094C70" w:rsidRDefault="00D86611" w:rsidP="00094C70">
            <w:pPr>
              <w:spacing w:before="40" w:after="120"/>
              <w:ind w:right="113"/>
            </w:pPr>
            <w:r w:rsidRPr="00094C70">
              <w:rPr>
                <w:lang w:val="fr-FR"/>
              </w:rPr>
              <w:t>Inconditionnel</w:t>
            </w:r>
          </w:p>
        </w:tc>
      </w:tr>
      <w:tr w:rsidR="00D86611" w:rsidRPr="00094C70" w14:paraId="7F66B227" w14:textId="77777777" w:rsidTr="00E861DF">
        <w:tc>
          <w:tcPr>
            <w:tcW w:w="1291" w:type="dxa"/>
            <w:shd w:val="clear" w:color="auto" w:fill="auto"/>
            <w:tcMar>
              <w:top w:w="0" w:type="dxa"/>
              <w:left w:w="0" w:type="dxa"/>
              <w:bottom w:w="0" w:type="dxa"/>
              <w:right w:w="0" w:type="dxa"/>
            </w:tcMar>
          </w:tcPr>
          <w:p w14:paraId="326D69A0" w14:textId="77777777" w:rsidR="00D86611" w:rsidRPr="00094C70" w:rsidRDefault="00D86611" w:rsidP="00094C70">
            <w:pPr>
              <w:spacing w:before="40" w:after="120"/>
              <w:ind w:right="113"/>
            </w:pPr>
            <w:r w:rsidRPr="00094C70">
              <w:rPr>
                <w:lang w:val="fr-FR"/>
              </w:rPr>
              <w:t>Égypte</w:t>
            </w:r>
          </w:p>
        </w:tc>
        <w:tc>
          <w:tcPr>
            <w:tcW w:w="4663" w:type="dxa"/>
            <w:shd w:val="clear" w:color="auto" w:fill="auto"/>
            <w:tcMar>
              <w:top w:w="0" w:type="dxa"/>
              <w:left w:w="0" w:type="dxa"/>
              <w:bottom w:w="0" w:type="dxa"/>
              <w:right w:w="0" w:type="dxa"/>
            </w:tcMar>
          </w:tcPr>
          <w:p w14:paraId="2A79E6E8" w14:textId="3FEA5BD4" w:rsidR="00D86611" w:rsidRPr="00094C70" w:rsidRDefault="00D86611" w:rsidP="00094C70">
            <w:pPr>
              <w:spacing w:before="40" w:after="120"/>
              <w:ind w:right="113"/>
              <w:rPr>
                <w:lang w:val="fr-FR"/>
              </w:rPr>
            </w:pPr>
            <w:r w:rsidRPr="00094C70">
              <w:rPr>
                <w:lang w:val="fr-FR"/>
              </w:rPr>
              <w:t>7</w:t>
            </w:r>
            <w:r w:rsidR="00780216" w:rsidRPr="00094C70">
              <w:rPr>
                <w:lang w:val="fr-FR"/>
              </w:rPr>
              <w:t> %</w:t>
            </w:r>
            <w:r w:rsidRPr="00094C70">
              <w:rPr>
                <w:lang w:val="fr-FR"/>
              </w:rPr>
              <w:t xml:space="preserve"> d’ici à 2030, c’est-à-dire parvenir à 8</w:t>
            </w:r>
            <w:r w:rsidR="00D07931">
              <w:rPr>
                <w:lang w:val="fr-FR"/>
              </w:rPr>
              <w:t> </w:t>
            </w:r>
            <w:r w:rsidRPr="00094C70">
              <w:rPr>
                <w:lang w:val="fr-FR"/>
              </w:rPr>
              <w:t>960</w:t>
            </w:r>
            <w:r w:rsidR="00D07931">
              <w:rPr>
                <w:lang w:val="fr-FR"/>
              </w:rPr>
              <w:t> </w:t>
            </w:r>
            <w:r w:rsidRPr="00094C70">
              <w:rPr>
                <w:lang w:val="fr-FR"/>
              </w:rPr>
              <w:t>Gg au</w:t>
            </w:r>
            <w:r w:rsidR="00D07931">
              <w:rPr>
                <w:lang w:val="fr-FR"/>
              </w:rPr>
              <w:t> </w:t>
            </w:r>
            <w:r w:rsidRPr="00094C70">
              <w:rPr>
                <w:lang w:val="fr-FR"/>
              </w:rPr>
              <w:t>lieu de 124</w:t>
            </w:r>
            <w:r w:rsidR="00D07931">
              <w:rPr>
                <w:lang w:val="fr-FR"/>
              </w:rPr>
              <w:t> </w:t>
            </w:r>
            <w:r w:rsidRPr="00094C70">
              <w:rPr>
                <w:lang w:val="fr-FR"/>
              </w:rPr>
              <w:t>360</w:t>
            </w:r>
            <w:r w:rsidR="00D07931">
              <w:rPr>
                <w:lang w:val="fr-FR"/>
              </w:rPr>
              <w:t> </w:t>
            </w:r>
            <w:r w:rsidRPr="00094C70">
              <w:rPr>
                <w:lang w:val="fr-FR"/>
              </w:rPr>
              <w:t>Gg dans le scénario tendanciel</w:t>
            </w:r>
          </w:p>
        </w:tc>
        <w:tc>
          <w:tcPr>
            <w:tcW w:w="1416" w:type="dxa"/>
            <w:shd w:val="clear" w:color="auto" w:fill="auto"/>
            <w:tcMar>
              <w:top w:w="0" w:type="dxa"/>
              <w:left w:w="0" w:type="dxa"/>
              <w:bottom w:w="0" w:type="dxa"/>
              <w:right w:w="0" w:type="dxa"/>
            </w:tcMar>
          </w:tcPr>
          <w:p w14:paraId="219C2C92" w14:textId="77777777" w:rsidR="00D86611" w:rsidRPr="00094C70" w:rsidRDefault="00D86611" w:rsidP="00094C70">
            <w:pPr>
              <w:spacing w:before="40" w:after="120"/>
              <w:ind w:right="113"/>
            </w:pPr>
            <w:r w:rsidRPr="00094C70">
              <w:rPr>
                <w:lang w:val="fr-FR"/>
              </w:rPr>
              <w:t>Inconditionnel</w:t>
            </w:r>
          </w:p>
        </w:tc>
      </w:tr>
      <w:tr w:rsidR="00D86611" w:rsidRPr="00094C70" w14:paraId="28158D09" w14:textId="77777777" w:rsidTr="00E861DF">
        <w:tc>
          <w:tcPr>
            <w:tcW w:w="1291" w:type="dxa"/>
            <w:shd w:val="clear" w:color="auto" w:fill="auto"/>
            <w:tcMar>
              <w:top w:w="0" w:type="dxa"/>
              <w:left w:w="0" w:type="dxa"/>
              <w:bottom w:w="0" w:type="dxa"/>
              <w:right w:w="0" w:type="dxa"/>
            </w:tcMar>
          </w:tcPr>
          <w:p w14:paraId="21CD8F8F" w14:textId="77777777" w:rsidR="00D86611" w:rsidRPr="00094C70" w:rsidRDefault="00D86611" w:rsidP="00094C70">
            <w:pPr>
              <w:spacing w:before="40" w:after="120"/>
              <w:ind w:right="113"/>
            </w:pPr>
            <w:r w:rsidRPr="00094C70">
              <w:rPr>
                <w:lang w:val="fr-FR"/>
              </w:rPr>
              <w:t>El Salvador</w:t>
            </w:r>
          </w:p>
        </w:tc>
        <w:tc>
          <w:tcPr>
            <w:tcW w:w="4663" w:type="dxa"/>
            <w:shd w:val="clear" w:color="auto" w:fill="auto"/>
            <w:tcMar>
              <w:top w:w="0" w:type="dxa"/>
              <w:left w:w="0" w:type="dxa"/>
              <w:bottom w:w="0" w:type="dxa"/>
              <w:right w:w="0" w:type="dxa"/>
            </w:tcMar>
          </w:tcPr>
          <w:p w14:paraId="6609317F" w14:textId="0DD2CE4F" w:rsidR="00D86611" w:rsidRPr="00094C70" w:rsidRDefault="00D86611" w:rsidP="00094C70">
            <w:pPr>
              <w:spacing w:before="40" w:after="120"/>
              <w:ind w:right="113"/>
              <w:rPr>
                <w:lang w:val="fr-FR"/>
              </w:rPr>
            </w:pPr>
            <w:r w:rsidRPr="00094C70">
              <w:rPr>
                <w:lang w:val="fr-FR"/>
              </w:rPr>
              <w:t>Faire baisser de 334</w:t>
            </w:r>
            <w:r w:rsidR="00D07931">
              <w:rPr>
                <w:lang w:val="fr-FR"/>
              </w:rPr>
              <w:t> </w:t>
            </w:r>
            <w:r w:rsidRPr="00094C70">
              <w:rPr>
                <w:lang w:val="fr-FR"/>
              </w:rPr>
              <w:t>kilotonnes d’ici à 2030 les</w:t>
            </w:r>
            <w:r w:rsidR="00D07931">
              <w:rPr>
                <w:lang w:val="fr-FR"/>
              </w:rPr>
              <w:t> </w:t>
            </w:r>
            <w:r w:rsidRPr="00094C70">
              <w:rPr>
                <w:lang w:val="fr-FR"/>
              </w:rPr>
              <w:t>émissions dues aux transports par rapport au</w:t>
            </w:r>
            <w:r w:rsidR="00D07931">
              <w:rPr>
                <w:lang w:val="fr-FR"/>
              </w:rPr>
              <w:t> </w:t>
            </w:r>
            <w:r w:rsidRPr="00094C70">
              <w:rPr>
                <w:lang w:val="fr-FR"/>
              </w:rPr>
              <w:t>scénario tendanciel</w:t>
            </w:r>
          </w:p>
        </w:tc>
        <w:tc>
          <w:tcPr>
            <w:tcW w:w="1416" w:type="dxa"/>
            <w:shd w:val="clear" w:color="auto" w:fill="auto"/>
            <w:tcMar>
              <w:top w:w="0" w:type="dxa"/>
              <w:left w:w="0" w:type="dxa"/>
              <w:bottom w:w="0" w:type="dxa"/>
              <w:right w:w="0" w:type="dxa"/>
            </w:tcMar>
          </w:tcPr>
          <w:p w14:paraId="09BCB918" w14:textId="77777777" w:rsidR="00D86611" w:rsidRPr="00094C70" w:rsidRDefault="00D86611" w:rsidP="00094C70">
            <w:pPr>
              <w:spacing w:before="40" w:after="120"/>
              <w:ind w:right="113"/>
            </w:pPr>
            <w:r w:rsidRPr="00094C70">
              <w:rPr>
                <w:lang w:val="fr-FR"/>
              </w:rPr>
              <w:t>Inconditionnel</w:t>
            </w:r>
          </w:p>
        </w:tc>
      </w:tr>
      <w:tr w:rsidR="00094C70" w:rsidRPr="00094C70" w14:paraId="6E0FDD97" w14:textId="77777777" w:rsidTr="00E861DF">
        <w:tc>
          <w:tcPr>
            <w:tcW w:w="1291" w:type="dxa"/>
            <w:shd w:val="clear" w:color="auto" w:fill="auto"/>
            <w:tcMar>
              <w:top w:w="0" w:type="dxa"/>
              <w:left w:w="0" w:type="dxa"/>
              <w:bottom w:w="0" w:type="dxa"/>
              <w:right w:w="0" w:type="dxa"/>
            </w:tcMar>
          </w:tcPr>
          <w:p w14:paraId="4636C1B0" w14:textId="77777777" w:rsidR="00094C70" w:rsidRPr="00094C70" w:rsidRDefault="00094C70" w:rsidP="00BC6530">
            <w:pPr>
              <w:spacing w:before="40" w:after="120"/>
              <w:ind w:right="113"/>
            </w:pPr>
            <w:r w:rsidRPr="00094C70">
              <w:rPr>
                <w:lang w:val="fr-FR"/>
              </w:rPr>
              <w:t>Émirats arabes unis</w:t>
            </w:r>
          </w:p>
        </w:tc>
        <w:tc>
          <w:tcPr>
            <w:tcW w:w="4663" w:type="dxa"/>
            <w:shd w:val="clear" w:color="auto" w:fill="auto"/>
            <w:tcMar>
              <w:top w:w="0" w:type="dxa"/>
              <w:left w:w="0" w:type="dxa"/>
              <w:bottom w:w="0" w:type="dxa"/>
              <w:right w:w="0" w:type="dxa"/>
            </w:tcMar>
          </w:tcPr>
          <w:p w14:paraId="3DB15C9F" w14:textId="77777777" w:rsidR="00094C70" w:rsidRPr="00094C70" w:rsidRDefault="00094C70" w:rsidP="00BC6530">
            <w:pPr>
              <w:spacing w:before="40" w:after="120"/>
              <w:ind w:right="113"/>
              <w:rPr>
                <w:lang w:val="fr-FR"/>
              </w:rPr>
            </w:pPr>
            <w:r w:rsidRPr="00094C70">
              <w:rPr>
                <w:lang w:val="fr-FR"/>
              </w:rPr>
              <w:t>14 % d’ici à 2030 par rapport au scénario tendanciel (principalement grâce à l’amélioration des normes applicables aux véhicules de transport routier)</w:t>
            </w:r>
          </w:p>
        </w:tc>
        <w:tc>
          <w:tcPr>
            <w:tcW w:w="1416" w:type="dxa"/>
            <w:shd w:val="clear" w:color="auto" w:fill="auto"/>
            <w:tcMar>
              <w:top w:w="0" w:type="dxa"/>
              <w:left w:w="0" w:type="dxa"/>
              <w:bottom w:w="0" w:type="dxa"/>
              <w:right w:w="0" w:type="dxa"/>
            </w:tcMar>
          </w:tcPr>
          <w:p w14:paraId="583B17E0" w14:textId="77777777" w:rsidR="00094C70" w:rsidRPr="00094C70" w:rsidRDefault="00094C70" w:rsidP="00BC6530">
            <w:pPr>
              <w:spacing w:before="40" w:after="120"/>
              <w:ind w:right="113"/>
            </w:pPr>
            <w:r w:rsidRPr="00094C70">
              <w:rPr>
                <w:lang w:val="fr-FR"/>
              </w:rPr>
              <w:t>Inconditionnel</w:t>
            </w:r>
          </w:p>
        </w:tc>
      </w:tr>
      <w:tr w:rsidR="00D86611" w:rsidRPr="00094C70" w14:paraId="0762D2D3" w14:textId="77777777" w:rsidTr="00E861DF">
        <w:tc>
          <w:tcPr>
            <w:tcW w:w="1291" w:type="dxa"/>
            <w:shd w:val="clear" w:color="auto" w:fill="auto"/>
            <w:tcMar>
              <w:top w:w="0" w:type="dxa"/>
              <w:left w:w="0" w:type="dxa"/>
              <w:bottom w:w="0" w:type="dxa"/>
              <w:right w:w="0" w:type="dxa"/>
            </w:tcMar>
          </w:tcPr>
          <w:p w14:paraId="5DD05867" w14:textId="77777777" w:rsidR="00D86611" w:rsidRPr="00094C70" w:rsidRDefault="00D86611" w:rsidP="00094C70">
            <w:pPr>
              <w:spacing w:before="40" w:after="120"/>
              <w:ind w:right="113"/>
            </w:pPr>
            <w:r w:rsidRPr="00094C70">
              <w:rPr>
                <w:lang w:val="fr-FR"/>
              </w:rPr>
              <w:t>Fidji</w:t>
            </w:r>
          </w:p>
        </w:tc>
        <w:tc>
          <w:tcPr>
            <w:tcW w:w="4663" w:type="dxa"/>
            <w:shd w:val="clear" w:color="auto" w:fill="auto"/>
            <w:tcMar>
              <w:top w:w="0" w:type="dxa"/>
              <w:left w:w="0" w:type="dxa"/>
              <w:bottom w:w="0" w:type="dxa"/>
              <w:right w:w="0" w:type="dxa"/>
            </w:tcMar>
          </w:tcPr>
          <w:p w14:paraId="1CDC41DC" w14:textId="2B1A7688" w:rsidR="00D86611" w:rsidRPr="00094C70" w:rsidRDefault="00D86611" w:rsidP="00094C70">
            <w:pPr>
              <w:spacing w:before="40" w:after="120"/>
              <w:ind w:right="113"/>
              <w:rPr>
                <w:lang w:val="fr-FR"/>
              </w:rPr>
            </w:pPr>
            <w:r w:rsidRPr="00094C70">
              <w:rPr>
                <w:lang w:val="fr-FR"/>
              </w:rPr>
              <w:t>40</w:t>
            </w:r>
            <w:r w:rsidR="00780216" w:rsidRPr="00094C70">
              <w:rPr>
                <w:lang w:val="fr-FR"/>
              </w:rPr>
              <w:t> %</w:t>
            </w:r>
            <w:r w:rsidRPr="00094C70">
              <w:rPr>
                <w:lang w:val="fr-FR"/>
              </w:rPr>
              <w:t xml:space="preserve"> d’ici à 2030 pour les émissions du transport maritime au niveau national par rapport au scénario tendanciel</w:t>
            </w:r>
          </w:p>
        </w:tc>
        <w:tc>
          <w:tcPr>
            <w:tcW w:w="1416" w:type="dxa"/>
            <w:shd w:val="clear" w:color="auto" w:fill="auto"/>
            <w:tcMar>
              <w:top w:w="0" w:type="dxa"/>
              <w:left w:w="0" w:type="dxa"/>
              <w:bottom w:w="0" w:type="dxa"/>
              <w:right w:w="0" w:type="dxa"/>
            </w:tcMar>
          </w:tcPr>
          <w:p w14:paraId="48D7519D" w14:textId="77777777" w:rsidR="00D86611" w:rsidRPr="00094C70" w:rsidRDefault="00D86611" w:rsidP="00094C70">
            <w:pPr>
              <w:spacing w:before="40" w:after="120"/>
              <w:ind w:right="113"/>
            </w:pPr>
            <w:r w:rsidRPr="00094C70">
              <w:rPr>
                <w:lang w:val="fr-FR"/>
              </w:rPr>
              <w:t>Inconditionnel</w:t>
            </w:r>
          </w:p>
        </w:tc>
      </w:tr>
      <w:tr w:rsidR="00D86611" w:rsidRPr="00094C70" w14:paraId="4A4DE8DF" w14:textId="77777777" w:rsidTr="00E861DF">
        <w:tc>
          <w:tcPr>
            <w:tcW w:w="1291" w:type="dxa"/>
            <w:shd w:val="clear" w:color="auto" w:fill="auto"/>
            <w:tcMar>
              <w:top w:w="0" w:type="dxa"/>
              <w:left w:w="0" w:type="dxa"/>
              <w:bottom w:w="0" w:type="dxa"/>
              <w:right w:w="0" w:type="dxa"/>
            </w:tcMar>
          </w:tcPr>
          <w:p w14:paraId="753E9382" w14:textId="77777777" w:rsidR="00D86611" w:rsidRPr="00094C70" w:rsidRDefault="00D86611" w:rsidP="00094C70">
            <w:pPr>
              <w:spacing w:before="40" w:after="120"/>
              <w:ind w:right="113"/>
            </w:pPr>
            <w:r w:rsidRPr="00094C70">
              <w:rPr>
                <w:lang w:val="fr-FR"/>
              </w:rPr>
              <w:t>Gambie</w:t>
            </w:r>
          </w:p>
        </w:tc>
        <w:tc>
          <w:tcPr>
            <w:tcW w:w="4663" w:type="dxa"/>
            <w:shd w:val="clear" w:color="auto" w:fill="auto"/>
            <w:tcMar>
              <w:top w:w="0" w:type="dxa"/>
              <w:left w:w="0" w:type="dxa"/>
              <w:bottom w:w="0" w:type="dxa"/>
              <w:right w:w="0" w:type="dxa"/>
            </w:tcMar>
          </w:tcPr>
          <w:p w14:paraId="7CADDE87" w14:textId="4C9C1C6A" w:rsidR="00D86611" w:rsidRPr="00094C70" w:rsidRDefault="00D86611" w:rsidP="00094C70">
            <w:pPr>
              <w:spacing w:before="40" w:after="120"/>
              <w:ind w:right="113"/>
              <w:rPr>
                <w:lang w:val="fr-FR"/>
              </w:rPr>
            </w:pPr>
            <w:r w:rsidRPr="00094C70">
              <w:rPr>
                <w:lang w:val="fr-FR"/>
              </w:rPr>
              <w:t>22,2</w:t>
            </w:r>
            <w:r w:rsidR="00780216" w:rsidRPr="00094C70">
              <w:rPr>
                <w:lang w:val="fr-FR"/>
              </w:rPr>
              <w:t> %</w:t>
            </w:r>
            <w:r w:rsidRPr="00094C70">
              <w:rPr>
                <w:lang w:val="fr-FR"/>
              </w:rPr>
              <w:t xml:space="preserve"> d’ici à 2030 par rapport au scénario tendanciel </w:t>
            </w:r>
          </w:p>
        </w:tc>
        <w:tc>
          <w:tcPr>
            <w:tcW w:w="1416" w:type="dxa"/>
            <w:shd w:val="clear" w:color="auto" w:fill="auto"/>
            <w:tcMar>
              <w:top w:w="0" w:type="dxa"/>
              <w:left w:w="0" w:type="dxa"/>
              <w:bottom w:w="0" w:type="dxa"/>
              <w:right w:w="0" w:type="dxa"/>
            </w:tcMar>
          </w:tcPr>
          <w:p w14:paraId="353EEE6F" w14:textId="77777777" w:rsidR="00D86611" w:rsidRPr="00094C70" w:rsidRDefault="00D86611" w:rsidP="00094C70">
            <w:pPr>
              <w:spacing w:before="40" w:after="120"/>
              <w:ind w:right="113"/>
            </w:pPr>
            <w:r w:rsidRPr="00094C70">
              <w:rPr>
                <w:lang w:val="fr-FR"/>
              </w:rPr>
              <w:t>Conditionnel</w:t>
            </w:r>
          </w:p>
        </w:tc>
      </w:tr>
      <w:tr w:rsidR="00D86611" w:rsidRPr="00094C70" w14:paraId="3ABD973B" w14:textId="77777777" w:rsidTr="00E861DF">
        <w:tc>
          <w:tcPr>
            <w:tcW w:w="1291" w:type="dxa"/>
            <w:shd w:val="clear" w:color="auto" w:fill="auto"/>
            <w:tcMar>
              <w:top w:w="0" w:type="dxa"/>
              <w:left w:w="0" w:type="dxa"/>
              <w:bottom w:w="0" w:type="dxa"/>
              <w:right w:w="0" w:type="dxa"/>
            </w:tcMar>
          </w:tcPr>
          <w:p w14:paraId="29EB96F8" w14:textId="77777777" w:rsidR="00D86611" w:rsidRPr="00094C70" w:rsidRDefault="00D86611" w:rsidP="00094C70">
            <w:pPr>
              <w:spacing w:before="40" w:after="120"/>
              <w:ind w:right="113"/>
            </w:pPr>
            <w:r w:rsidRPr="00094C70">
              <w:rPr>
                <w:lang w:val="fr-FR"/>
              </w:rPr>
              <w:t>Géorgie</w:t>
            </w:r>
          </w:p>
        </w:tc>
        <w:tc>
          <w:tcPr>
            <w:tcW w:w="4663" w:type="dxa"/>
            <w:shd w:val="clear" w:color="auto" w:fill="auto"/>
            <w:tcMar>
              <w:top w:w="0" w:type="dxa"/>
              <w:left w:w="0" w:type="dxa"/>
              <w:bottom w:w="0" w:type="dxa"/>
              <w:right w:w="0" w:type="dxa"/>
            </w:tcMar>
          </w:tcPr>
          <w:p w14:paraId="4E0B6768" w14:textId="0728A80C" w:rsidR="00D86611" w:rsidRPr="00094C70" w:rsidRDefault="00D86611" w:rsidP="00094C70">
            <w:pPr>
              <w:spacing w:before="40" w:after="120"/>
              <w:ind w:right="113"/>
              <w:rPr>
                <w:lang w:val="fr-FR"/>
              </w:rPr>
            </w:pPr>
            <w:r w:rsidRPr="00094C70">
              <w:rPr>
                <w:lang w:val="fr-FR"/>
              </w:rPr>
              <w:t>15</w:t>
            </w:r>
            <w:r w:rsidR="00780216" w:rsidRPr="00094C70">
              <w:rPr>
                <w:lang w:val="fr-FR"/>
              </w:rPr>
              <w:t> %</w:t>
            </w:r>
            <w:r w:rsidRPr="00094C70">
              <w:rPr>
                <w:lang w:val="fr-FR"/>
              </w:rPr>
              <w:t xml:space="preserve"> d’ici à 2030 par rapport au scénario tendanciel</w:t>
            </w:r>
          </w:p>
        </w:tc>
        <w:tc>
          <w:tcPr>
            <w:tcW w:w="1416" w:type="dxa"/>
            <w:shd w:val="clear" w:color="auto" w:fill="auto"/>
            <w:tcMar>
              <w:top w:w="0" w:type="dxa"/>
              <w:left w:w="0" w:type="dxa"/>
              <w:bottom w:w="0" w:type="dxa"/>
              <w:right w:w="0" w:type="dxa"/>
            </w:tcMar>
          </w:tcPr>
          <w:p w14:paraId="268AED47" w14:textId="77777777" w:rsidR="00D86611" w:rsidRPr="00094C70" w:rsidRDefault="00D86611" w:rsidP="00094C70">
            <w:pPr>
              <w:spacing w:before="40" w:after="120"/>
              <w:ind w:right="113"/>
            </w:pPr>
            <w:r w:rsidRPr="00094C70">
              <w:rPr>
                <w:lang w:val="fr-FR"/>
              </w:rPr>
              <w:t>Inconditionnel</w:t>
            </w:r>
          </w:p>
        </w:tc>
      </w:tr>
      <w:tr w:rsidR="00D86611" w:rsidRPr="00094C70" w14:paraId="66FE31E8" w14:textId="77777777" w:rsidTr="00E861DF">
        <w:tc>
          <w:tcPr>
            <w:tcW w:w="1291" w:type="dxa"/>
            <w:shd w:val="clear" w:color="auto" w:fill="auto"/>
            <w:tcMar>
              <w:top w:w="0" w:type="dxa"/>
              <w:left w:w="0" w:type="dxa"/>
              <w:bottom w:w="0" w:type="dxa"/>
              <w:right w:w="0" w:type="dxa"/>
            </w:tcMar>
          </w:tcPr>
          <w:p w14:paraId="165F957E" w14:textId="35AA63FE" w:rsidR="00D86611" w:rsidRPr="00094C70" w:rsidRDefault="00D86611" w:rsidP="00094C70">
            <w:pPr>
              <w:spacing w:before="40" w:after="120"/>
              <w:ind w:right="113"/>
            </w:pPr>
            <w:r w:rsidRPr="00094C70">
              <w:rPr>
                <w:lang w:val="fr-FR"/>
              </w:rPr>
              <w:t>Grenad</w:t>
            </w:r>
            <w:r w:rsidR="00E5173E">
              <w:rPr>
                <w:lang w:val="fr-FR"/>
              </w:rPr>
              <w:t>e</w:t>
            </w:r>
          </w:p>
        </w:tc>
        <w:tc>
          <w:tcPr>
            <w:tcW w:w="4663" w:type="dxa"/>
            <w:shd w:val="clear" w:color="auto" w:fill="auto"/>
            <w:tcMar>
              <w:top w:w="0" w:type="dxa"/>
              <w:left w:w="0" w:type="dxa"/>
              <w:bottom w:w="0" w:type="dxa"/>
              <w:right w:w="0" w:type="dxa"/>
            </w:tcMar>
          </w:tcPr>
          <w:p w14:paraId="6BF6BB31" w14:textId="23CDB59B" w:rsidR="00D86611" w:rsidRPr="00094C70" w:rsidRDefault="00D86611" w:rsidP="00094C70">
            <w:pPr>
              <w:spacing w:before="40" w:after="120"/>
              <w:ind w:right="113"/>
              <w:rPr>
                <w:lang w:val="fr-FR"/>
              </w:rPr>
            </w:pPr>
            <w:r w:rsidRPr="00094C70">
              <w:rPr>
                <w:lang w:val="fr-FR"/>
              </w:rPr>
              <w:t>20</w:t>
            </w:r>
            <w:r w:rsidR="00780216" w:rsidRPr="00094C70">
              <w:rPr>
                <w:lang w:val="fr-FR"/>
              </w:rPr>
              <w:t> %</w:t>
            </w:r>
            <w:r w:rsidRPr="00094C70">
              <w:rPr>
                <w:lang w:val="fr-FR"/>
              </w:rPr>
              <w:t xml:space="preserve"> d’ici à 2025 par rapport aux niveaux de 2010, avec</w:t>
            </w:r>
            <w:r w:rsidR="00E5173E">
              <w:rPr>
                <w:lang w:val="fr-FR"/>
              </w:rPr>
              <w:t> </w:t>
            </w:r>
            <w:r w:rsidRPr="00094C70">
              <w:rPr>
                <w:lang w:val="fr-FR"/>
              </w:rPr>
              <w:t>des réductions supplémentaires d’ici à 2030 (suite</w:t>
            </w:r>
            <w:r w:rsidR="00E5173E">
              <w:rPr>
                <w:lang w:val="fr-FR"/>
              </w:rPr>
              <w:t> </w:t>
            </w:r>
            <w:r w:rsidRPr="00094C70">
              <w:rPr>
                <w:lang w:val="fr-FR"/>
              </w:rPr>
              <w:t>de la première CDN)</w:t>
            </w:r>
          </w:p>
        </w:tc>
        <w:tc>
          <w:tcPr>
            <w:tcW w:w="1416" w:type="dxa"/>
            <w:shd w:val="clear" w:color="auto" w:fill="auto"/>
            <w:tcMar>
              <w:top w:w="0" w:type="dxa"/>
              <w:left w:w="0" w:type="dxa"/>
              <w:bottom w:w="0" w:type="dxa"/>
              <w:right w:w="0" w:type="dxa"/>
            </w:tcMar>
          </w:tcPr>
          <w:p w14:paraId="73783E62" w14:textId="77777777" w:rsidR="00D86611" w:rsidRPr="00094C70" w:rsidRDefault="00D86611" w:rsidP="00094C70">
            <w:pPr>
              <w:spacing w:before="40" w:after="120"/>
              <w:ind w:right="113"/>
            </w:pPr>
            <w:r w:rsidRPr="00094C70">
              <w:rPr>
                <w:lang w:val="fr-FR"/>
              </w:rPr>
              <w:t>Conditionnel</w:t>
            </w:r>
          </w:p>
        </w:tc>
      </w:tr>
      <w:tr w:rsidR="00D86611" w:rsidRPr="00094C70" w14:paraId="18164CF4" w14:textId="77777777" w:rsidTr="00E861DF">
        <w:tc>
          <w:tcPr>
            <w:tcW w:w="1291" w:type="dxa"/>
            <w:shd w:val="clear" w:color="auto" w:fill="auto"/>
            <w:tcMar>
              <w:top w:w="0" w:type="dxa"/>
              <w:left w:w="0" w:type="dxa"/>
              <w:bottom w:w="0" w:type="dxa"/>
              <w:right w:w="0" w:type="dxa"/>
            </w:tcMar>
          </w:tcPr>
          <w:p w14:paraId="40CD784F" w14:textId="77777777" w:rsidR="00D86611" w:rsidRPr="00094C70" w:rsidRDefault="00D86611" w:rsidP="00094C70">
            <w:pPr>
              <w:spacing w:before="40" w:after="120"/>
              <w:ind w:right="113"/>
            </w:pPr>
            <w:r w:rsidRPr="00094C70">
              <w:rPr>
                <w:lang w:val="fr-FR"/>
              </w:rPr>
              <w:lastRenderedPageBreak/>
              <w:t>Guinée</w:t>
            </w:r>
          </w:p>
        </w:tc>
        <w:tc>
          <w:tcPr>
            <w:tcW w:w="4663" w:type="dxa"/>
            <w:shd w:val="clear" w:color="auto" w:fill="auto"/>
            <w:tcMar>
              <w:top w:w="0" w:type="dxa"/>
              <w:left w:w="0" w:type="dxa"/>
              <w:bottom w:w="0" w:type="dxa"/>
              <w:right w:w="0" w:type="dxa"/>
            </w:tcMar>
          </w:tcPr>
          <w:p w14:paraId="258D3F2D" w14:textId="57866D45" w:rsidR="00D86611" w:rsidRPr="00094C70" w:rsidRDefault="00D86611" w:rsidP="00094C70">
            <w:pPr>
              <w:spacing w:before="40" w:after="120"/>
              <w:ind w:right="113"/>
              <w:rPr>
                <w:lang w:val="fr-FR"/>
              </w:rPr>
            </w:pPr>
            <w:r w:rsidRPr="00094C70">
              <w:rPr>
                <w:lang w:val="fr-FR"/>
              </w:rPr>
              <w:t>2</w:t>
            </w:r>
            <w:r w:rsidR="00DD76FF">
              <w:rPr>
                <w:lang w:val="fr-FR"/>
              </w:rPr>
              <w:t> </w:t>
            </w:r>
            <w:r w:rsidRPr="00094C70">
              <w:rPr>
                <w:lang w:val="fr-FR"/>
              </w:rPr>
              <w:t>300</w:t>
            </w:r>
            <w:r w:rsidR="00DD76FF">
              <w:rPr>
                <w:lang w:val="fr-FR"/>
              </w:rPr>
              <w:t> </w:t>
            </w:r>
            <w:r w:rsidRPr="00094C70">
              <w:rPr>
                <w:lang w:val="fr-FR"/>
              </w:rPr>
              <w:t>kilotonnes par an d’ici à 2030 par rapport au</w:t>
            </w:r>
            <w:r w:rsidR="00E5173E">
              <w:rPr>
                <w:lang w:val="fr-FR"/>
              </w:rPr>
              <w:t> </w:t>
            </w:r>
            <w:r w:rsidRPr="00094C70">
              <w:rPr>
                <w:lang w:val="fr-FR"/>
              </w:rPr>
              <w:t>scénario tendanciel (cible inconditionnelle)</w:t>
            </w:r>
          </w:p>
          <w:p w14:paraId="36BD57F9" w14:textId="2F6FC78E" w:rsidR="00D86611" w:rsidRPr="00094C70" w:rsidRDefault="00D86611" w:rsidP="00094C70">
            <w:pPr>
              <w:spacing w:before="40" w:after="120"/>
              <w:ind w:right="113"/>
              <w:rPr>
                <w:szCs w:val="16"/>
                <w:lang w:val="fr-FR"/>
              </w:rPr>
            </w:pPr>
            <w:r w:rsidRPr="00094C70">
              <w:rPr>
                <w:lang w:val="fr-FR"/>
              </w:rPr>
              <w:t>2</w:t>
            </w:r>
            <w:r w:rsidR="00DD76FF">
              <w:rPr>
                <w:lang w:val="fr-FR"/>
              </w:rPr>
              <w:t> </w:t>
            </w:r>
            <w:r w:rsidRPr="00094C70">
              <w:rPr>
                <w:lang w:val="fr-FR"/>
              </w:rPr>
              <w:t>600</w:t>
            </w:r>
            <w:r w:rsidR="00DD76FF">
              <w:rPr>
                <w:lang w:val="fr-FR"/>
              </w:rPr>
              <w:t> </w:t>
            </w:r>
            <w:r w:rsidRPr="00094C70">
              <w:rPr>
                <w:lang w:val="fr-FR"/>
              </w:rPr>
              <w:t>kilotonnes par an d’ici à 2030 par rapport au</w:t>
            </w:r>
            <w:r w:rsidR="00E5173E">
              <w:rPr>
                <w:lang w:val="fr-FR"/>
              </w:rPr>
              <w:t> </w:t>
            </w:r>
            <w:r w:rsidRPr="00094C70">
              <w:rPr>
                <w:lang w:val="fr-FR"/>
              </w:rPr>
              <w:t>scénario tendanciel (cible conditionnelle)</w:t>
            </w:r>
          </w:p>
        </w:tc>
        <w:tc>
          <w:tcPr>
            <w:tcW w:w="1416" w:type="dxa"/>
            <w:shd w:val="clear" w:color="auto" w:fill="auto"/>
            <w:tcMar>
              <w:top w:w="0" w:type="dxa"/>
              <w:left w:w="0" w:type="dxa"/>
              <w:bottom w:w="0" w:type="dxa"/>
              <w:right w:w="0" w:type="dxa"/>
            </w:tcMar>
          </w:tcPr>
          <w:p w14:paraId="18E4AEE5" w14:textId="77777777" w:rsidR="00D86611" w:rsidRPr="00094C70" w:rsidRDefault="00D86611" w:rsidP="00094C70">
            <w:pPr>
              <w:spacing w:before="40" w:after="120"/>
              <w:ind w:right="113"/>
            </w:pPr>
            <w:r w:rsidRPr="00094C70">
              <w:rPr>
                <w:lang w:val="fr-FR"/>
              </w:rPr>
              <w:t>Inconditionnel, conditionnel</w:t>
            </w:r>
          </w:p>
        </w:tc>
      </w:tr>
      <w:tr w:rsidR="00D86611" w:rsidRPr="00094C70" w14:paraId="40424757" w14:textId="77777777" w:rsidTr="00E861DF">
        <w:tc>
          <w:tcPr>
            <w:tcW w:w="1291" w:type="dxa"/>
            <w:shd w:val="clear" w:color="auto" w:fill="auto"/>
            <w:tcMar>
              <w:top w:w="0" w:type="dxa"/>
              <w:left w:w="0" w:type="dxa"/>
              <w:bottom w:w="0" w:type="dxa"/>
              <w:right w:w="0" w:type="dxa"/>
            </w:tcMar>
          </w:tcPr>
          <w:p w14:paraId="2A92E43D" w14:textId="77777777" w:rsidR="00D86611" w:rsidRPr="00094C70" w:rsidRDefault="00D86611" w:rsidP="00094C70">
            <w:pPr>
              <w:spacing w:before="40" w:after="120"/>
              <w:ind w:right="113"/>
            </w:pPr>
            <w:r w:rsidRPr="00094C70">
              <w:rPr>
                <w:lang w:val="fr-FR"/>
              </w:rPr>
              <w:t>Israël</w:t>
            </w:r>
          </w:p>
        </w:tc>
        <w:tc>
          <w:tcPr>
            <w:tcW w:w="4663" w:type="dxa"/>
            <w:shd w:val="clear" w:color="auto" w:fill="auto"/>
            <w:tcMar>
              <w:top w:w="0" w:type="dxa"/>
              <w:left w:w="0" w:type="dxa"/>
              <w:bottom w:w="0" w:type="dxa"/>
              <w:right w:w="0" w:type="dxa"/>
            </w:tcMar>
          </w:tcPr>
          <w:p w14:paraId="604AC975" w14:textId="445F6B8C" w:rsidR="00D86611" w:rsidRPr="00094C70" w:rsidRDefault="00D86611" w:rsidP="00094C70">
            <w:pPr>
              <w:spacing w:before="40" w:after="120"/>
              <w:ind w:right="113"/>
              <w:rPr>
                <w:lang w:val="fr-FR"/>
              </w:rPr>
            </w:pPr>
            <w:r w:rsidRPr="00094C70">
              <w:rPr>
                <w:lang w:val="fr-FR"/>
              </w:rPr>
              <w:t>D’ici à 2030, augmentation limitée à 3,3</w:t>
            </w:r>
            <w:r w:rsidR="00780216" w:rsidRPr="00094C70">
              <w:rPr>
                <w:lang w:val="fr-FR"/>
              </w:rPr>
              <w:t> %</w:t>
            </w:r>
            <w:r w:rsidRPr="00094C70">
              <w:rPr>
                <w:lang w:val="fr-FR"/>
              </w:rPr>
              <w:t xml:space="preserve"> par rapport aux niveaux de 2015 ; d’ici à 2050, baisse de 96</w:t>
            </w:r>
            <w:r w:rsidR="00780216" w:rsidRPr="00094C70">
              <w:rPr>
                <w:lang w:val="fr-FR"/>
              </w:rPr>
              <w:t> %</w:t>
            </w:r>
            <w:r w:rsidRPr="00094C70">
              <w:rPr>
                <w:lang w:val="fr-FR"/>
              </w:rPr>
              <w:t xml:space="preserve"> par</w:t>
            </w:r>
            <w:r w:rsidR="00E5173E">
              <w:rPr>
                <w:lang w:val="fr-FR"/>
              </w:rPr>
              <w:t> </w:t>
            </w:r>
            <w:r w:rsidRPr="00094C70">
              <w:rPr>
                <w:lang w:val="fr-FR"/>
              </w:rPr>
              <w:t>rapport aux niveaux de 2015</w:t>
            </w:r>
          </w:p>
        </w:tc>
        <w:tc>
          <w:tcPr>
            <w:tcW w:w="1416" w:type="dxa"/>
            <w:shd w:val="clear" w:color="auto" w:fill="auto"/>
            <w:tcMar>
              <w:top w:w="0" w:type="dxa"/>
              <w:left w:w="0" w:type="dxa"/>
              <w:bottom w:w="0" w:type="dxa"/>
              <w:right w:w="0" w:type="dxa"/>
            </w:tcMar>
          </w:tcPr>
          <w:p w14:paraId="301F6A6B" w14:textId="77777777" w:rsidR="00D86611" w:rsidRPr="00094C70" w:rsidRDefault="00D86611" w:rsidP="00094C70">
            <w:pPr>
              <w:spacing w:before="40" w:after="120"/>
              <w:ind w:right="113"/>
            </w:pPr>
            <w:r w:rsidRPr="00094C70">
              <w:rPr>
                <w:lang w:val="fr-FR"/>
              </w:rPr>
              <w:t>Inconditionnel</w:t>
            </w:r>
          </w:p>
        </w:tc>
      </w:tr>
      <w:tr w:rsidR="00D86611" w:rsidRPr="00094C70" w14:paraId="2883F8A4" w14:textId="77777777" w:rsidTr="00E861DF">
        <w:tc>
          <w:tcPr>
            <w:tcW w:w="1291" w:type="dxa"/>
            <w:shd w:val="clear" w:color="auto" w:fill="auto"/>
            <w:tcMar>
              <w:top w:w="0" w:type="dxa"/>
              <w:left w:w="0" w:type="dxa"/>
              <w:bottom w:w="0" w:type="dxa"/>
              <w:right w:w="0" w:type="dxa"/>
            </w:tcMar>
          </w:tcPr>
          <w:p w14:paraId="49B79E7C" w14:textId="77777777" w:rsidR="00D86611" w:rsidRPr="00094C70" w:rsidRDefault="00D86611" w:rsidP="00094C70">
            <w:pPr>
              <w:spacing w:before="40" w:after="120"/>
              <w:ind w:right="113"/>
            </w:pPr>
            <w:r w:rsidRPr="00094C70">
              <w:rPr>
                <w:lang w:val="fr-FR"/>
              </w:rPr>
              <w:t>Japon</w:t>
            </w:r>
          </w:p>
        </w:tc>
        <w:tc>
          <w:tcPr>
            <w:tcW w:w="4663" w:type="dxa"/>
            <w:shd w:val="clear" w:color="auto" w:fill="auto"/>
            <w:tcMar>
              <w:top w:w="0" w:type="dxa"/>
              <w:left w:w="0" w:type="dxa"/>
              <w:bottom w:w="0" w:type="dxa"/>
              <w:right w:w="0" w:type="dxa"/>
            </w:tcMar>
          </w:tcPr>
          <w:p w14:paraId="2447D8A2" w14:textId="56E969F9" w:rsidR="00D86611" w:rsidRPr="00094C70" w:rsidRDefault="00D86611" w:rsidP="00094C70">
            <w:pPr>
              <w:spacing w:before="40" w:after="120"/>
              <w:ind w:right="113"/>
              <w:rPr>
                <w:lang w:val="fr-FR"/>
              </w:rPr>
            </w:pPr>
            <w:r w:rsidRPr="00094C70">
              <w:rPr>
                <w:lang w:val="fr-FR"/>
              </w:rPr>
              <w:t>27</w:t>
            </w:r>
            <w:r w:rsidR="00780216" w:rsidRPr="00094C70">
              <w:rPr>
                <w:lang w:val="fr-FR"/>
              </w:rPr>
              <w:t> %</w:t>
            </w:r>
            <w:r w:rsidRPr="00094C70">
              <w:rPr>
                <w:lang w:val="fr-FR"/>
              </w:rPr>
              <w:t xml:space="preserve"> d’ici à 2030 par rapport aux niveaux de 2013, pour</w:t>
            </w:r>
            <w:r w:rsidR="00E5173E">
              <w:rPr>
                <w:lang w:val="fr-FR"/>
              </w:rPr>
              <w:t> </w:t>
            </w:r>
            <w:r w:rsidRPr="00094C70">
              <w:rPr>
                <w:lang w:val="fr-FR"/>
              </w:rPr>
              <w:t>atteindre 163</w:t>
            </w:r>
            <w:r w:rsidR="006109A0">
              <w:rPr>
                <w:lang w:val="fr-FR"/>
              </w:rPr>
              <w:t> </w:t>
            </w:r>
            <w:r w:rsidRPr="00094C70">
              <w:rPr>
                <w:lang w:val="fr-FR"/>
              </w:rPr>
              <w:t>millions de tonnes ou moins (suite</w:t>
            </w:r>
            <w:r w:rsidR="00E5173E">
              <w:rPr>
                <w:lang w:val="fr-FR"/>
              </w:rPr>
              <w:t xml:space="preserve"> </w:t>
            </w:r>
            <w:r w:rsidRPr="00094C70">
              <w:rPr>
                <w:lang w:val="fr-FR"/>
              </w:rPr>
              <w:t>de</w:t>
            </w:r>
            <w:r w:rsidR="00E5173E">
              <w:rPr>
                <w:lang w:val="fr-FR"/>
              </w:rPr>
              <w:t> </w:t>
            </w:r>
            <w:r w:rsidRPr="00094C70">
              <w:rPr>
                <w:lang w:val="fr-FR"/>
              </w:rPr>
              <w:t>la première CDN)</w:t>
            </w:r>
          </w:p>
        </w:tc>
        <w:tc>
          <w:tcPr>
            <w:tcW w:w="1416" w:type="dxa"/>
            <w:shd w:val="clear" w:color="auto" w:fill="auto"/>
            <w:tcMar>
              <w:top w:w="0" w:type="dxa"/>
              <w:left w:w="0" w:type="dxa"/>
              <w:bottom w:w="0" w:type="dxa"/>
              <w:right w:w="0" w:type="dxa"/>
            </w:tcMar>
          </w:tcPr>
          <w:p w14:paraId="734E93AB" w14:textId="77777777" w:rsidR="00D86611" w:rsidRPr="00094C70" w:rsidRDefault="00D86611" w:rsidP="00094C70">
            <w:pPr>
              <w:spacing w:before="40" w:after="120"/>
              <w:ind w:right="113"/>
            </w:pPr>
            <w:r w:rsidRPr="00094C70">
              <w:rPr>
                <w:lang w:val="fr-FR"/>
              </w:rPr>
              <w:t>Inconditionnel</w:t>
            </w:r>
          </w:p>
        </w:tc>
      </w:tr>
      <w:tr w:rsidR="00D86611" w:rsidRPr="00094C70" w14:paraId="1F181A57" w14:textId="77777777" w:rsidTr="00E861DF">
        <w:tc>
          <w:tcPr>
            <w:tcW w:w="1291" w:type="dxa"/>
            <w:shd w:val="clear" w:color="auto" w:fill="auto"/>
            <w:tcMar>
              <w:top w:w="0" w:type="dxa"/>
              <w:left w:w="0" w:type="dxa"/>
              <w:bottom w:w="0" w:type="dxa"/>
              <w:right w:w="0" w:type="dxa"/>
            </w:tcMar>
          </w:tcPr>
          <w:p w14:paraId="69E6663F" w14:textId="77777777" w:rsidR="00D86611" w:rsidRPr="00094C70" w:rsidRDefault="00D86611" w:rsidP="00094C70">
            <w:pPr>
              <w:spacing w:before="40" w:after="120"/>
              <w:ind w:right="113"/>
            </w:pPr>
            <w:r w:rsidRPr="00094C70">
              <w:rPr>
                <w:lang w:val="fr-FR"/>
              </w:rPr>
              <w:t>Libéria</w:t>
            </w:r>
          </w:p>
        </w:tc>
        <w:tc>
          <w:tcPr>
            <w:tcW w:w="4663" w:type="dxa"/>
            <w:shd w:val="clear" w:color="auto" w:fill="auto"/>
            <w:tcMar>
              <w:top w:w="0" w:type="dxa"/>
              <w:left w:w="0" w:type="dxa"/>
              <w:bottom w:w="0" w:type="dxa"/>
              <w:right w:w="0" w:type="dxa"/>
            </w:tcMar>
          </w:tcPr>
          <w:p w14:paraId="46ED6158" w14:textId="691D44BA" w:rsidR="00D86611" w:rsidRPr="00094C70" w:rsidRDefault="00D86611" w:rsidP="00094C70">
            <w:pPr>
              <w:spacing w:before="40" w:after="120"/>
              <w:ind w:right="113"/>
              <w:rPr>
                <w:lang w:val="fr-FR"/>
              </w:rPr>
            </w:pPr>
            <w:r w:rsidRPr="00094C70">
              <w:rPr>
                <w:lang w:val="fr-FR"/>
              </w:rPr>
              <w:t>15,1</w:t>
            </w:r>
            <w:r w:rsidR="00780216" w:rsidRPr="00094C70">
              <w:rPr>
                <w:lang w:val="fr-FR"/>
              </w:rPr>
              <w:t> %</w:t>
            </w:r>
            <w:r w:rsidRPr="00094C70">
              <w:rPr>
                <w:lang w:val="fr-FR"/>
              </w:rPr>
              <w:t xml:space="preserve"> d’ici à 2030 par rapport au scénario tendanciel </w:t>
            </w:r>
          </w:p>
        </w:tc>
        <w:tc>
          <w:tcPr>
            <w:tcW w:w="1416" w:type="dxa"/>
            <w:shd w:val="clear" w:color="auto" w:fill="auto"/>
            <w:tcMar>
              <w:top w:w="0" w:type="dxa"/>
              <w:left w:w="0" w:type="dxa"/>
              <w:bottom w:w="0" w:type="dxa"/>
              <w:right w:w="0" w:type="dxa"/>
            </w:tcMar>
          </w:tcPr>
          <w:p w14:paraId="1BBC3A5F" w14:textId="77777777" w:rsidR="00D86611" w:rsidRPr="00094C70" w:rsidRDefault="00D86611" w:rsidP="00094C70">
            <w:pPr>
              <w:spacing w:before="40" w:after="120"/>
              <w:ind w:right="113"/>
            </w:pPr>
            <w:r w:rsidRPr="00094C70">
              <w:rPr>
                <w:lang w:val="fr-FR"/>
              </w:rPr>
              <w:t>Conditionnel</w:t>
            </w:r>
          </w:p>
        </w:tc>
      </w:tr>
      <w:tr w:rsidR="00094C70" w:rsidRPr="00094C70" w14:paraId="5F2737A6" w14:textId="77777777" w:rsidTr="00E861DF">
        <w:tc>
          <w:tcPr>
            <w:tcW w:w="1291" w:type="dxa"/>
            <w:shd w:val="clear" w:color="auto" w:fill="auto"/>
            <w:tcMar>
              <w:top w:w="0" w:type="dxa"/>
              <w:left w:w="0" w:type="dxa"/>
              <w:bottom w:w="0" w:type="dxa"/>
              <w:right w:w="0" w:type="dxa"/>
            </w:tcMar>
          </w:tcPr>
          <w:p w14:paraId="6013A3D3" w14:textId="77777777" w:rsidR="00094C70" w:rsidRPr="00094C70" w:rsidRDefault="00094C70" w:rsidP="00D11204">
            <w:pPr>
              <w:spacing w:before="40" w:after="120"/>
              <w:ind w:right="113"/>
            </w:pPr>
            <w:r w:rsidRPr="00094C70">
              <w:rPr>
                <w:lang w:val="fr-FR"/>
              </w:rPr>
              <w:t xml:space="preserve">Maurice </w:t>
            </w:r>
          </w:p>
        </w:tc>
        <w:tc>
          <w:tcPr>
            <w:tcW w:w="4663" w:type="dxa"/>
            <w:shd w:val="clear" w:color="auto" w:fill="auto"/>
            <w:tcMar>
              <w:top w:w="0" w:type="dxa"/>
              <w:left w:w="0" w:type="dxa"/>
              <w:bottom w:w="0" w:type="dxa"/>
              <w:right w:w="0" w:type="dxa"/>
            </w:tcMar>
          </w:tcPr>
          <w:p w14:paraId="6C80C392" w14:textId="555F6C48" w:rsidR="00094C70" w:rsidRPr="00094C70" w:rsidRDefault="00094C70" w:rsidP="00D11204">
            <w:pPr>
              <w:spacing w:before="40" w:after="120"/>
              <w:ind w:right="113"/>
              <w:rPr>
                <w:lang w:val="fr-FR"/>
              </w:rPr>
            </w:pPr>
            <w:r w:rsidRPr="00094C70">
              <w:rPr>
                <w:lang w:val="fr-FR"/>
              </w:rPr>
              <w:t>Limitation à 129</w:t>
            </w:r>
            <w:r w:rsidR="006109A0">
              <w:rPr>
                <w:lang w:val="fr-FR"/>
              </w:rPr>
              <w:t> </w:t>
            </w:r>
            <w:r w:rsidRPr="00094C70">
              <w:rPr>
                <w:lang w:val="fr-FR"/>
              </w:rPr>
              <w:t>kilotonnes par an d’ici à 2030</w:t>
            </w:r>
          </w:p>
        </w:tc>
        <w:tc>
          <w:tcPr>
            <w:tcW w:w="1416" w:type="dxa"/>
            <w:shd w:val="clear" w:color="auto" w:fill="auto"/>
            <w:tcMar>
              <w:top w:w="0" w:type="dxa"/>
              <w:left w:w="0" w:type="dxa"/>
              <w:bottom w:w="0" w:type="dxa"/>
              <w:right w:w="0" w:type="dxa"/>
            </w:tcMar>
          </w:tcPr>
          <w:p w14:paraId="22DBA3CA" w14:textId="77777777" w:rsidR="00094C70" w:rsidRPr="00094C70" w:rsidRDefault="00094C70" w:rsidP="00D11204">
            <w:pPr>
              <w:spacing w:before="40" w:after="120"/>
              <w:ind w:right="113"/>
            </w:pPr>
            <w:r w:rsidRPr="00094C70">
              <w:rPr>
                <w:lang w:val="fr-FR"/>
              </w:rPr>
              <w:t>Inconditionnel</w:t>
            </w:r>
          </w:p>
        </w:tc>
      </w:tr>
      <w:tr w:rsidR="00D86611" w:rsidRPr="00094C70" w14:paraId="0C11E3EB" w14:textId="77777777" w:rsidTr="00E861DF">
        <w:tc>
          <w:tcPr>
            <w:tcW w:w="1291" w:type="dxa"/>
            <w:shd w:val="clear" w:color="auto" w:fill="auto"/>
            <w:tcMar>
              <w:top w:w="0" w:type="dxa"/>
              <w:left w:w="0" w:type="dxa"/>
              <w:bottom w:w="0" w:type="dxa"/>
              <w:right w:w="0" w:type="dxa"/>
            </w:tcMar>
          </w:tcPr>
          <w:p w14:paraId="7AB74E8C" w14:textId="77777777" w:rsidR="00D86611" w:rsidRPr="00094C70" w:rsidRDefault="00D86611" w:rsidP="00094C70">
            <w:pPr>
              <w:spacing w:before="40" w:after="120"/>
              <w:ind w:right="113"/>
            </w:pPr>
            <w:r w:rsidRPr="00094C70">
              <w:rPr>
                <w:lang w:val="fr-FR"/>
              </w:rPr>
              <w:t>Mauritanie</w:t>
            </w:r>
          </w:p>
        </w:tc>
        <w:tc>
          <w:tcPr>
            <w:tcW w:w="4663" w:type="dxa"/>
            <w:shd w:val="clear" w:color="auto" w:fill="auto"/>
            <w:tcMar>
              <w:top w:w="0" w:type="dxa"/>
              <w:left w:w="0" w:type="dxa"/>
              <w:bottom w:w="0" w:type="dxa"/>
              <w:right w:w="0" w:type="dxa"/>
            </w:tcMar>
          </w:tcPr>
          <w:p w14:paraId="654D53FB" w14:textId="549DF08F" w:rsidR="00D86611" w:rsidRPr="00094C70" w:rsidRDefault="00D86611" w:rsidP="00094C70">
            <w:pPr>
              <w:spacing w:before="40" w:after="120"/>
              <w:ind w:right="113"/>
              <w:rPr>
                <w:lang w:val="fr-FR"/>
              </w:rPr>
            </w:pPr>
            <w:r w:rsidRPr="00094C70">
              <w:rPr>
                <w:lang w:val="fr-FR"/>
              </w:rPr>
              <w:t>5,21</w:t>
            </w:r>
            <w:r w:rsidR="00780216" w:rsidRPr="00094C70">
              <w:rPr>
                <w:lang w:val="fr-FR"/>
              </w:rPr>
              <w:t> %</w:t>
            </w:r>
            <w:r w:rsidRPr="00094C70">
              <w:rPr>
                <w:lang w:val="fr-FR"/>
              </w:rPr>
              <w:t xml:space="preserve"> d’ici à 2030, soit une réduction de 92,7</w:t>
            </w:r>
            <w:r w:rsidR="006109A0">
              <w:rPr>
                <w:lang w:val="fr-FR"/>
              </w:rPr>
              <w:t> </w:t>
            </w:r>
            <w:r w:rsidRPr="00094C70">
              <w:rPr>
                <w:lang w:val="fr-FR"/>
              </w:rPr>
              <w:t>Gg entre</w:t>
            </w:r>
            <w:r w:rsidR="00E5173E">
              <w:rPr>
                <w:lang w:val="fr-FR"/>
              </w:rPr>
              <w:t> </w:t>
            </w:r>
            <w:r w:rsidRPr="00094C70">
              <w:rPr>
                <w:lang w:val="fr-FR"/>
              </w:rPr>
              <w:t xml:space="preserve">2021 et 2030 </w:t>
            </w:r>
          </w:p>
        </w:tc>
        <w:tc>
          <w:tcPr>
            <w:tcW w:w="1416" w:type="dxa"/>
            <w:shd w:val="clear" w:color="auto" w:fill="auto"/>
            <w:tcMar>
              <w:top w:w="0" w:type="dxa"/>
              <w:left w:w="0" w:type="dxa"/>
              <w:bottom w:w="0" w:type="dxa"/>
              <w:right w:w="0" w:type="dxa"/>
            </w:tcMar>
          </w:tcPr>
          <w:p w14:paraId="629BBF97" w14:textId="77777777" w:rsidR="00D86611" w:rsidRPr="00094C70" w:rsidRDefault="00D86611" w:rsidP="00094C70">
            <w:pPr>
              <w:spacing w:before="40" w:after="120"/>
              <w:ind w:right="113"/>
            </w:pPr>
            <w:r w:rsidRPr="00094C70">
              <w:rPr>
                <w:lang w:val="fr-FR"/>
              </w:rPr>
              <w:t>Inconditionnel</w:t>
            </w:r>
          </w:p>
        </w:tc>
      </w:tr>
      <w:tr w:rsidR="00094C70" w:rsidRPr="00094C70" w14:paraId="62F721F9" w14:textId="77777777" w:rsidTr="00E861DF">
        <w:tc>
          <w:tcPr>
            <w:tcW w:w="1291" w:type="dxa"/>
            <w:shd w:val="clear" w:color="auto" w:fill="auto"/>
            <w:tcMar>
              <w:top w:w="0" w:type="dxa"/>
              <w:left w:w="0" w:type="dxa"/>
              <w:bottom w:w="0" w:type="dxa"/>
              <w:right w:w="0" w:type="dxa"/>
            </w:tcMar>
          </w:tcPr>
          <w:p w14:paraId="694AA6EA" w14:textId="77777777" w:rsidR="00094C70" w:rsidRPr="00094C70" w:rsidRDefault="00094C70" w:rsidP="00D74522">
            <w:pPr>
              <w:spacing w:before="40" w:after="120"/>
              <w:ind w:right="113"/>
            </w:pPr>
            <w:r w:rsidRPr="00094C70">
              <w:rPr>
                <w:lang w:val="fr-FR"/>
              </w:rPr>
              <w:t>Ouganda</w:t>
            </w:r>
          </w:p>
        </w:tc>
        <w:tc>
          <w:tcPr>
            <w:tcW w:w="4663" w:type="dxa"/>
            <w:shd w:val="clear" w:color="auto" w:fill="auto"/>
            <w:tcMar>
              <w:top w:w="0" w:type="dxa"/>
              <w:left w:w="0" w:type="dxa"/>
              <w:bottom w:w="0" w:type="dxa"/>
              <w:right w:w="0" w:type="dxa"/>
            </w:tcMar>
          </w:tcPr>
          <w:p w14:paraId="6FF24150" w14:textId="06ED8BC2" w:rsidR="00094C70" w:rsidRPr="00094C70" w:rsidRDefault="00094C70" w:rsidP="00D74522">
            <w:pPr>
              <w:spacing w:before="40" w:after="120"/>
              <w:ind w:right="113"/>
              <w:rPr>
                <w:lang w:val="fr-FR"/>
              </w:rPr>
            </w:pPr>
            <w:r w:rsidRPr="00094C70">
              <w:rPr>
                <w:lang w:val="fr-FR"/>
              </w:rPr>
              <w:t>29 % d’ici à 2030 par rapport au scénario tendanciel (6,8</w:t>
            </w:r>
            <w:r w:rsidR="006109A0">
              <w:rPr>
                <w:lang w:val="fr-FR"/>
              </w:rPr>
              <w:t> </w:t>
            </w:r>
            <w:r w:rsidRPr="00094C70">
              <w:rPr>
                <w:lang w:val="fr-FR"/>
              </w:rPr>
              <w:t>millions de tonnes au lieu de 9,6</w:t>
            </w:r>
            <w:r w:rsidR="006109A0">
              <w:rPr>
                <w:lang w:val="fr-FR"/>
              </w:rPr>
              <w:t> </w:t>
            </w:r>
            <w:r w:rsidRPr="00094C70">
              <w:rPr>
                <w:lang w:val="fr-FR"/>
              </w:rPr>
              <w:t>millions de tonnes)</w:t>
            </w:r>
          </w:p>
        </w:tc>
        <w:tc>
          <w:tcPr>
            <w:tcW w:w="1416" w:type="dxa"/>
            <w:shd w:val="clear" w:color="auto" w:fill="auto"/>
            <w:tcMar>
              <w:top w:w="0" w:type="dxa"/>
              <w:left w:w="0" w:type="dxa"/>
              <w:bottom w:w="0" w:type="dxa"/>
              <w:right w:w="0" w:type="dxa"/>
            </w:tcMar>
          </w:tcPr>
          <w:p w14:paraId="3BC07FE4" w14:textId="77777777" w:rsidR="00094C70" w:rsidRPr="00094C70" w:rsidRDefault="00094C70" w:rsidP="00D74522">
            <w:pPr>
              <w:spacing w:before="40" w:after="120"/>
              <w:ind w:right="113"/>
            </w:pPr>
            <w:r w:rsidRPr="00094C70">
              <w:rPr>
                <w:lang w:val="fr-FR"/>
              </w:rPr>
              <w:t>Conditionnel</w:t>
            </w:r>
          </w:p>
        </w:tc>
      </w:tr>
      <w:tr w:rsidR="00094C70" w:rsidRPr="00094C70" w14:paraId="3236D421" w14:textId="77777777" w:rsidTr="00E861DF">
        <w:tc>
          <w:tcPr>
            <w:tcW w:w="1291" w:type="dxa"/>
            <w:shd w:val="clear" w:color="auto" w:fill="auto"/>
            <w:tcMar>
              <w:top w:w="0" w:type="dxa"/>
              <w:left w:w="0" w:type="dxa"/>
              <w:bottom w:w="0" w:type="dxa"/>
              <w:right w:w="0" w:type="dxa"/>
            </w:tcMar>
          </w:tcPr>
          <w:p w14:paraId="3EA64E94" w14:textId="77777777" w:rsidR="00094C70" w:rsidRPr="00094C70" w:rsidRDefault="00094C70" w:rsidP="005C38E9">
            <w:pPr>
              <w:spacing w:before="40" w:after="120"/>
              <w:ind w:right="113"/>
            </w:pPr>
            <w:r w:rsidRPr="00094C70">
              <w:rPr>
                <w:lang w:val="fr-FR"/>
              </w:rPr>
              <w:t>Samoa</w:t>
            </w:r>
          </w:p>
        </w:tc>
        <w:tc>
          <w:tcPr>
            <w:tcW w:w="4663" w:type="dxa"/>
            <w:shd w:val="clear" w:color="auto" w:fill="auto"/>
            <w:tcMar>
              <w:top w:w="0" w:type="dxa"/>
              <w:left w:w="0" w:type="dxa"/>
              <w:bottom w:w="0" w:type="dxa"/>
              <w:right w:w="0" w:type="dxa"/>
            </w:tcMar>
          </w:tcPr>
          <w:p w14:paraId="0D216B9F" w14:textId="0CC8A64A" w:rsidR="00094C70" w:rsidRPr="00094C70" w:rsidRDefault="00094C70" w:rsidP="005C38E9">
            <w:pPr>
              <w:spacing w:before="40" w:after="120"/>
              <w:ind w:right="113"/>
              <w:rPr>
                <w:lang w:val="fr-FR"/>
              </w:rPr>
            </w:pPr>
            <w:r w:rsidRPr="00094C70">
              <w:rPr>
                <w:lang w:val="fr-FR"/>
              </w:rPr>
              <w:t>5,2</w:t>
            </w:r>
            <w:r w:rsidR="00D07931">
              <w:rPr>
                <w:lang w:val="fr-FR"/>
              </w:rPr>
              <w:t> </w:t>
            </w:r>
            <w:r w:rsidRPr="00094C70">
              <w:rPr>
                <w:lang w:val="fr-FR"/>
              </w:rPr>
              <w:t>Gg (transports terrestres) et 3</w:t>
            </w:r>
            <w:r w:rsidR="006109A0">
              <w:rPr>
                <w:lang w:val="fr-FR"/>
              </w:rPr>
              <w:t> </w:t>
            </w:r>
            <w:r w:rsidRPr="00094C70">
              <w:rPr>
                <w:lang w:val="fr-FR"/>
              </w:rPr>
              <w:t>Gg (transports maritimes) d’ici à 2030</w:t>
            </w:r>
          </w:p>
        </w:tc>
        <w:tc>
          <w:tcPr>
            <w:tcW w:w="1416" w:type="dxa"/>
            <w:shd w:val="clear" w:color="auto" w:fill="auto"/>
            <w:tcMar>
              <w:top w:w="0" w:type="dxa"/>
              <w:left w:w="0" w:type="dxa"/>
              <w:bottom w:w="0" w:type="dxa"/>
              <w:right w:w="0" w:type="dxa"/>
            </w:tcMar>
          </w:tcPr>
          <w:p w14:paraId="562A5CCC" w14:textId="77777777" w:rsidR="00094C70" w:rsidRPr="00094C70" w:rsidRDefault="00094C70" w:rsidP="005C38E9">
            <w:pPr>
              <w:spacing w:before="40" w:after="120"/>
              <w:ind w:right="113"/>
            </w:pPr>
            <w:r w:rsidRPr="00094C70">
              <w:rPr>
                <w:lang w:val="fr-FR"/>
              </w:rPr>
              <w:t>Inconditionnel</w:t>
            </w:r>
          </w:p>
        </w:tc>
      </w:tr>
      <w:tr w:rsidR="00D86611" w:rsidRPr="00094C70" w14:paraId="1F55F998" w14:textId="77777777" w:rsidTr="00E861DF">
        <w:tc>
          <w:tcPr>
            <w:tcW w:w="1291" w:type="dxa"/>
            <w:shd w:val="clear" w:color="auto" w:fill="auto"/>
            <w:tcMar>
              <w:top w:w="0" w:type="dxa"/>
              <w:left w:w="0" w:type="dxa"/>
              <w:bottom w:w="0" w:type="dxa"/>
              <w:right w:w="0" w:type="dxa"/>
            </w:tcMar>
          </w:tcPr>
          <w:p w14:paraId="02D89C08" w14:textId="77777777" w:rsidR="00D86611" w:rsidRPr="00094C70" w:rsidRDefault="00D86611" w:rsidP="00094C70">
            <w:pPr>
              <w:spacing w:before="40" w:after="120"/>
              <w:ind w:right="113"/>
            </w:pPr>
            <w:r w:rsidRPr="00094C70">
              <w:rPr>
                <w:lang w:val="fr-FR"/>
              </w:rPr>
              <w:t>Seychelles</w:t>
            </w:r>
          </w:p>
        </w:tc>
        <w:tc>
          <w:tcPr>
            <w:tcW w:w="4663" w:type="dxa"/>
            <w:shd w:val="clear" w:color="auto" w:fill="auto"/>
            <w:tcMar>
              <w:top w:w="0" w:type="dxa"/>
              <w:left w:w="0" w:type="dxa"/>
              <w:bottom w:w="0" w:type="dxa"/>
              <w:right w:w="0" w:type="dxa"/>
            </w:tcMar>
          </w:tcPr>
          <w:p w14:paraId="4AE69B73" w14:textId="00CD935B" w:rsidR="00D86611" w:rsidRPr="00094C70" w:rsidRDefault="00D86611" w:rsidP="00094C70">
            <w:pPr>
              <w:spacing w:before="40" w:after="120"/>
              <w:ind w:right="113"/>
              <w:rPr>
                <w:lang w:val="fr-FR"/>
              </w:rPr>
            </w:pPr>
            <w:r w:rsidRPr="00094C70">
              <w:rPr>
                <w:lang w:val="fr-FR"/>
              </w:rPr>
              <w:t>30</w:t>
            </w:r>
            <w:r w:rsidR="00780216" w:rsidRPr="00094C70">
              <w:rPr>
                <w:lang w:val="fr-FR"/>
              </w:rPr>
              <w:t> %</w:t>
            </w:r>
            <w:r w:rsidRPr="00094C70">
              <w:rPr>
                <w:lang w:val="fr-FR"/>
              </w:rPr>
              <w:t xml:space="preserve"> d’ici à 2030 pour les véhicules à essence par</w:t>
            </w:r>
            <w:r w:rsidR="00D07931">
              <w:rPr>
                <w:lang w:val="fr-FR"/>
              </w:rPr>
              <w:t> </w:t>
            </w:r>
            <w:r w:rsidRPr="00094C70">
              <w:rPr>
                <w:lang w:val="fr-FR"/>
              </w:rPr>
              <w:t>rapport au scénario tendanciel</w:t>
            </w:r>
          </w:p>
        </w:tc>
        <w:tc>
          <w:tcPr>
            <w:tcW w:w="1416" w:type="dxa"/>
            <w:shd w:val="clear" w:color="auto" w:fill="auto"/>
            <w:tcMar>
              <w:top w:w="0" w:type="dxa"/>
              <w:left w:w="0" w:type="dxa"/>
              <w:bottom w:w="0" w:type="dxa"/>
              <w:right w:w="0" w:type="dxa"/>
            </w:tcMar>
          </w:tcPr>
          <w:p w14:paraId="0BE65BA1" w14:textId="77777777" w:rsidR="00D86611" w:rsidRPr="00094C70" w:rsidRDefault="00D86611" w:rsidP="00094C70">
            <w:pPr>
              <w:spacing w:before="40" w:after="120"/>
              <w:ind w:right="113"/>
            </w:pPr>
            <w:r w:rsidRPr="00094C70">
              <w:rPr>
                <w:lang w:val="fr-FR"/>
              </w:rPr>
              <w:t>Conditionnel</w:t>
            </w:r>
          </w:p>
        </w:tc>
      </w:tr>
      <w:tr w:rsidR="00D86611" w:rsidRPr="00094C70" w14:paraId="290500DC" w14:textId="77777777" w:rsidTr="00E861DF">
        <w:tc>
          <w:tcPr>
            <w:tcW w:w="1291" w:type="dxa"/>
            <w:shd w:val="clear" w:color="auto" w:fill="auto"/>
            <w:tcMar>
              <w:top w:w="0" w:type="dxa"/>
              <w:left w:w="0" w:type="dxa"/>
              <w:bottom w:w="0" w:type="dxa"/>
              <w:right w:w="0" w:type="dxa"/>
            </w:tcMar>
          </w:tcPr>
          <w:p w14:paraId="5611656B" w14:textId="7190F4FD" w:rsidR="00D86611" w:rsidRPr="00094C70" w:rsidRDefault="00D86611" w:rsidP="00094C70">
            <w:pPr>
              <w:spacing w:before="40" w:after="120"/>
              <w:ind w:right="113"/>
            </w:pPr>
            <w:r w:rsidRPr="00094C70">
              <w:rPr>
                <w:lang w:val="fr-FR"/>
              </w:rPr>
              <w:t>Soudan du</w:t>
            </w:r>
            <w:r w:rsidR="00D07931">
              <w:rPr>
                <w:lang w:val="fr-FR"/>
              </w:rPr>
              <w:t> </w:t>
            </w:r>
            <w:r w:rsidRPr="00094C70">
              <w:rPr>
                <w:lang w:val="fr-FR"/>
              </w:rPr>
              <w:t>Sud</w:t>
            </w:r>
          </w:p>
        </w:tc>
        <w:tc>
          <w:tcPr>
            <w:tcW w:w="4663" w:type="dxa"/>
            <w:shd w:val="clear" w:color="auto" w:fill="auto"/>
            <w:tcMar>
              <w:top w:w="0" w:type="dxa"/>
              <w:left w:w="0" w:type="dxa"/>
              <w:bottom w:w="0" w:type="dxa"/>
              <w:right w:w="0" w:type="dxa"/>
            </w:tcMar>
          </w:tcPr>
          <w:p w14:paraId="746C9103" w14:textId="0796A081" w:rsidR="00D86611" w:rsidRPr="00094C70" w:rsidRDefault="00D86611" w:rsidP="00094C70">
            <w:pPr>
              <w:spacing w:before="40" w:after="120"/>
              <w:ind w:right="113"/>
              <w:rPr>
                <w:lang w:val="fr-FR"/>
              </w:rPr>
            </w:pPr>
            <w:r w:rsidRPr="00094C70">
              <w:rPr>
                <w:lang w:val="fr-FR"/>
              </w:rPr>
              <w:t>44</w:t>
            </w:r>
            <w:r w:rsidR="00780216" w:rsidRPr="00094C70">
              <w:rPr>
                <w:lang w:val="fr-FR"/>
              </w:rPr>
              <w:t> %</w:t>
            </w:r>
            <w:r w:rsidRPr="00094C70">
              <w:rPr>
                <w:lang w:val="fr-FR"/>
              </w:rPr>
              <w:t xml:space="preserve"> d’ici à 2030 par rapport au scénario tendanciel</w:t>
            </w:r>
          </w:p>
        </w:tc>
        <w:tc>
          <w:tcPr>
            <w:tcW w:w="1416" w:type="dxa"/>
            <w:shd w:val="clear" w:color="auto" w:fill="auto"/>
            <w:tcMar>
              <w:top w:w="0" w:type="dxa"/>
              <w:left w:w="0" w:type="dxa"/>
              <w:bottom w:w="0" w:type="dxa"/>
              <w:right w:w="0" w:type="dxa"/>
            </w:tcMar>
          </w:tcPr>
          <w:p w14:paraId="04040373" w14:textId="77777777" w:rsidR="00D86611" w:rsidRPr="00094C70" w:rsidRDefault="00D86611" w:rsidP="00094C70">
            <w:pPr>
              <w:spacing w:before="40" w:after="120"/>
              <w:ind w:right="113"/>
            </w:pPr>
            <w:r w:rsidRPr="00094C70">
              <w:rPr>
                <w:lang w:val="fr-FR"/>
              </w:rPr>
              <w:t>Inconditionnel</w:t>
            </w:r>
          </w:p>
        </w:tc>
      </w:tr>
      <w:tr w:rsidR="00D86611" w:rsidRPr="00094C70" w14:paraId="4655FE32" w14:textId="77777777" w:rsidTr="00E861DF">
        <w:tc>
          <w:tcPr>
            <w:tcW w:w="1291" w:type="dxa"/>
            <w:tcBorders>
              <w:bottom w:val="single" w:sz="12" w:space="0" w:color="auto"/>
            </w:tcBorders>
            <w:shd w:val="clear" w:color="auto" w:fill="auto"/>
            <w:tcMar>
              <w:top w:w="0" w:type="dxa"/>
              <w:left w:w="0" w:type="dxa"/>
              <w:bottom w:w="0" w:type="dxa"/>
              <w:right w:w="0" w:type="dxa"/>
            </w:tcMar>
          </w:tcPr>
          <w:p w14:paraId="3FFEC699" w14:textId="77777777" w:rsidR="00D86611" w:rsidRPr="00094C70" w:rsidRDefault="00D86611" w:rsidP="00094C70">
            <w:pPr>
              <w:spacing w:before="40" w:after="120"/>
              <w:ind w:right="113"/>
            </w:pPr>
            <w:r w:rsidRPr="00094C70">
              <w:rPr>
                <w:lang w:val="fr-FR"/>
              </w:rPr>
              <w:t>Sri Lanka</w:t>
            </w:r>
          </w:p>
        </w:tc>
        <w:tc>
          <w:tcPr>
            <w:tcW w:w="4663" w:type="dxa"/>
            <w:tcBorders>
              <w:bottom w:val="single" w:sz="12" w:space="0" w:color="auto"/>
            </w:tcBorders>
            <w:shd w:val="clear" w:color="auto" w:fill="auto"/>
            <w:tcMar>
              <w:top w:w="0" w:type="dxa"/>
              <w:left w:w="0" w:type="dxa"/>
              <w:bottom w:w="0" w:type="dxa"/>
              <w:right w:w="0" w:type="dxa"/>
            </w:tcMar>
          </w:tcPr>
          <w:p w14:paraId="2C15AAC8" w14:textId="26911B1C" w:rsidR="00D86611" w:rsidRPr="00094C70" w:rsidRDefault="00D86611" w:rsidP="00094C70">
            <w:pPr>
              <w:spacing w:before="40" w:after="120"/>
              <w:ind w:right="113"/>
              <w:rPr>
                <w:lang w:val="fr-FR"/>
              </w:rPr>
            </w:pPr>
            <w:r w:rsidRPr="00094C70">
              <w:rPr>
                <w:lang w:val="fr-FR"/>
              </w:rPr>
              <w:t>4</w:t>
            </w:r>
            <w:r w:rsidR="00780216" w:rsidRPr="00094C70">
              <w:rPr>
                <w:lang w:val="fr-FR"/>
              </w:rPr>
              <w:t> %</w:t>
            </w:r>
            <w:r w:rsidRPr="00094C70">
              <w:rPr>
                <w:lang w:val="fr-FR"/>
              </w:rPr>
              <w:t xml:space="preserve"> d’ici à 2030 par rapport au scénario tendanciel (cible inconditionnelle pour 1</w:t>
            </w:r>
            <w:r w:rsidR="00780216" w:rsidRPr="00094C70">
              <w:rPr>
                <w:lang w:val="fr-FR"/>
              </w:rPr>
              <w:t> %</w:t>
            </w:r>
            <w:r w:rsidRPr="00094C70">
              <w:rPr>
                <w:lang w:val="fr-FR"/>
              </w:rPr>
              <w:t>, conditionnelle pour</w:t>
            </w:r>
            <w:r w:rsidR="00E5173E">
              <w:rPr>
                <w:lang w:val="fr-FR"/>
              </w:rPr>
              <w:t> </w:t>
            </w:r>
            <w:r w:rsidRPr="00094C70">
              <w:rPr>
                <w:lang w:val="fr-FR"/>
              </w:rPr>
              <w:t>3</w:t>
            </w:r>
            <w:r w:rsidR="00780216" w:rsidRPr="00094C70">
              <w:rPr>
                <w:lang w:val="fr-FR"/>
              </w:rPr>
              <w:t> %</w:t>
            </w:r>
            <w:r w:rsidRPr="00094C70">
              <w:rPr>
                <w:lang w:val="fr-FR"/>
              </w:rPr>
              <w:t>)</w:t>
            </w:r>
          </w:p>
        </w:tc>
        <w:tc>
          <w:tcPr>
            <w:tcW w:w="1416" w:type="dxa"/>
            <w:tcBorders>
              <w:bottom w:val="single" w:sz="12" w:space="0" w:color="auto"/>
            </w:tcBorders>
            <w:shd w:val="clear" w:color="auto" w:fill="auto"/>
            <w:tcMar>
              <w:top w:w="0" w:type="dxa"/>
              <w:left w:w="0" w:type="dxa"/>
              <w:bottom w:w="0" w:type="dxa"/>
              <w:right w:w="0" w:type="dxa"/>
            </w:tcMar>
          </w:tcPr>
          <w:p w14:paraId="56459445" w14:textId="77777777" w:rsidR="00D86611" w:rsidRPr="00094C70" w:rsidRDefault="00D86611" w:rsidP="00094C70">
            <w:pPr>
              <w:spacing w:before="40" w:after="120"/>
              <w:ind w:right="113"/>
            </w:pPr>
            <w:r w:rsidRPr="00094C70">
              <w:rPr>
                <w:lang w:val="fr-FR"/>
              </w:rPr>
              <w:t>Inconditionnel, conditionnel</w:t>
            </w:r>
          </w:p>
        </w:tc>
      </w:tr>
    </w:tbl>
    <w:p w14:paraId="219148D9" w14:textId="77777777" w:rsidR="00D86611" w:rsidRDefault="00D86611" w:rsidP="00D86611">
      <w:pPr>
        <w:pStyle w:val="HChG"/>
      </w:pPr>
      <w:bookmarkStart w:id="14" w:name="_bkn157vmkl87" w:colFirst="0" w:colLast="0"/>
      <w:bookmarkEnd w:id="14"/>
      <w:r>
        <w:br w:type="page"/>
      </w:r>
    </w:p>
    <w:p w14:paraId="5DA46015" w14:textId="77777777" w:rsidR="00D86611" w:rsidRDefault="00D86611" w:rsidP="00D86611">
      <w:pPr>
        <w:pStyle w:val="HChG"/>
      </w:pPr>
      <w:r>
        <w:rPr>
          <w:bCs/>
          <w:lang w:val="fr-FR"/>
        </w:rPr>
        <w:lastRenderedPageBreak/>
        <w:t>Annexe II</w:t>
      </w:r>
    </w:p>
    <w:p w14:paraId="0606FFC4" w14:textId="0491AFE2" w:rsidR="00D86611" w:rsidRDefault="00D86611" w:rsidP="00D86611">
      <w:pPr>
        <w:pStyle w:val="HChG"/>
        <w:rPr>
          <w:bCs/>
          <w:lang w:val="fr-FR"/>
        </w:rPr>
      </w:pPr>
      <w:r>
        <w:rPr>
          <w:lang w:val="fr-FR"/>
        </w:rPr>
        <w:tab/>
      </w:r>
      <w:r>
        <w:rPr>
          <w:lang w:val="fr-FR"/>
        </w:rPr>
        <w:tab/>
      </w:r>
      <w:r>
        <w:rPr>
          <w:bCs/>
          <w:lang w:val="fr-FR"/>
        </w:rPr>
        <w:t xml:space="preserve">Objectifs d’atténuation des émissions de gaz à effet de serre dues aux transports dans les stratégies à long terme, </w:t>
      </w:r>
      <w:r w:rsidR="008B6554">
        <w:rPr>
          <w:bCs/>
          <w:lang w:val="fr-FR"/>
        </w:rPr>
        <w:br/>
      </w:r>
      <w:r>
        <w:rPr>
          <w:bCs/>
          <w:lang w:val="fr-FR"/>
        </w:rPr>
        <w:t>à la fin de l’année 2022</w:t>
      </w:r>
    </w:p>
    <w:tbl>
      <w:tblPr>
        <w:tblW w:w="7370" w:type="dxa"/>
        <w:tblInd w:w="1134" w:type="dxa"/>
        <w:tblLayout w:type="fixed"/>
        <w:tblCellMar>
          <w:left w:w="0" w:type="dxa"/>
          <w:right w:w="0" w:type="dxa"/>
        </w:tblCellMar>
        <w:tblLook w:val="0600" w:firstRow="0" w:lastRow="0" w:firstColumn="0" w:lastColumn="0" w:noHBand="1" w:noVBand="1"/>
      </w:tblPr>
      <w:tblGrid>
        <w:gridCol w:w="1778"/>
        <w:gridCol w:w="5592"/>
      </w:tblGrid>
      <w:tr w:rsidR="00D86611" w:rsidRPr="008B6554" w14:paraId="3D8F9BC6" w14:textId="77777777" w:rsidTr="00E5173E">
        <w:trPr>
          <w:tblHeader/>
        </w:trPr>
        <w:tc>
          <w:tcPr>
            <w:tcW w:w="1778"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0486056" w14:textId="77777777" w:rsidR="00D86611" w:rsidRPr="008B6554" w:rsidRDefault="00D86611" w:rsidP="008B6554">
            <w:pPr>
              <w:spacing w:before="80" w:after="80" w:line="200" w:lineRule="exact"/>
              <w:ind w:right="113"/>
              <w:rPr>
                <w:i/>
                <w:sz w:val="16"/>
              </w:rPr>
            </w:pPr>
            <w:r w:rsidRPr="008B6554">
              <w:rPr>
                <w:i/>
                <w:sz w:val="16"/>
                <w:lang w:val="fr-FR"/>
              </w:rPr>
              <w:t>Pays</w:t>
            </w:r>
          </w:p>
        </w:tc>
        <w:tc>
          <w:tcPr>
            <w:tcW w:w="559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3A49FB4" w14:textId="77777777" w:rsidR="00D86611" w:rsidRPr="008B6554" w:rsidRDefault="00D86611" w:rsidP="008B6554">
            <w:pPr>
              <w:spacing w:before="80" w:after="80" w:line="200" w:lineRule="exact"/>
              <w:ind w:right="113"/>
              <w:rPr>
                <w:i/>
                <w:sz w:val="16"/>
                <w:lang w:val="fr-FR"/>
              </w:rPr>
            </w:pPr>
            <w:r w:rsidRPr="008B6554">
              <w:rPr>
                <w:i/>
                <w:sz w:val="16"/>
                <w:lang w:val="fr-FR"/>
              </w:rPr>
              <w:t>Objectifs d’atténuation des émissions de gaz à effet de serre dues aux transports</w:t>
            </w:r>
          </w:p>
        </w:tc>
      </w:tr>
      <w:tr w:rsidR="008B6554" w:rsidRPr="008B6554" w14:paraId="039B6E00" w14:textId="77777777" w:rsidTr="00E5173E">
        <w:trPr>
          <w:trHeight w:hRule="exact" w:val="113"/>
          <w:tblHeader/>
        </w:trPr>
        <w:tc>
          <w:tcPr>
            <w:tcW w:w="1778" w:type="dxa"/>
            <w:tcBorders>
              <w:top w:val="single" w:sz="12" w:space="0" w:color="auto"/>
            </w:tcBorders>
            <w:shd w:val="clear" w:color="auto" w:fill="auto"/>
            <w:tcMar>
              <w:top w:w="0" w:type="dxa"/>
              <w:left w:w="0" w:type="dxa"/>
              <w:bottom w:w="0" w:type="dxa"/>
              <w:right w:w="0" w:type="dxa"/>
            </w:tcMar>
          </w:tcPr>
          <w:p w14:paraId="0FA095E8" w14:textId="77777777" w:rsidR="008B6554" w:rsidRPr="008B6554" w:rsidRDefault="008B6554" w:rsidP="008B6554">
            <w:pPr>
              <w:spacing w:before="40" w:after="120"/>
              <w:ind w:right="113"/>
              <w:rPr>
                <w:lang w:val="fr-FR"/>
              </w:rPr>
            </w:pPr>
          </w:p>
        </w:tc>
        <w:tc>
          <w:tcPr>
            <w:tcW w:w="5592" w:type="dxa"/>
            <w:tcBorders>
              <w:top w:val="single" w:sz="12" w:space="0" w:color="auto"/>
            </w:tcBorders>
            <w:shd w:val="clear" w:color="auto" w:fill="auto"/>
            <w:tcMar>
              <w:top w:w="0" w:type="dxa"/>
              <w:left w:w="0" w:type="dxa"/>
              <w:bottom w:w="0" w:type="dxa"/>
              <w:right w:w="0" w:type="dxa"/>
            </w:tcMar>
          </w:tcPr>
          <w:p w14:paraId="1EA38E6B" w14:textId="77777777" w:rsidR="008B6554" w:rsidRPr="008B6554" w:rsidRDefault="008B6554" w:rsidP="008B6554">
            <w:pPr>
              <w:spacing w:before="40" w:after="120"/>
              <w:ind w:right="113"/>
              <w:rPr>
                <w:lang w:val="fr-FR"/>
              </w:rPr>
            </w:pPr>
          </w:p>
        </w:tc>
      </w:tr>
      <w:tr w:rsidR="008B6554" w:rsidRPr="008B6554" w14:paraId="2EA3DF1B" w14:textId="77777777" w:rsidTr="00E5173E">
        <w:tc>
          <w:tcPr>
            <w:tcW w:w="1778" w:type="dxa"/>
            <w:shd w:val="clear" w:color="auto" w:fill="auto"/>
            <w:tcMar>
              <w:top w:w="0" w:type="dxa"/>
              <w:left w:w="0" w:type="dxa"/>
              <w:bottom w:w="0" w:type="dxa"/>
              <w:right w:w="0" w:type="dxa"/>
            </w:tcMar>
          </w:tcPr>
          <w:p w14:paraId="7B58856B" w14:textId="77777777" w:rsidR="008B6554" w:rsidRPr="008B6554" w:rsidRDefault="008B6554" w:rsidP="009E5D1F">
            <w:pPr>
              <w:spacing w:before="40" w:after="120"/>
              <w:ind w:right="113"/>
            </w:pPr>
            <w:r w:rsidRPr="008B6554">
              <w:rPr>
                <w:lang w:val="fr-FR"/>
              </w:rPr>
              <w:t>Allemagne</w:t>
            </w:r>
          </w:p>
        </w:tc>
        <w:tc>
          <w:tcPr>
            <w:tcW w:w="5592" w:type="dxa"/>
            <w:shd w:val="clear" w:color="auto" w:fill="auto"/>
            <w:tcMar>
              <w:top w:w="0" w:type="dxa"/>
              <w:left w:w="0" w:type="dxa"/>
              <w:bottom w:w="0" w:type="dxa"/>
              <w:right w:w="0" w:type="dxa"/>
            </w:tcMar>
          </w:tcPr>
          <w:p w14:paraId="0E034612" w14:textId="4937BE0C" w:rsidR="008B6554" w:rsidRPr="008B6554" w:rsidRDefault="008B6554" w:rsidP="009E5D1F">
            <w:pPr>
              <w:spacing w:before="40" w:after="120"/>
              <w:ind w:right="113"/>
              <w:rPr>
                <w:lang w:val="fr-FR"/>
              </w:rPr>
            </w:pPr>
            <w:r w:rsidRPr="008B6554">
              <w:rPr>
                <w:lang w:val="fr-FR"/>
              </w:rPr>
              <w:t>D’ici à 2030, réduire de 40 à 42 % les émissions de CO</w:t>
            </w:r>
            <w:r w:rsidR="00D07931" w:rsidRPr="00D07931">
              <w:rPr>
                <w:vertAlign w:val="subscript"/>
                <w:lang w:val="fr-FR"/>
              </w:rPr>
              <w:t>2</w:t>
            </w:r>
            <w:r w:rsidRPr="008B6554">
              <w:rPr>
                <w:vertAlign w:val="subscript"/>
                <w:lang w:val="fr-FR"/>
              </w:rPr>
              <w:t>eq</w:t>
            </w:r>
            <w:r w:rsidRPr="008B6554">
              <w:rPr>
                <w:lang w:val="fr-FR"/>
              </w:rPr>
              <w:t xml:space="preserve"> par rapport aux niveaux de 1990 (soit une diminution d’environ 95 à</w:t>
            </w:r>
            <w:r w:rsidR="00E5173E">
              <w:rPr>
                <w:lang w:val="fr-FR"/>
              </w:rPr>
              <w:t> </w:t>
            </w:r>
            <w:r w:rsidRPr="008B6554">
              <w:rPr>
                <w:lang w:val="fr-FR"/>
              </w:rPr>
              <w:t>98</w:t>
            </w:r>
            <w:r>
              <w:rPr>
                <w:lang w:val="fr-FR"/>
              </w:rPr>
              <w:t> </w:t>
            </w:r>
            <w:r w:rsidRPr="008B6554">
              <w:rPr>
                <w:lang w:val="fr-FR"/>
              </w:rPr>
              <w:t>millions de</w:t>
            </w:r>
            <w:r w:rsidR="001268E3">
              <w:rPr>
                <w:lang w:val="fr-FR"/>
              </w:rPr>
              <w:t> </w:t>
            </w:r>
            <w:r w:rsidRPr="008B6554">
              <w:rPr>
                <w:lang w:val="fr-FR"/>
              </w:rPr>
              <w:t>tonnes de CO</w:t>
            </w:r>
            <w:r w:rsidRPr="008B6554">
              <w:rPr>
                <w:vertAlign w:val="subscript"/>
                <w:lang w:val="fr-FR"/>
              </w:rPr>
              <w:t>2eq</w:t>
            </w:r>
            <w:r w:rsidRPr="008B6554">
              <w:rPr>
                <w:lang w:val="fr-FR"/>
              </w:rPr>
              <w:t>)</w:t>
            </w:r>
          </w:p>
        </w:tc>
      </w:tr>
      <w:tr w:rsidR="00E861DF" w:rsidRPr="008B6554" w14:paraId="3FFAA8D7" w14:textId="77777777" w:rsidTr="00E5173E">
        <w:tc>
          <w:tcPr>
            <w:tcW w:w="1778" w:type="dxa"/>
            <w:shd w:val="clear" w:color="auto" w:fill="auto"/>
            <w:tcMar>
              <w:top w:w="0" w:type="dxa"/>
              <w:left w:w="0" w:type="dxa"/>
              <w:bottom w:w="0" w:type="dxa"/>
              <w:right w:w="0" w:type="dxa"/>
            </w:tcMar>
          </w:tcPr>
          <w:p w14:paraId="32A7CFED" w14:textId="25A8E163" w:rsidR="00E861DF" w:rsidRPr="008B6554" w:rsidRDefault="00E861DF" w:rsidP="009E5D1F">
            <w:pPr>
              <w:spacing w:before="40" w:after="120"/>
              <w:ind w:right="113"/>
              <w:rPr>
                <w:lang w:val="fr-FR"/>
              </w:rPr>
            </w:pPr>
            <w:r w:rsidRPr="008B6554">
              <w:rPr>
                <w:lang w:val="fr-FR"/>
              </w:rPr>
              <w:t>Belgique</w:t>
            </w:r>
          </w:p>
        </w:tc>
        <w:tc>
          <w:tcPr>
            <w:tcW w:w="5592" w:type="dxa"/>
            <w:shd w:val="clear" w:color="auto" w:fill="auto"/>
            <w:tcMar>
              <w:top w:w="0" w:type="dxa"/>
              <w:left w:w="0" w:type="dxa"/>
              <w:bottom w:w="0" w:type="dxa"/>
              <w:right w:w="0" w:type="dxa"/>
            </w:tcMar>
          </w:tcPr>
          <w:p w14:paraId="6AE07523" w14:textId="674028F3" w:rsidR="00E861DF" w:rsidRPr="008B6554" w:rsidRDefault="00E861DF" w:rsidP="009E5D1F">
            <w:pPr>
              <w:spacing w:before="40" w:after="120"/>
              <w:ind w:right="113"/>
              <w:rPr>
                <w:lang w:val="fr-FR"/>
              </w:rPr>
            </w:pPr>
            <w:r w:rsidRPr="008B6554">
              <w:rPr>
                <w:lang w:val="fr-FR"/>
              </w:rPr>
              <w:t>Réduire à zéro les émissions du secteur des transports (passagers e</w:t>
            </w:r>
            <w:r>
              <w:rPr>
                <w:lang w:val="fr-FR"/>
              </w:rPr>
              <w:t>t </w:t>
            </w:r>
            <w:r w:rsidRPr="008B6554">
              <w:rPr>
                <w:lang w:val="fr-FR"/>
              </w:rPr>
              <w:t>marchandises) d’ici à 2</w:t>
            </w:r>
            <w:r>
              <w:rPr>
                <w:lang w:val="fr-FR"/>
              </w:rPr>
              <w:t>050</w:t>
            </w:r>
          </w:p>
        </w:tc>
      </w:tr>
      <w:tr w:rsidR="008B6554" w:rsidRPr="008B6554" w14:paraId="4C851DBF" w14:textId="77777777" w:rsidTr="00E5173E">
        <w:tc>
          <w:tcPr>
            <w:tcW w:w="1778" w:type="dxa"/>
            <w:shd w:val="clear" w:color="auto" w:fill="auto"/>
            <w:tcMar>
              <w:top w:w="0" w:type="dxa"/>
              <w:left w:w="0" w:type="dxa"/>
              <w:bottom w:w="0" w:type="dxa"/>
              <w:right w:w="0" w:type="dxa"/>
            </w:tcMar>
          </w:tcPr>
          <w:p w14:paraId="1CDF9C51" w14:textId="77777777" w:rsidR="008B6554" w:rsidRPr="008B6554" w:rsidRDefault="008B6554" w:rsidP="003A0718">
            <w:pPr>
              <w:spacing w:before="40" w:after="120"/>
              <w:ind w:right="113"/>
            </w:pPr>
            <w:r w:rsidRPr="008B6554">
              <w:rPr>
                <w:lang w:val="fr-FR"/>
              </w:rPr>
              <w:t>Espagne</w:t>
            </w:r>
          </w:p>
        </w:tc>
        <w:tc>
          <w:tcPr>
            <w:tcW w:w="5592" w:type="dxa"/>
            <w:shd w:val="clear" w:color="auto" w:fill="auto"/>
            <w:tcMar>
              <w:top w:w="0" w:type="dxa"/>
              <w:left w:w="0" w:type="dxa"/>
              <w:bottom w:w="0" w:type="dxa"/>
              <w:right w:w="0" w:type="dxa"/>
            </w:tcMar>
          </w:tcPr>
          <w:p w14:paraId="497C9C4D" w14:textId="2D9B3451" w:rsidR="008B6554" w:rsidRPr="008B6554" w:rsidRDefault="008B6554" w:rsidP="003A0718">
            <w:pPr>
              <w:spacing w:before="40" w:after="120"/>
              <w:ind w:right="113"/>
              <w:rPr>
                <w:lang w:val="fr-FR"/>
              </w:rPr>
            </w:pPr>
            <w:r w:rsidRPr="008B6554">
              <w:rPr>
                <w:lang w:val="fr-FR"/>
              </w:rPr>
              <w:t>D’ici à 2030, réduire de 30 % par rapport au scénario tendanciel les</w:t>
            </w:r>
            <w:r w:rsidR="001268E3">
              <w:rPr>
                <w:lang w:val="fr-FR"/>
              </w:rPr>
              <w:t> </w:t>
            </w:r>
            <w:r w:rsidRPr="008B6554">
              <w:rPr>
                <w:lang w:val="fr-FR"/>
              </w:rPr>
              <w:t xml:space="preserve">émissions de CO₂ dues aux transports </w:t>
            </w:r>
          </w:p>
        </w:tc>
      </w:tr>
      <w:tr w:rsidR="00D86611" w:rsidRPr="008B6554" w14:paraId="11764BF6" w14:textId="77777777" w:rsidTr="00E5173E">
        <w:tc>
          <w:tcPr>
            <w:tcW w:w="1778" w:type="dxa"/>
            <w:shd w:val="clear" w:color="auto" w:fill="auto"/>
            <w:tcMar>
              <w:top w:w="0" w:type="dxa"/>
              <w:left w:w="0" w:type="dxa"/>
              <w:bottom w:w="0" w:type="dxa"/>
              <w:right w:w="0" w:type="dxa"/>
            </w:tcMar>
          </w:tcPr>
          <w:p w14:paraId="79915824" w14:textId="77777777" w:rsidR="00D86611" w:rsidRPr="008B6554" w:rsidRDefault="00D86611" w:rsidP="008B6554">
            <w:pPr>
              <w:spacing w:before="40" w:after="120"/>
              <w:ind w:right="113"/>
            </w:pPr>
            <w:r w:rsidRPr="008B6554">
              <w:rPr>
                <w:lang w:val="fr-FR"/>
              </w:rPr>
              <w:t>Japon</w:t>
            </w:r>
          </w:p>
        </w:tc>
        <w:tc>
          <w:tcPr>
            <w:tcW w:w="5592" w:type="dxa"/>
            <w:shd w:val="clear" w:color="auto" w:fill="auto"/>
            <w:tcMar>
              <w:top w:w="0" w:type="dxa"/>
              <w:left w:w="0" w:type="dxa"/>
              <w:bottom w:w="0" w:type="dxa"/>
              <w:right w:w="0" w:type="dxa"/>
            </w:tcMar>
          </w:tcPr>
          <w:p w14:paraId="57EF46A7" w14:textId="0085642E" w:rsidR="00D86611" w:rsidRPr="008B6554" w:rsidRDefault="00D86611" w:rsidP="008B6554">
            <w:pPr>
              <w:spacing w:before="40" w:after="120"/>
              <w:ind w:right="113"/>
              <w:rPr>
                <w:lang w:val="fr-FR"/>
              </w:rPr>
            </w:pPr>
            <w:r w:rsidRPr="008B6554">
              <w:rPr>
                <w:lang w:val="fr-FR"/>
              </w:rPr>
              <w:t>D’ici à 2050, réduire de 80</w:t>
            </w:r>
            <w:r w:rsidR="00780216" w:rsidRPr="008B6554">
              <w:rPr>
                <w:lang w:val="fr-FR"/>
              </w:rPr>
              <w:t> %</w:t>
            </w:r>
            <w:r w:rsidRPr="008B6554">
              <w:rPr>
                <w:lang w:val="fr-FR"/>
              </w:rPr>
              <w:t xml:space="preserve"> par véhicule les émissions de GES dues aux</w:t>
            </w:r>
            <w:r w:rsidR="00E5173E">
              <w:rPr>
                <w:lang w:val="fr-FR"/>
              </w:rPr>
              <w:t xml:space="preserve"> </w:t>
            </w:r>
            <w:r w:rsidRPr="008B6554">
              <w:rPr>
                <w:lang w:val="fr-FR"/>
              </w:rPr>
              <w:t>transports</w:t>
            </w:r>
          </w:p>
        </w:tc>
      </w:tr>
      <w:tr w:rsidR="00D86611" w:rsidRPr="008B6554" w14:paraId="77D5AD3F" w14:textId="77777777" w:rsidTr="00E5173E">
        <w:tc>
          <w:tcPr>
            <w:tcW w:w="1778" w:type="dxa"/>
            <w:shd w:val="clear" w:color="auto" w:fill="auto"/>
            <w:tcMar>
              <w:top w:w="0" w:type="dxa"/>
              <w:left w:w="0" w:type="dxa"/>
              <w:bottom w:w="0" w:type="dxa"/>
              <w:right w:w="0" w:type="dxa"/>
            </w:tcMar>
          </w:tcPr>
          <w:p w14:paraId="024CE74D" w14:textId="77777777" w:rsidR="00D86611" w:rsidRPr="008B6554" w:rsidRDefault="00D86611" w:rsidP="008B6554">
            <w:pPr>
              <w:spacing w:before="40" w:after="120"/>
              <w:ind w:right="113"/>
            </w:pPr>
            <w:r w:rsidRPr="008B6554">
              <w:rPr>
                <w:lang w:val="fr-FR"/>
              </w:rPr>
              <w:t>Lituanie</w:t>
            </w:r>
          </w:p>
        </w:tc>
        <w:tc>
          <w:tcPr>
            <w:tcW w:w="5592" w:type="dxa"/>
            <w:shd w:val="clear" w:color="auto" w:fill="auto"/>
            <w:tcMar>
              <w:top w:w="0" w:type="dxa"/>
              <w:left w:w="0" w:type="dxa"/>
              <w:bottom w:w="0" w:type="dxa"/>
              <w:right w:w="0" w:type="dxa"/>
            </w:tcMar>
          </w:tcPr>
          <w:p w14:paraId="5B521AA9" w14:textId="58DEC448" w:rsidR="00D86611" w:rsidRPr="008B6554" w:rsidRDefault="00D86611" w:rsidP="008B6554">
            <w:pPr>
              <w:spacing w:before="40" w:after="120"/>
              <w:ind w:right="113"/>
              <w:rPr>
                <w:lang w:val="fr-FR"/>
              </w:rPr>
            </w:pPr>
            <w:r w:rsidRPr="008B6554">
              <w:rPr>
                <w:lang w:val="fr-FR"/>
              </w:rPr>
              <w:t>D’ici à 2030, réduire d’au moins 14</w:t>
            </w:r>
            <w:r w:rsidR="00780216" w:rsidRPr="008B6554">
              <w:rPr>
                <w:lang w:val="fr-FR"/>
              </w:rPr>
              <w:t> %</w:t>
            </w:r>
            <w:r w:rsidRPr="008B6554">
              <w:rPr>
                <w:lang w:val="fr-FR"/>
              </w:rPr>
              <w:t xml:space="preserve"> les émissions de GES dues aux transports par rapport aux niveaux de 2005, et de 90</w:t>
            </w:r>
            <w:r w:rsidR="00780216" w:rsidRPr="008B6554">
              <w:rPr>
                <w:lang w:val="fr-FR"/>
              </w:rPr>
              <w:t> %</w:t>
            </w:r>
            <w:r w:rsidRPr="008B6554">
              <w:rPr>
                <w:lang w:val="fr-FR"/>
              </w:rPr>
              <w:t xml:space="preserve"> d’ici à</w:t>
            </w:r>
            <w:r w:rsidR="00E5173E">
              <w:rPr>
                <w:lang w:val="fr-FR"/>
              </w:rPr>
              <w:t> </w:t>
            </w:r>
            <w:r w:rsidRPr="008B6554">
              <w:rPr>
                <w:lang w:val="fr-FR"/>
              </w:rPr>
              <w:t>2050 par</w:t>
            </w:r>
            <w:r w:rsidR="00E50B42">
              <w:rPr>
                <w:lang w:val="fr-FR"/>
              </w:rPr>
              <w:t> </w:t>
            </w:r>
            <w:r w:rsidRPr="008B6554">
              <w:rPr>
                <w:lang w:val="fr-FR"/>
              </w:rPr>
              <w:t>rapport aux niveaux de 1990</w:t>
            </w:r>
          </w:p>
        </w:tc>
      </w:tr>
      <w:tr w:rsidR="00D86611" w:rsidRPr="008B6554" w14:paraId="4763CA1F" w14:textId="77777777" w:rsidTr="00E5173E">
        <w:tc>
          <w:tcPr>
            <w:tcW w:w="1778" w:type="dxa"/>
            <w:shd w:val="clear" w:color="auto" w:fill="auto"/>
            <w:tcMar>
              <w:top w:w="0" w:type="dxa"/>
              <w:left w:w="0" w:type="dxa"/>
              <w:bottom w:w="0" w:type="dxa"/>
              <w:right w:w="0" w:type="dxa"/>
            </w:tcMar>
          </w:tcPr>
          <w:p w14:paraId="5B643149" w14:textId="77777777" w:rsidR="00D86611" w:rsidRPr="008B6554" w:rsidRDefault="00D86611" w:rsidP="008B6554">
            <w:pPr>
              <w:spacing w:before="40" w:after="120"/>
              <w:ind w:right="113"/>
            </w:pPr>
            <w:r w:rsidRPr="008B6554">
              <w:rPr>
                <w:lang w:val="fr-FR"/>
              </w:rPr>
              <w:t>Nouvelle-Zélande</w:t>
            </w:r>
          </w:p>
        </w:tc>
        <w:tc>
          <w:tcPr>
            <w:tcW w:w="5592" w:type="dxa"/>
            <w:shd w:val="clear" w:color="auto" w:fill="auto"/>
            <w:tcMar>
              <w:top w:w="0" w:type="dxa"/>
              <w:left w:w="0" w:type="dxa"/>
              <w:bottom w:w="0" w:type="dxa"/>
              <w:right w:w="0" w:type="dxa"/>
            </w:tcMar>
          </w:tcPr>
          <w:p w14:paraId="2DC3B0D6" w14:textId="71F40C9C" w:rsidR="00D86611" w:rsidRPr="008B6554" w:rsidRDefault="00D86611" w:rsidP="008B6554">
            <w:pPr>
              <w:spacing w:before="40" w:after="120"/>
              <w:ind w:right="113"/>
              <w:rPr>
                <w:lang w:val="fr-FR"/>
              </w:rPr>
            </w:pPr>
            <w:r w:rsidRPr="008B6554">
              <w:rPr>
                <w:lang w:val="fr-FR"/>
              </w:rPr>
              <w:t>D’ici à 2050, réduire à zéro les émissions nettes du secteur des</w:t>
            </w:r>
            <w:r w:rsidR="00E5173E">
              <w:rPr>
                <w:lang w:val="fr-FR"/>
              </w:rPr>
              <w:t> </w:t>
            </w:r>
            <w:r w:rsidRPr="008B6554">
              <w:rPr>
                <w:lang w:val="fr-FR"/>
              </w:rPr>
              <w:t>transports</w:t>
            </w:r>
          </w:p>
        </w:tc>
      </w:tr>
      <w:tr w:rsidR="00D86611" w:rsidRPr="008B6554" w14:paraId="3606EE44" w14:textId="77777777" w:rsidTr="00E5173E">
        <w:tc>
          <w:tcPr>
            <w:tcW w:w="1778" w:type="dxa"/>
            <w:shd w:val="clear" w:color="auto" w:fill="auto"/>
            <w:tcMar>
              <w:top w:w="0" w:type="dxa"/>
              <w:left w:w="0" w:type="dxa"/>
              <w:bottom w:w="0" w:type="dxa"/>
              <w:right w:w="0" w:type="dxa"/>
            </w:tcMar>
          </w:tcPr>
          <w:p w14:paraId="5A4DF2EF" w14:textId="77777777" w:rsidR="00D86611" w:rsidRPr="008B6554" w:rsidRDefault="00D86611" w:rsidP="008B6554">
            <w:pPr>
              <w:spacing w:before="40" w:after="120"/>
              <w:ind w:right="113"/>
            </w:pPr>
            <w:r w:rsidRPr="008B6554">
              <w:rPr>
                <w:lang w:val="fr-FR"/>
              </w:rPr>
              <w:t>Portugal</w:t>
            </w:r>
          </w:p>
        </w:tc>
        <w:tc>
          <w:tcPr>
            <w:tcW w:w="5592" w:type="dxa"/>
            <w:shd w:val="clear" w:color="auto" w:fill="auto"/>
            <w:tcMar>
              <w:top w:w="0" w:type="dxa"/>
              <w:left w:w="0" w:type="dxa"/>
              <w:bottom w:w="0" w:type="dxa"/>
              <w:right w:w="0" w:type="dxa"/>
            </w:tcMar>
          </w:tcPr>
          <w:p w14:paraId="7B6D9556" w14:textId="78EE3203" w:rsidR="00D86611" w:rsidRPr="008B6554" w:rsidRDefault="00D86611" w:rsidP="008B6554">
            <w:pPr>
              <w:spacing w:before="40" w:after="120"/>
              <w:ind w:right="113"/>
              <w:rPr>
                <w:lang w:val="fr-FR"/>
              </w:rPr>
            </w:pPr>
            <w:r w:rsidRPr="008B6554">
              <w:rPr>
                <w:lang w:val="fr-FR"/>
              </w:rPr>
              <w:t>Réduire de 43 à 46</w:t>
            </w:r>
            <w:r w:rsidR="00780216" w:rsidRPr="008B6554">
              <w:rPr>
                <w:lang w:val="fr-FR"/>
              </w:rPr>
              <w:t> %</w:t>
            </w:r>
            <w:r w:rsidRPr="008B6554">
              <w:rPr>
                <w:lang w:val="fr-FR"/>
              </w:rPr>
              <w:t xml:space="preserve"> les émissions de CO</w:t>
            </w:r>
            <w:r w:rsidR="00E50B42" w:rsidRPr="00E50B42">
              <w:rPr>
                <w:vertAlign w:val="subscript"/>
                <w:lang w:val="fr-FR"/>
              </w:rPr>
              <w:t>2</w:t>
            </w:r>
            <w:r w:rsidRPr="008B6554">
              <w:rPr>
                <w:lang w:val="fr-FR"/>
              </w:rPr>
              <w:t xml:space="preserve"> dues aux transports d’ici à 2030, de 84 ou 85</w:t>
            </w:r>
            <w:r w:rsidR="00780216" w:rsidRPr="008B6554">
              <w:rPr>
                <w:lang w:val="fr-FR"/>
              </w:rPr>
              <w:t> %</w:t>
            </w:r>
            <w:r w:rsidRPr="008B6554">
              <w:rPr>
                <w:lang w:val="fr-FR"/>
              </w:rPr>
              <w:t xml:space="preserve"> d’ici à 2040, et de 98</w:t>
            </w:r>
            <w:r w:rsidR="00780216" w:rsidRPr="008B6554">
              <w:rPr>
                <w:lang w:val="fr-FR"/>
              </w:rPr>
              <w:t> %</w:t>
            </w:r>
            <w:r w:rsidRPr="008B6554">
              <w:rPr>
                <w:lang w:val="fr-FR"/>
              </w:rPr>
              <w:t xml:space="preserve"> d’ici à 2050 (par rapport aux</w:t>
            </w:r>
            <w:r w:rsidR="00E50B42">
              <w:rPr>
                <w:lang w:val="fr-FR"/>
              </w:rPr>
              <w:t> </w:t>
            </w:r>
            <w:r w:rsidRPr="008B6554">
              <w:rPr>
                <w:lang w:val="fr-FR"/>
              </w:rPr>
              <w:t xml:space="preserve">niveaux de 2005) </w:t>
            </w:r>
          </w:p>
        </w:tc>
      </w:tr>
      <w:tr w:rsidR="008B6554" w:rsidRPr="008B6554" w14:paraId="4EAC4441" w14:textId="77777777" w:rsidTr="00E5173E">
        <w:tc>
          <w:tcPr>
            <w:tcW w:w="1778" w:type="dxa"/>
            <w:shd w:val="clear" w:color="auto" w:fill="auto"/>
            <w:tcMar>
              <w:top w:w="0" w:type="dxa"/>
              <w:left w:w="0" w:type="dxa"/>
              <w:bottom w:w="0" w:type="dxa"/>
              <w:right w:w="0" w:type="dxa"/>
            </w:tcMar>
          </w:tcPr>
          <w:p w14:paraId="57243A9D" w14:textId="77777777" w:rsidR="008B6554" w:rsidRPr="008B6554" w:rsidRDefault="008B6554" w:rsidP="00FB17CB">
            <w:pPr>
              <w:spacing w:before="40" w:after="120"/>
              <w:ind w:right="113"/>
            </w:pPr>
            <w:r w:rsidRPr="008B6554">
              <w:rPr>
                <w:lang w:val="fr-FR"/>
              </w:rPr>
              <w:t>Royaume-Uni</w:t>
            </w:r>
          </w:p>
        </w:tc>
        <w:tc>
          <w:tcPr>
            <w:tcW w:w="5592" w:type="dxa"/>
            <w:shd w:val="clear" w:color="auto" w:fill="auto"/>
            <w:tcMar>
              <w:top w:w="0" w:type="dxa"/>
              <w:left w:w="0" w:type="dxa"/>
              <w:bottom w:w="0" w:type="dxa"/>
              <w:right w:w="0" w:type="dxa"/>
            </w:tcMar>
          </w:tcPr>
          <w:p w14:paraId="23E977F9" w14:textId="77777777" w:rsidR="008B6554" w:rsidRPr="008B6554" w:rsidRDefault="008B6554" w:rsidP="00FB17CB">
            <w:pPr>
              <w:spacing w:before="40" w:after="120"/>
              <w:ind w:right="113"/>
              <w:rPr>
                <w:lang w:val="fr-FR"/>
              </w:rPr>
            </w:pPr>
            <w:r w:rsidRPr="008B6554">
              <w:rPr>
                <w:lang w:val="fr-FR"/>
              </w:rPr>
              <w:t>D’ici à 2050, réduire à zéro les émissions nettes dues aux transports aériens et maritimes</w:t>
            </w:r>
          </w:p>
        </w:tc>
      </w:tr>
      <w:tr w:rsidR="00D86611" w:rsidRPr="008B6554" w14:paraId="7FC90FB2" w14:textId="77777777" w:rsidTr="00E5173E">
        <w:tc>
          <w:tcPr>
            <w:tcW w:w="1778" w:type="dxa"/>
            <w:shd w:val="clear" w:color="auto" w:fill="auto"/>
            <w:tcMar>
              <w:top w:w="0" w:type="dxa"/>
              <w:left w:w="0" w:type="dxa"/>
              <w:bottom w:w="0" w:type="dxa"/>
              <w:right w:w="0" w:type="dxa"/>
            </w:tcMar>
          </w:tcPr>
          <w:p w14:paraId="42EF8171" w14:textId="77777777" w:rsidR="00D86611" w:rsidRPr="008B6554" w:rsidRDefault="00D86611" w:rsidP="008B6554">
            <w:pPr>
              <w:spacing w:before="40" w:after="120"/>
              <w:ind w:right="113"/>
            </w:pPr>
            <w:r w:rsidRPr="008B6554">
              <w:rPr>
                <w:lang w:val="fr-FR"/>
              </w:rPr>
              <w:t>Slovénie</w:t>
            </w:r>
          </w:p>
        </w:tc>
        <w:tc>
          <w:tcPr>
            <w:tcW w:w="5592" w:type="dxa"/>
            <w:shd w:val="clear" w:color="auto" w:fill="auto"/>
            <w:tcMar>
              <w:top w:w="0" w:type="dxa"/>
              <w:left w:w="0" w:type="dxa"/>
              <w:bottom w:w="0" w:type="dxa"/>
              <w:right w:w="0" w:type="dxa"/>
            </w:tcMar>
          </w:tcPr>
          <w:p w14:paraId="7945A49D" w14:textId="3CF9312C" w:rsidR="00D86611" w:rsidRPr="008B6554" w:rsidRDefault="00D86611" w:rsidP="008B6554">
            <w:pPr>
              <w:spacing w:before="40" w:after="120"/>
              <w:ind w:right="113"/>
              <w:rPr>
                <w:lang w:val="fr-FR"/>
              </w:rPr>
            </w:pPr>
            <w:r w:rsidRPr="008B6554">
              <w:rPr>
                <w:lang w:val="fr-FR"/>
              </w:rPr>
              <w:t>D’ici à 2050, réduire de 90 à 99</w:t>
            </w:r>
            <w:r w:rsidR="00780216" w:rsidRPr="008B6554">
              <w:rPr>
                <w:lang w:val="fr-FR"/>
              </w:rPr>
              <w:t> %</w:t>
            </w:r>
            <w:r w:rsidRPr="008B6554">
              <w:rPr>
                <w:lang w:val="fr-FR"/>
              </w:rPr>
              <w:t xml:space="preserve"> par rapport aux niveaux de 2005 les</w:t>
            </w:r>
            <w:r w:rsidR="00E50B42">
              <w:rPr>
                <w:lang w:val="fr-FR"/>
              </w:rPr>
              <w:t> </w:t>
            </w:r>
            <w:r w:rsidRPr="008B6554">
              <w:rPr>
                <w:lang w:val="fr-FR"/>
              </w:rPr>
              <w:t>émissions de CO</w:t>
            </w:r>
            <w:r w:rsidR="00E50B42" w:rsidRPr="00E50B42">
              <w:rPr>
                <w:vertAlign w:val="subscript"/>
                <w:lang w:val="fr-FR"/>
              </w:rPr>
              <w:t>2</w:t>
            </w:r>
            <w:r w:rsidRPr="008B6554">
              <w:rPr>
                <w:lang w:val="fr-FR"/>
              </w:rPr>
              <w:t xml:space="preserve"> dues aux transports</w:t>
            </w:r>
          </w:p>
        </w:tc>
      </w:tr>
      <w:tr w:rsidR="00D86611" w:rsidRPr="008B6554" w14:paraId="13D4C3B2" w14:textId="77777777" w:rsidTr="00E5173E">
        <w:tc>
          <w:tcPr>
            <w:tcW w:w="1778" w:type="dxa"/>
            <w:shd w:val="clear" w:color="auto" w:fill="auto"/>
            <w:tcMar>
              <w:top w:w="0" w:type="dxa"/>
              <w:left w:w="0" w:type="dxa"/>
              <w:bottom w:w="0" w:type="dxa"/>
              <w:right w:w="0" w:type="dxa"/>
            </w:tcMar>
          </w:tcPr>
          <w:p w14:paraId="106A41C5" w14:textId="77777777" w:rsidR="00D86611" w:rsidRPr="008B6554" w:rsidRDefault="00D86611" w:rsidP="008B6554">
            <w:pPr>
              <w:spacing w:before="40" w:after="120"/>
              <w:ind w:right="113"/>
            </w:pPr>
            <w:r w:rsidRPr="008B6554">
              <w:rPr>
                <w:lang w:val="fr-FR"/>
              </w:rPr>
              <w:t>Suède</w:t>
            </w:r>
          </w:p>
        </w:tc>
        <w:tc>
          <w:tcPr>
            <w:tcW w:w="5592" w:type="dxa"/>
            <w:shd w:val="clear" w:color="auto" w:fill="auto"/>
            <w:tcMar>
              <w:top w:w="0" w:type="dxa"/>
              <w:left w:w="0" w:type="dxa"/>
              <w:bottom w:w="0" w:type="dxa"/>
              <w:right w:w="0" w:type="dxa"/>
            </w:tcMar>
          </w:tcPr>
          <w:p w14:paraId="5769E075" w14:textId="7694B554" w:rsidR="00D86611" w:rsidRPr="008B6554" w:rsidRDefault="00D86611" w:rsidP="008B6554">
            <w:pPr>
              <w:spacing w:before="40" w:after="120"/>
              <w:ind w:right="113"/>
              <w:rPr>
                <w:lang w:val="fr-FR"/>
              </w:rPr>
            </w:pPr>
            <w:r w:rsidRPr="008B6554">
              <w:rPr>
                <w:lang w:val="fr-FR"/>
              </w:rPr>
              <w:t>D’ici à 2030, réduire de 70</w:t>
            </w:r>
            <w:r w:rsidR="00780216" w:rsidRPr="008B6554">
              <w:rPr>
                <w:lang w:val="fr-FR"/>
              </w:rPr>
              <w:t> %</w:t>
            </w:r>
            <w:r w:rsidRPr="008B6554">
              <w:rPr>
                <w:lang w:val="fr-FR"/>
              </w:rPr>
              <w:t xml:space="preserve"> les émissions de CO</w:t>
            </w:r>
            <w:r w:rsidR="00E50B42" w:rsidRPr="00E50B42">
              <w:rPr>
                <w:vertAlign w:val="subscript"/>
                <w:lang w:val="fr-FR"/>
              </w:rPr>
              <w:t>2</w:t>
            </w:r>
            <w:r w:rsidRPr="008B6554">
              <w:rPr>
                <w:lang w:val="fr-FR"/>
              </w:rPr>
              <w:t xml:space="preserve"> des transports intérieurs (à l’exclusion de l’aviation) par rapport aux niveaux de</w:t>
            </w:r>
            <w:r w:rsidR="00E5173E">
              <w:rPr>
                <w:lang w:val="fr-FR"/>
              </w:rPr>
              <w:t> </w:t>
            </w:r>
            <w:r w:rsidRPr="008B6554">
              <w:rPr>
                <w:lang w:val="fr-FR"/>
              </w:rPr>
              <w:t>2010</w:t>
            </w:r>
          </w:p>
        </w:tc>
      </w:tr>
      <w:tr w:rsidR="00D86611" w:rsidRPr="008B6554" w14:paraId="7B0F6AF7" w14:textId="77777777" w:rsidTr="00E5173E">
        <w:tc>
          <w:tcPr>
            <w:tcW w:w="1778" w:type="dxa"/>
            <w:tcBorders>
              <w:bottom w:val="single" w:sz="12" w:space="0" w:color="auto"/>
            </w:tcBorders>
            <w:shd w:val="clear" w:color="auto" w:fill="auto"/>
            <w:tcMar>
              <w:top w:w="0" w:type="dxa"/>
              <w:left w:w="0" w:type="dxa"/>
              <w:bottom w:w="0" w:type="dxa"/>
              <w:right w:w="0" w:type="dxa"/>
            </w:tcMar>
          </w:tcPr>
          <w:p w14:paraId="64643950" w14:textId="77777777" w:rsidR="00D86611" w:rsidRPr="008B6554" w:rsidRDefault="00D86611" w:rsidP="008B6554">
            <w:pPr>
              <w:spacing w:before="40" w:after="120"/>
              <w:ind w:right="113"/>
            </w:pPr>
            <w:r w:rsidRPr="008B6554">
              <w:rPr>
                <w:lang w:val="fr-FR"/>
              </w:rPr>
              <w:t>Suisse</w:t>
            </w:r>
          </w:p>
        </w:tc>
        <w:tc>
          <w:tcPr>
            <w:tcW w:w="5592" w:type="dxa"/>
            <w:tcBorders>
              <w:bottom w:val="single" w:sz="12" w:space="0" w:color="auto"/>
            </w:tcBorders>
            <w:shd w:val="clear" w:color="auto" w:fill="auto"/>
            <w:tcMar>
              <w:top w:w="0" w:type="dxa"/>
              <w:left w:w="0" w:type="dxa"/>
              <w:bottom w:w="0" w:type="dxa"/>
              <w:right w:w="0" w:type="dxa"/>
            </w:tcMar>
          </w:tcPr>
          <w:p w14:paraId="73F78DFF" w14:textId="2B3B4C49" w:rsidR="00D86611" w:rsidRPr="008B6554" w:rsidRDefault="00D86611" w:rsidP="008B6554">
            <w:pPr>
              <w:spacing w:before="40" w:after="120"/>
              <w:ind w:right="113"/>
            </w:pPr>
            <w:r w:rsidRPr="008B6554">
              <w:rPr>
                <w:lang w:val="fr-FR"/>
              </w:rPr>
              <w:t>D’ici à 2050, réduire à zéro les émissions de GES dues aux transports terrestres nationaux, moyennant quelques exceptions. À</w:t>
            </w:r>
            <w:r w:rsidR="00E5173E">
              <w:rPr>
                <w:lang w:val="fr-FR"/>
              </w:rPr>
              <w:t> </w:t>
            </w:r>
            <w:r w:rsidRPr="008B6554">
              <w:rPr>
                <w:lang w:val="fr-FR"/>
              </w:rPr>
              <w:t>cette date, l’aviation internationale devrait, dans la mesure du possible, ne plus produire d’émissions nettes</w:t>
            </w:r>
          </w:p>
        </w:tc>
      </w:tr>
    </w:tbl>
    <w:p w14:paraId="225679B0" w14:textId="77777777" w:rsidR="00D86611" w:rsidRPr="00F20792" w:rsidRDefault="00D86611" w:rsidP="00D86611">
      <w:pPr>
        <w:pStyle w:val="HChG"/>
        <w:ind w:left="0" w:firstLine="0"/>
        <w:rPr>
          <w:lang w:val="fr-FR"/>
        </w:rPr>
      </w:pPr>
      <w:r w:rsidRPr="00F20792">
        <w:rPr>
          <w:lang w:val="fr-FR"/>
        </w:rPr>
        <w:br w:type="page"/>
      </w:r>
    </w:p>
    <w:p w14:paraId="6A8724CF" w14:textId="77777777" w:rsidR="00D86611" w:rsidRPr="00F20792" w:rsidRDefault="00D86611" w:rsidP="00D86611">
      <w:pPr>
        <w:pStyle w:val="HChG"/>
        <w:ind w:left="0" w:firstLine="0"/>
        <w:rPr>
          <w:lang w:val="fr-FR"/>
        </w:rPr>
      </w:pPr>
      <w:r>
        <w:rPr>
          <w:bCs/>
          <w:lang w:val="fr-FR"/>
        </w:rPr>
        <w:lastRenderedPageBreak/>
        <w:t>Annexe III</w:t>
      </w:r>
    </w:p>
    <w:p w14:paraId="5D9C0B2A" w14:textId="6B1A800C" w:rsidR="00D86611" w:rsidRDefault="00D86611" w:rsidP="00D86611">
      <w:pPr>
        <w:pStyle w:val="HChG"/>
        <w:ind w:firstLine="0"/>
        <w:rPr>
          <w:bCs/>
          <w:lang w:val="fr-FR"/>
        </w:rPr>
      </w:pPr>
      <w:r>
        <w:rPr>
          <w:bCs/>
          <w:lang w:val="fr-FR"/>
        </w:rPr>
        <w:t xml:space="preserve">Objectifs en matière de mobilité électrique figurant </w:t>
      </w:r>
      <w:r w:rsidR="008B6554">
        <w:rPr>
          <w:bCs/>
          <w:lang w:val="fr-FR"/>
        </w:rPr>
        <w:br/>
      </w:r>
      <w:r>
        <w:rPr>
          <w:bCs/>
          <w:lang w:val="fr-FR"/>
        </w:rPr>
        <w:t xml:space="preserve">dans les contributions déterminées au niveau </w:t>
      </w:r>
      <w:r w:rsidR="008B6554">
        <w:rPr>
          <w:bCs/>
          <w:lang w:val="fr-FR"/>
        </w:rPr>
        <w:br/>
      </w:r>
      <w:r>
        <w:rPr>
          <w:bCs/>
          <w:lang w:val="fr-FR"/>
        </w:rPr>
        <w:t>national de deuxième génération</w:t>
      </w:r>
    </w:p>
    <w:tbl>
      <w:tblPr>
        <w:tblW w:w="7370" w:type="dxa"/>
        <w:tblInd w:w="1134" w:type="dxa"/>
        <w:tblLayout w:type="fixed"/>
        <w:tblCellMar>
          <w:left w:w="0" w:type="dxa"/>
          <w:right w:w="0" w:type="dxa"/>
        </w:tblCellMar>
        <w:tblLook w:val="0600" w:firstRow="0" w:lastRow="0" w:firstColumn="0" w:lastColumn="0" w:noHBand="1" w:noVBand="1"/>
      </w:tblPr>
      <w:tblGrid>
        <w:gridCol w:w="1946"/>
        <w:gridCol w:w="5424"/>
      </w:tblGrid>
      <w:tr w:rsidR="00D86611" w:rsidRPr="008B6554" w14:paraId="58A37536" w14:textId="77777777" w:rsidTr="00E5173E">
        <w:trPr>
          <w:tblHeader/>
        </w:trPr>
        <w:tc>
          <w:tcPr>
            <w:tcW w:w="1946"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F53AC15" w14:textId="77777777" w:rsidR="00D86611" w:rsidRPr="008B6554" w:rsidRDefault="00D86611" w:rsidP="008B6554">
            <w:pPr>
              <w:spacing w:before="80" w:after="80" w:line="200" w:lineRule="exact"/>
              <w:ind w:right="113"/>
              <w:rPr>
                <w:i/>
                <w:sz w:val="16"/>
              </w:rPr>
            </w:pPr>
            <w:r w:rsidRPr="008B6554">
              <w:rPr>
                <w:i/>
                <w:sz w:val="16"/>
                <w:lang w:val="fr-FR"/>
              </w:rPr>
              <w:t>Pays</w:t>
            </w:r>
          </w:p>
        </w:tc>
        <w:tc>
          <w:tcPr>
            <w:tcW w:w="5424"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7FDA4AD" w14:textId="5A4120B4" w:rsidR="00D86611" w:rsidRPr="008B6554" w:rsidRDefault="00D86611" w:rsidP="008B6554">
            <w:pPr>
              <w:spacing w:before="80" w:after="80" w:line="200" w:lineRule="exact"/>
              <w:ind w:right="113"/>
              <w:rPr>
                <w:i/>
                <w:sz w:val="16"/>
                <w:lang w:val="fr-FR"/>
              </w:rPr>
            </w:pPr>
            <w:r w:rsidRPr="008B6554">
              <w:rPr>
                <w:i/>
                <w:sz w:val="16"/>
                <w:lang w:val="fr-FR"/>
              </w:rPr>
              <w:t>Objectif</w:t>
            </w:r>
            <w:r w:rsidR="0062020D">
              <w:rPr>
                <w:i/>
                <w:sz w:val="16"/>
                <w:lang w:val="fr-FR"/>
              </w:rPr>
              <w:t>s</w:t>
            </w:r>
            <w:r w:rsidRPr="008B6554">
              <w:rPr>
                <w:i/>
                <w:sz w:val="16"/>
                <w:lang w:val="fr-FR"/>
              </w:rPr>
              <w:t xml:space="preserve"> en matière de mobilité électrique</w:t>
            </w:r>
          </w:p>
        </w:tc>
      </w:tr>
      <w:tr w:rsidR="008B6554" w:rsidRPr="008B6554" w14:paraId="2CB1136C" w14:textId="77777777" w:rsidTr="00E5173E">
        <w:trPr>
          <w:trHeight w:hRule="exact" w:val="113"/>
          <w:tblHeader/>
        </w:trPr>
        <w:tc>
          <w:tcPr>
            <w:tcW w:w="1946" w:type="dxa"/>
            <w:tcBorders>
              <w:top w:val="single" w:sz="12" w:space="0" w:color="auto"/>
            </w:tcBorders>
            <w:shd w:val="clear" w:color="auto" w:fill="auto"/>
            <w:tcMar>
              <w:top w:w="0" w:type="dxa"/>
              <w:left w:w="0" w:type="dxa"/>
              <w:bottom w:w="0" w:type="dxa"/>
              <w:right w:w="0" w:type="dxa"/>
            </w:tcMar>
          </w:tcPr>
          <w:p w14:paraId="0DD28F7F" w14:textId="77777777" w:rsidR="008B6554" w:rsidRPr="008B6554" w:rsidRDefault="008B6554" w:rsidP="008B6554">
            <w:pPr>
              <w:spacing w:before="40" w:after="120"/>
              <w:ind w:right="113"/>
              <w:rPr>
                <w:lang w:val="fr-FR"/>
              </w:rPr>
            </w:pPr>
          </w:p>
        </w:tc>
        <w:tc>
          <w:tcPr>
            <w:tcW w:w="5424" w:type="dxa"/>
            <w:tcBorders>
              <w:top w:val="single" w:sz="12" w:space="0" w:color="auto"/>
            </w:tcBorders>
            <w:shd w:val="clear" w:color="auto" w:fill="auto"/>
            <w:tcMar>
              <w:top w:w="0" w:type="dxa"/>
              <w:left w:w="0" w:type="dxa"/>
              <w:bottom w:w="0" w:type="dxa"/>
              <w:right w:w="0" w:type="dxa"/>
            </w:tcMar>
          </w:tcPr>
          <w:p w14:paraId="61D7BE6C" w14:textId="77777777" w:rsidR="008B6554" w:rsidRPr="008B6554" w:rsidRDefault="008B6554" w:rsidP="008B6554">
            <w:pPr>
              <w:spacing w:before="40" w:after="120"/>
              <w:ind w:right="113"/>
              <w:rPr>
                <w:lang w:val="fr-FR"/>
              </w:rPr>
            </w:pPr>
          </w:p>
        </w:tc>
      </w:tr>
      <w:tr w:rsidR="00D86611" w:rsidRPr="008B6554" w14:paraId="65FDDD04" w14:textId="77777777" w:rsidTr="00E5173E">
        <w:tc>
          <w:tcPr>
            <w:tcW w:w="1946" w:type="dxa"/>
            <w:shd w:val="clear" w:color="auto" w:fill="auto"/>
            <w:tcMar>
              <w:top w:w="0" w:type="dxa"/>
              <w:left w:w="0" w:type="dxa"/>
              <w:bottom w:w="0" w:type="dxa"/>
              <w:right w:w="0" w:type="dxa"/>
            </w:tcMar>
          </w:tcPr>
          <w:p w14:paraId="12E44937" w14:textId="77777777" w:rsidR="00D86611" w:rsidRPr="008B6554" w:rsidRDefault="00D86611" w:rsidP="008B6554">
            <w:pPr>
              <w:spacing w:before="40" w:after="120"/>
              <w:ind w:right="113"/>
            </w:pPr>
            <w:r w:rsidRPr="008B6554">
              <w:rPr>
                <w:lang w:val="fr-FR"/>
              </w:rPr>
              <w:t>Antigua-et-Barbuda</w:t>
            </w:r>
          </w:p>
        </w:tc>
        <w:tc>
          <w:tcPr>
            <w:tcW w:w="5424" w:type="dxa"/>
            <w:shd w:val="clear" w:color="auto" w:fill="auto"/>
            <w:tcMar>
              <w:top w:w="0" w:type="dxa"/>
              <w:left w:w="0" w:type="dxa"/>
              <w:bottom w:w="0" w:type="dxa"/>
              <w:right w:w="0" w:type="dxa"/>
            </w:tcMar>
          </w:tcPr>
          <w:p w14:paraId="5AD98631" w14:textId="5B4A128A" w:rsidR="00D86611" w:rsidRPr="008B6554" w:rsidRDefault="00D86611" w:rsidP="008B6554">
            <w:pPr>
              <w:spacing w:before="40" w:after="120"/>
              <w:ind w:right="113"/>
              <w:rPr>
                <w:lang w:val="fr-FR"/>
              </w:rPr>
            </w:pPr>
            <w:r w:rsidRPr="008B6554">
              <w:rPr>
                <w:lang w:val="fr-FR"/>
              </w:rPr>
              <w:t>D’ici à 2030, tous les nouveaux véhicules vendus seront électriques ; l’importation de véhicules à moteur à combustion interne sera interdite à partir de 2030 (ce devait être en 2025 à l’origine) ; d’ici à 2035, les flottes des administrations publiques seront constituées uniquement de véhicules électriques</w:t>
            </w:r>
          </w:p>
        </w:tc>
      </w:tr>
      <w:tr w:rsidR="00D86611" w:rsidRPr="008B6554" w14:paraId="3B97C2B5" w14:textId="77777777" w:rsidTr="00E5173E">
        <w:tc>
          <w:tcPr>
            <w:tcW w:w="1946" w:type="dxa"/>
            <w:shd w:val="clear" w:color="auto" w:fill="auto"/>
            <w:tcMar>
              <w:top w:w="0" w:type="dxa"/>
              <w:left w:w="0" w:type="dxa"/>
              <w:bottom w:w="0" w:type="dxa"/>
              <w:right w:w="0" w:type="dxa"/>
            </w:tcMar>
          </w:tcPr>
          <w:p w14:paraId="5714CCC6" w14:textId="77777777" w:rsidR="00D86611" w:rsidRPr="008B6554" w:rsidRDefault="00D86611" w:rsidP="008B6554">
            <w:pPr>
              <w:spacing w:before="40" w:after="120"/>
              <w:ind w:right="113"/>
            </w:pPr>
            <w:r w:rsidRPr="008B6554">
              <w:rPr>
                <w:lang w:val="fr-FR"/>
              </w:rPr>
              <w:t>Barbade</w:t>
            </w:r>
          </w:p>
        </w:tc>
        <w:tc>
          <w:tcPr>
            <w:tcW w:w="5424" w:type="dxa"/>
            <w:shd w:val="clear" w:color="auto" w:fill="auto"/>
            <w:tcMar>
              <w:top w:w="0" w:type="dxa"/>
              <w:left w:w="0" w:type="dxa"/>
              <w:bottom w:w="0" w:type="dxa"/>
              <w:right w:w="0" w:type="dxa"/>
            </w:tcMar>
          </w:tcPr>
          <w:p w14:paraId="5400BE77" w14:textId="43B62202" w:rsidR="00D86611" w:rsidRPr="008B6554" w:rsidRDefault="00D86611" w:rsidP="008B6554">
            <w:pPr>
              <w:spacing w:before="40" w:after="120"/>
              <w:ind w:right="113"/>
              <w:rPr>
                <w:lang w:val="fr-FR"/>
              </w:rPr>
            </w:pPr>
            <w:r w:rsidRPr="008B6554">
              <w:rPr>
                <w:lang w:val="fr-FR"/>
              </w:rPr>
              <w:t>D’ici à 2030, le parc de véhicules de tourisme sera constitué uniquement de véhicules électriques ou fonctionnant avec des carburants de substitution</w:t>
            </w:r>
          </w:p>
        </w:tc>
      </w:tr>
      <w:tr w:rsidR="00D86611" w:rsidRPr="008B6554" w14:paraId="73B0D9DA" w14:textId="77777777" w:rsidTr="00E5173E">
        <w:tc>
          <w:tcPr>
            <w:tcW w:w="1946" w:type="dxa"/>
            <w:shd w:val="clear" w:color="auto" w:fill="auto"/>
            <w:tcMar>
              <w:top w:w="0" w:type="dxa"/>
              <w:left w:w="0" w:type="dxa"/>
              <w:bottom w:w="0" w:type="dxa"/>
              <w:right w:w="0" w:type="dxa"/>
            </w:tcMar>
          </w:tcPr>
          <w:p w14:paraId="48156DAC" w14:textId="77777777" w:rsidR="00D86611" w:rsidRPr="008B6554" w:rsidRDefault="00D86611" w:rsidP="008B6554">
            <w:pPr>
              <w:spacing w:before="40" w:after="120"/>
              <w:ind w:right="113"/>
            </w:pPr>
            <w:r w:rsidRPr="008B6554">
              <w:rPr>
                <w:lang w:val="fr-FR"/>
              </w:rPr>
              <w:t>Bolivie</w:t>
            </w:r>
          </w:p>
        </w:tc>
        <w:tc>
          <w:tcPr>
            <w:tcW w:w="5424" w:type="dxa"/>
            <w:shd w:val="clear" w:color="auto" w:fill="auto"/>
            <w:tcMar>
              <w:top w:w="0" w:type="dxa"/>
              <w:left w:w="0" w:type="dxa"/>
              <w:bottom w:w="0" w:type="dxa"/>
              <w:right w:w="0" w:type="dxa"/>
            </w:tcMar>
          </w:tcPr>
          <w:p w14:paraId="791D4A1B" w14:textId="3D437374" w:rsidR="00D86611" w:rsidRPr="008B6554" w:rsidRDefault="00D86611" w:rsidP="008B6554">
            <w:pPr>
              <w:spacing w:before="40" w:after="120"/>
              <w:ind w:right="113"/>
              <w:rPr>
                <w:lang w:val="fr-FR"/>
              </w:rPr>
            </w:pPr>
            <w:r w:rsidRPr="008B6554">
              <w:rPr>
                <w:lang w:val="fr-FR"/>
              </w:rPr>
              <w:t>D’ici à 2030, la croissance annuelle de la part des véhicules électriques dans la flotte des transports publics devra être de 10</w:t>
            </w:r>
            <w:r w:rsidR="00780216" w:rsidRPr="008B6554">
              <w:rPr>
                <w:lang w:val="fr-FR"/>
              </w:rPr>
              <w:t> %</w:t>
            </w:r>
          </w:p>
        </w:tc>
      </w:tr>
      <w:tr w:rsidR="00D86611" w:rsidRPr="008B6554" w14:paraId="086CA6C5" w14:textId="77777777" w:rsidTr="00E5173E">
        <w:tc>
          <w:tcPr>
            <w:tcW w:w="1946" w:type="dxa"/>
            <w:shd w:val="clear" w:color="auto" w:fill="auto"/>
            <w:tcMar>
              <w:top w:w="0" w:type="dxa"/>
              <w:left w:w="0" w:type="dxa"/>
              <w:bottom w:w="0" w:type="dxa"/>
              <w:right w:w="0" w:type="dxa"/>
            </w:tcMar>
          </w:tcPr>
          <w:p w14:paraId="62A27DB3" w14:textId="77777777" w:rsidR="00D86611" w:rsidRPr="008B6554" w:rsidRDefault="00D86611" w:rsidP="008B6554">
            <w:pPr>
              <w:spacing w:before="40" w:after="120"/>
              <w:ind w:right="113"/>
            </w:pPr>
            <w:r w:rsidRPr="008B6554">
              <w:rPr>
                <w:lang w:val="fr-FR"/>
              </w:rPr>
              <w:t>Brunéi Darussalam</w:t>
            </w:r>
          </w:p>
        </w:tc>
        <w:tc>
          <w:tcPr>
            <w:tcW w:w="5424" w:type="dxa"/>
            <w:shd w:val="clear" w:color="auto" w:fill="auto"/>
            <w:tcMar>
              <w:top w:w="0" w:type="dxa"/>
              <w:left w:w="0" w:type="dxa"/>
              <w:bottom w:w="0" w:type="dxa"/>
              <w:right w:w="0" w:type="dxa"/>
            </w:tcMar>
          </w:tcPr>
          <w:p w14:paraId="0EBD1F76" w14:textId="5FB102FA" w:rsidR="00D86611" w:rsidRPr="008B6554" w:rsidRDefault="00D86611" w:rsidP="008B6554">
            <w:pPr>
              <w:spacing w:before="40" w:after="120"/>
              <w:ind w:right="113"/>
              <w:rPr>
                <w:lang w:val="fr-FR"/>
              </w:rPr>
            </w:pPr>
            <w:r w:rsidRPr="008B6554">
              <w:rPr>
                <w:lang w:val="fr-FR"/>
              </w:rPr>
              <w:t>D’ici à 2035, 60</w:t>
            </w:r>
            <w:r w:rsidR="00780216" w:rsidRPr="008B6554">
              <w:rPr>
                <w:lang w:val="fr-FR"/>
              </w:rPr>
              <w:t> %</w:t>
            </w:r>
            <w:r w:rsidRPr="008B6554">
              <w:rPr>
                <w:lang w:val="fr-FR"/>
              </w:rPr>
              <w:t xml:space="preserve"> des véhicules vendus devront être électriques</w:t>
            </w:r>
          </w:p>
        </w:tc>
      </w:tr>
      <w:tr w:rsidR="00D86611" w:rsidRPr="008B6554" w14:paraId="07AB2A2D" w14:textId="77777777" w:rsidTr="00E5173E">
        <w:tc>
          <w:tcPr>
            <w:tcW w:w="1946" w:type="dxa"/>
            <w:shd w:val="clear" w:color="auto" w:fill="auto"/>
            <w:tcMar>
              <w:top w:w="0" w:type="dxa"/>
              <w:left w:w="0" w:type="dxa"/>
              <w:bottom w:w="0" w:type="dxa"/>
              <w:right w:w="0" w:type="dxa"/>
            </w:tcMar>
          </w:tcPr>
          <w:p w14:paraId="4B46902F" w14:textId="77777777" w:rsidR="00D86611" w:rsidRPr="008B6554" w:rsidRDefault="00D86611" w:rsidP="008B6554">
            <w:pPr>
              <w:spacing w:before="40" w:after="120"/>
              <w:ind w:right="113"/>
            </w:pPr>
            <w:r w:rsidRPr="008B6554">
              <w:rPr>
                <w:lang w:val="fr-FR"/>
              </w:rPr>
              <w:t>Cabo Verde</w:t>
            </w:r>
          </w:p>
        </w:tc>
        <w:tc>
          <w:tcPr>
            <w:tcW w:w="5424" w:type="dxa"/>
            <w:shd w:val="clear" w:color="auto" w:fill="auto"/>
            <w:tcMar>
              <w:top w:w="0" w:type="dxa"/>
              <w:left w:w="0" w:type="dxa"/>
              <w:bottom w:w="0" w:type="dxa"/>
              <w:right w:w="0" w:type="dxa"/>
            </w:tcMar>
          </w:tcPr>
          <w:p w14:paraId="6D1632E3" w14:textId="34060B60" w:rsidR="00D86611" w:rsidRPr="008B6554" w:rsidRDefault="00D86611" w:rsidP="008B6554">
            <w:pPr>
              <w:spacing w:before="40" w:after="120"/>
              <w:ind w:right="113"/>
              <w:rPr>
                <w:lang w:val="fr-FR"/>
              </w:rPr>
            </w:pPr>
            <w:r w:rsidRPr="008B6554">
              <w:rPr>
                <w:lang w:val="fr-FR"/>
              </w:rPr>
              <w:t>D’ici à 2030, 25</w:t>
            </w:r>
            <w:r w:rsidR="00780216" w:rsidRPr="008B6554">
              <w:rPr>
                <w:lang w:val="fr-FR"/>
              </w:rPr>
              <w:t> %</w:t>
            </w:r>
            <w:r w:rsidRPr="008B6554">
              <w:rPr>
                <w:lang w:val="fr-FR"/>
              </w:rPr>
              <w:t xml:space="preserve"> des véhicules de transport terrestre vendus seront électriques, grâce à des liens solides établis avec les énergies renouvelables</w:t>
            </w:r>
          </w:p>
        </w:tc>
      </w:tr>
      <w:tr w:rsidR="00D86611" w:rsidRPr="008B6554" w14:paraId="6B560B5D" w14:textId="77777777" w:rsidTr="00E5173E">
        <w:tc>
          <w:tcPr>
            <w:tcW w:w="1946" w:type="dxa"/>
            <w:shd w:val="clear" w:color="auto" w:fill="auto"/>
            <w:tcMar>
              <w:top w:w="0" w:type="dxa"/>
              <w:left w:w="0" w:type="dxa"/>
              <w:bottom w:w="0" w:type="dxa"/>
              <w:right w:w="0" w:type="dxa"/>
            </w:tcMar>
          </w:tcPr>
          <w:p w14:paraId="4C7DAFA1" w14:textId="77777777" w:rsidR="00D86611" w:rsidRPr="008B6554" w:rsidRDefault="00D86611" w:rsidP="008B6554">
            <w:pPr>
              <w:spacing w:before="40" w:after="120"/>
              <w:ind w:right="113"/>
            </w:pPr>
            <w:r w:rsidRPr="008B6554">
              <w:rPr>
                <w:lang w:val="fr-FR"/>
              </w:rPr>
              <w:t>Chili</w:t>
            </w:r>
          </w:p>
        </w:tc>
        <w:tc>
          <w:tcPr>
            <w:tcW w:w="5424" w:type="dxa"/>
            <w:shd w:val="clear" w:color="auto" w:fill="auto"/>
            <w:tcMar>
              <w:top w:w="0" w:type="dxa"/>
              <w:left w:w="0" w:type="dxa"/>
              <w:bottom w:w="0" w:type="dxa"/>
              <w:right w:w="0" w:type="dxa"/>
            </w:tcMar>
          </w:tcPr>
          <w:p w14:paraId="0CC77E92" w14:textId="5419C4C9" w:rsidR="00D86611" w:rsidRPr="008B6554" w:rsidRDefault="00D86611" w:rsidP="008B6554">
            <w:pPr>
              <w:spacing w:before="40" w:after="120"/>
              <w:ind w:right="113"/>
              <w:rPr>
                <w:lang w:val="fr-FR"/>
              </w:rPr>
            </w:pPr>
            <w:r w:rsidRPr="008B6554">
              <w:rPr>
                <w:lang w:val="fr-FR"/>
              </w:rPr>
              <w:t>D’ici à 2050, 100</w:t>
            </w:r>
            <w:r w:rsidR="00780216" w:rsidRPr="008B6554">
              <w:rPr>
                <w:lang w:val="fr-FR"/>
              </w:rPr>
              <w:t> %</w:t>
            </w:r>
            <w:r w:rsidRPr="008B6554">
              <w:rPr>
                <w:lang w:val="fr-FR"/>
              </w:rPr>
              <w:t xml:space="preserve"> des taxis et des véhicules de transport public et 58</w:t>
            </w:r>
            <w:r w:rsidR="00780216" w:rsidRPr="008B6554">
              <w:rPr>
                <w:lang w:val="fr-FR"/>
              </w:rPr>
              <w:t> %</w:t>
            </w:r>
            <w:r w:rsidRPr="008B6554">
              <w:rPr>
                <w:lang w:val="fr-FR"/>
              </w:rPr>
              <w:t xml:space="preserve"> des véhicules privés seront électriques</w:t>
            </w:r>
          </w:p>
          <w:p w14:paraId="5C4F5AAA" w14:textId="415AD13C" w:rsidR="00D86611" w:rsidRPr="008B6554" w:rsidRDefault="00D86611" w:rsidP="008B6554">
            <w:pPr>
              <w:spacing w:before="40" w:after="120"/>
              <w:ind w:right="113"/>
            </w:pPr>
            <w:r w:rsidRPr="008B6554">
              <w:rPr>
                <w:lang w:val="fr-FR"/>
              </w:rPr>
              <w:t>71</w:t>
            </w:r>
            <w:r w:rsidR="00780216" w:rsidRPr="008B6554">
              <w:rPr>
                <w:lang w:val="fr-FR"/>
              </w:rPr>
              <w:t> %</w:t>
            </w:r>
            <w:r w:rsidRPr="008B6554">
              <w:rPr>
                <w:lang w:val="fr-FR"/>
              </w:rPr>
              <w:t xml:space="preserve"> des véhicules de transport de marchandises fonctionneront à l’hydrogène</w:t>
            </w:r>
          </w:p>
        </w:tc>
      </w:tr>
      <w:tr w:rsidR="00D86611" w:rsidRPr="008B6554" w14:paraId="6A4CDF12" w14:textId="77777777" w:rsidTr="00E5173E">
        <w:tc>
          <w:tcPr>
            <w:tcW w:w="1946" w:type="dxa"/>
            <w:shd w:val="clear" w:color="auto" w:fill="auto"/>
            <w:tcMar>
              <w:top w:w="0" w:type="dxa"/>
              <w:left w:w="0" w:type="dxa"/>
              <w:bottom w:w="0" w:type="dxa"/>
              <w:right w:w="0" w:type="dxa"/>
            </w:tcMar>
          </w:tcPr>
          <w:p w14:paraId="5EFEE64B" w14:textId="77777777" w:rsidR="00D86611" w:rsidRPr="008B6554" w:rsidRDefault="00D86611" w:rsidP="008B6554">
            <w:pPr>
              <w:spacing w:before="40" w:after="120"/>
              <w:ind w:right="113"/>
            </w:pPr>
            <w:r w:rsidRPr="008B6554">
              <w:rPr>
                <w:lang w:val="fr-FR"/>
              </w:rPr>
              <w:t>Colombie</w:t>
            </w:r>
          </w:p>
        </w:tc>
        <w:tc>
          <w:tcPr>
            <w:tcW w:w="5424" w:type="dxa"/>
            <w:shd w:val="clear" w:color="auto" w:fill="auto"/>
            <w:tcMar>
              <w:top w:w="0" w:type="dxa"/>
              <w:left w:w="0" w:type="dxa"/>
              <w:bottom w:w="0" w:type="dxa"/>
              <w:right w:w="0" w:type="dxa"/>
            </w:tcMar>
          </w:tcPr>
          <w:p w14:paraId="73D5C0A8" w14:textId="7B9F32A0" w:rsidR="00D86611" w:rsidRPr="008B6554" w:rsidRDefault="00D86611" w:rsidP="008B6554">
            <w:pPr>
              <w:spacing w:before="40" w:after="120"/>
              <w:ind w:right="113"/>
              <w:rPr>
                <w:lang w:val="fr-FR"/>
              </w:rPr>
            </w:pPr>
            <w:r w:rsidRPr="008B6554">
              <w:rPr>
                <w:lang w:val="fr-FR"/>
              </w:rPr>
              <w:t>600</w:t>
            </w:r>
            <w:r w:rsidR="008B6554">
              <w:rPr>
                <w:lang w:val="fr-FR"/>
              </w:rPr>
              <w:t> </w:t>
            </w:r>
            <w:r w:rsidRPr="008B6554">
              <w:rPr>
                <w:lang w:val="fr-FR"/>
              </w:rPr>
              <w:t>000</w:t>
            </w:r>
            <w:r w:rsidR="008B6554">
              <w:rPr>
                <w:lang w:val="fr-FR"/>
              </w:rPr>
              <w:t> </w:t>
            </w:r>
            <w:r w:rsidRPr="008B6554">
              <w:rPr>
                <w:lang w:val="fr-FR"/>
              </w:rPr>
              <w:t>véhicules (transports publics, taxis, voitures particulières, camions légers et véhicules du parc public) seront électrifiés</w:t>
            </w:r>
          </w:p>
        </w:tc>
      </w:tr>
      <w:tr w:rsidR="00D86611" w:rsidRPr="008B6554" w14:paraId="48AE5B3B" w14:textId="77777777" w:rsidTr="00E5173E">
        <w:tc>
          <w:tcPr>
            <w:tcW w:w="1946" w:type="dxa"/>
            <w:shd w:val="clear" w:color="auto" w:fill="auto"/>
            <w:tcMar>
              <w:top w:w="0" w:type="dxa"/>
              <w:left w:w="0" w:type="dxa"/>
              <w:bottom w:w="0" w:type="dxa"/>
              <w:right w:w="0" w:type="dxa"/>
            </w:tcMar>
          </w:tcPr>
          <w:p w14:paraId="2216A110" w14:textId="77777777" w:rsidR="00D86611" w:rsidRPr="008B6554" w:rsidRDefault="00D86611" w:rsidP="008B6554">
            <w:pPr>
              <w:spacing w:before="40" w:after="120"/>
              <w:ind w:right="113"/>
            </w:pPr>
            <w:r w:rsidRPr="008B6554">
              <w:rPr>
                <w:lang w:val="fr-FR"/>
              </w:rPr>
              <w:t>Costa Rica</w:t>
            </w:r>
          </w:p>
        </w:tc>
        <w:tc>
          <w:tcPr>
            <w:tcW w:w="5424" w:type="dxa"/>
            <w:shd w:val="clear" w:color="auto" w:fill="auto"/>
            <w:tcMar>
              <w:top w:w="0" w:type="dxa"/>
              <w:left w:w="0" w:type="dxa"/>
              <w:bottom w:w="0" w:type="dxa"/>
              <w:right w:w="0" w:type="dxa"/>
            </w:tcMar>
          </w:tcPr>
          <w:p w14:paraId="592DAF63" w14:textId="25661BA3" w:rsidR="00D86611" w:rsidRPr="008B6554" w:rsidRDefault="00D86611" w:rsidP="008B6554">
            <w:pPr>
              <w:spacing w:before="40" w:after="120"/>
              <w:ind w:right="113"/>
              <w:rPr>
                <w:lang w:val="fr-FR"/>
              </w:rPr>
            </w:pPr>
            <w:r w:rsidRPr="008B6554">
              <w:rPr>
                <w:lang w:val="fr-FR"/>
              </w:rPr>
              <w:t>D’ici à 2030, au moins 8</w:t>
            </w:r>
            <w:r w:rsidR="00780216" w:rsidRPr="008B6554">
              <w:rPr>
                <w:lang w:val="fr-FR"/>
              </w:rPr>
              <w:t> %</w:t>
            </w:r>
            <w:r w:rsidRPr="008B6554">
              <w:rPr>
                <w:lang w:val="fr-FR"/>
              </w:rPr>
              <w:t xml:space="preserve"> de la flotte de transports publics et du parc de véhicules légers (privés et appartenant à l’État) ne produiront aucune émission</w:t>
            </w:r>
          </w:p>
        </w:tc>
      </w:tr>
      <w:tr w:rsidR="00D86611" w:rsidRPr="008B6554" w14:paraId="50BD9BBA" w14:textId="77777777" w:rsidTr="00E5173E">
        <w:tc>
          <w:tcPr>
            <w:tcW w:w="1946" w:type="dxa"/>
            <w:shd w:val="clear" w:color="auto" w:fill="auto"/>
            <w:tcMar>
              <w:top w:w="0" w:type="dxa"/>
              <w:left w:w="0" w:type="dxa"/>
              <w:bottom w:w="0" w:type="dxa"/>
              <w:right w:w="0" w:type="dxa"/>
            </w:tcMar>
          </w:tcPr>
          <w:p w14:paraId="63EEC058" w14:textId="77777777" w:rsidR="00D86611" w:rsidRPr="008B6554" w:rsidRDefault="00D86611" w:rsidP="008B6554">
            <w:pPr>
              <w:spacing w:before="40" w:after="120"/>
              <w:ind w:right="113"/>
            </w:pPr>
            <w:r w:rsidRPr="008B6554">
              <w:rPr>
                <w:lang w:val="fr-FR"/>
              </w:rPr>
              <w:t>Côte d’Ivoire</w:t>
            </w:r>
          </w:p>
        </w:tc>
        <w:tc>
          <w:tcPr>
            <w:tcW w:w="5424" w:type="dxa"/>
            <w:shd w:val="clear" w:color="auto" w:fill="auto"/>
            <w:tcMar>
              <w:top w:w="0" w:type="dxa"/>
              <w:left w:w="0" w:type="dxa"/>
              <w:bottom w:w="0" w:type="dxa"/>
              <w:right w:w="0" w:type="dxa"/>
            </w:tcMar>
          </w:tcPr>
          <w:p w14:paraId="5955EEF9" w14:textId="0A969D09" w:rsidR="00D86611" w:rsidRPr="008B6554" w:rsidRDefault="00D86611" w:rsidP="008B6554">
            <w:pPr>
              <w:spacing w:before="40" w:after="120"/>
              <w:ind w:right="113"/>
              <w:rPr>
                <w:lang w:val="fr-FR"/>
              </w:rPr>
            </w:pPr>
            <w:r w:rsidRPr="008B6554">
              <w:rPr>
                <w:lang w:val="fr-FR"/>
              </w:rPr>
              <w:t>D’ici à 2030, 10</w:t>
            </w:r>
            <w:r w:rsidR="00780216" w:rsidRPr="008B6554">
              <w:rPr>
                <w:lang w:val="fr-FR"/>
              </w:rPr>
              <w:t> %</w:t>
            </w:r>
            <w:r w:rsidRPr="008B6554">
              <w:rPr>
                <w:lang w:val="fr-FR"/>
              </w:rPr>
              <w:t xml:space="preserve"> des véhicules seront électriques (cible inconditionnelle), voire 25</w:t>
            </w:r>
            <w:r w:rsidR="00780216" w:rsidRPr="008B6554">
              <w:rPr>
                <w:lang w:val="fr-FR"/>
              </w:rPr>
              <w:t> %</w:t>
            </w:r>
            <w:r w:rsidRPr="008B6554">
              <w:rPr>
                <w:lang w:val="fr-FR"/>
              </w:rPr>
              <w:t xml:space="preserve"> (cible conditionnelle)</w:t>
            </w:r>
          </w:p>
        </w:tc>
      </w:tr>
      <w:tr w:rsidR="00D86611" w:rsidRPr="008B6554" w14:paraId="7491A0B6" w14:textId="77777777" w:rsidTr="00E5173E">
        <w:tc>
          <w:tcPr>
            <w:tcW w:w="1946" w:type="dxa"/>
            <w:shd w:val="clear" w:color="auto" w:fill="auto"/>
            <w:tcMar>
              <w:top w:w="0" w:type="dxa"/>
              <w:left w:w="0" w:type="dxa"/>
              <w:bottom w:w="0" w:type="dxa"/>
              <w:right w:w="0" w:type="dxa"/>
            </w:tcMar>
          </w:tcPr>
          <w:p w14:paraId="150BFD2C" w14:textId="77777777" w:rsidR="00D86611" w:rsidRPr="008B6554" w:rsidRDefault="00D86611" w:rsidP="008B6554">
            <w:pPr>
              <w:spacing w:before="40" w:after="120"/>
              <w:ind w:right="113"/>
            </w:pPr>
            <w:r w:rsidRPr="008B6554">
              <w:rPr>
                <w:lang w:val="fr-FR"/>
              </w:rPr>
              <w:t>Dominique</w:t>
            </w:r>
          </w:p>
        </w:tc>
        <w:tc>
          <w:tcPr>
            <w:tcW w:w="5424" w:type="dxa"/>
            <w:shd w:val="clear" w:color="auto" w:fill="auto"/>
            <w:tcMar>
              <w:top w:w="0" w:type="dxa"/>
              <w:left w:w="0" w:type="dxa"/>
              <w:bottom w:w="0" w:type="dxa"/>
              <w:right w:w="0" w:type="dxa"/>
            </w:tcMar>
          </w:tcPr>
          <w:p w14:paraId="07FC4938" w14:textId="17604883" w:rsidR="00D86611" w:rsidRPr="008B6554" w:rsidRDefault="00D86611" w:rsidP="008B6554">
            <w:pPr>
              <w:spacing w:before="40" w:after="120"/>
              <w:ind w:right="113"/>
            </w:pPr>
            <w:r w:rsidRPr="008B6554">
              <w:rPr>
                <w:lang w:val="fr-FR"/>
              </w:rPr>
              <w:t>Plus aucune voiture particulière à moteur à combustion interne ne</w:t>
            </w:r>
            <w:r w:rsidR="00E5173E">
              <w:rPr>
                <w:lang w:val="fr-FR"/>
              </w:rPr>
              <w:t> </w:t>
            </w:r>
            <w:r w:rsidRPr="008B6554">
              <w:rPr>
                <w:lang w:val="fr-FR"/>
              </w:rPr>
              <w:t>sera vendue après 2050</w:t>
            </w:r>
          </w:p>
        </w:tc>
      </w:tr>
      <w:tr w:rsidR="008B6554" w:rsidRPr="008B6554" w14:paraId="1D306978" w14:textId="77777777" w:rsidTr="00E5173E">
        <w:tc>
          <w:tcPr>
            <w:tcW w:w="1946" w:type="dxa"/>
            <w:shd w:val="clear" w:color="auto" w:fill="auto"/>
            <w:tcMar>
              <w:top w:w="0" w:type="dxa"/>
              <w:left w:w="0" w:type="dxa"/>
              <w:bottom w:w="0" w:type="dxa"/>
              <w:right w:w="0" w:type="dxa"/>
            </w:tcMar>
          </w:tcPr>
          <w:p w14:paraId="72A9570D" w14:textId="77777777" w:rsidR="008B6554" w:rsidRPr="008B6554" w:rsidRDefault="008B6554" w:rsidP="004F30EF">
            <w:pPr>
              <w:spacing w:before="40" w:after="120"/>
              <w:ind w:right="113"/>
            </w:pPr>
            <w:r w:rsidRPr="008B6554">
              <w:rPr>
                <w:lang w:val="fr-FR"/>
              </w:rPr>
              <w:t>Émirats arabes unis</w:t>
            </w:r>
          </w:p>
        </w:tc>
        <w:tc>
          <w:tcPr>
            <w:tcW w:w="5424" w:type="dxa"/>
            <w:shd w:val="clear" w:color="auto" w:fill="auto"/>
            <w:tcMar>
              <w:top w:w="0" w:type="dxa"/>
              <w:left w:w="0" w:type="dxa"/>
              <w:bottom w:w="0" w:type="dxa"/>
              <w:right w:w="0" w:type="dxa"/>
            </w:tcMar>
          </w:tcPr>
          <w:p w14:paraId="657D90FF" w14:textId="58407CAD" w:rsidR="008B6554" w:rsidRPr="008B6554" w:rsidRDefault="008B6554" w:rsidP="004F30EF">
            <w:pPr>
              <w:spacing w:before="40" w:after="120"/>
              <w:ind w:right="113"/>
              <w:rPr>
                <w:lang w:val="fr-FR"/>
              </w:rPr>
            </w:pPr>
            <w:r w:rsidRPr="008B6554">
              <w:rPr>
                <w:lang w:val="fr-FR"/>
              </w:rPr>
              <w:t>D’ici à 2030, 2 % du parc de Dubaï sera constitué de voitures électriques ou hybrides ; 30 % du parc des administrations publiques sera électrique ou hybride</w:t>
            </w:r>
          </w:p>
        </w:tc>
      </w:tr>
      <w:tr w:rsidR="00D86611" w:rsidRPr="008B6554" w14:paraId="242565FD" w14:textId="77777777" w:rsidTr="00E5173E">
        <w:tc>
          <w:tcPr>
            <w:tcW w:w="1946" w:type="dxa"/>
            <w:shd w:val="clear" w:color="auto" w:fill="auto"/>
            <w:tcMar>
              <w:top w:w="0" w:type="dxa"/>
              <w:left w:w="0" w:type="dxa"/>
              <w:bottom w:w="0" w:type="dxa"/>
              <w:right w:w="0" w:type="dxa"/>
            </w:tcMar>
          </w:tcPr>
          <w:p w14:paraId="11CF6F3D" w14:textId="77777777" w:rsidR="00D86611" w:rsidRPr="008B6554" w:rsidRDefault="00D86611" w:rsidP="008B6554">
            <w:pPr>
              <w:spacing w:before="40" w:after="120"/>
              <w:ind w:right="113"/>
            </w:pPr>
            <w:r w:rsidRPr="008B6554">
              <w:rPr>
                <w:lang w:val="fr-FR"/>
              </w:rPr>
              <w:t>Israël</w:t>
            </w:r>
          </w:p>
        </w:tc>
        <w:tc>
          <w:tcPr>
            <w:tcW w:w="5424" w:type="dxa"/>
            <w:shd w:val="clear" w:color="auto" w:fill="auto"/>
            <w:tcMar>
              <w:top w:w="0" w:type="dxa"/>
              <w:left w:w="0" w:type="dxa"/>
              <w:bottom w:w="0" w:type="dxa"/>
              <w:right w:w="0" w:type="dxa"/>
            </w:tcMar>
          </w:tcPr>
          <w:p w14:paraId="5DEB3A38" w14:textId="3CFBCCFE" w:rsidR="00D86611" w:rsidRPr="008B6554" w:rsidRDefault="00D86611" w:rsidP="008B6554">
            <w:pPr>
              <w:spacing w:before="40" w:after="120"/>
              <w:ind w:right="113"/>
              <w:rPr>
                <w:lang w:val="fr-FR"/>
              </w:rPr>
            </w:pPr>
            <w:r w:rsidRPr="008B6554">
              <w:rPr>
                <w:lang w:val="fr-FR"/>
              </w:rPr>
              <w:t>À compter de 2026, tous les autobus municipaux achetés neufs seront des véhicules propres</w:t>
            </w:r>
          </w:p>
        </w:tc>
      </w:tr>
      <w:tr w:rsidR="00D86611" w:rsidRPr="008B6554" w14:paraId="099F79C9" w14:textId="77777777" w:rsidTr="00E5173E">
        <w:tc>
          <w:tcPr>
            <w:tcW w:w="1946" w:type="dxa"/>
            <w:shd w:val="clear" w:color="auto" w:fill="auto"/>
            <w:tcMar>
              <w:top w:w="0" w:type="dxa"/>
              <w:left w:w="0" w:type="dxa"/>
              <w:bottom w:w="0" w:type="dxa"/>
              <w:right w:w="0" w:type="dxa"/>
            </w:tcMar>
          </w:tcPr>
          <w:p w14:paraId="34427E73" w14:textId="77777777" w:rsidR="00D86611" w:rsidRPr="008B6554" w:rsidRDefault="00D86611" w:rsidP="008B6554">
            <w:pPr>
              <w:spacing w:before="40" w:after="120"/>
              <w:ind w:right="113"/>
            </w:pPr>
            <w:r w:rsidRPr="008B6554">
              <w:rPr>
                <w:lang w:val="fr-FR"/>
              </w:rPr>
              <w:t>Monaco</w:t>
            </w:r>
          </w:p>
        </w:tc>
        <w:tc>
          <w:tcPr>
            <w:tcW w:w="5424" w:type="dxa"/>
            <w:shd w:val="clear" w:color="auto" w:fill="auto"/>
            <w:tcMar>
              <w:top w:w="0" w:type="dxa"/>
              <w:left w:w="0" w:type="dxa"/>
              <w:bottom w:w="0" w:type="dxa"/>
              <w:right w:w="0" w:type="dxa"/>
            </w:tcMar>
          </w:tcPr>
          <w:p w14:paraId="75F9C24A" w14:textId="22F40571" w:rsidR="00D86611" w:rsidRPr="008B6554" w:rsidRDefault="00D86611" w:rsidP="008B6554">
            <w:pPr>
              <w:spacing w:before="40" w:after="120"/>
              <w:ind w:right="113"/>
              <w:rPr>
                <w:lang w:val="fr-FR"/>
              </w:rPr>
            </w:pPr>
            <w:r w:rsidRPr="008B6554">
              <w:rPr>
                <w:lang w:val="fr-FR"/>
              </w:rPr>
              <w:t>D’ici à 2030, les transports publics ne produiront plus aucune émission</w:t>
            </w:r>
          </w:p>
        </w:tc>
      </w:tr>
      <w:tr w:rsidR="00D86611" w:rsidRPr="008B6554" w14:paraId="4B10D1F8" w14:textId="77777777" w:rsidTr="00E5173E">
        <w:tc>
          <w:tcPr>
            <w:tcW w:w="1946" w:type="dxa"/>
            <w:shd w:val="clear" w:color="auto" w:fill="auto"/>
            <w:tcMar>
              <w:top w:w="0" w:type="dxa"/>
              <w:left w:w="0" w:type="dxa"/>
              <w:bottom w:w="0" w:type="dxa"/>
              <w:right w:w="0" w:type="dxa"/>
            </w:tcMar>
          </w:tcPr>
          <w:p w14:paraId="460FD2E2" w14:textId="77777777" w:rsidR="00D86611" w:rsidRPr="008B6554" w:rsidRDefault="00D86611" w:rsidP="008B6554">
            <w:pPr>
              <w:spacing w:before="40" w:after="120"/>
              <w:ind w:right="113"/>
            </w:pPr>
            <w:r w:rsidRPr="008B6554">
              <w:rPr>
                <w:lang w:val="fr-FR"/>
              </w:rPr>
              <w:t>Namibie</w:t>
            </w:r>
          </w:p>
        </w:tc>
        <w:tc>
          <w:tcPr>
            <w:tcW w:w="5424" w:type="dxa"/>
            <w:shd w:val="clear" w:color="auto" w:fill="auto"/>
            <w:tcMar>
              <w:top w:w="0" w:type="dxa"/>
              <w:left w:w="0" w:type="dxa"/>
              <w:bottom w:w="0" w:type="dxa"/>
              <w:right w:w="0" w:type="dxa"/>
            </w:tcMar>
          </w:tcPr>
          <w:p w14:paraId="681A1126" w14:textId="0F907568" w:rsidR="00D86611" w:rsidRPr="008B6554" w:rsidRDefault="00D86611" w:rsidP="008B6554">
            <w:pPr>
              <w:spacing w:before="40" w:after="120"/>
              <w:ind w:right="113"/>
              <w:rPr>
                <w:lang w:val="fr-FR"/>
              </w:rPr>
            </w:pPr>
            <w:r w:rsidRPr="008B6554">
              <w:rPr>
                <w:lang w:val="fr-FR"/>
              </w:rPr>
              <w:t>D’ici à 2030, 10</w:t>
            </w:r>
            <w:r w:rsidR="008B6554">
              <w:rPr>
                <w:lang w:val="fr-FR"/>
              </w:rPr>
              <w:t> </w:t>
            </w:r>
            <w:r w:rsidRPr="008B6554">
              <w:rPr>
                <w:lang w:val="fr-FR"/>
              </w:rPr>
              <w:t>000 véhicules électriques seront en circulatio</w:t>
            </w:r>
            <w:r w:rsidR="006109A0">
              <w:rPr>
                <w:lang w:val="fr-FR"/>
              </w:rPr>
              <w:t>n</w:t>
            </w:r>
          </w:p>
        </w:tc>
      </w:tr>
      <w:tr w:rsidR="00D86611" w:rsidRPr="008B6554" w14:paraId="2482A35C" w14:textId="77777777" w:rsidTr="00E5173E">
        <w:tc>
          <w:tcPr>
            <w:tcW w:w="1946" w:type="dxa"/>
            <w:shd w:val="clear" w:color="auto" w:fill="auto"/>
            <w:tcMar>
              <w:top w:w="0" w:type="dxa"/>
              <w:left w:w="0" w:type="dxa"/>
              <w:bottom w:w="0" w:type="dxa"/>
              <w:right w:w="0" w:type="dxa"/>
            </w:tcMar>
          </w:tcPr>
          <w:p w14:paraId="5F53F7E6" w14:textId="77777777" w:rsidR="00D86611" w:rsidRPr="008B6554" w:rsidRDefault="00D86611" w:rsidP="008B6554">
            <w:pPr>
              <w:spacing w:before="40" w:after="120"/>
              <w:ind w:right="113"/>
            </w:pPr>
            <w:r w:rsidRPr="008B6554">
              <w:rPr>
                <w:lang w:val="fr-FR"/>
              </w:rPr>
              <w:lastRenderedPageBreak/>
              <w:t>Népal</w:t>
            </w:r>
          </w:p>
        </w:tc>
        <w:tc>
          <w:tcPr>
            <w:tcW w:w="5424" w:type="dxa"/>
            <w:shd w:val="clear" w:color="auto" w:fill="auto"/>
            <w:tcMar>
              <w:top w:w="0" w:type="dxa"/>
              <w:left w:w="0" w:type="dxa"/>
              <w:bottom w:w="0" w:type="dxa"/>
              <w:right w:w="0" w:type="dxa"/>
            </w:tcMar>
          </w:tcPr>
          <w:p w14:paraId="335A2678" w14:textId="54C30C53" w:rsidR="00D86611" w:rsidRPr="008B6554" w:rsidRDefault="00D86611" w:rsidP="006109A0">
            <w:pPr>
              <w:keepNext/>
              <w:keepLines/>
              <w:spacing w:before="40" w:after="120"/>
              <w:ind w:right="113"/>
              <w:rPr>
                <w:lang w:val="fr-FR"/>
              </w:rPr>
            </w:pPr>
            <w:r w:rsidRPr="008B6554">
              <w:rPr>
                <w:lang w:val="fr-FR"/>
              </w:rPr>
              <w:t>D’ici à 2025, 25</w:t>
            </w:r>
            <w:r w:rsidR="00780216" w:rsidRPr="008B6554">
              <w:rPr>
                <w:lang w:val="fr-FR"/>
              </w:rPr>
              <w:t> %</w:t>
            </w:r>
            <w:r w:rsidRPr="008B6554">
              <w:rPr>
                <w:lang w:val="fr-FR"/>
              </w:rPr>
              <w:t xml:space="preserve"> des véhicules vendus (voitures particulières et deux</w:t>
            </w:r>
            <w:r w:rsidR="0062020D">
              <w:rPr>
                <w:lang w:val="fr-FR"/>
              </w:rPr>
              <w:noBreakHyphen/>
            </w:r>
            <w:r w:rsidRPr="008B6554">
              <w:rPr>
                <w:lang w:val="fr-FR"/>
              </w:rPr>
              <w:t>roues) et 20</w:t>
            </w:r>
            <w:r w:rsidR="00780216" w:rsidRPr="008B6554">
              <w:rPr>
                <w:lang w:val="fr-FR"/>
              </w:rPr>
              <w:t> %</w:t>
            </w:r>
            <w:r w:rsidRPr="008B6554">
              <w:rPr>
                <w:lang w:val="fr-FR"/>
              </w:rPr>
              <w:t xml:space="preserve"> des véhicules de transport public (à l’exclusion des rickshaws et des tricycles motorisés) seront électriques ; en 2030, ces chiffres seront de respectivement 90</w:t>
            </w:r>
            <w:r w:rsidR="00780216" w:rsidRPr="008B6554">
              <w:rPr>
                <w:lang w:val="fr-FR"/>
              </w:rPr>
              <w:t> %</w:t>
            </w:r>
            <w:r w:rsidRPr="008B6554">
              <w:rPr>
                <w:lang w:val="fr-FR"/>
              </w:rPr>
              <w:t xml:space="preserve"> et 60</w:t>
            </w:r>
            <w:r w:rsidR="00780216" w:rsidRPr="008B6554">
              <w:rPr>
                <w:lang w:val="fr-FR"/>
              </w:rPr>
              <w:t> %</w:t>
            </w:r>
            <w:r w:rsidRPr="008B6554">
              <w:rPr>
                <w:lang w:val="fr-FR"/>
              </w:rPr>
              <w:t> ; d’ici à 2030, 200</w:t>
            </w:r>
            <w:r w:rsidR="006109A0">
              <w:rPr>
                <w:lang w:val="fr-FR"/>
              </w:rPr>
              <w:t> </w:t>
            </w:r>
            <w:r w:rsidRPr="008B6554">
              <w:rPr>
                <w:lang w:val="fr-FR"/>
              </w:rPr>
              <w:t>km de voies ferrées, sur lesquelles circuleront des trains mûs par l’électricité, seront construits</w:t>
            </w:r>
          </w:p>
        </w:tc>
      </w:tr>
      <w:tr w:rsidR="008B6554" w:rsidRPr="008B6554" w14:paraId="1B3D0B8E" w14:textId="77777777" w:rsidTr="00E5173E">
        <w:tc>
          <w:tcPr>
            <w:tcW w:w="1946" w:type="dxa"/>
            <w:shd w:val="clear" w:color="auto" w:fill="auto"/>
            <w:tcMar>
              <w:top w:w="0" w:type="dxa"/>
              <w:left w:w="0" w:type="dxa"/>
              <w:bottom w:w="0" w:type="dxa"/>
              <w:right w:w="0" w:type="dxa"/>
            </w:tcMar>
          </w:tcPr>
          <w:p w14:paraId="1B042B6B" w14:textId="77777777" w:rsidR="008B6554" w:rsidRPr="008B6554" w:rsidRDefault="008B6554" w:rsidP="000326C8">
            <w:pPr>
              <w:spacing w:before="40" w:after="120"/>
              <w:ind w:right="113"/>
            </w:pPr>
            <w:r w:rsidRPr="008B6554">
              <w:rPr>
                <w:lang w:val="fr-FR"/>
              </w:rPr>
              <w:t>Ouganda</w:t>
            </w:r>
          </w:p>
        </w:tc>
        <w:tc>
          <w:tcPr>
            <w:tcW w:w="5424" w:type="dxa"/>
            <w:shd w:val="clear" w:color="auto" w:fill="auto"/>
            <w:tcMar>
              <w:top w:w="0" w:type="dxa"/>
              <w:left w:w="0" w:type="dxa"/>
              <w:bottom w:w="0" w:type="dxa"/>
              <w:right w:w="0" w:type="dxa"/>
            </w:tcMar>
          </w:tcPr>
          <w:p w14:paraId="0A027487" w14:textId="59063D77" w:rsidR="008B6554" w:rsidRPr="008B6554" w:rsidRDefault="008B6554" w:rsidP="000326C8">
            <w:pPr>
              <w:spacing w:before="40" w:after="120"/>
              <w:ind w:right="113"/>
              <w:rPr>
                <w:lang w:val="fr-FR"/>
              </w:rPr>
            </w:pPr>
            <w:r w:rsidRPr="008B6554">
              <w:rPr>
                <w:lang w:val="fr-FR"/>
              </w:rPr>
              <w:t>D’ici à 2030, au moins 200 bus électriques seront en circulation dans la zone métropolitaine du Grand Kampala</w:t>
            </w:r>
          </w:p>
        </w:tc>
      </w:tr>
      <w:tr w:rsidR="00D86611" w:rsidRPr="008B6554" w14:paraId="0199D492" w14:textId="77777777" w:rsidTr="00E5173E">
        <w:tc>
          <w:tcPr>
            <w:tcW w:w="1946" w:type="dxa"/>
            <w:shd w:val="clear" w:color="auto" w:fill="auto"/>
            <w:tcMar>
              <w:top w:w="0" w:type="dxa"/>
              <w:left w:w="0" w:type="dxa"/>
              <w:bottom w:w="0" w:type="dxa"/>
              <w:right w:w="0" w:type="dxa"/>
            </w:tcMar>
          </w:tcPr>
          <w:p w14:paraId="42C1CB20" w14:textId="77777777" w:rsidR="00D86611" w:rsidRPr="008B6554" w:rsidRDefault="00D86611" w:rsidP="008B6554">
            <w:pPr>
              <w:spacing w:before="40" w:after="120"/>
              <w:ind w:right="113"/>
            </w:pPr>
            <w:r w:rsidRPr="008B6554">
              <w:rPr>
                <w:lang w:val="fr-FR"/>
              </w:rPr>
              <w:t>Pakistan</w:t>
            </w:r>
          </w:p>
        </w:tc>
        <w:tc>
          <w:tcPr>
            <w:tcW w:w="5424" w:type="dxa"/>
            <w:shd w:val="clear" w:color="auto" w:fill="auto"/>
            <w:tcMar>
              <w:top w:w="0" w:type="dxa"/>
              <w:left w:w="0" w:type="dxa"/>
              <w:bottom w:w="0" w:type="dxa"/>
              <w:right w:w="0" w:type="dxa"/>
            </w:tcMar>
          </w:tcPr>
          <w:p w14:paraId="1F9A6823" w14:textId="5F70DD03" w:rsidR="00D86611" w:rsidRPr="008B6554" w:rsidRDefault="00D86611" w:rsidP="008B6554">
            <w:pPr>
              <w:spacing w:before="40" w:after="120"/>
              <w:ind w:right="113"/>
              <w:rPr>
                <w:lang w:val="fr-FR"/>
              </w:rPr>
            </w:pPr>
            <w:r w:rsidRPr="008B6554">
              <w:rPr>
                <w:lang w:val="fr-FR"/>
              </w:rPr>
              <w:t>D’ici à 2030, 30</w:t>
            </w:r>
            <w:r w:rsidR="00780216" w:rsidRPr="008B6554">
              <w:rPr>
                <w:lang w:val="fr-FR"/>
              </w:rPr>
              <w:t> %</w:t>
            </w:r>
            <w:r w:rsidRPr="008B6554">
              <w:rPr>
                <w:lang w:val="fr-FR"/>
              </w:rPr>
              <w:t xml:space="preserve"> de tous les véhicules neufs vendus seront électriques (30</w:t>
            </w:r>
            <w:r w:rsidR="00780216" w:rsidRPr="008B6554">
              <w:rPr>
                <w:lang w:val="fr-FR"/>
              </w:rPr>
              <w:t> %</w:t>
            </w:r>
            <w:r w:rsidRPr="008B6554">
              <w:rPr>
                <w:lang w:val="fr-FR"/>
              </w:rPr>
              <w:t xml:space="preserve"> des véhicules de tourisme et 50</w:t>
            </w:r>
            <w:r w:rsidR="00780216" w:rsidRPr="008B6554">
              <w:rPr>
                <w:lang w:val="fr-FR"/>
              </w:rPr>
              <w:t> %</w:t>
            </w:r>
            <w:r w:rsidRPr="008B6554">
              <w:rPr>
                <w:lang w:val="fr-FR"/>
              </w:rPr>
              <w:t xml:space="preserve"> des véhicules à deux/trois roues et des bus) ; d’ici à 2040, 90</w:t>
            </w:r>
            <w:r w:rsidR="00780216" w:rsidRPr="008B6554">
              <w:rPr>
                <w:lang w:val="fr-FR"/>
              </w:rPr>
              <w:t> %</w:t>
            </w:r>
            <w:r w:rsidRPr="008B6554">
              <w:rPr>
                <w:lang w:val="fr-FR"/>
              </w:rPr>
              <w:t xml:space="preserve"> des véhicules de tourisme et 90</w:t>
            </w:r>
            <w:r w:rsidR="00780216" w:rsidRPr="008B6554">
              <w:rPr>
                <w:lang w:val="fr-FR"/>
              </w:rPr>
              <w:t> %</w:t>
            </w:r>
            <w:r w:rsidRPr="008B6554">
              <w:rPr>
                <w:lang w:val="fr-FR"/>
              </w:rPr>
              <w:t xml:space="preserve"> des véhicules à deux/trois roues et des autobus seront électriques</w:t>
            </w:r>
          </w:p>
        </w:tc>
      </w:tr>
      <w:tr w:rsidR="00D86611" w:rsidRPr="008B6554" w14:paraId="42F5796E" w14:textId="77777777" w:rsidTr="00E5173E">
        <w:tc>
          <w:tcPr>
            <w:tcW w:w="1946" w:type="dxa"/>
            <w:shd w:val="clear" w:color="auto" w:fill="auto"/>
            <w:tcMar>
              <w:top w:w="0" w:type="dxa"/>
              <w:left w:w="0" w:type="dxa"/>
              <w:bottom w:w="0" w:type="dxa"/>
              <w:right w:w="0" w:type="dxa"/>
            </w:tcMar>
          </w:tcPr>
          <w:p w14:paraId="057C8DF4" w14:textId="77777777" w:rsidR="00D86611" w:rsidRPr="008B6554" w:rsidRDefault="00D86611" w:rsidP="008B6554">
            <w:pPr>
              <w:spacing w:before="40" w:after="120"/>
              <w:ind w:right="113"/>
            </w:pPr>
            <w:r w:rsidRPr="008B6554">
              <w:rPr>
                <w:lang w:val="fr-FR"/>
              </w:rPr>
              <w:t>Panama</w:t>
            </w:r>
          </w:p>
        </w:tc>
        <w:tc>
          <w:tcPr>
            <w:tcW w:w="5424" w:type="dxa"/>
            <w:shd w:val="clear" w:color="auto" w:fill="auto"/>
            <w:tcMar>
              <w:top w:w="0" w:type="dxa"/>
              <w:left w:w="0" w:type="dxa"/>
              <w:bottom w:w="0" w:type="dxa"/>
              <w:right w:w="0" w:type="dxa"/>
            </w:tcMar>
          </w:tcPr>
          <w:p w14:paraId="165E83DD" w14:textId="65B2DA2A" w:rsidR="00D86611" w:rsidRPr="008B6554" w:rsidRDefault="00D86611" w:rsidP="008B6554">
            <w:pPr>
              <w:spacing w:before="40" w:after="120"/>
              <w:ind w:right="113"/>
              <w:rPr>
                <w:lang w:val="fr-FR"/>
              </w:rPr>
            </w:pPr>
            <w:r w:rsidRPr="008B6554">
              <w:rPr>
                <w:lang w:val="fr-FR"/>
              </w:rPr>
              <w:t>D’ici à 2030, 10</w:t>
            </w:r>
            <w:r w:rsidR="00780216" w:rsidRPr="008B6554">
              <w:rPr>
                <w:lang w:val="fr-FR"/>
              </w:rPr>
              <w:t> %</w:t>
            </w:r>
            <w:r w:rsidRPr="008B6554">
              <w:rPr>
                <w:lang w:val="fr-FR"/>
              </w:rPr>
              <w:t xml:space="preserve"> des véhicules utilitaires, 25</w:t>
            </w:r>
            <w:r w:rsidR="00780216" w:rsidRPr="008B6554">
              <w:rPr>
                <w:lang w:val="fr-FR"/>
              </w:rPr>
              <w:t> %</w:t>
            </w:r>
            <w:r w:rsidRPr="008B6554">
              <w:rPr>
                <w:lang w:val="fr-FR"/>
              </w:rPr>
              <w:t xml:space="preserve"> des véhicules personnels, 20</w:t>
            </w:r>
            <w:r w:rsidR="00780216" w:rsidRPr="008B6554">
              <w:rPr>
                <w:lang w:val="fr-FR"/>
              </w:rPr>
              <w:t> %</w:t>
            </w:r>
            <w:r w:rsidRPr="008B6554">
              <w:rPr>
                <w:lang w:val="fr-FR"/>
              </w:rPr>
              <w:t xml:space="preserve"> des véhicules de transport public et 30</w:t>
            </w:r>
            <w:r w:rsidR="00780216" w:rsidRPr="008B6554">
              <w:rPr>
                <w:lang w:val="fr-FR"/>
              </w:rPr>
              <w:t> %</w:t>
            </w:r>
            <w:r w:rsidRPr="008B6554">
              <w:rPr>
                <w:lang w:val="fr-FR"/>
              </w:rPr>
              <w:t xml:space="preserve"> du parc des</w:t>
            </w:r>
            <w:r w:rsidR="0062020D">
              <w:rPr>
                <w:lang w:val="fr-FR"/>
              </w:rPr>
              <w:t> </w:t>
            </w:r>
            <w:r w:rsidRPr="008B6554">
              <w:rPr>
                <w:lang w:val="fr-FR"/>
              </w:rPr>
              <w:t>administrations seront électriques</w:t>
            </w:r>
          </w:p>
        </w:tc>
      </w:tr>
      <w:tr w:rsidR="008B6554" w:rsidRPr="008B6554" w14:paraId="369AF5F8" w14:textId="77777777" w:rsidTr="00E5173E">
        <w:tc>
          <w:tcPr>
            <w:tcW w:w="1946" w:type="dxa"/>
            <w:shd w:val="clear" w:color="auto" w:fill="auto"/>
            <w:tcMar>
              <w:top w:w="0" w:type="dxa"/>
              <w:left w:w="0" w:type="dxa"/>
              <w:bottom w:w="0" w:type="dxa"/>
              <w:right w:w="0" w:type="dxa"/>
            </w:tcMar>
          </w:tcPr>
          <w:p w14:paraId="44C444D3" w14:textId="79594201" w:rsidR="008B6554" w:rsidRPr="008B6554" w:rsidRDefault="008B6554" w:rsidP="009F506F">
            <w:pPr>
              <w:spacing w:before="40" w:after="120"/>
              <w:ind w:right="113"/>
            </w:pPr>
            <w:r w:rsidRPr="008B6554">
              <w:rPr>
                <w:lang w:val="fr-FR"/>
              </w:rPr>
              <w:t>République de</w:t>
            </w:r>
            <w:r>
              <w:rPr>
                <w:lang w:val="fr-FR"/>
              </w:rPr>
              <w:t> </w:t>
            </w:r>
            <w:r w:rsidRPr="008B6554">
              <w:rPr>
                <w:lang w:val="fr-FR"/>
              </w:rPr>
              <w:t>Corée</w:t>
            </w:r>
          </w:p>
        </w:tc>
        <w:tc>
          <w:tcPr>
            <w:tcW w:w="5424" w:type="dxa"/>
            <w:shd w:val="clear" w:color="auto" w:fill="auto"/>
            <w:tcMar>
              <w:top w:w="0" w:type="dxa"/>
              <w:left w:w="0" w:type="dxa"/>
              <w:bottom w:w="0" w:type="dxa"/>
              <w:right w:w="0" w:type="dxa"/>
            </w:tcMar>
          </w:tcPr>
          <w:p w14:paraId="38913B41" w14:textId="540FFE2C" w:rsidR="008B6554" w:rsidRPr="008B6554" w:rsidRDefault="008B6554" w:rsidP="009F506F">
            <w:pPr>
              <w:spacing w:before="40" w:after="120"/>
              <w:ind w:right="113"/>
              <w:rPr>
                <w:lang w:val="fr-FR"/>
              </w:rPr>
            </w:pPr>
            <w:r w:rsidRPr="008B6554">
              <w:rPr>
                <w:lang w:val="fr-FR"/>
              </w:rPr>
              <w:t>D’ici à 2030, 3</w:t>
            </w:r>
            <w:r w:rsidR="0062020D">
              <w:rPr>
                <w:lang w:val="fr-FR"/>
              </w:rPr>
              <w:t> </w:t>
            </w:r>
            <w:r w:rsidRPr="008B6554">
              <w:rPr>
                <w:lang w:val="fr-FR"/>
              </w:rPr>
              <w:t>millions de véhicules électriques et 850</w:t>
            </w:r>
            <w:r w:rsidR="0062020D">
              <w:rPr>
                <w:lang w:val="fr-FR"/>
              </w:rPr>
              <w:t> </w:t>
            </w:r>
            <w:r w:rsidRPr="008B6554">
              <w:rPr>
                <w:lang w:val="fr-FR"/>
              </w:rPr>
              <w:t>000</w:t>
            </w:r>
            <w:r w:rsidR="0062020D">
              <w:rPr>
                <w:lang w:val="fr-FR"/>
              </w:rPr>
              <w:t> </w:t>
            </w:r>
            <w:r w:rsidRPr="008B6554">
              <w:rPr>
                <w:lang w:val="fr-FR"/>
              </w:rPr>
              <w:t>véhicules à</w:t>
            </w:r>
            <w:r w:rsidR="0062020D">
              <w:rPr>
                <w:lang w:val="fr-FR"/>
              </w:rPr>
              <w:t> </w:t>
            </w:r>
            <w:r w:rsidRPr="008B6554">
              <w:rPr>
                <w:lang w:val="fr-FR"/>
              </w:rPr>
              <w:t>hydrogène seront en circulation</w:t>
            </w:r>
          </w:p>
        </w:tc>
      </w:tr>
      <w:tr w:rsidR="008B6554" w:rsidRPr="008B6554" w14:paraId="247E34ED" w14:textId="77777777" w:rsidTr="00E5173E">
        <w:tc>
          <w:tcPr>
            <w:tcW w:w="1946" w:type="dxa"/>
            <w:shd w:val="clear" w:color="auto" w:fill="auto"/>
            <w:tcMar>
              <w:top w:w="0" w:type="dxa"/>
              <w:left w:w="0" w:type="dxa"/>
              <w:bottom w:w="0" w:type="dxa"/>
              <w:right w:w="0" w:type="dxa"/>
            </w:tcMar>
          </w:tcPr>
          <w:p w14:paraId="3A8B27F5" w14:textId="77777777" w:rsidR="008B6554" w:rsidRPr="008B6554" w:rsidRDefault="008B6554" w:rsidP="00231189">
            <w:pPr>
              <w:spacing w:before="40" w:after="120"/>
              <w:ind w:right="113"/>
            </w:pPr>
            <w:r w:rsidRPr="008B6554">
              <w:rPr>
                <w:lang w:val="fr-FR"/>
              </w:rPr>
              <w:t>République démocratique populaire lao</w:t>
            </w:r>
          </w:p>
        </w:tc>
        <w:tc>
          <w:tcPr>
            <w:tcW w:w="5424" w:type="dxa"/>
            <w:shd w:val="clear" w:color="auto" w:fill="auto"/>
            <w:tcMar>
              <w:top w:w="0" w:type="dxa"/>
              <w:left w:w="0" w:type="dxa"/>
              <w:bottom w:w="0" w:type="dxa"/>
              <w:right w:w="0" w:type="dxa"/>
            </w:tcMar>
          </w:tcPr>
          <w:p w14:paraId="0788C1C4" w14:textId="24B23156" w:rsidR="008B6554" w:rsidRPr="008B6554" w:rsidRDefault="008B6554" w:rsidP="00231189">
            <w:pPr>
              <w:spacing w:before="40" w:after="120"/>
              <w:ind w:right="113"/>
              <w:rPr>
                <w:lang w:val="fr-FR"/>
              </w:rPr>
            </w:pPr>
            <w:r w:rsidRPr="008B6554">
              <w:rPr>
                <w:lang w:val="fr-FR"/>
              </w:rPr>
              <w:t>30 % de part de marché pour les deux-roues et voitures particulières électriques</w:t>
            </w:r>
          </w:p>
        </w:tc>
      </w:tr>
      <w:tr w:rsidR="00D86611" w:rsidRPr="008B6554" w14:paraId="543E03AB" w14:textId="77777777" w:rsidTr="00E5173E">
        <w:tc>
          <w:tcPr>
            <w:tcW w:w="1946" w:type="dxa"/>
            <w:shd w:val="clear" w:color="auto" w:fill="auto"/>
            <w:tcMar>
              <w:top w:w="0" w:type="dxa"/>
              <w:left w:w="0" w:type="dxa"/>
              <w:bottom w:w="0" w:type="dxa"/>
              <w:right w:w="0" w:type="dxa"/>
            </w:tcMar>
          </w:tcPr>
          <w:p w14:paraId="5FDCCC86" w14:textId="6B494949" w:rsidR="00D86611" w:rsidRPr="008B6554" w:rsidRDefault="00D86611" w:rsidP="008B6554">
            <w:pPr>
              <w:spacing w:before="40" w:after="120"/>
              <w:ind w:right="113"/>
            </w:pPr>
            <w:r w:rsidRPr="008B6554">
              <w:rPr>
                <w:lang w:val="fr-FR"/>
              </w:rPr>
              <w:t>Saint</w:t>
            </w:r>
            <w:r w:rsidR="008B6554">
              <w:rPr>
                <w:lang w:val="fr-FR"/>
              </w:rPr>
              <w:noBreakHyphen/>
            </w:r>
            <w:r w:rsidRPr="008B6554">
              <w:rPr>
                <w:lang w:val="fr-FR"/>
              </w:rPr>
              <w:t>Kitts</w:t>
            </w:r>
            <w:r w:rsidR="008B6554">
              <w:rPr>
                <w:lang w:val="fr-FR"/>
              </w:rPr>
              <w:noBreakHyphen/>
            </w:r>
            <w:r w:rsidRPr="008B6554">
              <w:rPr>
                <w:lang w:val="fr-FR"/>
              </w:rPr>
              <w:t>et</w:t>
            </w:r>
            <w:r w:rsidR="008B6554">
              <w:rPr>
                <w:lang w:val="fr-FR"/>
              </w:rPr>
              <w:noBreakHyphen/>
            </w:r>
            <w:r w:rsidRPr="008B6554">
              <w:rPr>
                <w:lang w:val="fr-FR"/>
              </w:rPr>
              <w:t>Nevis</w:t>
            </w:r>
          </w:p>
        </w:tc>
        <w:tc>
          <w:tcPr>
            <w:tcW w:w="5424" w:type="dxa"/>
            <w:shd w:val="clear" w:color="auto" w:fill="auto"/>
            <w:tcMar>
              <w:top w:w="0" w:type="dxa"/>
              <w:left w:w="0" w:type="dxa"/>
              <w:bottom w:w="0" w:type="dxa"/>
              <w:right w:w="0" w:type="dxa"/>
            </w:tcMar>
          </w:tcPr>
          <w:p w14:paraId="349F098C" w14:textId="631B79BF" w:rsidR="00D86611" w:rsidRPr="008B6554" w:rsidRDefault="00D86611" w:rsidP="008B6554">
            <w:pPr>
              <w:spacing w:before="40" w:after="120"/>
              <w:ind w:right="113"/>
              <w:rPr>
                <w:lang w:val="fr-FR"/>
              </w:rPr>
            </w:pPr>
            <w:r w:rsidRPr="008B6554">
              <w:rPr>
                <w:lang w:val="fr-FR"/>
              </w:rPr>
              <w:t>La part des véhicules électriques dans le parc automobile sera d’au moins 2</w:t>
            </w:r>
            <w:r w:rsidR="00780216" w:rsidRPr="008B6554">
              <w:rPr>
                <w:lang w:val="fr-FR"/>
              </w:rPr>
              <w:t> %</w:t>
            </w:r>
          </w:p>
        </w:tc>
      </w:tr>
      <w:tr w:rsidR="00D86611" w:rsidRPr="008B6554" w14:paraId="485C787C" w14:textId="77777777" w:rsidTr="00E5173E">
        <w:tc>
          <w:tcPr>
            <w:tcW w:w="1946" w:type="dxa"/>
            <w:shd w:val="clear" w:color="auto" w:fill="auto"/>
            <w:tcMar>
              <w:top w:w="0" w:type="dxa"/>
              <w:left w:w="0" w:type="dxa"/>
              <w:bottom w:w="0" w:type="dxa"/>
              <w:right w:w="0" w:type="dxa"/>
            </w:tcMar>
          </w:tcPr>
          <w:p w14:paraId="6A1F9FB8" w14:textId="77777777" w:rsidR="00D86611" w:rsidRPr="008B6554" w:rsidRDefault="00D86611" w:rsidP="008B6554">
            <w:pPr>
              <w:spacing w:before="40" w:after="120"/>
              <w:ind w:right="113"/>
            </w:pPr>
            <w:r w:rsidRPr="008B6554">
              <w:rPr>
                <w:lang w:val="fr-FR"/>
              </w:rPr>
              <w:t>Seychelles</w:t>
            </w:r>
          </w:p>
        </w:tc>
        <w:tc>
          <w:tcPr>
            <w:tcW w:w="5424" w:type="dxa"/>
            <w:shd w:val="clear" w:color="auto" w:fill="auto"/>
            <w:tcMar>
              <w:top w:w="0" w:type="dxa"/>
              <w:left w:w="0" w:type="dxa"/>
              <w:bottom w:w="0" w:type="dxa"/>
              <w:right w:w="0" w:type="dxa"/>
            </w:tcMar>
          </w:tcPr>
          <w:p w14:paraId="5A3F4590" w14:textId="301A757F" w:rsidR="00D86611" w:rsidRPr="008B6554" w:rsidRDefault="00D86611" w:rsidP="008B6554">
            <w:pPr>
              <w:spacing w:before="40" w:after="120"/>
              <w:ind w:right="113"/>
              <w:rPr>
                <w:lang w:val="fr-FR"/>
              </w:rPr>
            </w:pPr>
            <w:r w:rsidRPr="008B6554">
              <w:rPr>
                <w:lang w:val="fr-FR"/>
              </w:rPr>
              <w:t>30</w:t>
            </w:r>
            <w:r w:rsidR="00780216" w:rsidRPr="008B6554">
              <w:rPr>
                <w:lang w:val="fr-FR"/>
              </w:rPr>
              <w:t> %</w:t>
            </w:r>
            <w:r w:rsidRPr="008B6554">
              <w:rPr>
                <w:lang w:val="fr-FR"/>
              </w:rPr>
              <w:t xml:space="preserve"> des véhicules des grandes entreprises touristiques et 20</w:t>
            </w:r>
            <w:r w:rsidR="00780216" w:rsidRPr="008B6554">
              <w:rPr>
                <w:lang w:val="fr-FR"/>
              </w:rPr>
              <w:t> %</w:t>
            </w:r>
            <w:r w:rsidRPr="008B6554">
              <w:rPr>
                <w:lang w:val="fr-FR"/>
              </w:rPr>
              <w:t xml:space="preserve"> de ceux des petites et moyennes entreprises touristiques seront électriques </w:t>
            </w:r>
          </w:p>
        </w:tc>
      </w:tr>
      <w:tr w:rsidR="00D86611" w:rsidRPr="008B6554" w14:paraId="7EEF4D50" w14:textId="77777777" w:rsidTr="00E5173E">
        <w:tc>
          <w:tcPr>
            <w:tcW w:w="1946" w:type="dxa"/>
            <w:shd w:val="clear" w:color="auto" w:fill="auto"/>
            <w:tcMar>
              <w:top w:w="0" w:type="dxa"/>
              <w:left w:w="0" w:type="dxa"/>
              <w:bottom w:w="0" w:type="dxa"/>
              <w:right w:w="0" w:type="dxa"/>
            </w:tcMar>
          </w:tcPr>
          <w:p w14:paraId="1E86F85A" w14:textId="77777777" w:rsidR="00D86611" w:rsidRPr="008B6554" w:rsidRDefault="00D86611" w:rsidP="008B6554">
            <w:pPr>
              <w:spacing w:before="40" w:after="120"/>
              <w:ind w:right="113"/>
            </w:pPr>
            <w:r w:rsidRPr="008B6554">
              <w:rPr>
                <w:lang w:val="fr-FR"/>
              </w:rPr>
              <w:t>Togo</w:t>
            </w:r>
          </w:p>
        </w:tc>
        <w:tc>
          <w:tcPr>
            <w:tcW w:w="5424" w:type="dxa"/>
            <w:shd w:val="clear" w:color="auto" w:fill="auto"/>
            <w:tcMar>
              <w:top w:w="0" w:type="dxa"/>
              <w:left w:w="0" w:type="dxa"/>
              <w:bottom w:w="0" w:type="dxa"/>
              <w:right w:w="0" w:type="dxa"/>
            </w:tcMar>
          </w:tcPr>
          <w:p w14:paraId="3AF25D3A" w14:textId="021A4C34" w:rsidR="00D86611" w:rsidRPr="008B6554" w:rsidRDefault="00D86611" w:rsidP="008B6554">
            <w:pPr>
              <w:spacing w:before="40" w:after="120"/>
              <w:ind w:right="113"/>
              <w:rPr>
                <w:lang w:val="fr-FR"/>
              </w:rPr>
            </w:pPr>
            <w:r w:rsidRPr="008B6554">
              <w:rPr>
                <w:lang w:val="fr-FR"/>
              </w:rPr>
              <w:t>D’ici à 2025, 3</w:t>
            </w:r>
            <w:r w:rsidR="00780216" w:rsidRPr="008B6554">
              <w:rPr>
                <w:lang w:val="fr-FR"/>
              </w:rPr>
              <w:t> %</w:t>
            </w:r>
            <w:r w:rsidRPr="008B6554">
              <w:rPr>
                <w:lang w:val="fr-FR"/>
              </w:rPr>
              <w:t xml:space="preserve"> des véhicules neufs vendus seront électriques</w:t>
            </w:r>
          </w:p>
        </w:tc>
      </w:tr>
      <w:tr w:rsidR="00D86611" w:rsidRPr="008B6554" w14:paraId="75CC4590" w14:textId="77777777" w:rsidTr="00E5173E">
        <w:tc>
          <w:tcPr>
            <w:tcW w:w="1946" w:type="dxa"/>
            <w:tcBorders>
              <w:bottom w:val="single" w:sz="12" w:space="0" w:color="auto"/>
            </w:tcBorders>
            <w:shd w:val="clear" w:color="auto" w:fill="auto"/>
            <w:tcMar>
              <w:top w:w="0" w:type="dxa"/>
              <w:left w:w="0" w:type="dxa"/>
              <w:bottom w:w="0" w:type="dxa"/>
              <w:right w:w="0" w:type="dxa"/>
            </w:tcMar>
          </w:tcPr>
          <w:p w14:paraId="2DFE6B52" w14:textId="77777777" w:rsidR="00D86611" w:rsidRPr="008B6554" w:rsidRDefault="00D86611" w:rsidP="008B6554">
            <w:pPr>
              <w:spacing w:before="40" w:after="120"/>
              <w:ind w:right="113"/>
            </w:pPr>
            <w:r w:rsidRPr="008B6554">
              <w:rPr>
                <w:lang w:val="fr-FR"/>
              </w:rPr>
              <w:t>Vanuatu</w:t>
            </w:r>
          </w:p>
        </w:tc>
        <w:tc>
          <w:tcPr>
            <w:tcW w:w="5424" w:type="dxa"/>
            <w:tcBorders>
              <w:bottom w:val="single" w:sz="12" w:space="0" w:color="auto"/>
            </w:tcBorders>
            <w:shd w:val="clear" w:color="auto" w:fill="auto"/>
            <w:tcMar>
              <w:top w:w="0" w:type="dxa"/>
              <w:left w:w="0" w:type="dxa"/>
              <w:bottom w:w="0" w:type="dxa"/>
              <w:right w:w="0" w:type="dxa"/>
            </w:tcMar>
          </w:tcPr>
          <w:p w14:paraId="14680674" w14:textId="45EA09CF" w:rsidR="00D86611" w:rsidRPr="008B6554" w:rsidRDefault="00D86611" w:rsidP="008B6554">
            <w:pPr>
              <w:spacing w:before="40" w:after="120"/>
              <w:ind w:right="113"/>
              <w:rPr>
                <w:lang w:val="fr-FR"/>
              </w:rPr>
            </w:pPr>
            <w:r w:rsidRPr="008B6554">
              <w:rPr>
                <w:lang w:val="fr-FR"/>
              </w:rPr>
              <w:t>D’ici à 2030, 10</w:t>
            </w:r>
            <w:r w:rsidR="00780216" w:rsidRPr="008B6554">
              <w:rPr>
                <w:lang w:val="fr-FR"/>
              </w:rPr>
              <w:t> %</w:t>
            </w:r>
            <w:r w:rsidRPr="008B6554">
              <w:rPr>
                <w:lang w:val="fr-FR"/>
              </w:rPr>
              <w:t xml:space="preserve"> des bus publics et 10</w:t>
            </w:r>
            <w:r w:rsidR="00780216" w:rsidRPr="008B6554">
              <w:rPr>
                <w:lang w:val="fr-FR"/>
              </w:rPr>
              <w:t> %</w:t>
            </w:r>
            <w:r w:rsidRPr="008B6554">
              <w:rPr>
                <w:lang w:val="fr-FR"/>
              </w:rPr>
              <w:t xml:space="preserve"> de la flotte des administrations publiques seront électriques, de même que 1</w:t>
            </w:r>
            <w:r w:rsidR="00E44976">
              <w:rPr>
                <w:lang w:val="fr-FR"/>
              </w:rPr>
              <w:t> </w:t>
            </w:r>
            <w:r w:rsidRPr="008B6554">
              <w:rPr>
                <w:lang w:val="fr-FR"/>
              </w:rPr>
              <w:t>000</w:t>
            </w:r>
            <w:r w:rsidR="00E44976">
              <w:rPr>
                <w:lang w:val="fr-FR"/>
              </w:rPr>
              <w:t> </w:t>
            </w:r>
            <w:r w:rsidRPr="008B6554">
              <w:rPr>
                <w:lang w:val="fr-FR"/>
              </w:rPr>
              <w:t>véhicules à deux ou trois roues</w:t>
            </w:r>
          </w:p>
        </w:tc>
      </w:tr>
    </w:tbl>
    <w:p w14:paraId="36EF4D5B" w14:textId="07101A85" w:rsidR="00F9573C" w:rsidRPr="008B6554" w:rsidRDefault="008B6554" w:rsidP="008B6554">
      <w:pPr>
        <w:pStyle w:val="SingleTxtG"/>
        <w:spacing w:before="240" w:after="0"/>
        <w:jc w:val="center"/>
        <w:rPr>
          <w:u w:val="single"/>
        </w:rPr>
      </w:pPr>
      <w:r>
        <w:rPr>
          <w:u w:val="single"/>
        </w:rPr>
        <w:tab/>
      </w:r>
      <w:r>
        <w:rPr>
          <w:u w:val="single"/>
        </w:rPr>
        <w:tab/>
      </w:r>
      <w:r>
        <w:rPr>
          <w:u w:val="single"/>
        </w:rPr>
        <w:tab/>
      </w:r>
      <w:r>
        <w:rPr>
          <w:u w:val="single"/>
        </w:rPr>
        <w:tab/>
      </w:r>
    </w:p>
    <w:sectPr w:rsidR="00F9573C" w:rsidRPr="008B6554" w:rsidSect="00D86611">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E092" w14:textId="77777777" w:rsidR="00A00371" w:rsidRDefault="00A00371" w:rsidP="00F95C08">
      <w:pPr>
        <w:spacing w:line="240" w:lineRule="auto"/>
      </w:pPr>
    </w:p>
  </w:endnote>
  <w:endnote w:type="continuationSeparator" w:id="0">
    <w:p w14:paraId="287A78C5" w14:textId="77777777" w:rsidR="00A00371" w:rsidRPr="00AC3823" w:rsidRDefault="00A00371" w:rsidP="00AC3823">
      <w:pPr>
        <w:pStyle w:val="Pieddepage"/>
      </w:pPr>
    </w:p>
  </w:endnote>
  <w:endnote w:type="continuationNotice" w:id="1">
    <w:p w14:paraId="7AC06BF7" w14:textId="77777777" w:rsidR="00A00371" w:rsidRDefault="00A003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2C51" w14:textId="493FA3EB" w:rsidR="00D86611" w:rsidRPr="00D86611" w:rsidRDefault="00D86611" w:rsidP="00D86611">
    <w:pPr>
      <w:pStyle w:val="Pieddepage"/>
      <w:tabs>
        <w:tab w:val="right" w:pos="9638"/>
      </w:tabs>
    </w:pPr>
    <w:r w:rsidRPr="00D86611">
      <w:rPr>
        <w:b/>
        <w:sz w:val="18"/>
      </w:rPr>
      <w:fldChar w:fldCharType="begin"/>
    </w:r>
    <w:r w:rsidRPr="00D86611">
      <w:rPr>
        <w:b/>
        <w:sz w:val="18"/>
      </w:rPr>
      <w:instrText xml:space="preserve"> PAGE  \* MERGEFORMAT </w:instrText>
    </w:r>
    <w:r w:rsidRPr="00D86611">
      <w:rPr>
        <w:b/>
        <w:sz w:val="18"/>
      </w:rPr>
      <w:fldChar w:fldCharType="separate"/>
    </w:r>
    <w:r w:rsidRPr="00D86611">
      <w:rPr>
        <w:b/>
        <w:noProof/>
        <w:sz w:val="18"/>
      </w:rPr>
      <w:t>2</w:t>
    </w:r>
    <w:r w:rsidRPr="00D86611">
      <w:rPr>
        <w:b/>
        <w:sz w:val="18"/>
      </w:rPr>
      <w:fldChar w:fldCharType="end"/>
    </w:r>
    <w:r>
      <w:rPr>
        <w:b/>
        <w:sz w:val="18"/>
      </w:rPr>
      <w:tab/>
    </w:r>
    <w:r>
      <w:t>GE.23-24874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AF4A" w14:textId="012284D4" w:rsidR="00D86611" w:rsidRPr="00D86611" w:rsidRDefault="00D86611" w:rsidP="00D86611">
    <w:pPr>
      <w:pStyle w:val="Pieddepage"/>
      <w:tabs>
        <w:tab w:val="right" w:pos="9638"/>
      </w:tabs>
      <w:rPr>
        <w:b/>
        <w:sz w:val="18"/>
      </w:rPr>
    </w:pPr>
    <w:r>
      <w:t>GE.23-24874</w:t>
    </w:r>
    <w:r>
      <w:tab/>
    </w:r>
    <w:r w:rsidRPr="00D86611">
      <w:rPr>
        <w:b/>
        <w:sz w:val="18"/>
      </w:rPr>
      <w:fldChar w:fldCharType="begin"/>
    </w:r>
    <w:r w:rsidRPr="00D86611">
      <w:rPr>
        <w:b/>
        <w:sz w:val="18"/>
      </w:rPr>
      <w:instrText xml:space="preserve"> PAGE  \* MERGEFORMAT </w:instrText>
    </w:r>
    <w:r w:rsidRPr="00D86611">
      <w:rPr>
        <w:b/>
        <w:sz w:val="18"/>
      </w:rPr>
      <w:fldChar w:fldCharType="separate"/>
    </w:r>
    <w:r w:rsidRPr="00D86611">
      <w:rPr>
        <w:b/>
        <w:noProof/>
        <w:sz w:val="18"/>
      </w:rPr>
      <w:t>3</w:t>
    </w:r>
    <w:r w:rsidRPr="00D866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9F7E" w14:textId="4EBE717F" w:rsidR="007F20FA" w:rsidRPr="00D86611" w:rsidRDefault="00D86611" w:rsidP="00D8661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37EE766" wp14:editId="45AB5AC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23-24874  (F)</w:t>
    </w:r>
    <w:r>
      <w:rPr>
        <w:noProof/>
        <w:sz w:val="20"/>
      </w:rPr>
      <w:drawing>
        <wp:anchor distT="0" distB="0" distL="114300" distR="114300" simplePos="0" relativeHeight="251660288" behindDoc="0" locked="0" layoutInCell="1" allowOverlap="1" wp14:anchorId="17196662" wp14:editId="459B2F49">
          <wp:simplePos x="0" y="0"/>
          <wp:positionH relativeFrom="margin">
            <wp:posOffset>5489575</wp:posOffset>
          </wp:positionH>
          <wp:positionV relativeFrom="margin">
            <wp:posOffset>8891905</wp:posOffset>
          </wp:positionV>
          <wp:extent cx="561975" cy="561975"/>
          <wp:effectExtent l="0" t="0" r="9525" b="9525"/>
          <wp:wrapNone/>
          <wp:docPr id="7249762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030124    040124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AEA0" w14:textId="77777777" w:rsidR="00A00371" w:rsidRPr="00AC3823" w:rsidRDefault="00A00371" w:rsidP="00AC3823">
      <w:pPr>
        <w:pStyle w:val="Pieddepage"/>
        <w:tabs>
          <w:tab w:val="right" w:pos="2155"/>
        </w:tabs>
        <w:spacing w:after="80" w:line="240" w:lineRule="atLeast"/>
        <w:ind w:left="680"/>
        <w:rPr>
          <w:u w:val="single"/>
        </w:rPr>
      </w:pPr>
      <w:r>
        <w:rPr>
          <w:u w:val="single"/>
        </w:rPr>
        <w:tab/>
      </w:r>
    </w:p>
  </w:footnote>
  <w:footnote w:type="continuationSeparator" w:id="0">
    <w:p w14:paraId="34B01424" w14:textId="77777777" w:rsidR="00A00371" w:rsidRPr="00AC3823" w:rsidRDefault="00A00371" w:rsidP="00AC3823">
      <w:pPr>
        <w:pStyle w:val="Pieddepage"/>
        <w:tabs>
          <w:tab w:val="right" w:pos="2155"/>
        </w:tabs>
        <w:spacing w:after="80" w:line="240" w:lineRule="atLeast"/>
        <w:ind w:left="680"/>
        <w:rPr>
          <w:u w:val="single"/>
        </w:rPr>
      </w:pPr>
      <w:r>
        <w:rPr>
          <w:u w:val="single"/>
        </w:rPr>
        <w:tab/>
      </w:r>
    </w:p>
  </w:footnote>
  <w:footnote w:type="continuationNotice" w:id="1">
    <w:p w14:paraId="6B64ECF1" w14:textId="77777777" w:rsidR="00A00371" w:rsidRPr="00AC3823" w:rsidRDefault="00A00371">
      <w:pPr>
        <w:spacing w:line="240" w:lineRule="auto"/>
        <w:rPr>
          <w:sz w:val="2"/>
          <w:szCs w:val="2"/>
        </w:rPr>
      </w:pPr>
    </w:p>
  </w:footnote>
  <w:footnote w:id="2">
    <w:p w14:paraId="53624585" w14:textId="1F8C0755" w:rsidR="00D86611" w:rsidRPr="00D86611" w:rsidRDefault="00D86611">
      <w:pPr>
        <w:pStyle w:val="Notedebasdepage"/>
        <w:rPr>
          <w:lang w:val="fr-FR"/>
        </w:rPr>
      </w:pPr>
      <w:r>
        <w:rPr>
          <w:rStyle w:val="Appelnotedebasdep"/>
        </w:rPr>
        <w:tab/>
      </w:r>
      <w:r w:rsidRPr="00D86611">
        <w:rPr>
          <w:rStyle w:val="Appelnotedebasdep"/>
          <w:sz w:val="20"/>
          <w:vertAlign w:val="baseline"/>
        </w:rPr>
        <w:t>*</w:t>
      </w:r>
      <w:r>
        <w:rPr>
          <w:rStyle w:val="Appelnotedebasdep"/>
          <w:sz w:val="20"/>
          <w:vertAlign w:val="baseline"/>
        </w:rPr>
        <w:tab/>
      </w:r>
      <w:r>
        <w:rPr>
          <w:lang w:val="fr-FR"/>
        </w:rPr>
        <w:t>La version originale du présent document n</w:t>
      </w:r>
      <w:r w:rsidR="00EF6A7F">
        <w:rPr>
          <w:lang w:val="fr-FR"/>
        </w:rPr>
        <w:t>’</w:t>
      </w:r>
      <w:r>
        <w:rPr>
          <w:lang w:val="fr-FR"/>
        </w:rPr>
        <w:t>a pas été revue par les services d</w:t>
      </w:r>
      <w:r w:rsidR="00EF6A7F">
        <w:rPr>
          <w:lang w:val="fr-FR"/>
        </w:rPr>
        <w:t>’</w:t>
      </w:r>
      <w:r>
        <w:rPr>
          <w:lang w:val="fr-FR"/>
        </w:rPr>
        <w:t>édition.</w:t>
      </w:r>
    </w:p>
  </w:footnote>
  <w:footnote w:id="3">
    <w:p w14:paraId="01646304" w14:textId="667E177B" w:rsidR="00780216" w:rsidRPr="00780216" w:rsidRDefault="00780216">
      <w:pPr>
        <w:pStyle w:val="Notedebasdepage"/>
        <w:rPr>
          <w:lang w:val="fr-FR"/>
        </w:rPr>
      </w:pPr>
      <w:r>
        <w:tab/>
      </w:r>
      <w:r>
        <w:rPr>
          <w:rStyle w:val="Appelnotedebasdep"/>
        </w:rPr>
        <w:footnoteRef/>
      </w:r>
      <w:r>
        <w:tab/>
      </w:r>
      <w:r>
        <w:rPr>
          <w:lang w:val="fr-FR"/>
        </w:rPr>
        <w:t xml:space="preserve">Agence allemande de coopération internationale (GIZ) et Partenariat pour des transports écologiques, à faible émission de carbone (SLoCaT) (2023), </w:t>
      </w:r>
      <w:r w:rsidR="00E91F68">
        <w:rPr>
          <w:lang w:val="fr-FR"/>
        </w:rPr>
        <w:t>« </w:t>
      </w:r>
      <w:r>
        <w:rPr>
          <w:lang w:val="fr-FR"/>
        </w:rPr>
        <w:t>NDC Transport Tracker</w:t>
      </w:r>
      <w:r w:rsidR="00E91F68">
        <w:rPr>
          <w:lang w:val="fr-FR"/>
        </w:rPr>
        <w:t> »</w:t>
      </w:r>
      <w:r>
        <w:rPr>
          <w:lang w:val="fr-FR"/>
        </w:rPr>
        <w:t>, disponible à l</w:t>
      </w:r>
      <w:r w:rsidR="00EF6A7F">
        <w:rPr>
          <w:lang w:val="fr-FR"/>
        </w:rPr>
        <w:t>’</w:t>
      </w:r>
      <w:r>
        <w:rPr>
          <w:lang w:val="fr-FR"/>
        </w:rPr>
        <w:t xml:space="preserve">adresse </w:t>
      </w:r>
      <w:hyperlink r:id="rId1" w:history="1">
        <w:r w:rsidRPr="006C25E9">
          <w:rPr>
            <w:rStyle w:val="Lienhypertexte"/>
            <w:lang w:val="fr-FR"/>
          </w:rPr>
          <w:t>https://changing-transport.org/tracker</w:t>
        </w:r>
      </w:hyperlink>
      <w:r>
        <w:rPr>
          <w:lang w:val="fr-FR"/>
        </w:rPr>
        <w:t>.</w:t>
      </w:r>
    </w:p>
  </w:footnote>
  <w:footnote w:id="4">
    <w:p w14:paraId="0986D4BF" w14:textId="581CC451" w:rsidR="00780216" w:rsidRPr="00780216" w:rsidRDefault="00780216">
      <w:pPr>
        <w:pStyle w:val="Notedebasdepage"/>
        <w:rPr>
          <w:lang w:val="fr-FR"/>
        </w:rPr>
      </w:pPr>
      <w:r>
        <w:tab/>
      </w:r>
      <w:r>
        <w:rPr>
          <w:rStyle w:val="Appelnotedebasdep"/>
        </w:rPr>
        <w:footnoteRef/>
      </w:r>
      <w:r>
        <w:tab/>
      </w:r>
      <w:r>
        <w:rPr>
          <w:lang w:val="fr-FR"/>
        </w:rPr>
        <w:t xml:space="preserve">SLoCaT (2022), </w:t>
      </w:r>
      <w:r w:rsidR="00E91F68">
        <w:rPr>
          <w:lang w:val="fr-FR"/>
        </w:rPr>
        <w:t>« </w:t>
      </w:r>
      <w:r>
        <w:rPr>
          <w:lang w:val="fr-FR"/>
        </w:rPr>
        <w:t>Climate Strategies for Transport : An Analysis of Nationally Determined Contributions and Long-Term Strategies</w:t>
      </w:r>
      <w:r w:rsidR="00E91F68">
        <w:rPr>
          <w:lang w:val="fr-FR"/>
        </w:rPr>
        <w:t> »</w:t>
      </w:r>
      <w:r>
        <w:rPr>
          <w:lang w:val="fr-FR"/>
        </w:rPr>
        <w:t>, mise à jour d</w:t>
      </w:r>
      <w:r w:rsidR="00EF6A7F">
        <w:rPr>
          <w:lang w:val="fr-FR"/>
        </w:rPr>
        <w:t>’</w:t>
      </w:r>
      <w:r>
        <w:rPr>
          <w:lang w:val="fr-FR"/>
        </w:rPr>
        <w:t>octobre 2022, disponible à l</w:t>
      </w:r>
      <w:r w:rsidR="00EF6A7F">
        <w:rPr>
          <w:lang w:val="fr-FR"/>
        </w:rPr>
        <w:t>’</w:t>
      </w:r>
      <w:r>
        <w:rPr>
          <w:lang w:val="fr-FR"/>
        </w:rPr>
        <w:t xml:space="preserve">adresse </w:t>
      </w:r>
      <w:hyperlink r:id="rId2" w:history="1">
        <w:r w:rsidRPr="006C25E9">
          <w:rPr>
            <w:rStyle w:val="Lienhypertexte"/>
            <w:lang w:val="fr-FR"/>
          </w:rPr>
          <w:t>www.slocat.net/ndcs</w:t>
        </w:r>
      </w:hyperlink>
      <w:r>
        <w:rPr>
          <w:lang w:val="fr-FR"/>
        </w:rPr>
        <w:t>.</w:t>
      </w:r>
    </w:p>
  </w:footnote>
  <w:footnote w:id="5">
    <w:p w14:paraId="6EEF7522" w14:textId="12000DDB" w:rsidR="0016543E" w:rsidRPr="0016543E" w:rsidRDefault="0016543E" w:rsidP="00621E65">
      <w:pPr>
        <w:pStyle w:val="Notedebasdepage"/>
        <w:spacing w:line="210" w:lineRule="exact"/>
        <w:rPr>
          <w:lang w:val="fr-FR"/>
        </w:rPr>
      </w:pPr>
      <w:r>
        <w:tab/>
      </w:r>
      <w:r>
        <w:rPr>
          <w:rStyle w:val="Appelnotedebasdep"/>
        </w:rPr>
        <w:footnoteRef/>
      </w:r>
      <w:r>
        <w:tab/>
      </w:r>
      <w:r w:rsidRPr="00B47120">
        <w:t>Idem.</w:t>
      </w:r>
    </w:p>
  </w:footnote>
  <w:footnote w:id="6">
    <w:p w14:paraId="203C268E" w14:textId="7198B1EC" w:rsidR="0016543E" w:rsidRPr="0016543E" w:rsidRDefault="0016543E" w:rsidP="00621E65">
      <w:pPr>
        <w:pStyle w:val="Notedebasdepage"/>
        <w:spacing w:line="210" w:lineRule="exact"/>
        <w:rPr>
          <w:lang w:val="fr-FR"/>
        </w:rPr>
      </w:pPr>
      <w:r>
        <w:tab/>
      </w:r>
      <w:r>
        <w:rPr>
          <w:rStyle w:val="Appelnotedebasdep"/>
        </w:rPr>
        <w:footnoteRef/>
      </w:r>
      <w:r>
        <w:tab/>
      </w:r>
      <w:r w:rsidRPr="00B47120">
        <w:t>Idem.</w:t>
      </w:r>
    </w:p>
  </w:footnote>
  <w:footnote w:id="7">
    <w:p w14:paraId="2722E6C9" w14:textId="31E76D2A" w:rsidR="0016543E" w:rsidRPr="0016543E" w:rsidRDefault="0016543E" w:rsidP="00621E65">
      <w:pPr>
        <w:pStyle w:val="Notedebasdepage"/>
        <w:spacing w:line="210" w:lineRule="exact"/>
        <w:rPr>
          <w:lang w:val="fr-FR"/>
        </w:rPr>
      </w:pPr>
      <w:r>
        <w:tab/>
      </w:r>
      <w:r>
        <w:rPr>
          <w:rStyle w:val="Appelnotedebasdep"/>
        </w:rPr>
        <w:footnoteRef/>
      </w:r>
      <w:r>
        <w:tab/>
      </w:r>
      <w:r w:rsidRPr="00C15536">
        <w:rPr>
          <w:lang w:val="fr-FR"/>
        </w:rPr>
        <w:t>Idem.</w:t>
      </w:r>
    </w:p>
  </w:footnote>
  <w:footnote w:id="8">
    <w:p w14:paraId="36826D14" w14:textId="5350EB37" w:rsidR="0016543E" w:rsidRPr="0016543E" w:rsidRDefault="0016543E" w:rsidP="00621E65">
      <w:pPr>
        <w:pStyle w:val="Notedebasdepage"/>
        <w:spacing w:line="210" w:lineRule="exact"/>
        <w:rPr>
          <w:lang w:val="fr-FR"/>
        </w:rPr>
      </w:pPr>
      <w:r w:rsidRPr="009E38CB">
        <w:rPr>
          <w:spacing w:val="-3"/>
        </w:rPr>
        <w:tab/>
      </w:r>
      <w:r w:rsidRPr="009E38CB">
        <w:rPr>
          <w:rStyle w:val="Appelnotedebasdep"/>
          <w:spacing w:val="-3"/>
        </w:rPr>
        <w:footnoteRef/>
      </w:r>
      <w:r w:rsidRPr="009E38CB">
        <w:rPr>
          <w:spacing w:val="-3"/>
        </w:rPr>
        <w:tab/>
      </w:r>
      <w:r w:rsidRPr="009E38CB">
        <w:rPr>
          <w:spacing w:val="-3"/>
          <w:lang w:val="fr-FR"/>
        </w:rPr>
        <w:t xml:space="preserve">GIZ et SLoCaT (2023), </w:t>
      </w:r>
      <w:r w:rsidR="00E91F68" w:rsidRPr="009E38CB">
        <w:rPr>
          <w:spacing w:val="-3"/>
          <w:lang w:val="fr-FR"/>
        </w:rPr>
        <w:t>« </w:t>
      </w:r>
      <w:r w:rsidRPr="009E38CB">
        <w:rPr>
          <w:spacing w:val="-3"/>
          <w:lang w:val="fr-FR"/>
        </w:rPr>
        <w:t>NDC Transport Tracker</w:t>
      </w:r>
      <w:r w:rsidR="00E91F68" w:rsidRPr="009E38CB">
        <w:rPr>
          <w:spacing w:val="-3"/>
          <w:lang w:val="fr-FR"/>
        </w:rPr>
        <w:t> »</w:t>
      </w:r>
      <w:r w:rsidRPr="009E38CB">
        <w:rPr>
          <w:spacing w:val="-3"/>
          <w:lang w:val="fr-FR"/>
        </w:rPr>
        <w:t>, disponible à l</w:t>
      </w:r>
      <w:r w:rsidR="00EF6A7F" w:rsidRPr="009E38CB">
        <w:rPr>
          <w:spacing w:val="-3"/>
          <w:lang w:val="fr-FR"/>
        </w:rPr>
        <w:t>’</w:t>
      </w:r>
      <w:r w:rsidRPr="009E38CB">
        <w:rPr>
          <w:spacing w:val="-3"/>
          <w:lang w:val="fr-FR"/>
        </w:rPr>
        <w:t xml:space="preserve">adresse </w:t>
      </w:r>
      <w:hyperlink r:id="rId3" w:history="1">
        <w:r w:rsidR="009E38CB" w:rsidRPr="00E90871">
          <w:rPr>
            <w:rStyle w:val="Lienhypertexte"/>
            <w:spacing w:val="-3"/>
            <w:lang w:val="fr-FR"/>
          </w:rPr>
          <w:t>https://changing-transport.org/ tracker</w:t>
        </w:r>
      </w:hyperlink>
      <w:r>
        <w:rPr>
          <w:lang w:val="fr-FR"/>
        </w:rPr>
        <w:t>.</w:t>
      </w:r>
    </w:p>
  </w:footnote>
  <w:footnote w:id="9">
    <w:p w14:paraId="03187716" w14:textId="5264363A" w:rsidR="0016543E" w:rsidRPr="00B47120" w:rsidRDefault="0016543E" w:rsidP="00621E65">
      <w:pPr>
        <w:pStyle w:val="Notedebasdepage"/>
        <w:spacing w:line="210" w:lineRule="exact"/>
        <w:rPr>
          <w:lang w:val="en-US"/>
        </w:rPr>
      </w:pPr>
      <w:r w:rsidRPr="0047643F">
        <w:tab/>
      </w:r>
      <w:r>
        <w:rPr>
          <w:rStyle w:val="Appelnotedebasdep"/>
        </w:rPr>
        <w:footnoteRef/>
      </w:r>
      <w:r w:rsidRPr="00B47120">
        <w:rPr>
          <w:lang w:val="en-US"/>
        </w:rPr>
        <w:tab/>
      </w:r>
      <w:r w:rsidRPr="00F20792">
        <w:rPr>
          <w:lang w:val="en-US"/>
        </w:rPr>
        <w:t>Idem.</w:t>
      </w:r>
    </w:p>
  </w:footnote>
  <w:footnote w:id="10">
    <w:p w14:paraId="52C70645" w14:textId="0E7874AC" w:rsidR="00EF6A7F" w:rsidRPr="00EF6A7F" w:rsidRDefault="00EF6A7F">
      <w:pPr>
        <w:pStyle w:val="Notedebasdepage"/>
        <w:rPr>
          <w:lang w:val="en-US"/>
        </w:rPr>
      </w:pPr>
      <w:r w:rsidRPr="00B47120">
        <w:rPr>
          <w:lang w:val="en-US"/>
        </w:rPr>
        <w:tab/>
      </w:r>
      <w:r>
        <w:rPr>
          <w:rStyle w:val="Appelnotedebasdep"/>
        </w:rPr>
        <w:footnoteRef/>
      </w:r>
      <w:r w:rsidRPr="00EF6A7F">
        <w:rPr>
          <w:lang w:val="en-US"/>
        </w:rPr>
        <w:tab/>
      </w:r>
      <w:r w:rsidRPr="00EF6A7F">
        <w:rPr>
          <w:rStyle w:val="Lienhypertexte"/>
          <w:lang w:val="en-US"/>
        </w:rPr>
        <w:t>https://unfccc.int/sites/default/files/NDC/2022-06/EU_NDC_Submission_December per cent202020.pdf</w:t>
      </w:r>
      <w:r w:rsidRPr="00CA5014">
        <w:rPr>
          <w:rStyle w:val="Lienhypertexte"/>
          <w:color w:val="auto"/>
          <w:lang w:val="en-US"/>
        </w:rPr>
        <w:t>.</w:t>
      </w:r>
    </w:p>
  </w:footnote>
  <w:footnote w:id="11">
    <w:p w14:paraId="2C8DBD8A" w14:textId="63D201CC" w:rsidR="00EF6A7F" w:rsidRPr="00EF6A7F" w:rsidRDefault="00EF6A7F">
      <w:pPr>
        <w:pStyle w:val="Notedebasdepage"/>
        <w:rPr>
          <w:lang w:val="fr-FR"/>
        </w:rPr>
      </w:pPr>
      <w:r w:rsidRPr="00EF6A7F">
        <w:rPr>
          <w:lang w:val="en-US"/>
        </w:rPr>
        <w:tab/>
      </w:r>
      <w:r>
        <w:rPr>
          <w:rStyle w:val="Appelnotedebasdep"/>
        </w:rPr>
        <w:footnoteRef/>
      </w:r>
      <w:r>
        <w:tab/>
      </w:r>
      <w:r>
        <w:rPr>
          <w:lang w:val="fr-FR"/>
        </w:rPr>
        <w:t xml:space="preserve">GIZ et SLoCaT (2023), </w:t>
      </w:r>
      <w:r w:rsidR="00E91F68">
        <w:rPr>
          <w:lang w:val="fr-FR"/>
        </w:rPr>
        <w:t>« </w:t>
      </w:r>
      <w:r>
        <w:rPr>
          <w:lang w:val="fr-FR"/>
        </w:rPr>
        <w:t>NDC Transport Tracker</w:t>
      </w:r>
      <w:r w:rsidR="00E91F68">
        <w:rPr>
          <w:lang w:val="fr-FR"/>
        </w:rPr>
        <w:t> »</w:t>
      </w:r>
      <w:r>
        <w:rPr>
          <w:lang w:val="fr-FR"/>
        </w:rPr>
        <w:t xml:space="preserve">, disponible à l’adresse </w:t>
      </w:r>
      <w:hyperlink r:id="rId4" w:history="1">
        <w:r w:rsidRPr="006C25E9">
          <w:rPr>
            <w:rStyle w:val="Lienhypertexte"/>
            <w:lang w:val="fr-FR"/>
          </w:rPr>
          <w:t>https://changing-transport.org/tracker</w:t>
        </w:r>
      </w:hyperlink>
      <w:r>
        <w:rPr>
          <w:lang w:val="fr-FR"/>
        </w:rPr>
        <w:t>.</w:t>
      </w:r>
    </w:p>
  </w:footnote>
  <w:footnote w:id="12">
    <w:p w14:paraId="64128645" w14:textId="77777777" w:rsidR="00621E65" w:rsidRPr="00EF6A7F" w:rsidRDefault="00621E65" w:rsidP="00621E65">
      <w:pPr>
        <w:pStyle w:val="Notedebasdepage"/>
        <w:rPr>
          <w:lang w:val="en-US"/>
        </w:rPr>
      </w:pPr>
      <w:r>
        <w:tab/>
      </w:r>
      <w:r>
        <w:rPr>
          <w:rStyle w:val="Appelnotedebasdep"/>
        </w:rPr>
        <w:footnoteRef/>
      </w:r>
      <w:r w:rsidRPr="00EF6A7F">
        <w:rPr>
          <w:lang w:val="en-US"/>
        </w:rPr>
        <w:tab/>
      </w:r>
      <w:r w:rsidRPr="00B47120">
        <w:rPr>
          <w:rStyle w:val="Lienhypertexte"/>
          <w:lang w:val="en-US"/>
        </w:rPr>
        <w:t>https://unfccc.int/sites/default/files/NDC/2022-06/NDC per cent20actualizada per cent20de per cent20Colombia.pdf</w:t>
      </w:r>
      <w:r>
        <w:rPr>
          <w:lang w:val="en-US"/>
        </w:rPr>
        <w:t>.</w:t>
      </w:r>
    </w:p>
  </w:footnote>
  <w:footnote w:id="13">
    <w:p w14:paraId="25C5A141" w14:textId="1997D47D" w:rsidR="00EF6A7F" w:rsidRPr="00B47120" w:rsidRDefault="00EF6A7F">
      <w:pPr>
        <w:pStyle w:val="Notedebasdepage"/>
        <w:rPr>
          <w:lang w:val="en-US"/>
        </w:rPr>
      </w:pPr>
      <w:r w:rsidRPr="00B47120">
        <w:rPr>
          <w:lang w:val="en-US"/>
        </w:rPr>
        <w:tab/>
      </w:r>
      <w:r>
        <w:rPr>
          <w:rStyle w:val="Appelnotedebasdep"/>
        </w:rPr>
        <w:footnoteRef/>
      </w:r>
      <w:r w:rsidRPr="00B47120">
        <w:rPr>
          <w:lang w:val="en-US"/>
        </w:rPr>
        <w:tab/>
        <w:t xml:space="preserve">Gouvernement des États-Unis (2021), </w:t>
      </w:r>
      <w:r w:rsidR="00E91F68" w:rsidRPr="00B47120">
        <w:rPr>
          <w:lang w:val="en-US"/>
        </w:rPr>
        <w:t>« </w:t>
      </w:r>
      <w:r w:rsidRPr="00B47120">
        <w:rPr>
          <w:lang w:val="en-US"/>
        </w:rPr>
        <w:t>The United States’ Nationally Determined Contribution, Reducing Greenhouse Gases in the United States: A 2030 Emissions Target</w:t>
      </w:r>
      <w:r w:rsidR="00E91F68" w:rsidRPr="00B47120">
        <w:rPr>
          <w:lang w:val="en-US"/>
        </w:rPr>
        <w:t> »</w:t>
      </w:r>
      <w:r w:rsidRPr="00B47120">
        <w:rPr>
          <w:lang w:val="en-US"/>
        </w:rPr>
        <w:t xml:space="preserve">, disponible à l’adresse </w:t>
      </w:r>
      <w:hyperlink r:id="rId5" w:history="1">
        <w:r w:rsidRPr="00B47120">
          <w:rPr>
            <w:rStyle w:val="Lienhypertexte"/>
            <w:lang w:val="en-US"/>
          </w:rPr>
          <w:t>https://unfccc.int/sites/default/files/NDC/202206/United%20States%20NDC%20April%2021%202021%20Final.pdf</w:t>
        </w:r>
      </w:hyperlink>
      <w:r w:rsidRPr="00B47120">
        <w:rPr>
          <w:lang w:val="en-US"/>
        </w:rPr>
        <w:t>.</w:t>
      </w:r>
    </w:p>
  </w:footnote>
  <w:footnote w:id="14">
    <w:p w14:paraId="3E04C945" w14:textId="7EE5FAC2" w:rsidR="00EF6A7F" w:rsidRPr="00EF6A7F" w:rsidRDefault="00EF6A7F">
      <w:pPr>
        <w:pStyle w:val="Notedebasdepage"/>
        <w:rPr>
          <w:lang w:val="fr-FR"/>
        </w:rPr>
      </w:pPr>
      <w:r w:rsidRPr="00B47120">
        <w:rPr>
          <w:lang w:val="en-US"/>
        </w:rPr>
        <w:tab/>
      </w:r>
      <w:r>
        <w:rPr>
          <w:rStyle w:val="Appelnotedebasdep"/>
        </w:rPr>
        <w:footnoteRef/>
      </w:r>
      <w:r>
        <w:tab/>
      </w:r>
      <w:r>
        <w:rPr>
          <w:lang w:val="fr-FR"/>
        </w:rPr>
        <w:t xml:space="preserve">GIZ et SLoCaT (2023), </w:t>
      </w:r>
      <w:r w:rsidR="00E91F68">
        <w:rPr>
          <w:lang w:val="fr-FR"/>
        </w:rPr>
        <w:t>« </w:t>
      </w:r>
      <w:r>
        <w:rPr>
          <w:lang w:val="fr-FR"/>
        </w:rPr>
        <w:t>NDC Transport Tracker</w:t>
      </w:r>
      <w:r w:rsidR="00E91F68">
        <w:rPr>
          <w:lang w:val="fr-FR"/>
        </w:rPr>
        <w:t> »</w:t>
      </w:r>
      <w:r>
        <w:rPr>
          <w:lang w:val="fr-FR"/>
        </w:rPr>
        <w:t xml:space="preserve">, disponible à l’adresse </w:t>
      </w:r>
      <w:hyperlink r:id="rId6" w:history="1">
        <w:r w:rsidRPr="006C25E9">
          <w:rPr>
            <w:rStyle w:val="Lienhypertexte"/>
            <w:lang w:val="fr-FR"/>
          </w:rPr>
          <w:t>https://changing-transport.org/tracker</w:t>
        </w:r>
      </w:hyperlink>
      <w:r>
        <w:rPr>
          <w:lang w:val="fr-FR"/>
        </w:rPr>
        <w:t>.</w:t>
      </w:r>
    </w:p>
  </w:footnote>
  <w:footnote w:id="15">
    <w:p w14:paraId="57BD265F" w14:textId="0A450F54" w:rsidR="00EF6A7F" w:rsidRPr="00B47120" w:rsidRDefault="00EF6A7F">
      <w:pPr>
        <w:pStyle w:val="Notedebasdepage"/>
        <w:rPr>
          <w:lang w:val="en-US"/>
        </w:rPr>
      </w:pPr>
      <w:r>
        <w:tab/>
      </w:r>
      <w:r>
        <w:rPr>
          <w:rStyle w:val="Appelnotedebasdep"/>
        </w:rPr>
        <w:footnoteRef/>
      </w:r>
      <w:r w:rsidRPr="00B47120">
        <w:rPr>
          <w:lang w:val="en-US"/>
        </w:rPr>
        <w:tab/>
      </w:r>
      <w:r w:rsidRPr="00F20792">
        <w:rPr>
          <w:lang w:val="en-US"/>
        </w:rPr>
        <w:t>Idem</w:t>
      </w:r>
      <w:r>
        <w:rPr>
          <w:lang w:val="en-US"/>
        </w:rPr>
        <w:t>.</w:t>
      </w:r>
    </w:p>
  </w:footnote>
  <w:footnote w:id="16">
    <w:p w14:paraId="5CE41B27" w14:textId="29EE3C95" w:rsidR="006D5C4B" w:rsidRPr="006D5C4B" w:rsidRDefault="006D5C4B">
      <w:pPr>
        <w:pStyle w:val="Notedebasdepage"/>
        <w:rPr>
          <w:lang w:val="en-US"/>
        </w:rPr>
      </w:pPr>
      <w:r w:rsidRPr="00B47120">
        <w:rPr>
          <w:lang w:val="en-US"/>
        </w:rPr>
        <w:tab/>
      </w:r>
      <w:r>
        <w:rPr>
          <w:rStyle w:val="Appelnotedebasdep"/>
        </w:rPr>
        <w:footnoteRef/>
      </w:r>
      <w:r w:rsidRPr="006D5C4B">
        <w:rPr>
          <w:lang w:val="en-US"/>
        </w:rPr>
        <w:tab/>
      </w:r>
      <w:r w:rsidRPr="00F20792">
        <w:rPr>
          <w:lang w:val="en-US"/>
        </w:rPr>
        <w:t xml:space="preserve">SLoCaT (2022), </w:t>
      </w:r>
      <w:r w:rsidR="00E91F68">
        <w:rPr>
          <w:lang w:val="en-US"/>
        </w:rPr>
        <w:t>« </w:t>
      </w:r>
      <w:r w:rsidRPr="00F20792">
        <w:rPr>
          <w:lang w:val="en-US"/>
        </w:rPr>
        <w:t>Transport and Voluntary National Reviews 2022</w:t>
      </w:r>
      <w:r w:rsidR="00E91F68">
        <w:rPr>
          <w:lang w:val="en-US"/>
        </w:rPr>
        <w:t> »</w:t>
      </w:r>
      <w:r w:rsidRPr="00F20792">
        <w:rPr>
          <w:lang w:val="en-US"/>
        </w:rPr>
        <w:t>, disponible à l</w:t>
      </w:r>
      <w:r>
        <w:rPr>
          <w:lang w:val="en-US"/>
        </w:rPr>
        <w:t>’</w:t>
      </w:r>
      <w:r w:rsidRPr="00F20792">
        <w:rPr>
          <w:lang w:val="en-US"/>
        </w:rPr>
        <w:t xml:space="preserve">adresse </w:t>
      </w:r>
      <w:hyperlink r:id="rId7" w:history="1">
        <w:r w:rsidRPr="006C25E9">
          <w:rPr>
            <w:rStyle w:val="Lienhypertexte"/>
            <w:lang w:val="en-US"/>
          </w:rPr>
          <w:t>www.slocat.net/vnr</w:t>
        </w:r>
      </w:hyperlink>
      <w:r>
        <w:rPr>
          <w:lang w:val="en-US"/>
        </w:rPr>
        <w:t>.</w:t>
      </w:r>
    </w:p>
  </w:footnote>
  <w:footnote w:id="17">
    <w:p w14:paraId="525DD294" w14:textId="77777777" w:rsidR="00621E65" w:rsidRPr="006D5C4B" w:rsidRDefault="00621E65" w:rsidP="00621E65">
      <w:pPr>
        <w:pStyle w:val="Notedebasdepage"/>
        <w:rPr>
          <w:lang w:val="en-US"/>
        </w:rPr>
      </w:pPr>
      <w:r w:rsidRPr="006D5C4B">
        <w:rPr>
          <w:lang w:val="en-US"/>
        </w:rPr>
        <w:tab/>
      </w:r>
      <w:r>
        <w:rPr>
          <w:rStyle w:val="Appelnotedebasdep"/>
        </w:rPr>
        <w:footnoteRef/>
      </w:r>
      <w:r w:rsidRPr="006D5C4B">
        <w:rPr>
          <w:lang w:val="en-US"/>
        </w:rPr>
        <w:tab/>
      </w:r>
      <w:hyperlink r:id="rId8" w:history="1">
        <w:r w:rsidRPr="00A9678A">
          <w:rPr>
            <w:rStyle w:val="Lienhypertexte"/>
            <w:lang w:val="en-US"/>
          </w:rPr>
          <w:t>https://hlpf.un.org/sites/default/files/vnrs/2023/VNR per cent202023 per cent20Croatia per cent20Report_0.pdf</w:t>
        </w:r>
      </w:hyperlink>
      <w:r>
        <w:rPr>
          <w:lang w:val="en-US"/>
        </w:rPr>
        <w:t>.</w:t>
      </w:r>
    </w:p>
  </w:footnote>
  <w:footnote w:id="18">
    <w:p w14:paraId="3A7BAAE4" w14:textId="3D464736" w:rsidR="00D36B89" w:rsidRPr="00621E65" w:rsidRDefault="00D36B89">
      <w:pPr>
        <w:pStyle w:val="Notedebasdepage"/>
      </w:pPr>
      <w:r w:rsidRPr="00D36B89">
        <w:rPr>
          <w:lang w:val="en-US"/>
        </w:rPr>
        <w:tab/>
      </w:r>
      <w:r>
        <w:rPr>
          <w:rStyle w:val="Appelnotedebasdep"/>
        </w:rPr>
        <w:footnoteRef/>
      </w:r>
      <w:r w:rsidRPr="00621E65">
        <w:tab/>
        <w:t xml:space="preserve">SLoCaT (2022), </w:t>
      </w:r>
      <w:r w:rsidR="00E91F68" w:rsidRPr="00621E65">
        <w:t>« </w:t>
      </w:r>
      <w:r w:rsidRPr="00621E65">
        <w:t>Transport and Voluntary National Reviews 2022</w:t>
      </w:r>
      <w:r w:rsidR="00E91F68" w:rsidRPr="00621E65">
        <w:t> »</w:t>
      </w:r>
      <w:r w:rsidRPr="00621E65">
        <w:t xml:space="preserve">, disponible à l’adresse </w:t>
      </w:r>
      <w:hyperlink r:id="rId9" w:history="1">
        <w:r w:rsidRPr="00621E65">
          <w:rPr>
            <w:rStyle w:val="Lienhypertexte"/>
          </w:rPr>
          <w:t>www.slocat.net/vnr</w:t>
        </w:r>
      </w:hyperlink>
      <w:r w:rsidRPr="00621E65">
        <w:t>.</w:t>
      </w:r>
    </w:p>
  </w:footnote>
  <w:footnote w:id="19">
    <w:p w14:paraId="3283F1DC" w14:textId="1E3F6A48" w:rsidR="00377E39" w:rsidRPr="00621E65" w:rsidRDefault="00377E39">
      <w:pPr>
        <w:pStyle w:val="Notedebasdepage"/>
      </w:pPr>
      <w:r w:rsidRPr="00E5173E">
        <w:tab/>
      </w:r>
      <w:r>
        <w:rPr>
          <w:rStyle w:val="Appelnotedebasdep"/>
        </w:rPr>
        <w:footnoteRef/>
      </w:r>
      <w:r w:rsidRPr="00621E65">
        <w:tab/>
        <w:t>Idem.</w:t>
      </w:r>
    </w:p>
  </w:footnote>
  <w:footnote w:id="20">
    <w:p w14:paraId="7D51A87D" w14:textId="34581844" w:rsidR="00E91F68" w:rsidRPr="0047643F" w:rsidRDefault="00E91F68" w:rsidP="00B47120">
      <w:pPr>
        <w:pStyle w:val="Notedebasdepage"/>
        <w:spacing w:line="210" w:lineRule="exact"/>
      </w:pPr>
      <w:r w:rsidRPr="00621E65">
        <w:tab/>
      </w:r>
      <w:r>
        <w:rPr>
          <w:rStyle w:val="Appelnotedebasdep"/>
        </w:rPr>
        <w:footnoteRef/>
      </w:r>
      <w:r w:rsidRPr="0047643F">
        <w:tab/>
        <w:t>ICLEI</w:t>
      </w:r>
      <w:r w:rsidR="00747EED" w:rsidRPr="0047643F">
        <w:t> − </w:t>
      </w:r>
      <w:r w:rsidRPr="0047643F">
        <w:t xml:space="preserve">Les Gouvernements locaux pour le développement durable (2018), « The Status of SUMPs in EU Member States », disponible à l’adresse </w:t>
      </w:r>
      <w:hyperlink r:id="rId10" w:history="1">
        <w:r w:rsidR="0047643F" w:rsidRPr="00E90871">
          <w:rPr>
            <w:rStyle w:val="Lienhypertexte"/>
          </w:rPr>
          <w:t>https://sumps-up.eu/fileadmin/user_upload/Tools_</w:t>
        </w:r>
        <w:r w:rsidR="0047643F" w:rsidRPr="00E90871">
          <w:rPr>
            <w:rStyle w:val="Lienhypertexte"/>
          </w:rPr>
          <w:br/>
          <w:t>and_Resources/Reports/SUMPs-Up_PROSPERITY-SUMP-Status-in-EU-Report.pdf</w:t>
        </w:r>
      </w:hyperlink>
      <w:r w:rsidRPr="0047643F">
        <w:rPr>
          <w:rStyle w:val="Lienhypertexte"/>
          <w:color w:val="auto"/>
        </w:rPr>
        <w:t>.</w:t>
      </w:r>
    </w:p>
  </w:footnote>
  <w:footnote w:id="21">
    <w:p w14:paraId="4CA04309" w14:textId="48227535" w:rsidR="00E91F68" w:rsidRPr="00E91F68" w:rsidRDefault="00E91F68" w:rsidP="00B47120">
      <w:pPr>
        <w:pStyle w:val="Notedebasdepage"/>
        <w:spacing w:line="210" w:lineRule="exact"/>
        <w:rPr>
          <w:lang w:val="fr-FR"/>
        </w:rPr>
      </w:pPr>
      <w:r w:rsidRPr="0047643F">
        <w:tab/>
      </w:r>
      <w:r>
        <w:rPr>
          <w:rStyle w:val="Appelnotedebasdep"/>
        </w:rPr>
        <w:footnoteRef/>
      </w:r>
      <w:r>
        <w:tab/>
      </w:r>
      <w:r>
        <w:rPr>
          <w:lang w:val="fr-FR"/>
        </w:rPr>
        <w:t xml:space="preserve">Ministère brésilien de l’intégration et du développement régional (2023), « Levantamento sobre a situação dos Planos de Mobilidade Urbana », disponible à l’adresse </w:t>
      </w:r>
      <w:hyperlink r:id="rId11" w:history="1">
        <w:r w:rsidR="0047643F" w:rsidRPr="00E90871">
          <w:rPr>
            <w:rStyle w:val="Lienhypertexte"/>
            <w:lang w:val="fr-FR"/>
          </w:rPr>
          <w:t>https://www.gov.br/mdr/pt-br/</w:t>
        </w:r>
        <w:r w:rsidR="0047643F" w:rsidRPr="00E90871">
          <w:rPr>
            <w:rStyle w:val="Lienhypertexte"/>
            <w:lang w:val="fr-FR"/>
          </w:rPr>
          <w:br/>
          <w:t>assuntos/mobilidade-e-servicos-urbanos/planejamento-da-mobilidade-urbana/levantamento-sobre-a-situacao-dos-planos-de-mobilidade-urbana</w:t>
        </w:r>
      </w:hyperlink>
      <w:r>
        <w:rPr>
          <w:lang w:val="fr-FR"/>
        </w:rPr>
        <w:t>.</w:t>
      </w:r>
    </w:p>
  </w:footnote>
  <w:footnote w:id="22">
    <w:p w14:paraId="49FB0D51" w14:textId="084BFCB5" w:rsidR="00E91F68" w:rsidRPr="00E91F68" w:rsidRDefault="00E91F68" w:rsidP="00B47120">
      <w:pPr>
        <w:pStyle w:val="Notedebasdepage"/>
        <w:spacing w:line="210" w:lineRule="exact"/>
        <w:rPr>
          <w:lang w:val="fr-FR"/>
        </w:rPr>
      </w:pPr>
      <w:r>
        <w:tab/>
      </w:r>
      <w:r>
        <w:rPr>
          <w:rStyle w:val="Appelnotedebasdep"/>
        </w:rPr>
        <w:footnoteRef/>
      </w:r>
      <w:r>
        <w:tab/>
      </w:r>
      <w:r>
        <w:rPr>
          <w:lang w:val="fr-FR"/>
        </w:rPr>
        <w:t xml:space="preserve">Partenariat MobiliseYourCity (2023), « Global Monitor 2023 », disponible à l’adresse </w:t>
      </w:r>
      <w:hyperlink r:id="rId12" w:history="1">
        <w:r w:rsidR="00747EED" w:rsidRPr="006C25E9">
          <w:rPr>
            <w:rStyle w:val="Lienhypertexte"/>
            <w:lang w:val="fr-FR"/>
          </w:rPr>
          <w:t>https://www.mobiliseyourcity.net/global-monitor-2023</w:t>
        </w:r>
      </w:hyperlink>
      <w:r>
        <w:rPr>
          <w:lang w:val="fr-FR"/>
        </w:rPr>
        <w:t>.</w:t>
      </w:r>
    </w:p>
  </w:footnote>
  <w:footnote w:id="23">
    <w:p w14:paraId="63E2A282" w14:textId="583568A1" w:rsidR="00E91F68" w:rsidRPr="0047643F" w:rsidRDefault="00E91F68" w:rsidP="00B47120">
      <w:pPr>
        <w:pStyle w:val="Notedebasdepage"/>
        <w:spacing w:line="210" w:lineRule="exact"/>
        <w:rPr>
          <w:spacing w:val="-2"/>
          <w:lang w:val="en-US"/>
        </w:rPr>
      </w:pPr>
      <w:r w:rsidRPr="0047643F">
        <w:rPr>
          <w:spacing w:val="-2"/>
        </w:rPr>
        <w:tab/>
      </w:r>
      <w:r w:rsidRPr="0047643F">
        <w:rPr>
          <w:rStyle w:val="Appelnotedebasdep"/>
          <w:spacing w:val="-2"/>
        </w:rPr>
        <w:footnoteRef/>
      </w:r>
      <w:r w:rsidRPr="0047643F">
        <w:rPr>
          <w:spacing w:val="-2"/>
          <w:lang w:val="en-US"/>
        </w:rPr>
        <w:tab/>
        <w:t>J.</w:t>
      </w:r>
      <w:r w:rsidR="0047643F">
        <w:rPr>
          <w:spacing w:val="-2"/>
          <w:lang w:val="en-US"/>
        </w:rPr>
        <w:t> </w:t>
      </w:r>
      <w:r w:rsidRPr="0047643F">
        <w:rPr>
          <w:spacing w:val="-2"/>
          <w:lang w:val="en-US"/>
        </w:rPr>
        <w:t xml:space="preserve">Blumgart (2022), « Are trains or buses better for the environment? », </w:t>
      </w:r>
      <w:r w:rsidRPr="0047643F">
        <w:rPr>
          <w:i/>
          <w:iCs/>
          <w:spacing w:val="-2"/>
          <w:lang w:val="en-US"/>
        </w:rPr>
        <w:t>Governing</w:t>
      </w:r>
      <w:r w:rsidRPr="0047643F">
        <w:rPr>
          <w:spacing w:val="-2"/>
          <w:lang w:val="en-US"/>
        </w:rPr>
        <w:t>, 11</w:t>
      </w:r>
      <w:r w:rsidR="00747EED" w:rsidRPr="0047643F">
        <w:rPr>
          <w:spacing w:val="-2"/>
          <w:lang w:val="en-US"/>
        </w:rPr>
        <w:t> </w:t>
      </w:r>
      <w:r w:rsidRPr="0047643F">
        <w:rPr>
          <w:spacing w:val="-2"/>
          <w:lang w:val="en-US"/>
        </w:rPr>
        <w:t xml:space="preserve">février, disponible à l’adresse </w:t>
      </w:r>
      <w:hyperlink r:id="rId13" w:history="1">
        <w:r w:rsidR="00747EED" w:rsidRPr="0047643F">
          <w:rPr>
            <w:rStyle w:val="Lienhypertexte"/>
            <w:spacing w:val="-2"/>
            <w:lang w:val="en-US"/>
          </w:rPr>
          <w:t>https://www.governing.com/next/are-trains-or-buses-better-for-the-environment</w:t>
        </w:r>
      </w:hyperlink>
      <w:r w:rsidRPr="0047643F">
        <w:rPr>
          <w:spacing w:val="-2"/>
          <w:lang w:val="en-US"/>
        </w:rPr>
        <w:t>.</w:t>
      </w:r>
    </w:p>
  </w:footnote>
  <w:footnote w:id="24">
    <w:p w14:paraId="50E94871" w14:textId="223B38C2" w:rsidR="00D86611" w:rsidRPr="00EF6A7F" w:rsidRDefault="00D86611" w:rsidP="00B47120">
      <w:pPr>
        <w:pStyle w:val="Notedebasdepage"/>
        <w:spacing w:line="210" w:lineRule="exact"/>
        <w:rPr>
          <w:lang w:val="en-US"/>
        </w:rPr>
      </w:pPr>
      <w:r w:rsidRPr="00EF6A7F">
        <w:rPr>
          <w:lang w:val="en-US"/>
        </w:rPr>
        <w:tab/>
      </w:r>
      <w:r w:rsidRPr="008D69CF">
        <w:rPr>
          <w:rStyle w:val="Appelnotedebasdep"/>
        </w:rPr>
        <w:footnoteRef/>
      </w:r>
      <w:r w:rsidRPr="00EF6A7F">
        <w:rPr>
          <w:lang w:val="en-US"/>
        </w:rPr>
        <w:tab/>
      </w:r>
      <w:r w:rsidRPr="00EF6A7F">
        <w:rPr>
          <w:lang w:val="en-US"/>
        </w:rPr>
        <w:tab/>
        <w:t xml:space="preserve">A. Pharande, </w:t>
      </w:r>
      <w:r w:rsidR="00E91F68">
        <w:rPr>
          <w:lang w:val="en-US"/>
        </w:rPr>
        <w:t>« </w:t>
      </w:r>
      <w:r w:rsidRPr="00EF6A7F">
        <w:rPr>
          <w:lang w:val="en-US"/>
        </w:rPr>
        <w:t>Transit-oriented development</w:t>
      </w:r>
      <w:r w:rsidR="00747EED">
        <w:rPr>
          <w:lang w:val="en-US"/>
        </w:rPr>
        <w:t> − </w:t>
      </w:r>
      <w:r w:rsidRPr="00EF6A7F">
        <w:rPr>
          <w:lang w:val="en-US"/>
        </w:rPr>
        <w:t>Making Indian cities liveable again</w:t>
      </w:r>
      <w:r w:rsidR="00E91F68">
        <w:rPr>
          <w:lang w:val="en-US"/>
        </w:rPr>
        <w:t> »</w:t>
      </w:r>
      <w:r w:rsidRPr="00EF6A7F">
        <w:rPr>
          <w:lang w:val="en-US"/>
        </w:rPr>
        <w:t xml:space="preserve">, </w:t>
      </w:r>
      <w:r w:rsidRPr="00EF6A7F">
        <w:rPr>
          <w:i/>
          <w:iCs/>
          <w:lang w:val="en-US"/>
        </w:rPr>
        <w:t>Construction Week</w:t>
      </w:r>
      <w:r w:rsidRPr="00EF6A7F">
        <w:rPr>
          <w:lang w:val="en-US"/>
        </w:rPr>
        <w:t>, 23</w:t>
      </w:r>
      <w:r w:rsidR="002A700B">
        <w:rPr>
          <w:lang w:val="en-US"/>
        </w:rPr>
        <w:t> </w:t>
      </w:r>
      <w:r w:rsidRPr="00EF6A7F">
        <w:rPr>
          <w:lang w:val="en-US"/>
        </w:rPr>
        <w:t>novembre, disponible à l</w:t>
      </w:r>
      <w:r w:rsidR="00EF6A7F" w:rsidRPr="00EF6A7F">
        <w:rPr>
          <w:lang w:val="en-US"/>
        </w:rPr>
        <w:t>’</w:t>
      </w:r>
      <w:r w:rsidRPr="00EF6A7F">
        <w:rPr>
          <w:lang w:val="en-US"/>
        </w:rPr>
        <w:t xml:space="preserve">adresse </w:t>
      </w:r>
      <w:hyperlink r:id="rId14" w:history="1">
        <w:r w:rsidR="00747EED" w:rsidRPr="006C25E9">
          <w:rPr>
            <w:rStyle w:val="Lienhypertexte"/>
            <w:lang w:val="en-US"/>
          </w:rPr>
          <w:t>https://www.constructionweekonline.in/people/transit-oriented-development-making-indian-cities-liveable-again</w:t>
        </w:r>
      </w:hyperlink>
      <w:r w:rsidR="00E91F68">
        <w:rPr>
          <w:lang w:val="en-US"/>
        </w:rPr>
        <w:t>.</w:t>
      </w:r>
    </w:p>
  </w:footnote>
  <w:footnote w:id="25">
    <w:p w14:paraId="208CED72" w14:textId="42C37B29" w:rsidR="00D86611" w:rsidRPr="00EF6A7F" w:rsidRDefault="00D86611" w:rsidP="00B47120">
      <w:pPr>
        <w:pStyle w:val="Notedebasdepage"/>
        <w:spacing w:line="210" w:lineRule="exact"/>
        <w:rPr>
          <w:lang w:val="en-US"/>
        </w:rPr>
      </w:pPr>
      <w:r w:rsidRPr="00EF6A7F">
        <w:rPr>
          <w:lang w:val="en-US"/>
        </w:rPr>
        <w:tab/>
      </w:r>
      <w:r w:rsidRPr="008D69CF">
        <w:rPr>
          <w:rStyle w:val="Appelnotedebasdep"/>
        </w:rPr>
        <w:footnoteRef/>
      </w:r>
      <w:r w:rsidRPr="00EF6A7F">
        <w:rPr>
          <w:lang w:val="en-US"/>
        </w:rPr>
        <w:tab/>
      </w:r>
      <w:r w:rsidRPr="00EF6A7F">
        <w:rPr>
          <w:lang w:val="en-US"/>
        </w:rPr>
        <w:tab/>
        <w:t xml:space="preserve">Ministère des transports des États-Unis, Federal Transit Administration (2022), </w:t>
      </w:r>
      <w:r w:rsidR="00E91F68">
        <w:rPr>
          <w:lang w:val="en-US"/>
        </w:rPr>
        <w:t>« </w:t>
      </w:r>
      <w:r w:rsidRPr="00EF6A7F">
        <w:rPr>
          <w:lang w:val="en-US"/>
        </w:rPr>
        <w:t>Biden-Harris Administration Announces $13.1 Million in Grant Awards to Help Communities Plan for Transit</w:t>
      </w:r>
      <w:r w:rsidR="00AB6B82">
        <w:rPr>
          <w:lang w:val="en-US"/>
        </w:rPr>
        <w:noBreakHyphen/>
      </w:r>
      <w:r w:rsidRPr="00EF6A7F">
        <w:rPr>
          <w:lang w:val="en-US"/>
        </w:rPr>
        <w:t>Oriented Development</w:t>
      </w:r>
      <w:r w:rsidR="00E91F68">
        <w:rPr>
          <w:lang w:val="en-US"/>
        </w:rPr>
        <w:t> »</w:t>
      </w:r>
      <w:r w:rsidRPr="00EF6A7F">
        <w:rPr>
          <w:lang w:val="en-US"/>
        </w:rPr>
        <w:t>, 17</w:t>
      </w:r>
      <w:r w:rsidR="00747EED">
        <w:rPr>
          <w:lang w:val="en-US"/>
        </w:rPr>
        <w:t> </w:t>
      </w:r>
      <w:r w:rsidRPr="00EF6A7F">
        <w:rPr>
          <w:lang w:val="en-US"/>
        </w:rPr>
        <w:t>novembre, disponible à l</w:t>
      </w:r>
      <w:r w:rsidR="00EF6A7F" w:rsidRPr="00EF6A7F">
        <w:rPr>
          <w:lang w:val="en-US"/>
        </w:rPr>
        <w:t>’</w:t>
      </w:r>
      <w:r w:rsidRPr="00EF6A7F">
        <w:rPr>
          <w:lang w:val="en-US"/>
        </w:rPr>
        <w:t xml:space="preserve">adresse </w:t>
      </w:r>
      <w:hyperlink r:id="rId15" w:history="1">
        <w:r w:rsidR="0047643F" w:rsidRPr="00E90871">
          <w:rPr>
            <w:rStyle w:val="Lienhypertexte"/>
            <w:lang w:val="en-US"/>
          </w:rPr>
          <w:t>https://www.transit.dot.gov/</w:t>
        </w:r>
        <w:r w:rsidR="0047643F" w:rsidRPr="00E90871">
          <w:rPr>
            <w:rStyle w:val="Lienhypertexte"/>
            <w:lang w:val="en-US"/>
          </w:rPr>
          <w:br/>
          <w:t>about/</w:t>
        </w:r>
      </w:hyperlink>
      <w:r w:rsidR="00747EED">
        <w:rPr>
          <w:lang w:val="en-US"/>
        </w:rPr>
        <w:t xml:space="preserve"> </w:t>
      </w:r>
      <w:r w:rsidRPr="00747EED">
        <w:rPr>
          <w:rStyle w:val="Lienhypertexte"/>
          <w:lang w:val="en-US"/>
        </w:rPr>
        <w:t>news/biden-harris-administration-announces-131-million-grant-awards-help-communities-plan</w:t>
      </w:r>
      <w:r w:rsidRPr="00EF6A7F">
        <w:rPr>
          <w:lang w:val="en-US"/>
        </w:rPr>
        <w:t> ; J.</w:t>
      </w:r>
      <w:r w:rsidR="00747EED">
        <w:rPr>
          <w:lang w:val="en-US"/>
        </w:rPr>
        <w:t> </w:t>
      </w:r>
      <w:r w:rsidRPr="00EF6A7F">
        <w:rPr>
          <w:lang w:val="en-US"/>
        </w:rPr>
        <w:t xml:space="preserve">Skelley (2023), </w:t>
      </w:r>
      <w:r w:rsidR="00E91F68">
        <w:rPr>
          <w:lang w:val="en-US"/>
        </w:rPr>
        <w:t>« </w:t>
      </w:r>
      <w:r w:rsidRPr="00EF6A7F">
        <w:rPr>
          <w:lang w:val="en-US"/>
        </w:rPr>
        <w:t>California relaxes parking mandates to free up land for multifamily development</w:t>
      </w:r>
      <w:r w:rsidR="00E91F68">
        <w:rPr>
          <w:lang w:val="en-US"/>
        </w:rPr>
        <w:t> − </w:t>
      </w:r>
      <w:r w:rsidRPr="00EF6A7F">
        <w:rPr>
          <w:lang w:val="en-US"/>
        </w:rPr>
        <w:t>but will neighbors and lenders approve ?</w:t>
      </w:r>
      <w:r w:rsidR="00E91F68">
        <w:rPr>
          <w:lang w:val="en-US"/>
        </w:rPr>
        <w:t> »</w:t>
      </w:r>
      <w:r w:rsidRPr="00EF6A7F">
        <w:rPr>
          <w:lang w:val="en-US"/>
        </w:rPr>
        <w:t xml:space="preserve">, </w:t>
      </w:r>
      <w:r w:rsidRPr="00EF6A7F">
        <w:rPr>
          <w:i/>
          <w:iCs/>
          <w:lang w:val="en-US"/>
        </w:rPr>
        <w:t>Urbanland</w:t>
      </w:r>
      <w:r w:rsidRPr="00EF6A7F">
        <w:rPr>
          <w:lang w:val="en-US"/>
        </w:rPr>
        <w:t>, 3</w:t>
      </w:r>
      <w:r w:rsidR="00E91F68">
        <w:rPr>
          <w:lang w:val="en-US"/>
        </w:rPr>
        <w:t> </w:t>
      </w:r>
      <w:r w:rsidRPr="00EF6A7F">
        <w:rPr>
          <w:lang w:val="en-US"/>
        </w:rPr>
        <w:t>janvier, disponible à l</w:t>
      </w:r>
      <w:r w:rsidR="00EF6A7F" w:rsidRPr="00EF6A7F">
        <w:rPr>
          <w:lang w:val="en-US"/>
        </w:rPr>
        <w:t>’</w:t>
      </w:r>
      <w:r w:rsidRPr="00EF6A7F">
        <w:rPr>
          <w:lang w:val="en-US"/>
        </w:rPr>
        <w:t xml:space="preserve">adresse </w:t>
      </w:r>
      <w:hyperlink r:id="rId16" w:history="1">
        <w:r w:rsidR="00AB6B82" w:rsidRPr="00A9678A">
          <w:rPr>
            <w:rStyle w:val="Lienhypertexte"/>
            <w:lang w:val="en-US"/>
          </w:rPr>
          <w:t>https://urbanland.uli.org/planning-design/california-relaxes-parking-mandates-to-free-up-multifamily-development-but-will-neighbors-and-lenders-approve</w:t>
        </w:r>
      </w:hyperlink>
      <w:r w:rsidRPr="00EF6A7F">
        <w:rPr>
          <w:lang w:val="en-US"/>
        </w:rPr>
        <w:t> ; Gouvernement de la Colombie</w:t>
      </w:r>
      <w:r w:rsidR="003A445C">
        <w:rPr>
          <w:lang w:val="en-US"/>
        </w:rPr>
        <w:noBreakHyphen/>
      </w:r>
      <w:r w:rsidRPr="00EF6A7F">
        <w:rPr>
          <w:lang w:val="en-US"/>
        </w:rPr>
        <w:t xml:space="preserve">Britannique (2022), </w:t>
      </w:r>
      <w:r w:rsidR="00E91F68">
        <w:rPr>
          <w:lang w:val="en-US"/>
        </w:rPr>
        <w:t>« </w:t>
      </w:r>
      <w:r w:rsidRPr="00EF6A7F">
        <w:rPr>
          <w:lang w:val="en-US"/>
        </w:rPr>
        <w:t>Province to increase housing, services near transit hubs</w:t>
      </w:r>
      <w:r w:rsidR="00E91F68">
        <w:rPr>
          <w:lang w:val="en-US"/>
        </w:rPr>
        <w:t> »</w:t>
      </w:r>
      <w:r w:rsidRPr="00EF6A7F">
        <w:rPr>
          <w:lang w:val="en-US"/>
        </w:rPr>
        <w:t>, 5</w:t>
      </w:r>
      <w:r w:rsidR="00B47120">
        <w:rPr>
          <w:lang w:val="en-US"/>
        </w:rPr>
        <w:t> </w:t>
      </w:r>
      <w:r w:rsidRPr="00EF6A7F">
        <w:rPr>
          <w:lang w:val="en-US"/>
        </w:rPr>
        <w:t>avril, disponible à l</w:t>
      </w:r>
      <w:r w:rsidR="00EF6A7F" w:rsidRPr="00EF6A7F">
        <w:rPr>
          <w:lang w:val="en-US"/>
        </w:rPr>
        <w:t>’</w:t>
      </w:r>
      <w:r w:rsidRPr="00EF6A7F">
        <w:rPr>
          <w:lang w:val="en-US"/>
        </w:rPr>
        <w:t xml:space="preserve">adresse </w:t>
      </w:r>
      <w:hyperlink r:id="rId17" w:history="1">
        <w:r w:rsidR="00B47120" w:rsidRPr="001B05A0">
          <w:rPr>
            <w:rStyle w:val="Lienhypertexte"/>
            <w:lang w:val="en-US"/>
          </w:rPr>
          <w:t>https://news.gov.bc.ca/releases/2022TRAN0030-000492</w:t>
        </w:r>
      </w:hyperlink>
      <w:r w:rsidR="00E91F68">
        <w:rPr>
          <w:lang w:val="en-US"/>
        </w:rPr>
        <w:t>.</w:t>
      </w:r>
    </w:p>
  </w:footnote>
  <w:footnote w:id="26">
    <w:p w14:paraId="597DF273" w14:textId="3B8DC253" w:rsidR="00D86611" w:rsidRPr="00D86611" w:rsidRDefault="00D86611" w:rsidP="00E91F68">
      <w:pPr>
        <w:pStyle w:val="Notedebasdepage"/>
        <w:rPr>
          <w:lang w:val="en-US"/>
        </w:rPr>
      </w:pPr>
      <w:r w:rsidRPr="00EF6A7F">
        <w:rPr>
          <w:lang w:val="en-US"/>
        </w:rPr>
        <w:tab/>
      </w:r>
      <w:r w:rsidRPr="008D69CF">
        <w:rPr>
          <w:rStyle w:val="Appelnotedebasdep"/>
        </w:rPr>
        <w:footnoteRef/>
      </w:r>
      <w:r w:rsidRPr="00F20792">
        <w:rPr>
          <w:lang w:val="en-US"/>
        </w:rPr>
        <w:tab/>
      </w:r>
      <w:r w:rsidRPr="00F20792">
        <w:rPr>
          <w:lang w:val="en-US"/>
        </w:rPr>
        <w:tab/>
        <w:t xml:space="preserve">Université de Californie à Berkeley, Institute of Transportation Studies (2023), </w:t>
      </w:r>
      <w:r w:rsidR="00E91F68">
        <w:rPr>
          <w:lang w:val="en-US"/>
        </w:rPr>
        <w:t>« </w:t>
      </w:r>
      <w:r w:rsidRPr="00F20792">
        <w:rPr>
          <w:lang w:val="en-US"/>
        </w:rPr>
        <w:t>Proximity planning</w:t>
      </w:r>
      <w:r>
        <w:rPr>
          <w:lang w:val="en-US"/>
        </w:rPr>
        <w:t> :</w:t>
      </w:r>
      <w:r w:rsidRPr="00F20792">
        <w:rPr>
          <w:lang w:val="en-US"/>
        </w:rPr>
        <w:t xml:space="preserve"> A local strategy for global problems, or a global strategy for local problems?</w:t>
      </w:r>
      <w:r w:rsidR="00E91F68">
        <w:rPr>
          <w:lang w:val="en-US"/>
        </w:rPr>
        <w:t> »</w:t>
      </w:r>
      <w:r w:rsidRPr="00F20792">
        <w:rPr>
          <w:lang w:val="en-US"/>
        </w:rPr>
        <w:t>,</w:t>
      </w:r>
      <w:r>
        <w:rPr>
          <w:lang w:val="en-US"/>
        </w:rPr>
        <w:t xml:space="preserve"> </w:t>
      </w:r>
      <w:r w:rsidRPr="00F20792">
        <w:rPr>
          <w:lang w:val="en-US"/>
        </w:rPr>
        <w:t>10</w:t>
      </w:r>
      <w:r w:rsidR="00B47120">
        <w:rPr>
          <w:lang w:val="en-US"/>
        </w:rPr>
        <w:t> </w:t>
      </w:r>
      <w:r w:rsidRPr="00F20792">
        <w:rPr>
          <w:lang w:val="en-US"/>
        </w:rPr>
        <w:t>mars, disponible à l</w:t>
      </w:r>
      <w:r w:rsidR="00EF6A7F">
        <w:rPr>
          <w:lang w:val="en-US"/>
        </w:rPr>
        <w:t>’</w:t>
      </w:r>
      <w:r w:rsidRPr="00F20792">
        <w:rPr>
          <w:lang w:val="en-US"/>
        </w:rPr>
        <w:t xml:space="preserve">adresse </w:t>
      </w:r>
      <w:hyperlink r:id="rId18" w:history="1">
        <w:r w:rsidR="00B47120" w:rsidRPr="001B05A0">
          <w:rPr>
            <w:rStyle w:val="Lienhypertexte"/>
            <w:lang w:val="en-US"/>
          </w:rPr>
          <w:t>https://its.berkeley.edu/news/proximity-planning-local-strategy-global-problems-or-global-strategy-local-problems</w:t>
        </w:r>
      </w:hyperlink>
      <w:r w:rsidR="00E91F68">
        <w:rPr>
          <w:lang w:val="en-US"/>
        </w:rPr>
        <w:t>.</w:t>
      </w:r>
    </w:p>
  </w:footnote>
  <w:footnote w:id="27">
    <w:p w14:paraId="4FCAFCEB" w14:textId="591F5963" w:rsidR="00D86611" w:rsidRPr="00F20792" w:rsidRDefault="00D86611" w:rsidP="00E91F68">
      <w:pPr>
        <w:pStyle w:val="Notedebasdepage"/>
        <w:rPr>
          <w:lang w:val="fr-FR"/>
        </w:rPr>
      </w:pPr>
      <w:r w:rsidRPr="00F20792">
        <w:rPr>
          <w:lang w:val="en-US"/>
        </w:rPr>
        <w:tab/>
      </w:r>
      <w:r w:rsidRPr="008D69CF">
        <w:rPr>
          <w:rStyle w:val="Appelnotedebasdep"/>
        </w:rPr>
        <w:footnoteRef/>
      </w:r>
      <w:r>
        <w:rPr>
          <w:lang w:val="fr-FR"/>
        </w:rPr>
        <w:tab/>
      </w:r>
      <w:r>
        <w:rPr>
          <w:lang w:val="fr-FR"/>
        </w:rPr>
        <w:tab/>
        <w:t xml:space="preserve">Sadler Consultants (2022), </w:t>
      </w:r>
      <w:r w:rsidR="00E91F68">
        <w:rPr>
          <w:lang w:val="fr-FR"/>
        </w:rPr>
        <w:t>« </w:t>
      </w:r>
      <w:r>
        <w:rPr>
          <w:lang w:val="fr-FR"/>
        </w:rPr>
        <w:t>Urban Access Regulations in Europe</w:t>
      </w:r>
      <w:r w:rsidR="00E91F68">
        <w:rPr>
          <w:lang w:val="fr-FR"/>
        </w:rPr>
        <w:t> »</w:t>
      </w:r>
      <w:r>
        <w:rPr>
          <w:lang w:val="fr-FR"/>
        </w:rPr>
        <w:t>, disponible à l</w:t>
      </w:r>
      <w:r w:rsidR="00EF6A7F">
        <w:rPr>
          <w:lang w:val="fr-FR"/>
        </w:rPr>
        <w:t>’</w:t>
      </w:r>
      <w:r>
        <w:rPr>
          <w:lang w:val="fr-FR"/>
        </w:rPr>
        <w:t xml:space="preserve">adresse </w:t>
      </w:r>
      <w:hyperlink r:id="rId19" w:history="1">
        <w:r w:rsidR="00B47120" w:rsidRPr="001B05A0">
          <w:rPr>
            <w:rStyle w:val="Lienhypertexte"/>
            <w:lang w:val="fr-FR"/>
          </w:rPr>
          <w:t>https://urbanaccessregulations.eu</w:t>
        </w:r>
      </w:hyperlink>
      <w:r w:rsidR="00E91F68">
        <w:rPr>
          <w:lang w:val="fr-FR"/>
        </w:rPr>
        <w:t>.</w:t>
      </w:r>
    </w:p>
  </w:footnote>
  <w:footnote w:id="28">
    <w:p w14:paraId="3955A6BA" w14:textId="5ACD4045" w:rsidR="00D86611" w:rsidRPr="00D86611" w:rsidRDefault="00D86611" w:rsidP="00E91F68">
      <w:pPr>
        <w:pStyle w:val="Notedebasdepage"/>
        <w:rPr>
          <w:lang w:val="en-US"/>
        </w:rPr>
      </w:pPr>
      <w:r>
        <w:rPr>
          <w:lang w:val="fr-FR"/>
        </w:rPr>
        <w:tab/>
      </w:r>
      <w:r w:rsidRPr="008D69CF">
        <w:rPr>
          <w:rStyle w:val="Appelnotedebasdep"/>
        </w:rPr>
        <w:footnoteRef/>
      </w:r>
      <w:r w:rsidRPr="00F20792">
        <w:rPr>
          <w:lang w:val="en-US"/>
        </w:rPr>
        <w:tab/>
      </w:r>
      <w:r w:rsidRPr="00F20792">
        <w:rPr>
          <w:lang w:val="en-US"/>
        </w:rPr>
        <w:tab/>
        <w:t xml:space="preserve">H. Cui, P. Gode et S. Wappelhorst (2021), </w:t>
      </w:r>
      <w:r w:rsidR="00E91F68">
        <w:rPr>
          <w:lang w:val="en-US"/>
        </w:rPr>
        <w:t>« </w:t>
      </w:r>
      <w:r w:rsidRPr="00F20792">
        <w:rPr>
          <w:lang w:val="en-US"/>
        </w:rPr>
        <w:t>A Global Overview of Zero-emission Zones in Cities and Their Development Progress</w:t>
      </w:r>
      <w:r w:rsidR="00E91F68">
        <w:rPr>
          <w:lang w:val="en-US"/>
        </w:rPr>
        <w:t> »</w:t>
      </w:r>
      <w:r w:rsidRPr="00F20792">
        <w:rPr>
          <w:lang w:val="en-US"/>
        </w:rPr>
        <w:t>, International Council on Clean Transportation (ICCT), disponible à l</w:t>
      </w:r>
      <w:r w:rsidR="00EF6A7F">
        <w:rPr>
          <w:lang w:val="en-US"/>
        </w:rPr>
        <w:t>’</w:t>
      </w:r>
      <w:r w:rsidRPr="00F20792">
        <w:rPr>
          <w:lang w:val="en-US"/>
        </w:rPr>
        <w:t xml:space="preserve">adresse </w:t>
      </w:r>
      <w:hyperlink r:id="rId20" w:history="1">
        <w:r w:rsidR="00B47120" w:rsidRPr="001B05A0">
          <w:rPr>
            <w:rStyle w:val="Lienhypertexte"/>
            <w:lang w:val="en-US"/>
          </w:rPr>
          <w:t>https://theicct.org/sites/default/files/publications/global-cities-zez-dev-EN-aug21.pdf</w:t>
        </w:r>
      </w:hyperlink>
      <w:r w:rsidR="00E91F68">
        <w:rPr>
          <w:lang w:val="en-US"/>
        </w:rPr>
        <w:t>.</w:t>
      </w:r>
    </w:p>
  </w:footnote>
  <w:footnote w:id="29">
    <w:p w14:paraId="25EA01DE" w14:textId="2D789196" w:rsidR="00D86611" w:rsidRPr="00D86611" w:rsidRDefault="00D86611" w:rsidP="00E91F68">
      <w:pPr>
        <w:pStyle w:val="Notedebasdepage"/>
        <w:rPr>
          <w:lang w:val="en-US"/>
        </w:rPr>
      </w:pPr>
      <w:r w:rsidRPr="00F20792">
        <w:rPr>
          <w:lang w:val="en-US"/>
        </w:rPr>
        <w:tab/>
      </w:r>
      <w:r w:rsidRPr="008D69CF">
        <w:rPr>
          <w:rStyle w:val="Appelnotedebasdep"/>
        </w:rPr>
        <w:footnoteRef/>
      </w:r>
      <w:r w:rsidRPr="00F20792">
        <w:rPr>
          <w:lang w:val="en-US"/>
        </w:rPr>
        <w:tab/>
      </w:r>
      <w:r w:rsidRPr="00F20792">
        <w:rPr>
          <w:lang w:val="en-US"/>
        </w:rPr>
        <w:tab/>
        <w:t xml:space="preserve">C40 Knowledge Hub (2020), </w:t>
      </w:r>
      <w:r w:rsidR="00E91F68">
        <w:rPr>
          <w:lang w:val="en-US"/>
        </w:rPr>
        <w:t>« </w:t>
      </w:r>
      <w:r w:rsidRPr="00F20792">
        <w:rPr>
          <w:lang w:val="en-US"/>
        </w:rPr>
        <w:t>Zero Emission Zones for Freight</w:t>
      </w:r>
      <w:r>
        <w:rPr>
          <w:lang w:val="en-US"/>
        </w:rPr>
        <w:t> :</w:t>
      </w:r>
      <w:r w:rsidRPr="00F20792">
        <w:rPr>
          <w:lang w:val="en-US"/>
        </w:rPr>
        <w:t xml:space="preserve"> Lessons from Beijing</w:t>
      </w:r>
      <w:r w:rsidR="00E91F68">
        <w:rPr>
          <w:lang w:val="en-US"/>
        </w:rPr>
        <w:t> »</w:t>
      </w:r>
      <w:r w:rsidRPr="00F20792">
        <w:rPr>
          <w:lang w:val="en-US"/>
        </w:rPr>
        <w:t>, disponible à l</w:t>
      </w:r>
      <w:r w:rsidR="00EF6A7F">
        <w:rPr>
          <w:lang w:val="en-US"/>
        </w:rPr>
        <w:t>’</w:t>
      </w:r>
      <w:r w:rsidRPr="00F20792">
        <w:rPr>
          <w:lang w:val="en-US"/>
        </w:rPr>
        <w:t xml:space="preserve">adresse </w:t>
      </w:r>
      <w:hyperlink r:id="rId21" w:history="1">
        <w:r w:rsidR="00B47120" w:rsidRPr="001B05A0">
          <w:rPr>
            <w:rStyle w:val="Lienhypertexte"/>
            <w:lang w:val="en-US"/>
          </w:rPr>
          <w:t>https://www.c40knowledgehub.org/s/article/Zero-Emission-Zones-for-Freight-Lessons-from-Beijing</w:t>
        </w:r>
      </w:hyperlink>
      <w:r w:rsidR="00E91F68">
        <w:rPr>
          <w:lang w:val="en-US"/>
        </w:rPr>
        <w:t>.</w:t>
      </w:r>
    </w:p>
  </w:footnote>
  <w:footnote w:id="30">
    <w:p w14:paraId="1D566264" w14:textId="5BC11A73" w:rsidR="00D86611" w:rsidRPr="00F20792" w:rsidRDefault="00D86611" w:rsidP="00E91F68">
      <w:pPr>
        <w:pStyle w:val="Notedebasdepage"/>
        <w:rPr>
          <w:lang w:val="fr-FR"/>
        </w:rPr>
      </w:pPr>
      <w:r w:rsidRPr="00F20792">
        <w:rPr>
          <w:lang w:val="en-US"/>
        </w:rPr>
        <w:tab/>
      </w:r>
      <w:r w:rsidRPr="008D69CF">
        <w:rPr>
          <w:rStyle w:val="Appelnotedebasdep"/>
        </w:rPr>
        <w:footnoteRef/>
      </w:r>
      <w:r>
        <w:rPr>
          <w:lang w:val="fr-FR"/>
        </w:rPr>
        <w:tab/>
      </w:r>
      <w:r>
        <w:rPr>
          <w:lang w:val="fr-FR"/>
        </w:rPr>
        <w:tab/>
        <w:t>Zone métropolitaine de la vallée d</w:t>
      </w:r>
      <w:r w:rsidR="00EF6A7F">
        <w:rPr>
          <w:lang w:val="fr-FR"/>
        </w:rPr>
        <w:t>’</w:t>
      </w:r>
      <w:r>
        <w:rPr>
          <w:lang w:val="fr-FR"/>
        </w:rPr>
        <w:t xml:space="preserve">Aburrá (2021), </w:t>
      </w:r>
      <w:r w:rsidR="00E91F68">
        <w:rPr>
          <w:lang w:val="fr-FR"/>
        </w:rPr>
        <w:t>« </w:t>
      </w:r>
      <w:r>
        <w:rPr>
          <w:lang w:val="fr-FR"/>
        </w:rPr>
        <w:t>Primera zona urbana de aire protegido en Colombia</w:t>
      </w:r>
      <w:r w:rsidR="00E91F68">
        <w:rPr>
          <w:lang w:val="fr-FR"/>
        </w:rPr>
        <w:t> »</w:t>
      </w:r>
      <w:r>
        <w:rPr>
          <w:lang w:val="fr-FR"/>
        </w:rPr>
        <w:t>, disponible à l</w:t>
      </w:r>
      <w:r w:rsidR="00EF6A7F">
        <w:rPr>
          <w:lang w:val="fr-FR"/>
        </w:rPr>
        <w:t>’</w:t>
      </w:r>
      <w:r>
        <w:rPr>
          <w:lang w:val="fr-FR"/>
        </w:rPr>
        <w:t xml:space="preserve">adresse </w:t>
      </w:r>
      <w:hyperlink r:id="rId22" w:history="1">
        <w:r w:rsidR="00B47120" w:rsidRPr="001B05A0">
          <w:rPr>
            <w:rStyle w:val="Lienhypertexte"/>
            <w:lang w:val="fr-FR"/>
          </w:rPr>
          <w:t>https://www.metropol.gov.co/Paginas/Noticias/primera-zona-urbana-de-aire-protegido-en-colombia.aspx</w:t>
        </w:r>
      </w:hyperlink>
      <w:r>
        <w:rPr>
          <w:lang w:val="fr-FR"/>
        </w:rPr>
        <w:t xml:space="preserve"> ; Institute for Transportation and Development Policy (2023), </w:t>
      </w:r>
      <w:r w:rsidR="00E91F68">
        <w:rPr>
          <w:lang w:val="fr-FR"/>
        </w:rPr>
        <w:t>« </w:t>
      </w:r>
      <w:r>
        <w:rPr>
          <w:lang w:val="fr-FR"/>
        </w:rPr>
        <w:t>What is a Low Emission Zone?</w:t>
      </w:r>
      <w:r w:rsidR="00E91F68">
        <w:rPr>
          <w:lang w:val="fr-FR"/>
        </w:rPr>
        <w:t> »</w:t>
      </w:r>
      <w:r>
        <w:rPr>
          <w:lang w:val="fr-FR"/>
        </w:rPr>
        <w:t>, 22</w:t>
      </w:r>
      <w:r w:rsidR="00B47120">
        <w:rPr>
          <w:lang w:val="fr-FR"/>
        </w:rPr>
        <w:t> </w:t>
      </w:r>
      <w:r>
        <w:rPr>
          <w:lang w:val="fr-FR"/>
        </w:rPr>
        <w:t>février, disponible à l</w:t>
      </w:r>
      <w:r w:rsidR="00EF6A7F">
        <w:rPr>
          <w:lang w:val="fr-FR"/>
        </w:rPr>
        <w:t>’</w:t>
      </w:r>
      <w:r>
        <w:rPr>
          <w:lang w:val="fr-FR"/>
        </w:rPr>
        <w:t xml:space="preserve">adresse </w:t>
      </w:r>
      <w:hyperlink w:history="1">
        <w:r w:rsidR="00AB6B82" w:rsidRPr="00A9678A">
          <w:rPr>
            <w:rStyle w:val="Lienhypertexte"/>
            <w:lang w:val="fr-FR"/>
          </w:rPr>
          <w:t>https://www.itdp.org /2023/02/22/what-is-a-low-emission-zone/</w:t>
        </w:r>
      </w:hyperlink>
      <w:r w:rsidR="00E91F68">
        <w:rPr>
          <w:lang w:val="fr-FR"/>
        </w:rPr>
        <w:t>.</w:t>
      </w:r>
    </w:p>
  </w:footnote>
  <w:footnote w:id="31">
    <w:p w14:paraId="16094769" w14:textId="5400EE1A" w:rsidR="00D86611" w:rsidRPr="00F20792" w:rsidRDefault="00D86611" w:rsidP="00E91F68">
      <w:pPr>
        <w:pStyle w:val="Notedebasdepage"/>
        <w:rPr>
          <w:lang w:val="fr-FR"/>
        </w:rPr>
      </w:pPr>
      <w:r w:rsidRPr="00122CDF">
        <w:rPr>
          <w:lang w:val="fr-FR"/>
        </w:rPr>
        <w:tab/>
      </w:r>
      <w:r w:rsidRPr="008D69CF">
        <w:rPr>
          <w:rStyle w:val="Appelnotedebasdep"/>
        </w:rPr>
        <w:footnoteRef/>
      </w:r>
      <w:r>
        <w:rPr>
          <w:lang w:val="fr-FR"/>
        </w:rPr>
        <w:tab/>
      </w:r>
      <w:r>
        <w:rPr>
          <w:lang w:val="fr-FR"/>
        </w:rPr>
        <w:tab/>
        <w:t xml:space="preserve">Institute for Transportation and Development Policy (2022), </w:t>
      </w:r>
      <w:r w:rsidR="00E91F68">
        <w:rPr>
          <w:lang w:val="fr-FR"/>
        </w:rPr>
        <w:t>« </w:t>
      </w:r>
      <w:r>
        <w:rPr>
          <w:lang w:val="fr-FR"/>
        </w:rPr>
        <w:t>Rapid Transit Database</w:t>
      </w:r>
      <w:r w:rsidR="00E91F68">
        <w:rPr>
          <w:lang w:val="fr-FR"/>
        </w:rPr>
        <w:t> »</w:t>
      </w:r>
      <w:r>
        <w:rPr>
          <w:lang w:val="fr-FR"/>
        </w:rPr>
        <w:t>, version 4.00, dernière modification le 1</w:t>
      </w:r>
      <w:r w:rsidRPr="00B47120">
        <w:rPr>
          <w:vertAlign w:val="superscript"/>
          <w:lang w:val="fr-FR"/>
        </w:rPr>
        <w:t>er</w:t>
      </w:r>
      <w:r w:rsidR="00B47120">
        <w:rPr>
          <w:lang w:val="fr-FR"/>
        </w:rPr>
        <w:t> </w:t>
      </w:r>
      <w:r>
        <w:rPr>
          <w:lang w:val="fr-FR"/>
        </w:rPr>
        <w:t>janvier 2022, disponible à l</w:t>
      </w:r>
      <w:r w:rsidR="00EF6A7F">
        <w:rPr>
          <w:lang w:val="fr-FR"/>
        </w:rPr>
        <w:t>’</w:t>
      </w:r>
      <w:r>
        <w:rPr>
          <w:lang w:val="fr-FR"/>
        </w:rPr>
        <w:t xml:space="preserve">adresse </w:t>
      </w:r>
      <w:hyperlink r:id="rId23" w:history="1">
        <w:r w:rsidR="00E91F68" w:rsidRPr="00AB6B82">
          <w:rPr>
            <w:rStyle w:val="Lienhypertexte"/>
            <w:lang w:val="fr-FR"/>
          </w:rPr>
          <w:t xml:space="preserve">https://docs.google.com/ </w:t>
        </w:r>
        <w:r w:rsidRPr="00AB6B82">
          <w:rPr>
            <w:rStyle w:val="Lienhypertexte"/>
          </w:rPr>
          <w:t>spreadsheets/d/1uMuNG9rTGO52Vuuq6skyqmkH9U5yv1iSJDJYjH64MJM</w:t>
        </w:r>
      </w:hyperlink>
      <w:r w:rsidR="00E91F68">
        <w:rPr>
          <w:lang w:val="fr-FR"/>
        </w:rPr>
        <w:t>.</w:t>
      </w:r>
    </w:p>
  </w:footnote>
  <w:footnote w:id="32">
    <w:p w14:paraId="7D0539A5" w14:textId="1735BC65" w:rsidR="00D86611" w:rsidRPr="00F20792" w:rsidRDefault="00D86611" w:rsidP="00E91F68">
      <w:pPr>
        <w:pStyle w:val="Notedebasdepage"/>
        <w:rPr>
          <w:lang w:val="fr-FR"/>
        </w:rPr>
      </w:pPr>
      <w:r>
        <w:rPr>
          <w:lang w:val="fr-FR"/>
        </w:rPr>
        <w:tab/>
      </w:r>
      <w:r w:rsidRPr="008D69CF">
        <w:rPr>
          <w:rStyle w:val="Appelnotedebasdep"/>
        </w:rPr>
        <w:footnoteRef/>
      </w:r>
      <w:r>
        <w:rPr>
          <w:lang w:val="fr-FR"/>
        </w:rPr>
        <w:tab/>
      </w:r>
      <w:r>
        <w:rPr>
          <w:lang w:val="fr-FR"/>
        </w:rPr>
        <w:tab/>
        <w:t xml:space="preserve">SLoCaT (2023), </w:t>
      </w:r>
      <w:r w:rsidR="00E91F68">
        <w:rPr>
          <w:lang w:val="fr-FR"/>
        </w:rPr>
        <w:t>« </w:t>
      </w:r>
      <w:r>
        <w:rPr>
          <w:lang w:val="fr-FR"/>
        </w:rPr>
        <w:t>Global Status Report on Transport, Climate and Sustainability</w:t>
      </w:r>
      <w:r w:rsidR="00E91F68">
        <w:rPr>
          <w:lang w:val="fr-FR"/>
        </w:rPr>
        <w:t> − </w:t>
      </w:r>
      <w:r>
        <w:rPr>
          <w:lang w:val="fr-FR"/>
        </w:rPr>
        <w:t>3</w:t>
      </w:r>
      <w:r w:rsidRPr="00B47120">
        <w:rPr>
          <w:vertAlign w:val="superscript"/>
          <w:lang w:val="fr-FR"/>
        </w:rPr>
        <w:t>rd</w:t>
      </w:r>
      <w:r>
        <w:rPr>
          <w:lang w:val="fr-FR"/>
        </w:rPr>
        <w:t xml:space="preserve"> edition, Public Transport</w:t>
      </w:r>
      <w:r w:rsidR="00E91F68">
        <w:rPr>
          <w:lang w:val="fr-FR"/>
        </w:rPr>
        <w:t> »</w:t>
      </w:r>
      <w:r>
        <w:rPr>
          <w:lang w:val="fr-FR"/>
        </w:rPr>
        <w:t>, disponible à l</w:t>
      </w:r>
      <w:r w:rsidR="00EF6A7F">
        <w:rPr>
          <w:lang w:val="fr-FR"/>
        </w:rPr>
        <w:t>’</w:t>
      </w:r>
      <w:r>
        <w:rPr>
          <w:lang w:val="fr-FR"/>
        </w:rPr>
        <w:t xml:space="preserve">adresse </w:t>
      </w:r>
      <w:hyperlink r:id="rId24" w:history="1">
        <w:r w:rsidR="00E91F68" w:rsidRPr="006C25E9">
          <w:rPr>
            <w:rStyle w:val="Lienhypertexte"/>
            <w:lang w:val="fr-FR"/>
          </w:rPr>
          <w:t>www.tcc-gsr.com</w:t>
        </w:r>
      </w:hyperlink>
      <w:r w:rsidR="00E91F68">
        <w:rPr>
          <w:lang w:val="fr-FR"/>
        </w:rPr>
        <w:t>.</w:t>
      </w:r>
    </w:p>
  </w:footnote>
  <w:footnote w:id="33">
    <w:p w14:paraId="4C81591D" w14:textId="581C34F9" w:rsidR="00D86611" w:rsidRPr="00D86611" w:rsidRDefault="00D86611" w:rsidP="00E91F68">
      <w:pPr>
        <w:pStyle w:val="Notedebasdepage"/>
        <w:rPr>
          <w:lang w:val="en-US"/>
        </w:rPr>
      </w:pPr>
      <w:r>
        <w:rPr>
          <w:lang w:val="fr-FR"/>
        </w:rPr>
        <w:tab/>
      </w:r>
      <w:r w:rsidRPr="008D69CF">
        <w:rPr>
          <w:rStyle w:val="Appelnotedebasdep"/>
        </w:rPr>
        <w:footnoteRef/>
      </w:r>
      <w:r>
        <w:rPr>
          <w:lang w:val="fr-FR"/>
        </w:rPr>
        <w:tab/>
      </w:r>
      <w:r>
        <w:rPr>
          <w:lang w:val="fr-FR"/>
        </w:rPr>
        <w:tab/>
        <w:t xml:space="preserve">Mercator Research Institute on Global Commons and Climate Change Berlin (2021), </w:t>
      </w:r>
      <w:r w:rsidR="00E91F68">
        <w:rPr>
          <w:lang w:val="fr-FR"/>
        </w:rPr>
        <w:t>« </w:t>
      </w:r>
      <w:r>
        <w:rPr>
          <w:lang w:val="fr-FR"/>
        </w:rPr>
        <w:t>Corona crisis lesson : Additional bike lanes induce large increases in cycling</w:t>
      </w:r>
      <w:r w:rsidR="00E91F68">
        <w:rPr>
          <w:lang w:val="fr-FR"/>
        </w:rPr>
        <w:t> »</w:t>
      </w:r>
      <w:r>
        <w:rPr>
          <w:lang w:val="fr-FR"/>
        </w:rPr>
        <w:t>, 30</w:t>
      </w:r>
      <w:r w:rsidR="00E91F68">
        <w:rPr>
          <w:lang w:val="fr-FR"/>
        </w:rPr>
        <w:t> </w:t>
      </w:r>
      <w:r>
        <w:rPr>
          <w:lang w:val="fr-FR"/>
        </w:rPr>
        <w:t>mars, disponible à l</w:t>
      </w:r>
      <w:r w:rsidR="00EF6A7F">
        <w:rPr>
          <w:lang w:val="fr-FR"/>
        </w:rPr>
        <w:t>’</w:t>
      </w:r>
      <w:r>
        <w:rPr>
          <w:lang w:val="fr-FR"/>
        </w:rPr>
        <w:t xml:space="preserve">adresse </w:t>
      </w:r>
      <w:hyperlink r:id="rId25" w:history="1">
        <w:r w:rsidR="00E91F68" w:rsidRPr="006C25E9">
          <w:rPr>
            <w:rStyle w:val="Lienhypertexte"/>
            <w:lang w:val="fr-FR"/>
          </w:rPr>
          <w:t>https://www.mcc-berlin.net/en/news/information/information-detail/article/corona-crisis-lesson-additional-bike-lanes-induce-large-increases-in-cycling.html</w:t>
        </w:r>
      </w:hyperlink>
      <w:r w:rsidR="00E91F68">
        <w:rPr>
          <w:lang w:val="fr-FR"/>
        </w:rPr>
        <w:t> </w:t>
      </w:r>
      <w:r>
        <w:rPr>
          <w:lang w:val="fr-FR"/>
        </w:rPr>
        <w:t>; European Cyclists</w:t>
      </w:r>
      <w:r w:rsidR="00EF6A7F">
        <w:rPr>
          <w:lang w:val="fr-FR"/>
        </w:rPr>
        <w:t>’</w:t>
      </w:r>
      <w:r>
        <w:rPr>
          <w:lang w:val="fr-FR"/>
        </w:rPr>
        <w:t xml:space="preserve"> Federation (2023), </w:t>
      </w:r>
      <w:r w:rsidR="00E91F68">
        <w:rPr>
          <w:lang w:val="fr-FR"/>
        </w:rPr>
        <w:t>« </w:t>
      </w:r>
      <w:r>
        <w:rPr>
          <w:lang w:val="fr-FR"/>
        </w:rPr>
        <w:t>COVID-19 Cycling Measures Tracker</w:t>
      </w:r>
      <w:r w:rsidR="00E91F68">
        <w:rPr>
          <w:lang w:val="fr-FR"/>
        </w:rPr>
        <w:t> »</w:t>
      </w:r>
      <w:r>
        <w:rPr>
          <w:lang w:val="fr-FR"/>
        </w:rPr>
        <w:t>, disponible à l</w:t>
      </w:r>
      <w:r w:rsidR="00EF6A7F">
        <w:rPr>
          <w:lang w:val="fr-FR"/>
        </w:rPr>
        <w:t>’</w:t>
      </w:r>
      <w:r>
        <w:rPr>
          <w:lang w:val="fr-FR"/>
        </w:rPr>
        <w:t xml:space="preserve">adresse </w:t>
      </w:r>
      <w:hyperlink r:id="rId26" w:history="1">
        <w:r w:rsidR="00E91F68" w:rsidRPr="006C25E9">
          <w:rPr>
            <w:rStyle w:val="Lienhypertexte"/>
            <w:lang w:val="fr-FR"/>
          </w:rPr>
          <w:t>https://ecf.com/dashboard</w:t>
        </w:r>
      </w:hyperlink>
      <w:r>
        <w:rPr>
          <w:lang w:val="fr-FR"/>
        </w:rPr>
        <w:t>, page consultée le 21</w:t>
      </w:r>
      <w:r w:rsidR="00E91F68">
        <w:rPr>
          <w:lang w:val="fr-FR"/>
        </w:rPr>
        <w:t> </w:t>
      </w:r>
      <w:r>
        <w:rPr>
          <w:lang w:val="fr-FR"/>
        </w:rPr>
        <w:t xml:space="preserve">janvier 2023 ; H. Ohlund </w:t>
      </w:r>
      <w:r w:rsidRPr="00C46750">
        <w:rPr>
          <w:i/>
          <w:iCs/>
          <w:lang w:val="fr-FR"/>
        </w:rPr>
        <w:t>et al.</w:t>
      </w:r>
      <w:r>
        <w:rPr>
          <w:lang w:val="fr-FR"/>
        </w:rPr>
        <w:t xml:space="preserve"> </w:t>
      </w:r>
      <w:r w:rsidRPr="00F20792">
        <w:rPr>
          <w:lang w:val="en-US"/>
        </w:rPr>
        <w:t xml:space="preserve">(2022), </w:t>
      </w:r>
      <w:r w:rsidR="00E91F68">
        <w:rPr>
          <w:lang w:val="en-US"/>
        </w:rPr>
        <w:t>« </w:t>
      </w:r>
      <w:r w:rsidRPr="00F20792">
        <w:rPr>
          <w:lang w:val="en-US"/>
        </w:rPr>
        <w:t>Building emergent cycling infrastructure during the COVID-19 pandemic</w:t>
      </w:r>
      <w:r>
        <w:rPr>
          <w:lang w:val="en-US"/>
        </w:rPr>
        <w:t>:</w:t>
      </w:r>
      <w:r w:rsidRPr="00F20792">
        <w:rPr>
          <w:lang w:val="en-US"/>
        </w:rPr>
        <w:t xml:space="preserve"> The case of Zapopan</w:t>
      </w:r>
      <w:r w:rsidR="00E91F68">
        <w:rPr>
          <w:lang w:val="en-US"/>
        </w:rPr>
        <w:t> »</w:t>
      </w:r>
      <w:r w:rsidRPr="00F20792">
        <w:rPr>
          <w:lang w:val="en-US"/>
        </w:rPr>
        <w:t xml:space="preserve">, </w:t>
      </w:r>
      <w:r w:rsidRPr="00C46750">
        <w:rPr>
          <w:i/>
          <w:iCs/>
          <w:lang w:val="en-US"/>
        </w:rPr>
        <w:t>Frontiers in Sustainable Cities</w:t>
      </w:r>
      <w:r w:rsidRPr="00F20792">
        <w:rPr>
          <w:lang w:val="en-US"/>
        </w:rPr>
        <w:t>, vol.</w:t>
      </w:r>
      <w:r w:rsidR="00B47120">
        <w:rPr>
          <w:lang w:val="en-US"/>
        </w:rPr>
        <w:t> </w:t>
      </w:r>
      <w:r w:rsidRPr="00F20792">
        <w:rPr>
          <w:lang w:val="en-US"/>
        </w:rPr>
        <w:t>4, disponible à l</w:t>
      </w:r>
      <w:r w:rsidR="00EF6A7F">
        <w:rPr>
          <w:lang w:val="en-US"/>
        </w:rPr>
        <w:t>’</w:t>
      </w:r>
      <w:r w:rsidRPr="00F20792">
        <w:rPr>
          <w:lang w:val="en-US"/>
        </w:rPr>
        <w:t xml:space="preserve">adresse </w:t>
      </w:r>
      <w:hyperlink r:id="rId27" w:history="1">
        <w:r w:rsidR="00E91F68" w:rsidRPr="006C25E9">
          <w:rPr>
            <w:rStyle w:val="Lienhypertexte"/>
            <w:lang w:val="en-US"/>
          </w:rPr>
          <w:t>https://doi.org/10.3389/frsc.2022.805125</w:t>
        </w:r>
      </w:hyperlink>
      <w:r w:rsidR="00E91F68">
        <w:rPr>
          <w:lang w:val="en-US"/>
        </w:rPr>
        <w:t>.</w:t>
      </w:r>
    </w:p>
  </w:footnote>
  <w:footnote w:id="34">
    <w:p w14:paraId="19449636" w14:textId="5A2D031D" w:rsidR="00D86611" w:rsidRPr="00D86611" w:rsidRDefault="00D86611" w:rsidP="00747EED">
      <w:pPr>
        <w:pStyle w:val="Notedebasdepage"/>
        <w:rPr>
          <w:lang w:val="en-US"/>
        </w:rPr>
      </w:pPr>
      <w:r w:rsidRPr="00F20792">
        <w:rPr>
          <w:lang w:val="en-US"/>
        </w:rPr>
        <w:tab/>
      </w:r>
      <w:r w:rsidRPr="008D69CF">
        <w:rPr>
          <w:rStyle w:val="Appelnotedebasdep"/>
        </w:rPr>
        <w:footnoteRef/>
      </w:r>
      <w:r w:rsidRPr="00F20792">
        <w:rPr>
          <w:lang w:val="en-US"/>
        </w:rPr>
        <w:tab/>
      </w:r>
      <w:r w:rsidRPr="00F20792">
        <w:rPr>
          <w:lang w:val="en-US"/>
        </w:rPr>
        <w:tab/>
        <w:t xml:space="preserve">SLoCaT (2023), </w:t>
      </w:r>
      <w:r w:rsidR="00E91F68">
        <w:rPr>
          <w:lang w:val="en-US"/>
        </w:rPr>
        <w:t>« </w:t>
      </w:r>
      <w:r w:rsidRPr="00F20792">
        <w:rPr>
          <w:lang w:val="en-US"/>
        </w:rPr>
        <w:t>Global Status Report on Transport, Climate and Sustainability</w:t>
      </w:r>
      <w:r w:rsidR="00051F7C">
        <w:rPr>
          <w:lang w:val="en-US"/>
        </w:rPr>
        <w:t> − </w:t>
      </w:r>
      <w:r w:rsidRPr="00F20792">
        <w:rPr>
          <w:lang w:val="en-US"/>
        </w:rPr>
        <w:t>3</w:t>
      </w:r>
      <w:r w:rsidRPr="00051F7C">
        <w:rPr>
          <w:vertAlign w:val="superscript"/>
          <w:lang w:val="en-US"/>
        </w:rPr>
        <w:t>rd</w:t>
      </w:r>
      <w:r w:rsidRPr="00F20792">
        <w:rPr>
          <w:lang w:val="en-US"/>
        </w:rPr>
        <w:t xml:space="preserve"> edition</w:t>
      </w:r>
      <w:r w:rsidR="00E91F68">
        <w:rPr>
          <w:lang w:val="en-US"/>
        </w:rPr>
        <w:t> »</w:t>
      </w:r>
      <w:r w:rsidRPr="00F20792">
        <w:rPr>
          <w:lang w:val="en-US"/>
        </w:rPr>
        <w:t xml:space="preserve">, </w:t>
      </w:r>
      <w:r w:rsidRPr="00F20792">
        <w:rPr>
          <w:i/>
          <w:iCs/>
          <w:lang w:val="en-US"/>
        </w:rPr>
        <w:t>App</w:t>
      </w:r>
      <w:r w:rsidR="00051F7C">
        <w:rPr>
          <w:i/>
          <w:iCs/>
          <w:lang w:val="en-US"/>
        </w:rPr>
        <w:noBreakHyphen/>
      </w:r>
      <w:r w:rsidRPr="00F20792">
        <w:rPr>
          <w:i/>
          <w:iCs/>
          <w:lang w:val="en-US"/>
        </w:rPr>
        <w:t>Driven Shared Mobility</w:t>
      </w:r>
      <w:r w:rsidRPr="00F20792">
        <w:rPr>
          <w:lang w:val="en-US"/>
        </w:rPr>
        <w:t>, p.</w:t>
      </w:r>
      <w:r w:rsidR="00051F7C">
        <w:rPr>
          <w:lang w:val="en-US"/>
        </w:rPr>
        <w:t> </w:t>
      </w:r>
      <w:r w:rsidRPr="00F20792">
        <w:rPr>
          <w:lang w:val="en-US"/>
        </w:rPr>
        <w:t>279, disponible à l</w:t>
      </w:r>
      <w:r w:rsidR="00EF6A7F">
        <w:rPr>
          <w:lang w:val="en-US"/>
        </w:rPr>
        <w:t>’</w:t>
      </w:r>
      <w:r w:rsidRPr="00F20792">
        <w:rPr>
          <w:lang w:val="en-US"/>
        </w:rPr>
        <w:t xml:space="preserve">adresse </w:t>
      </w:r>
      <w:hyperlink r:id="rId28" w:history="1">
        <w:r w:rsidR="00051F7C" w:rsidRPr="00A9678A">
          <w:rPr>
            <w:rStyle w:val="Lienhypertexte"/>
            <w:lang w:val="en-US"/>
          </w:rPr>
          <w:t>www.tcc-gsr.com</w:t>
        </w:r>
      </w:hyperlink>
      <w:r w:rsidR="00051F7C">
        <w:rPr>
          <w:lang w:val="en-US"/>
        </w:rPr>
        <w:t>.</w:t>
      </w:r>
    </w:p>
  </w:footnote>
  <w:footnote w:id="35">
    <w:p w14:paraId="774365F0" w14:textId="378751A9" w:rsidR="00D86611" w:rsidRPr="00F20792" w:rsidRDefault="00D86611" w:rsidP="00747EED">
      <w:pPr>
        <w:pStyle w:val="Notedebasdepage"/>
        <w:rPr>
          <w:lang w:val="fr-FR"/>
        </w:rPr>
      </w:pPr>
      <w:r w:rsidRPr="00F20792">
        <w:rPr>
          <w:lang w:val="en-US"/>
        </w:rPr>
        <w:tab/>
      </w:r>
      <w:r w:rsidRPr="008D69CF">
        <w:rPr>
          <w:rStyle w:val="Appelnotedebasdep"/>
        </w:rPr>
        <w:footnoteRef/>
      </w:r>
      <w:r>
        <w:rPr>
          <w:lang w:val="fr-FR"/>
        </w:rPr>
        <w:tab/>
      </w:r>
      <w:r>
        <w:rPr>
          <w:lang w:val="fr-FR"/>
        </w:rPr>
        <w:tab/>
        <w:t xml:space="preserve">AIE (2023), </w:t>
      </w:r>
      <w:r w:rsidR="00E91F68">
        <w:rPr>
          <w:lang w:val="fr-FR"/>
        </w:rPr>
        <w:t>« </w:t>
      </w:r>
      <w:r>
        <w:rPr>
          <w:lang w:val="fr-FR"/>
        </w:rPr>
        <w:t>Analysis : Transport</w:t>
      </w:r>
      <w:r w:rsidR="00E91F68">
        <w:rPr>
          <w:lang w:val="fr-FR"/>
        </w:rPr>
        <w:t> »</w:t>
      </w:r>
      <w:r>
        <w:rPr>
          <w:lang w:val="fr-FR"/>
        </w:rPr>
        <w:t>, disponible à l</w:t>
      </w:r>
      <w:r w:rsidR="00EF6A7F">
        <w:rPr>
          <w:lang w:val="fr-FR"/>
        </w:rPr>
        <w:t>’</w:t>
      </w:r>
      <w:r>
        <w:rPr>
          <w:lang w:val="fr-FR"/>
        </w:rPr>
        <w:t xml:space="preserve">adresse </w:t>
      </w:r>
      <w:hyperlink r:id="rId29" w:history="1">
        <w:r w:rsidR="0047643F" w:rsidRPr="00E90871">
          <w:rPr>
            <w:rStyle w:val="Lienhypertexte"/>
            <w:lang w:val="fr-FR"/>
          </w:rPr>
          <w:t>https://www.iea.org/analysis /all?</w:t>
        </w:r>
        <w:r w:rsidR="0047643F" w:rsidRPr="00E90871">
          <w:rPr>
            <w:rStyle w:val="Lienhypertexte"/>
            <w:lang w:val="fr-FR"/>
          </w:rPr>
          <w:br/>
          <w:t>topic=transport</w:t>
        </w:r>
      </w:hyperlink>
      <w:r w:rsidR="00051F7C">
        <w:rPr>
          <w:lang w:val="fr-FR"/>
        </w:rPr>
        <w:t>.</w:t>
      </w:r>
    </w:p>
  </w:footnote>
  <w:footnote w:id="36">
    <w:p w14:paraId="6FAA9D99" w14:textId="55E478D0" w:rsidR="00D86611" w:rsidRPr="00F20792" w:rsidRDefault="00D86611" w:rsidP="00051F7C">
      <w:pPr>
        <w:pStyle w:val="Notedebasdepage"/>
        <w:rPr>
          <w:lang w:val="fr-FR"/>
        </w:rPr>
      </w:pPr>
      <w:r>
        <w:rPr>
          <w:lang w:val="fr-FR"/>
        </w:rPr>
        <w:tab/>
      </w:r>
      <w:r w:rsidRPr="008D69CF">
        <w:rPr>
          <w:rStyle w:val="Appelnotedebasdep"/>
        </w:rPr>
        <w:footnoteRef/>
      </w:r>
      <w:r>
        <w:rPr>
          <w:lang w:val="fr-FR"/>
        </w:rPr>
        <w:tab/>
      </w:r>
      <w:r>
        <w:rPr>
          <w:lang w:val="fr-FR"/>
        </w:rPr>
        <w:tab/>
        <w:t xml:space="preserve">International Council on Clean Transportation (2023), </w:t>
      </w:r>
      <w:r w:rsidR="00E91F68">
        <w:rPr>
          <w:lang w:val="fr-FR"/>
        </w:rPr>
        <w:t>« </w:t>
      </w:r>
      <w:r>
        <w:rPr>
          <w:lang w:val="fr-FR"/>
        </w:rPr>
        <w:t>Zero-emission vehicles phase-ins</w:t>
      </w:r>
      <w:r w:rsidR="00051F7C">
        <w:rPr>
          <w:lang w:val="fr-FR"/>
        </w:rPr>
        <w:t> − </w:t>
      </w:r>
      <w:r>
        <w:rPr>
          <w:lang w:val="fr-FR"/>
        </w:rPr>
        <w:t>July 2023</w:t>
      </w:r>
      <w:r w:rsidR="00E91F68">
        <w:rPr>
          <w:lang w:val="fr-FR"/>
        </w:rPr>
        <w:t> »</w:t>
      </w:r>
      <w:r>
        <w:rPr>
          <w:lang w:val="fr-FR"/>
        </w:rPr>
        <w:t>, disponible à l</w:t>
      </w:r>
      <w:r w:rsidR="00EF6A7F">
        <w:rPr>
          <w:lang w:val="fr-FR"/>
        </w:rPr>
        <w:t>’</w:t>
      </w:r>
      <w:r>
        <w:rPr>
          <w:lang w:val="fr-FR"/>
        </w:rPr>
        <w:t xml:space="preserve">adresse </w:t>
      </w:r>
      <w:hyperlink r:id="rId30" w:history="1">
        <w:r w:rsidR="00051F7C" w:rsidRPr="00A9678A">
          <w:rPr>
            <w:rStyle w:val="Lienhypertexte"/>
            <w:lang w:val="fr-FR"/>
          </w:rPr>
          <w:t>https://theicct.org/zev-phase-ins/</w:t>
        </w:r>
      </w:hyperlink>
      <w:r w:rsidR="00051F7C">
        <w:rPr>
          <w:lang w:val="fr-FR"/>
        </w:rPr>
        <w:t>.</w:t>
      </w:r>
    </w:p>
  </w:footnote>
  <w:footnote w:id="37">
    <w:p w14:paraId="367A16E2" w14:textId="77777777" w:rsidR="00A73ADE" w:rsidRPr="00F20792" w:rsidRDefault="00A73ADE" w:rsidP="00A73ADE">
      <w:pPr>
        <w:pStyle w:val="Notedebasdepage"/>
        <w:rPr>
          <w:lang w:val="fr-FR"/>
        </w:rPr>
      </w:pPr>
      <w:r>
        <w:rPr>
          <w:lang w:val="fr-FR"/>
        </w:rPr>
        <w:tab/>
      </w:r>
      <w:r w:rsidRPr="008D69CF">
        <w:rPr>
          <w:rStyle w:val="Appelnotedebasdep"/>
        </w:rPr>
        <w:footnoteRef/>
      </w:r>
      <w:r>
        <w:rPr>
          <w:lang w:val="fr-FR"/>
        </w:rPr>
        <w:tab/>
      </w:r>
      <w:r>
        <w:rPr>
          <w:lang w:val="fr-FR"/>
        </w:rPr>
        <w:tab/>
        <w:t xml:space="preserve">Electrive (2021), « EU Commission Presents ‘Fit for 55’ Climate Package », disponible à l’adresse </w:t>
      </w:r>
      <w:hyperlink r:id="rId31" w:history="1">
        <w:r w:rsidRPr="00A9678A">
          <w:rPr>
            <w:rStyle w:val="Lienhypertexte"/>
            <w:lang w:val="fr-FR"/>
          </w:rPr>
          <w:t>https://www.electrive.com/2021/07/14/eu-commission-presents-fit-for-55-climate-package</w:t>
        </w:r>
      </w:hyperlink>
      <w:r>
        <w:rPr>
          <w:lang w:val="fr-FR"/>
        </w:rPr>
        <w:t xml:space="preserve"> ; Electrive (2022), « EU Council Confirms ICE Ban for Cars and Vans by 2035 », disponible à l’adresse </w:t>
      </w:r>
      <w:hyperlink r:id="rId32" w:history="1">
        <w:r w:rsidRPr="00A9678A">
          <w:rPr>
            <w:rStyle w:val="Lienhypertexte"/>
            <w:lang w:val="fr-FR"/>
          </w:rPr>
          <w:t>https://www.electrive.com/2022/06/29/eu-council-decides-on-100-co2-reductions-for-cars-and-vans-by-2035</w:t>
        </w:r>
      </w:hyperlink>
      <w:r>
        <w:rPr>
          <w:lang w:val="fr-FR"/>
        </w:rPr>
        <w:t>.</w:t>
      </w:r>
    </w:p>
  </w:footnote>
  <w:footnote w:id="38">
    <w:p w14:paraId="04CC9C65" w14:textId="77777777" w:rsidR="00A73ADE" w:rsidRPr="00F20792" w:rsidRDefault="00A73ADE" w:rsidP="00A73ADE">
      <w:pPr>
        <w:pStyle w:val="Notedebasdepage"/>
        <w:rPr>
          <w:lang w:val="fr-FR"/>
        </w:rPr>
      </w:pPr>
      <w:r>
        <w:rPr>
          <w:lang w:val="fr-FR"/>
        </w:rPr>
        <w:tab/>
      </w:r>
      <w:r w:rsidRPr="008D69CF">
        <w:rPr>
          <w:rStyle w:val="Appelnotedebasdep"/>
        </w:rPr>
        <w:footnoteRef/>
      </w:r>
      <w:r>
        <w:rPr>
          <w:lang w:val="fr-FR"/>
        </w:rPr>
        <w:tab/>
      </w:r>
      <w:r>
        <w:rPr>
          <w:lang w:val="fr-FR"/>
        </w:rPr>
        <w:tab/>
        <w:t xml:space="preserve">REN21, « GSR 2022 Datapack, Reference Table R10 », disponible à l’adresse </w:t>
      </w:r>
      <w:hyperlink r:id="rId33" w:history="1">
        <w:r w:rsidRPr="00A9678A">
          <w:rPr>
            <w:rStyle w:val="Lienhypertexte"/>
            <w:lang w:val="fr-FR"/>
          </w:rPr>
          <w:t>https://www.ren21.net/wp-content/uploads/2019/05/GSR2022_Data_Pack_Final.xlsx</w:t>
        </w:r>
      </w:hyperlink>
      <w:r>
        <w:rPr>
          <w:lang w:val="fr-FR"/>
        </w:rPr>
        <w:t>.</w:t>
      </w:r>
    </w:p>
  </w:footnote>
  <w:footnote w:id="39">
    <w:p w14:paraId="65D8D230" w14:textId="23FD6D6B" w:rsidR="00D86611" w:rsidRPr="00F20792" w:rsidRDefault="00D86611" w:rsidP="00747EED">
      <w:pPr>
        <w:pStyle w:val="Notedebasdepage"/>
        <w:rPr>
          <w:lang w:val="fr-FR"/>
        </w:rPr>
      </w:pPr>
      <w:r>
        <w:rPr>
          <w:lang w:val="fr-FR"/>
        </w:rPr>
        <w:tab/>
      </w:r>
      <w:r w:rsidRPr="008D69CF">
        <w:rPr>
          <w:rStyle w:val="Appelnotedebasdep"/>
        </w:rPr>
        <w:footnoteRef/>
      </w:r>
      <w:r>
        <w:rPr>
          <w:lang w:val="fr-FR"/>
        </w:rPr>
        <w:tab/>
      </w:r>
      <w:r>
        <w:rPr>
          <w:lang w:val="fr-FR"/>
        </w:rPr>
        <w:tab/>
        <w:t xml:space="preserve">Initiative mondiale pour les économies de carburant (2023), </w:t>
      </w:r>
      <w:r w:rsidR="00E91F68">
        <w:rPr>
          <w:lang w:val="fr-FR"/>
        </w:rPr>
        <w:t>« </w:t>
      </w:r>
      <w:r>
        <w:rPr>
          <w:lang w:val="fr-FR"/>
        </w:rPr>
        <w:t>Trends in global vehicle fleet 2023</w:t>
      </w:r>
      <w:r w:rsidR="00E91F68">
        <w:rPr>
          <w:lang w:val="fr-FR"/>
        </w:rPr>
        <w:t> »</w:t>
      </w:r>
      <w:r>
        <w:rPr>
          <w:lang w:val="fr-FR"/>
        </w:rPr>
        <w:t>, disponible à l</w:t>
      </w:r>
      <w:r w:rsidR="00EF6A7F">
        <w:rPr>
          <w:lang w:val="fr-FR"/>
        </w:rPr>
        <w:t>’</w:t>
      </w:r>
      <w:r>
        <w:rPr>
          <w:lang w:val="fr-FR"/>
        </w:rPr>
        <w:t xml:space="preserve">adresse </w:t>
      </w:r>
      <w:hyperlink r:id="rId34" w:history="1">
        <w:r w:rsidR="008C73A8" w:rsidRPr="00A9678A">
          <w:rPr>
            <w:rStyle w:val="Lienhypertexte"/>
            <w:lang w:val="fr-FR"/>
          </w:rPr>
          <w:t>https://www.globalfueleconomy.org/data-and-research/publications/trends-in-the-global-vehicle-fleet-2023</w:t>
        </w:r>
      </w:hyperlink>
      <w:r w:rsidR="008C73A8">
        <w:rPr>
          <w:lang w:val="fr-FR"/>
        </w:rPr>
        <w:t>.</w:t>
      </w:r>
    </w:p>
  </w:footnote>
  <w:footnote w:id="40">
    <w:p w14:paraId="4A04792B" w14:textId="3E26ABA8" w:rsidR="00D86611" w:rsidRPr="00F20792" w:rsidRDefault="00D86611" w:rsidP="00747EED">
      <w:pPr>
        <w:pStyle w:val="Notedebasdepage"/>
        <w:rPr>
          <w:lang w:val="fr-FR"/>
        </w:rPr>
      </w:pPr>
      <w:r>
        <w:rPr>
          <w:lang w:val="fr-FR"/>
        </w:rPr>
        <w:tab/>
      </w:r>
      <w:r w:rsidRPr="008D69CF">
        <w:rPr>
          <w:rStyle w:val="Appelnotedebasdep"/>
        </w:rPr>
        <w:footnoteRef/>
      </w:r>
      <w:r>
        <w:rPr>
          <w:lang w:val="fr-FR"/>
        </w:rPr>
        <w:tab/>
      </w:r>
      <w:r>
        <w:rPr>
          <w:lang w:val="fr-FR"/>
        </w:rPr>
        <w:tab/>
      </w:r>
      <w:bookmarkStart w:id="7" w:name="_Hlk155094969"/>
      <w:r>
        <w:rPr>
          <w:lang w:val="fr-FR"/>
        </w:rPr>
        <w:t>SLoCaT</w:t>
      </w:r>
      <w:bookmarkEnd w:id="7"/>
      <w:r>
        <w:rPr>
          <w:lang w:val="fr-FR"/>
        </w:rPr>
        <w:t xml:space="preserve"> (2023), </w:t>
      </w:r>
      <w:r w:rsidR="00E91F68">
        <w:rPr>
          <w:lang w:val="fr-FR"/>
        </w:rPr>
        <w:t>« </w:t>
      </w:r>
      <w:r>
        <w:rPr>
          <w:lang w:val="fr-FR"/>
        </w:rPr>
        <w:t>Global Status Report on Transport, Climate and Sustainability</w:t>
      </w:r>
      <w:r w:rsidR="008C73A8">
        <w:rPr>
          <w:lang w:val="fr-FR"/>
        </w:rPr>
        <w:t> − </w:t>
      </w:r>
      <w:r>
        <w:rPr>
          <w:lang w:val="fr-FR"/>
        </w:rPr>
        <w:t>3</w:t>
      </w:r>
      <w:r w:rsidRPr="009A0440">
        <w:rPr>
          <w:vertAlign w:val="superscript"/>
          <w:lang w:val="fr-FR"/>
        </w:rPr>
        <w:t>rd</w:t>
      </w:r>
      <w:r>
        <w:rPr>
          <w:lang w:val="fr-FR"/>
        </w:rPr>
        <w:t xml:space="preserve"> edition, Public Transport</w:t>
      </w:r>
      <w:r w:rsidR="00E91F68">
        <w:rPr>
          <w:lang w:val="fr-FR"/>
        </w:rPr>
        <w:t> »</w:t>
      </w:r>
      <w:r>
        <w:rPr>
          <w:lang w:val="fr-FR"/>
        </w:rPr>
        <w:t>, disponible à l</w:t>
      </w:r>
      <w:r w:rsidR="00EF6A7F">
        <w:rPr>
          <w:lang w:val="fr-FR"/>
        </w:rPr>
        <w:t>’</w:t>
      </w:r>
      <w:r>
        <w:rPr>
          <w:lang w:val="fr-FR"/>
        </w:rPr>
        <w:t xml:space="preserve">adresse </w:t>
      </w:r>
      <w:hyperlink r:id="rId35" w:history="1">
        <w:r w:rsidR="008C73A8" w:rsidRPr="00A9678A">
          <w:rPr>
            <w:rStyle w:val="Lienhypertexte"/>
            <w:lang w:val="fr-FR"/>
          </w:rPr>
          <w:t>www.tcc-gsr.com</w:t>
        </w:r>
      </w:hyperlink>
      <w:r w:rsidR="008C73A8">
        <w:rPr>
          <w:lang w:val="fr-FR"/>
        </w:rPr>
        <w:t>.</w:t>
      </w:r>
    </w:p>
  </w:footnote>
  <w:footnote w:id="41">
    <w:p w14:paraId="28A93885" w14:textId="6C942F9C" w:rsidR="00D86611" w:rsidRPr="00F20792" w:rsidRDefault="00D86611" w:rsidP="00747EED">
      <w:pPr>
        <w:pStyle w:val="Notedebasdepage"/>
        <w:rPr>
          <w:lang w:val="fr-FR"/>
        </w:rPr>
      </w:pPr>
      <w:r>
        <w:rPr>
          <w:lang w:val="fr-FR"/>
        </w:rPr>
        <w:tab/>
      </w:r>
      <w:r w:rsidRPr="008D69CF">
        <w:rPr>
          <w:rStyle w:val="Appelnotedebasdep"/>
        </w:rPr>
        <w:footnoteRef/>
      </w:r>
      <w:r>
        <w:rPr>
          <w:lang w:val="fr-FR"/>
        </w:rPr>
        <w:tab/>
      </w:r>
      <w:r>
        <w:rPr>
          <w:lang w:val="fr-FR"/>
        </w:rPr>
        <w:tab/>
        <w:t>Bien que le Royaume-Uni continue d</w:t>
      </w:r>
      <w:r w:rsidR="00EF6A7F">
        <w:rPr>
          <w:lang w:val="fr-FR"/>
        </w:rPr>
        <w:t>’</w:t>
      </w:r>
      <w:r>
        <w:rPr>
          <w:lang w:val="fr-FR"/>
        </w:rPr>
        <w:t>appliquer les normes de l</w:t>
      </w:r>
      <w:r w:rsidR="00EF6A7F">
        <w:rPr>
          <w:lang w:val="fr-FR"/>
        </w:rPr>
        <w:t>’</w:t>
      </w:r>
      <w:r>
        <w:rPr>
          <w:lang w:val="fr-FR"/>
        </w:rPr>
        <w:t>UE, on ne sait pas encore s</w:t>
      </w:r>
      <w:r w:rsidR="00EF6A7F">
        <w:rPr>
          <w:lang w:val="fr-FR"/>
        </w:rPr>
        <w:t>’</w:t>
      </w:r>
      <w:r>
        <w:rPr>
          <w:lang w:val="fr-FR"/>
        </w:rPr>
        <w:t>il appliquera les changements proposés aux règlements de l</w:t>
      </w:r>
      <w:r w:rsidR="00EF6A7F">
        <w:rPr>
          <w:lang w:val="fr-FR"/>
        </w:rPr>
        <w:t>’</w:t>
      </w:r>
      <w:r>
        <w:rPr>
          <w:lang w:val="fr-FR"/>
        </w:rPr>
        <w:t>UE ; voir Gouvernement du Royaume</w:t>
      </w:r>
      <w:r w:rsidR="009A0440">
        <w:rPr>
          <w:lang w:val="fr-FR"/>
        </w:rPr>
        <w:noBreakHyphen/>
      </w:r>
      <w:r>
        <w:rPr>
          <w:lang w:val="fr-FR"/>
        </w:rPr>
        <w:t xml:space="preserve">Uni (2020), </w:t>
      </w:r>
      <w:r w:rsidR="00E91F68">
        <w:rPr>
          <w:lang w:val="fr-FR"/>
        </w:rPr>
        <w:t>« </w:t>
      </w:r>
      <w:r>
        <w:rPr>
          <w:lang w:val="fr-FR"/>
        </w:rPr>
        <w:t>The New Heavy Duty Vehicles (Carbon Dioxide Emission Performance Standards) (Amendment) (EU Exit) Regulations 2020</w:t>
      </w:r>
      <w:r w:rsidR="00E91F68">
        <w:rPr>
          <w:lang w:val="fr-FR"/>
        </w:rPr>
        <w:t> »</w:t>
      </w:r>
      <w:r>
        <w:rPr>
          <w:lang w:val="fr-FR"/>
        </w:rPr>
        <w:t>, disponible à l</w:t>
      </w:r>
      <w:r w:rsidR="00EF6A7F">
        <w:rPr>
          <w:lang w:val="fr-FR"/>
        </w:rPr>
        <w:t>’</w:t>
      </w:r>
      <w:r>
        <w:rPr>
          <w:lang w:val="fr-FR"/>
        </w:rPr>
        <w:t xml:space="preserve">adresse </w:t>
      </w:r>
      <w:hyperlink r:id="rId36" w:history="1">
        <w:r w:rsidR="008C73A8" w:rsidRPr="00A9678A">
          <w:rPr>
            <w:rStyle w:val="Lienhypertexte"/>
            <w:lang w:val="fr-FR"/>
          </w:rPr>
          <w:t>https://www.legislation.gov.uk/uksi/2020/1402/regulation/3/made</w:t>
        </w:r>
      </w:hyperlink>
      <w:r>
        <w:rPr>
          <w:lang w:val="fr-FR"/>
        </w:rPr>
        <w:t xml:space="preserve"> ; AIE (2022), </w:t>
      </w:r>
      <w:r w:rsidR="00E91F68">
        <w:rPr>
          <w:lang w:val="fr-FR"/>
        </w:rPr>
        <w:t>« </w:t>
      </w:r>
      <w:r>
        <w:rPr>
          <w:lang w:val="fr-FR"/>
        </w:rPr>
        <w:t>Trucks and Buses Tracking Report</w:t>
      </w:r>
      <w:r w:rsidR="00E91F68">
        <w:rPr>
          <w:lang w:val="fr-FR"/>
        </w:rPr>
        <w:t> »</w:t>
      </w:r>
      <w:r>
        <w:rPr>
          <w:lang w:val="fr-FR"/>
        </w:rPr>
        <w:t>, disponible à l</w:t>
      </w:r>
      <w:r w:rsidR="00EF6A7F">
        <w:rPr>
          <w:lang w:val="fr-FR"/>
        </w:rPr>
        <w:t>’</w:t>
      </w:r>
      <w:r>
        <w:rPr>
          <w:lang w:val="fr-FR"/>
        </w:rPr>
        <w:t xml:space="preserve">adresse </w:t>
      </w:r>
      <w:hyperlink r:id="rId37" w:history="1">
        <w:r w:rsidR="008C73A8" w:rsidRPr="00A9678A">
          <w:rPr>
            <w:rStyle w:val="Lienhypertexte"/>
            <w:lang w:val="fr-FR"/>
          </w:rPr>
          <w:t>https://www.iea.org/reports/trucks-and-buses</w:t>
        </w:r>
      </w:hyperlink>
      <w:r w:rsidR="008C73A8">
        <w:rPr>
          <w:lang w:val="fr-FR"/>
        </w:rPr>
        <w:t>.</w:t>
      </w:r>
    </w:p>
  </w:footnote>
  <w:footnote w:id="42">
    <w:p w14:paraId="7EEA0E3E" w14:textId="3DB382B3" w:rsidR="00D86611" w:rsidRPr="00F20792" w:rsidRDefault="00D86611" w:rsidP="00747EED">
      <w:pPr>
        <w:pStyle w:val="Notedebasdepage"/>
        <w:rPr>
          <w:lang w:val="fr-FR"/>
        </w:rPr>
      </w:pPr>
      <w:r>
        <w:rPr>
          <w:lang w:val="fr-FR"/>
        </w:rPr>
        <w:tab/>
      </w:r>
      <w:r w:rsidRPr="008D69CF">
        <w:rPr>
          <w:rStyle w:val="Appelnotedebasdep"/>
        </w:rPr>
        <w:footnoteRef/>
      </w:r>
      <w:r>
        <w:rPr>
          <w:lang w:val="fr-FR"/>
        </w:rPr>
        <w:tab/>
      </w:r>
      <w:r>
        <w:rPr>
          <w:lang w:val="fr-FR"/>
        </w:rPr>
        <w:tab/>
        <w:t xml:space="preserve">Commission européenne (2023), </w:t>
      </w:r>
      <w:r w:rsidR="00E91F68">
        <w:rPr>
          <w:lang w:val="fr-FR"/>
        </w:rPr>
        <w:t>« </w:t>
      </w:r>
      <w:r>
        <w:rPr>
          <w:lang w:val="fr-FR"/>
        </w:rPr>
        <w:t>Reducing CO</w:t>
      </w:r>
      <w:r w:rsidRPr="009A0440">
        <w:rPr>
          <w:vertAlign w:val="subscript"/>
          <w:lang w:val="fr-FR"/>
        </w:rPr>
        <w:t>2</w:t>
      </w:r>
      <w:r>
        <w:rPr>
          <w:lang w:val="fr-FR"/>
        </w:rPr>
        <w:t xml:space="preserve"> emissions from heavy-duty vehicles</w:t>
      </w:r>
      <w:r w:rsidR="00E91F68">
        <w:rPr>
          <w:lang w:val="fr-FR"/>
        </w:rPr>
        <w:t> »</w:t>
      </w:r>
      <w:r>
        <w:rPr>
          <w:lang w:val="fr-FR"/>
        </w:rPr>
        <w:t>, disponible à</w:t>
      </w:r>
      <w:r w:rsidR="0047643F">
        <w:rPr>
          <w:lang w:val="fr-FR"/>
        </w:rPr>
        <w:t> </w:t>
      </w:r>
      <w:r>
        <w:rPr>
          <w:lang w:val="fr-FR"/>
        </w:rPr>
        <w:t>l</w:t>
      </w:r>
      <w:r w:rsidR="00EF6A7F">
        <w:rPr>
          <w:lang w:val="fr-FR"/>
        </w:rPr>
        <w:t>’</w:t>
      </w:r>
      <w:r>
        <w:rPr>
          <w:lang w:val="fr-FR"/>
        </w:rPr>
        <w:t xml:space="preserve">adresse </w:t>
      </w:r>
      <w:hyperlink r:id="rId38" w:history="1">
        <w:r w:rsidR="008C73A8" w:rsidRPr="00A9678A">
          <w:rPr>
            <w:rStyle w:val="Lienhypertexte"/>
            <w:lang w:val="fr-FR"/>
          </w:rPr>
          <w:t>https://climate.ec.europa.eu/eu-action/transport-emissions/road-transport-reducing-co2-emissions-vehicles/reducing-co2-emissions-heavy-duty-vehicles_en</w:t>
        </w:r>
      </w:hyperlink>
      <w:r>
        <w:rPr>
          <w:lang w:val="fr-FR"/>
        </w:rPr>
        <w:t>, page consultée le 8</w:t>
      </w:r>
      <w:r w:rsidR="008C73A8">
        <w:rPr>
          <w:lang w:val="fr-FR"/>
        </w:rPr>
        <w:t> </w:t>
      </w:r>
      <w:r>
        <w:rPr>
          <w:lang w:val="fr-FR"/>
        </w:rPr>
        <w:t>juin 2023.</w:t>
      </w:r>
    </w:p>
  </w:footnote>
  <w:footnote w:id="43">
    <w:p w14:paraId="74316F1C" w14:textId="123EB1C1" w:rsidR="00D86611" w:rsidRPr="00F20792" w:rsidRDefault="00D86611" w:rsidP="00747EED">
      <w:pPr>
        <w:pStyle w:val="Notedebasdepage"/>
        <w:rPr>
          <w:lang w:val="fr-FR"/>
        </w:rPr>
      </w:pPr>
      <w:r>
        <w:rPr>
          <w:lang w:val="fr-FR"/>
        </w:rPr>
        <w:tab/>
      </w:r>
      <w:r w:rsidRPr="008D69CF">
        <w:rPr>
          <w:rStyle w:val="Appelnotedebasdep"/>
        </w:rPr>
        <w:footnoteRef/>
      </w:r>
      <w:r>
        <w:rPr>
          <w:lang w:val="fr-FR"/>
        </w:rPr>
        <w:tab/>
      </w:r>
      <w:r>
        <w:rPr>
          <w:lang w:val="fr-FR"/>
        </w:rPr>
        <w:tab/>
        <w:t xml:space="preserve">S. Pettigrew (2022), </w:t>
      </w:r>
      <w:r w:rsidR="00E91F68">
        <w:rPr>
          <w:lang w:val="fr-FR"/>
        </w:rPr>
        <w:t>« </w:t>
      </w:r>
      <w:r>
        <w:rPr>
          <w:lang w:val="fr-FR"/>
        </w:rPr>
        <w:t>Fuel economy standards and zero-emission vehicle targets in Chile</w:t>
      </w:r>
      <w:r w:rsidR="00E91F68">
        <w:rPr>
          <w:lang w:val="fr-FR"/>
        </w:rPr>
        <w:t> »</w:t>
      </w:r>
      <w:r>
        <w:rPr>
          <w:lang w:val="fr-FR"/>
        </w:rPr>
        <w:t>, ICCT, disponible à l</w:t>
      </w:r>
      <w:r w:rsidR="00EF6A7F">
        <w:rPr>
          <w:lang w:val="fr-FR"/>
        </w:rPr>
        <w:t>’</w:t>
      </w:r>
      <w:r>
        <w:rPr>
          <w:lang w:val="fr-FR"/>
        </w:rPr>
        <w:t xml:space="preserve">adresse </w:t>
      </w:r>
      <w:hyperlink r:id="rId39" w:history="1">
        <w:r w:rsidR="008C73A8" w:rsidRPr="00A9678A">
          <w:rPr>
            <w:rStyle w:val="Lienhypertexte"/>
            <w:lang w:val="fr-FR"/>
          </w:rPr>
          <w:t>https://theicct.org/wp-content/uploads/2022/08/lat-am-lvs-hvs-chile-EN-aug22.pdf</w:t>
        </w:r>
      </w:hyperlink>
      <w:r w:rsidR="008C73A8">
        <w:rPr>
          <w:lang w:val="fr-FR"/>
        </w:rPr>
        <w:t>.</w:t>
      </w:r>
    </w:p>
  </w:footnote>
  <w:footnote w:id="44">
    <w:p w14:paraId="2780787D" w14:textId="103DECB6" w:rsidR="00D86611" w:rsidRPr="00D86611" w:rsidRDefault="00D86611" w:rsidP="00747EED">
      <w:pPr>
        <w:pStyle w:val="Notedebasdepage"/>
        <w:rPr>
          <w:lang w:val="en-US"/>
        </w:rPr>
      </w:pPr>
      <w:r>
        <w:rPr>
          <w:lang w:val="fr-FR"/>
        </w:rPr>
        <w:tab/>
      </w:r>
      <w:r w:rsidRPr="008D69CF">
        <w:rPr>
          <w:rStyle w:val="Appelnotedebasdep"/>
        </w:rPr>
        <w:footnoteRef/>
      </w:r>
      <w:r w:rsidRPr="00F20792">
        <w:rPr>
          <w:lang w:val="en-US"/>
        </w:rPr>
        <w:tab/>
      </w:r>
      <w:r w:rsidRPr="00F20792">
        <w:rPr>
          <w:lang w:val="en-US"/>
        </w:rPr>
        <w:tab/>
        <w:t xml:space="preserve">B. Sharpe et D. Schaller (2021), </w:t>
      </w:r>
      <w:r w:rsidR="00E91F68">
        <w:rPr>
          <w:lang w:val="en-US"/>
        </w:rPr>
        <w:t>« </w:t>
      </w:r>
      <w:r w:rsidRPr="00F20792">
        <w:rPr>
          <w:lang w:val="en-US"/>
        </w:rPr>
        <w:t>Analysis of heavy-duty vehicle fuel efficiency technology uptake in California and Canada</w:t>
      </w:r>
      <w:r w:rsidR="00E91F68">
        <w:rPr>
          <w:lang w:val="en-US"/>
        </w:rPr>
        <w:t> »</w:t>
      </w:r>
      <w:r w:rsidRPr="00F20792">
        <w:rPr>
          <w:lang w:val="en-US"/>
        </w:rPr>
        <w:t>, ICCT, disponible à l</w:t>
      </w:r>
      <w:r w:rsidR="00EF6A7F">
        <w:rPr>
          <w:lang w:val="en-US"/>
        </w:rPr>
        <w:t>’</w:t>
      </w:r>
      <w:r w:rsidRPr="00F20792">
        <w:rPr>
          <w:lang w:val="en-US"/>
        </w:rPr>
        <w:t xml:space="preserve">adresse </w:t>
      </w:r>
      <w:hyperlink r:id="rId40" w:history="1">
        <w:r w:rsidR="009A0440" w:rsidRPr="00A9678A">
          <w:rPr>
            <w:rStyle w:val="Lienhypertexte"/>
            <w:lang w:val="en-US"/>
          </w:rPr>
          <w:t>https://theicct.org/wp</w:t>
        </w:r>
        <w:r w:rsidR="009A0440" w:rsidRPr="00A9678A">
          <w:rPr>
            <w:rStyle w:val="Lienhypertexte"/>
            <w:lang w:val="en-US"/>
          </w:rPr>
          <w:noBreakHyphen/>
          <w:t>content/uploads /2021/06/HDV-fuel-efficiency-tech-California-Canada-apr2021.pdf</w:t>
        </w:r>
      </w:hyperlink>
      <w:r w:rsidR="008C73A8">
        <w:rPr>
          <w:lang w:val="en-US"/>
        </w:rPr>
        <w:t>.</w:t>
      </w:r>
    </w:p>
  </w:footnote>
  <w:footnote w:id="45">
    <w:p w14:paraId="069B1BDF" w14:textId="44E7B4D3" w:rsidR="00D86611" w:rsidRPr="00D86611" w:rsidRDefault="00D86611" w:rsidP="00747EED">
      <w:pPr>
        <w:pStyle w:val="Notedebasdepage"/>
        <w:rPr>
          <w:lang w:val="en-US"/>
        </w:rPr>
      </w:pPr>
      <w:r w:rsidRPr="00F20792">
        <w:rPr>
          <w:lang w:val="en-US"/>
        </w:rPr>
        <w:tab/>
      </w:r>
      <w:r w:rsidRPr="008D69CF">
        <w:rPr>
          <w:rStyle w:val="Appelnotedebasdep"/>
        </w:rPr>
        <w:footnoteRef/>
      </w:r>
      <w:r w:rsidRPr="00F20792">
        <w:rPr>
          <w:lang w:val="en-US"/>
        </w:rPr>
        <w:tab/>
      </w:r>
      <w:r w:rsidRPr="00F20792">
        <w:rPr>
          <w:lang w:val="en-US"/>
        </w:rPr>
        <w:tab/>
        <w:t xml:space="preserve">Programme des </w:t>
      </w:r>
      <w:r>
        <w:rPr>
          <w:lang w:val="en-US"/>
        </w:rPr>
        <w:t>Nations Unies</w:t>
      </w:r>
      <w:r w:rsidRPr="00F20792">
        <w:rPr>
          <w:lang w:val="en-US"/>
        </w:rPr>
        <w:t xml:space="preserve"> pour l</w:t>
      </w:r>
      <w:r w:rsidR="00EF6A7F">
        <w:rPr>
          <w:lang w:val="en-US"/>
        </w:rPr>
        <w:t>’</w:t>
      </w:r>
      <w:r w:rsidRPr="00F20792">
        <w:rPr>
          <w:lang w:val="en-US"/>
        </w:rPr>
        <w:t xml:space="preserve">environnement (2022), </w:t>
      </w:r>
      <w:r w:rsidRPr="00F20792">
        <w:rPr>
          <w:i/>
          <w:iCs/>
          <w:lang w:val="en-US"/>
        </w:rPr>
        <w:t>Emissions Gap Report 2022</w:t>
      </w:r>
      <w:r>
        <w:rPr>
          <w:i/>
          <w:iCs/>
          <w:lang w:val="en-US"/>
        </w:rPr>
        <w:t>:</w:t>
      </w:r>
      <w:r w:rsidRPr="00F20792">
        <w:rPr>
          <w:i/>
          <w:iCs/>
          <w:lang w:val="en-US"/>
        </w:rPr>
        <w:t xml:space="preserve"> The Closing Window</w:t>
      </w:r>
      <w:r w:rsidR="009A0440">
        <w:rPr>
          <w:i/>
          <w:iCs/>
          <w:lang w:val="en-US"/>
        </w:rPr>
        <w:t> − </w:t>
      </w:r>
      <w:r w:rsidRPr="00F20792">
        <w:rPr>
          <w:i/>
          <w:iCs/>
          <w:lang w:val="en-US"/>
        </w:rPr>
        <w:t>Climate Crisis Calls for Rapid Transformation of Societies</w:t>
      </w:r>
      <w:r w:rsidRPr="00F20792">
        <w:rPr>
          <w:lang w:val="en-US"/>
        </w:rPr>
        <w:t>, disponible à l</w:t>
      </w:r>
      <w:r w:rsidR="00EF6A7F">
        <w:rPr>
          <w:lang w:val="en-US"/>
        </w:rPr>
        <w:t>’</w:t>
      </w:r>
      <w:r w:rsidRPr="00F20792">
        <w:rPr>
          <w:lang w:val="en-US"/>
        </w:rPr>
        <w:t xml:space="preserve">adresse </w:t>
      </w:r>
      <w:hyperlink r:id="rId41" w:history="1">
        <w:r w:rsidR="008C73A8" w:rsidRPr="00A9678A">
          <w:rPr>
            <w:rStyle w:val="Lienhypertexte"/>
            <w:lang w:val="en-US"/>
          </w:rPr>
          <w:t>https://www.unep.org/emissions-gap-report-2022</w:t>
        </w:r>
      </w:hyperlink>
      <w:r w:rsidR="008C73A8">
        <w:rPr>
          <w:lang w:val="en-US"/>
        </w:rPr>
        <w:t>.</w:t>
      </w:r>
    </w:p>
  </w:footnote>
  <w:footnote w:id="46">
    <w:p w14:paraId="0788DFEE" w14:textId="4ED2C24A" w:rsidR="00D86611" w:rsidRPr="007E12FE" w:rsidRDefault="00D86611" w:rsidP="00747EED">
      <w:pPr>
        <w:pStyle w:val="Notedebasdepage"/>
        <w:rPr>
          <w:lang w:val="en-US"/>
        </w:rPr>
      </w:pPr>
      <w:r w:rsidRPr="00F20792">
        <w:rPr>
          <w:lang w:val="en-US"/>
        </w:rPr>
        <w:tab/>
      </w:r>
      <w:r w:rsidRPr="008D69CF">
        <w:rPr>
          <w:rStyle w:val="Appelnotedebasdep"/>
        </w:rPr>
        <w:footnoteRef/>
      </w:r>
      <w:r w:rsidRPr="007E12FE">
        <w:rPr>
          <w:lang w:val="en-US"/>
        </w:rPr>
        <w:tab/>
      </w:r>
      <w:r w:rsidRPr="007E12FE">
        <w:rPr>
          <w:lang w:val="en-US"/>
        </w:rPr>
        <w:tab/>
        <w:t xml:space="preserve">SLoCaT (2022), </w:t>
      </w:r>
      <w:r w:rsidR="00E91F68">
        <w:rPr>
          <w:lang w:val="en-US"/>
        </w:rPr>
        <w:t>« </w:t>
      </w:r>
      <w:r w:rsidRPr="007E12FE">
        <w:rPr>
          <w:lang w:val="en-US"/>
        </w:rPr>
        <w:t>Climate Strategies for Transport: An Analysis of Nationally Determined Contributions and Long-Term Strategies</w:t>
      </w:r>
      <w:r w:rsidR="00E91F68">
        <w:rPr>
          <w:lang w:val="en-US"/>
        </w:rPr>
        <w:t> »</w:t>
      </w:r>
      <w:r w:rsidRPr="007E12FE">
        <w:rPr>
          <w:lang w:val="en-US"/>
        </w:rPr>
        <w:t>, mise à jour d</w:t>
      </w:r>
      <w:r w:rsidR="00EF6A7F">
        <w:rPr>
          <w:lang w:val="en-US"/>
        </w:rPr>
        <w:t>’</w:t>
      </w:r>
      <w:r w:rsidRPr="007E12FE">
        <w:rPr>
          <w:lang w:val="en-US"/>
        </w:rPr>
        <w:t>octobre 2022, disponible à l</w:t>
      </w:r>
      <w:r w:rsidR="00EF6A7F">
        <w:rPr>
          <w:lang w:val="en-US"/>
        </w:rPr>
        <w:t>’</w:t>
      </w:r>
      <w:r w:rsidRPr="007E12FE">
        <w:rPr>
          <w:lang w:val="en-US"/>
        </w:rPr>
        <w:t xml:space="preserve">adresse </w:t>
      </w:r>
      <w:hyperlink r:id="rId42" w:history="1">
        <w:r w:rsidR="008C73A8" w:rsidRPr="00A9678A">
          <w:rPr>
            <w:rStyle w:val="Lienhypertexte"/>
            <w:lang w:val="en-US"/>
          </w:rPr>
          <w:t>www.slocat.net/ndcs</w:t>
        </w:r>
      </w:hyperlink>
      <w:r w:rsidR="008C73A8">
        <w:rPr>
          <w:lang w:val="en-US"/>
        </w:rPr>
        <w:t>.</w:t>
      </w:r>
    </w:p>
  </w:footnote>
  <w:footnote w:id="47">
    <w:p w14:paraId="29035D7E" w14:textId="06B62C78" w:rsidR="00D86611" w:rsidRPr="00F20792" w:rsidRDefault="00D86611" w:rsidP="00747EED">
      <w:pPr>
        <w:pStyle w:val="Notedebasdepage"/>
        <w:rPr>
          <w:lang w:val="fr-FR"/>
        </w:rPr>
      </w:pPr>
      <w:r w:rsidRPr="007E12FE">
        <w:rPr>
          <w:lang w:val="en-US"/>
        </w:rPr>
        <w:tab/>
      </w:r>
      <w:r w:rsidRPr="008D69CF">
        <w:rPr>
          <w:rStyle w:val="Appelnotedebasdep"/>
        </w:rPr>
        <w:footnoteRef/>
      </w:r>
      <w:r>
        <w:rPr>
          <w:lang w:val="fr-FR"/>
        </w:rPr>
        <w:tab/>
      </w:r>
      <w:r>
        <w:rPr>
          <w:lang w:val="fr-FR"/>
        </w:rPr>
        <w:tab/>
        <w:t xml:space="preserve">Forum international des transports (2023), </w:t>
      </w:r>
      <w:r>
        <w:rPr>
          <w:i/>
          <w:iCs/>
          <w:lang w:val="fr-FR"/>
        </w:rPr>
        <w:t>ITF Transport Outlook 2023</w:t>
      </w:r>
      <w:r>
        <w:rPr>
          <w:lang w:val="fr-FR"/>
        </w:rPr>
        <w:t>, disponible à l</w:t>
      </w:r>
      <w:r w:rsidR="00EF6A7F">
        <w:rPr>
          <w:lang w:val="fr-FR"/>
        </w:rPr>
        <w:t>’</w:t>
      </w:r>
      <w:r>
        <w:rPr>
          <w:lang w:val="fr-FR"/>
        </w:rPr>
        <w:t xml:space="preserve">adresse </w:t>
      </w:r>
      <w:hyperlink r:id="rId43" w:history="1">
        <w:r w:rsidR="008C2EC4" w:rsidRPr="00A9678A">
          <w:rPr>
            <w:rStyle w:val="Lienhypertexte"/>
            <w:lang w:val="fr-FR"/>
          </w:rPr>
          <w:t>https://www.itf-oecd.org/itf-transport-outlook-2023</w:t>
        </w:r>
      </w:hyperlink>
      <w:r w:rsidR="008C2EC4">
        <w:rPr>
          <w:lang w:val="fr-FR"/>
        </w:rPr>
        <w:t>.</w:t>
      </w:r>
    </w:p>
  </w:footnote>
  <w:footnote w:id="48">
    <w:p w14:paraId="01266ED0" w14:textId="2BD83DC6" w:rsidR="00D86611" w:rsidRPr="00F20792" w:rsidRDefault="00D86611" w:rsidP="00747EED">
      <w:pPr>
        <w:pStyle w:val="Notedebasdepage"/>
        <w:rPr>
          <w:lang w:val="fr-FR"/>
        </w:rPr>
      </w:pPr>
      <w:r>
        <w:rPr>
          <w:lang w:val="fr-FR"/>
        </w:rPr>
        <w:tab/>
      </w:r>
      <w:r w:rsidRPr="008D69CF">
        <w:rPr>
          <w:rStyle w:val="Appelnotedebasdep"/>
        </w:rPr>
        <w:footnoteRef/>
      </w:r>
      <w:r>
        <w:rPr>
          <w:lang w:val="fr-FR"/>
        </w:rPr>
        <w:tab/>
      </w:r>
      <w:r>
        <w:rPr>
          <w:lang w:val="fr-FR"/>
        </w:rPr>
        <w:tab/>
      </w:r>
      <w:r w:rsidRPr="00236DA1">
        <w:rPr>
          <w:spacing w:val="-2"/>
          <w:lang w:val="fr-FR"/>
        </w:rPr>
        <w:t xml:space="preserve">K. Wilson (2020), </w:t>
      </w:r>
      <w:r w:rsidR="00E91F68" w:rsidRPr="00236DA1">
        <w:rPr>
          <w:spacing w:val="-2"/>
          <w:lang w:val="fr-FR"/>
        </w:rPr>
        <w:t>« </w:t>
      </w:r>
      <w:r w:rsidRPr="00236DA1">
        <w:rPr>
          <w:spacing w:val="-2"/>
          <w:lang w:val="fr-FR"/>
        </w:rPr>
        <w:t>How cars waste space</w:t>
      </w:r>
      <w:r w:rsidR="00236DA1" w:rsidRPr="00236DA1">
        <w:rPr>
          <w:spacing w:val="-2"/>
          <w:lang w:val="fr-FR"/>
        </w:rPr>
        <w:t> − </w:t>
      </w:r>
      <w:r w:rsidRPr="00236DA1">
        <w:rPr>
          <w:spacing w:val="-2"/>
          <w:lang w:val="fr-FR"/>
        </w:rPr>
        <w:t>in six simple images</w:t>
      </w:r>
      <w:r w:rsidR="00E91F68" w:rsidRPr="00236DA1">
        <w:rPr>
          <w:spacing w:val="-2"/>
          <w:lang w:val="fr-FR"/>
        </w:rPr>
        <w:t> »</w:t>
      </w:r>
      <w:r w:rsidRPr="00236DA1">
        <w:rPr>
          <w:spacing w:val="-2"/>
          <w:lang w:val="fr-FR"/>
        </w:rPr>
        <w:t>, disponible à l</w:t>
      </w:r>
      <w:r w:rsidR="00EF6A7F" w:rsidRPr="00236DA1">
        <w:rPr>
          <w:spacing w:val="-2"/>
          <w:lang w:val="fr-FR"/>
        </w:rPr>
        <w:t>’</w:t>
      </w:r>
      <w:r w:rsidRPr="00236DA1">
        <w:rPr>
          <w:spacing w:val="-2"/>
          <w:lang w:val="fr-FR"/>
        </w:rPr>
        <w:t xml:space="preserve">adresse </w:t>
      </w:r>
      <w:hyperlink r:id="rId44" w:history="1">
        <w:r w:rsidR="008C2EC4" w:rsidRPr="00236DA1">
          <w:rPr>
            <w:rStyle w:val="Lienhypertexte"/>
            <w:spacing w:val="-2"/>
            <w:lang w:val="fr-FR"/>
          </w:rPr>
          <w:t>https://usa.streetsblog.org/2020/01/13/how-cars-waste-space-in-six-simple-images</w:t>
        </w:r>
      </w:hyperlink>
      <w:r w:rsidRPr="00236DA1">
        <w:rPr>
          <w:spacing w:val="-2"/>
          <w:lang w:val="fr-FR"/>
        </w:rPr>
        <w:t xml:space="preserve"> ; AIE (2021), </w:t>
      </w:r>
      <w:r w:rsidR="00E91F68" w:rsidRPr="00236DA1">
        <w:rPr>
          <w:spacing w:val="-2"/>
          <w:lang w:val="fr-FR"/>
        </w:rPr>
        <w:t>« </w:t>
      </w:r>
      <w:r w:rsidRPr="00236DA1">
        <w:rPr>
          <w:spacing w:val="-2"/>
          <w:lang w:val="fr-FR"/>
        </w:rPr>
        <w:t>Global Fuel Economy Initiative 2021</w:t>
      </w:r>
      <w:r w:rsidR="00E91F68" w:rsidRPr="00236DA1">
        <w:rPr>
          <w:spacing w:val="-2"/>
          <w:lang w:val="fr-FR"/>
        </w:rPr>
        <w:t> »</w:t>
      </w:r>
      <w:r w:rsidRPr="00236DA1">
        <w:rPr>
          <w:spacing w:val="-2"/>
          <w:lang w:val="fr-FR"/>
        </w:rPr>
        <w:t>, disponible à l</w:t>
      </w:r>
      <w:r w:rsidR="00EF6A7F" w:rsidRPr="00236DA1">
        <w:rPr>
          <w:spacing w:val="-2"/>
          <w:lang w:val="fr-FR"/>
        </w:rPr>
        <w:t>’</w:t>
      </w:r>
      <w:r w:rsidRPr="00236DA1">
        <w:rPr>
          <w:spacing w:val="-2"/>
          <w:lang w:val="fr-FR"/>
        </w:rPr>
        <w:t xml:space="preserve">adresse </w:t>
      </w:r>
      <w:hyperlink r:id="rId45" w:history="1">
        <w:r w:rsidR="008C2EC4" w:rsidRPr="00236DA1">
          <w:rPr>
            <w:rStyle w:val="Lienhypertexte"/>
            <w:spacing w:val="-2"/>
            <w:lang w:val="fr-FR"/>
          </w:rPr>
          <w:t>https://www.iea.org/reports/global-fuel-economy-initiative-2021/executive-summary</w:t>
        </w:r>
      </w:hyperlink>
      <w:r w:rsidRPr="00236DA1">
        <w:rPr>
          <w:spacing w:val="-2"/>
          <w:lang w:val="fr-FR"/>
        </w:rPr>
        <w:t xml:space="preserve"> ; L. Cozzi et A. Petropoulos (2021), </w:t>
      </w:r>
      <w:r w:rsidR="00E91F68" w:rsidRPr="00236DA1">
        <w:rPr>
          <w:spacing w:val="-2"/>
          <w:lang w:val="fr-FR"/>
        </w:rPr>
        <w:t>« </w:t>
      </w:r>
      <w:r w:rsidRPr="00236DA1">
        <w:rPr>
          <w:spacing w:val="-2"/>
          <w:lang w:val="fr-FR"/>
        </w:rPr>
        <w:t>Carbon emissions fell across all sectors in 2020 except for one - SUVs</w:t>
      </w:r>
      <w:r w:rsidR="00E91F68" w:rsidRPr="00236DA1">
        <w:rPr>
          <w:spacing w:val="-2"/>
          <w:lang w:val="fr-FR"/>
        </w:rPr>
        <w:t> »</w:t>
      </w:r>
      <w:r w:rsidRPr="00236DA1">
        <w:rPr>
          <w:spacing w:val="-2"/>
          <w:lang w:val="fr-FR"/>
        </w:rPr>
        <w:t>, AIE, disponible à l</w:t>
      </w:r>
      <w:r w:rsidR="00EF6A7F" w:rsidRPr="00236DA1">
        <w:rPr>
          <w:spacing w:val="-2"/>
          <w:lang w:val="fr-FR"/>
        </w:rPr>
        <w:t>’</w:t>
      </w:r>
      <w:r w:rsidRPr="00236DA1">
        <w:rPr>
          <w:spacing w:val="-2"/>
          <w:lang w:val="fr-FR"/>
        </w:rPr>
        <w:t xml:space="preserve">adresse </w:t>
      </w:r>
      <w:hyperlink r:id="rId46" w:history="1">
        <w:r w:rsidR="008C2EC4" w:rsidRPr="00236DA1">
          <w:rPr>
            <w:rStyle w:val="Lienhypertexte"/>
            <w:spacing w:val="-2"/>
            <w:lang w:val="fr-FR"/>
          </w:rPr>
          <w:t>https://www.iea.org/commentaries/carbon-emissions-fell-across-all-sectors-in-2020-except-for-one-suvs</w:t>
        </w:r>
      </w:hyperlink>
      <w:r w:rsidR="008C2EC4" w:rsidRPr="00236DA1">
        <w:rPr>
          <w:spacing w:val="-2"/>
          <w:lang w:val="fr-FR"/>
        </w:rPr>
        <w:t>.</w:t>
      </w:r>
    </w:p>
  </w:footnote>
  <w:footnote w:id="49">
    <w:p w14:paraId="3A75D257" w14:textId="26368EE0" w:rsidR="00D86611" w:rsidRPr="00A73ADE" w:rsidRDefault="00D86611" w:rsidP="00747EED">
      <w:pPr>
        <w:pStyle w:val="Notedebasdepage"/>
        <w:rPr>
          <w:lang w:val="fr-FR"/>
        </w:rPr>
      </w:pPr>
      <w:r>
        <w:rPr>
          <w:lang w:val="fr-FR"/>
        </w:rPr>
        <w:tab/>
      </w:r>
      <w:r w:rsidRPr="008D69CF">
        <w:rPr>
          <w:rStyle w:val="Appelnotedebasdep"/>
        </w:rPr>
        <w:footnoteRef/>
      </w:r>
      <w:r>
        <w:rPr>
          <w:lang w:val="fr-FR"/>
        </w:rPr>
        <w:tab/>
      </w:r>
      <w:r>
        <w:rPr>
          <w:lang w:val="fr-FR"/>
        </w:rPr>
        <w:tab/>
        <w:t xml:space="preserve">AIE (2021), </w:t>
      </w:r>
      <w:r w:rsidR="00E91F68">
        <w:rPr>
          <w:lang w:val="fr-FR"/>
        </w:rPr>
        <w:t>« </w:t>
      </w:r>
      <w:r>
        <w:rPr>
          <w:lang w:val="fr-FR"/>
        </w:rPr>
        <w:t xml:space="preserve">Global Fuel </w:t>
      </w:r>
      <w:r w:rsidRPr="00A73ADE">
        <w:rPr>
          <w:lang w:val="fr-FR"/>
        </w:rPr>
        <w:t>Economy Initiative 2021</w:t>
      </w:r>
      <w:r w:rsidR="00E91F68" w:rsidRPr="00A73ADE">
        <w:rPr>
          <w:lang w:val="fr-FR"/>
        </w:rPr>
        <w:t> »</w:t>
      </w:r>
      <w:r w:rsidRPr="00A73ADE">
        <w:rPr>
          <w:lang w:val="fr-FR"/>
        </w:rPr>
        <w:t>, disponible à l</w:t>
      </w:r>
      <w:r w:rsidR="00EF6A7F" w:rsidRPr="00A73ADE">
        <w:rPr>
          <w:lang w:val="fr-FR"/>
        </w:rPr>
        <w:t>’</w:t>
      </w:r>
      <w:r w:rsidRPr="00A73ADE">
        <w:rPr>
          <w:lang w:val="fr-FR"/>
        </w:rPr>
        <w:t xml:space="preserve">adresse </w:t>
      </w:r>
      <w:hyperlink r:id="rId47" w:history="1">
        <w:r w:rsidR="008C2EC4" w:rsidRPr="00A73ADE">
          <w:rPr>
            <w:rStyle w:val="Lienhypertexte"/>
            <w:lang w:val="fr-FR"/>
          </w:rPr>
          <w:t>https://www.iea.org/reports/global-fuel-economy-initiative-2021/executive-summary</w:t>
        </w:r>
      </w:hyperlink>
      <w:r w:rsidRPr="00A73ADE">
        <w:rPr>
          <w:lang w:val="fr-FR"/>
        </w:rPr>
        <w:t>, page consultée le 10</w:t>
      </w:r>
      <w:r w:rsidR="008C2EC4" w:rsidRPr="00A73ADE">
        <w:rPr>
          <w:lang w:val="fr-FR"/>
        </w:rPr>
        <w:t> </w:t>
      </w:r>
      <w:r w:rsidRPr="00A73ADE">
        <w:rPr>
          <w:lang w:val="fr-FR"/>
        </w:rPr>
        <w:t>octobre 2023.</w:t>
      </w:r>
    </w:p>
  </w:footnote>
  <w:footnote w:id="50">
    <w:p w14:paraId="551336F6" w14:textId="5A9F0F72" w:rsidR="00D86611" w:rsidRPr="00A73ADE" w:rsidRDefault="00D86611" w:rsidP="00747EED">
      <w:pPr>
        <w:pStyle w:val="Notedebasdepage"/>
        <w:rPr>
          <w:spacing w:val="-3"/>
          <w:lang w:val="fr-FR"/>
        </w:rPr>
      </w:pPr>
      <w:r w:rsidRPr="00A73ADE">
        <w:rPr>
          <w:spacing w:val="-3"/>
          <w:lang w:val="fr-FR"/>
        </w:rPr>
        <w:tab/>
      </w:r>
      <w:r w:rsidRPr="00A73ADE">
        <w:rPr>
          <w:rStyle w:val="Appelnotedebasdep"/>
          <w:spacing w:val="-3"/>
        </w:rPr>
        <w:footnoteRef/>
      </w:r>
      <w:r w:rsidRPr="00A73ADE">
        <w:rPr>
          <w:spacing w:val="-3"/>
          <w:lang w:val="fr-FR"/>
        </w:rPr>
        <w:tab/>
      </w:r>
      <w:r w:rsidRPr="00A73ADE">
        <w:rPr>
          <w:spacing w:val="-3"/>
          <w:lang w:val="fr-FR"/>
        </w:rPr>
        <w:tab/>
        <w:t xml:space="preserve">Banque mondiale (2023), </w:t>
      </w:r>
      <w:r w:rsidRPr="00A73ADE">
        <w:rPr>
          <w:i/>
          <w:iCs/>
          <w:spacing w:val="-3"/>
          <w:lang w:val="fr-FR"/>
        </w:rPr>
        <w:t>Detox Development : Repurposing Environmentally Harmful Subsidies</w:t>
      </w:r>
      <w:r w:rsidRPr="00A73ADE">
        <w:rPr>
          <w:spacing w:val="-3"/>
          <w:lang w:val="fr-FR"/>
        </w:rPr>
        <w:t>, disponible à l</w:t>
      </w:r>
      <w:r w:rsidR="00EF6A7F" w:rsidRPr="00A73ADE">
        <w:rPr>
          <w:spacing w:val="-3"/>
          <w:lang w:val="fr-FR"/>
        </w:rPr>
        <w:t>’</w:t>
      </w:r>
      <w:r w:rsidRPr="00A73ADE">
        <w:rPr>
          <w:spacing w:val="-3"/>
          <w:lang w:val="fr-FR"/>
        </w:rPr>
        <w:t xml:space="preserve">adresse </w:t>
      </w:r>
      <w:hyperlink r:id="rId48" w:history="1">
        <w:r w:rsidR="008C2EC4" w:rsidRPr="00A73ADE">
          <w:rPr>
            <w:rStyle w:val="Lienhypertexte"/>
            <w:spacing w:val="-3"/>
            <w:lang w:val="fr-FR"/>
          </w:rPr>
          <w:t>https://www.worldbank.org/en/topic/climatechange/publication/detox-development</w:t>
        </w:r>
      </w:hyperlink>
      <w:r w:rsidR="008C2EC4" w:rsidRPr="00A73ADE">
        <w:rPr>
          <w:spacing w:val="-3"/>
          <w:lang w:val="fr-FR"/>
        </w:rPr>
        <w:t>.</w:t>
      </w:r>
    </w:p>
  </w:footnote>
  <w:footnote w:id="51">
    <w:p w14:paraId="5D305B20" w14:textId="6AECE3FC" w:rsidR="00D86611" w:rsidRPr="00A73ADE" w:rsidRDefault="00D86611" w:rsidP="00747EED">
      <w:pPr>
        <w:pStyle w:val="Notedebasdepage"/>
        <w:rPr>
          <w:lang w:val="fr-FR"/>
        </w:rPr>
      </w:pPr>
      <w:r w:rsidRPr="00A73ADE">
        <w:rPr>
          <w:lang w:val="fr-FR"/>
        </w:rPr>
        <w:tab/>
      </w:r>
      <w:r w:rsidRPr="00A73ADE">
        <w:rPr>
          <w:rStyle w:val="Appelnotedebasdep"/>
        </w:rPr>
        <w:footnoteRef/>
      </w:r>
      <w:r w:rsidRPr="00A73ADE">
        <w:rPr>
          <w:lang w:val="fr-FR"/>
        </w:rPr>
        <w:tab/>
      </w:r>
      <w:r w:rsidRPr="00A73ADE">
        <w:rPr>
          <w:lang w:val="fr-FR"/>
        </w:rPr>
        <w:tab/>
      </w:r>
      <w:r w:rsidRPr="00A73ADE">
        <w:rPr>
          <w:spacing w:val="-3"/>
          <w:lang w:val="fr-FR"/>
        </w:rPr>
        <w:t xml:space="preserve">AIE (2021), </w:t>
      </w:r>
      <w:r w:rsidR="00E91F68" w:rsidRPr="00A73ADE">
        <w:rPr>
          <w:spacing w:val="-3"/>
          <w:lang w:val="fr-FR"/>
        </w:rPr>
        <w:t>« </w:t>
      </w:r>
      <w:r w:rsidRPr="00A73ADE">
        <w:rPr>
          <w:spacing w:val="-3"/>
          <w:lang w:val="fr-FR"/>
        </w:rPr>
        <w:t>Net Zero by 2050</w:t>
      </w:r>
      <w:r w:rsidR="00E91F68" w:rsidRPr="00A73ADE">
        <w:rPr>
          <w:spacing w:val="-3"/>
          <w:lang w:val="fr-FR"/>
        </w:rPr>
        <w:t> »</w:t>
      </w:r>
      <w:r w:rsidRPr="00A73ADE">
        <w:rPr>
          <w:spacing w:val="-3"/>
          <w:lang w:val="fr-FR"/>
        </w:rPr>
        <w:t>, disponible à l</w:t>
      </w:r>
      <w:r w:rsidR="00EF6A7F" w:rsidRPr="00A73ADE">
        <w:rPr>
          <w:spacing w:val="-3"/>
          <w:lang w:val="fr-FR"/>
        </w:rPr>
        <w:t>’</w:t>
      </w:r>
      <w:r w:rsidRPr="00A73ADE">
        <w:rPr>
          <w:spacing w:val="-3"/>
          <w:lang w:val="fr-FR"/>
        </w:rPr>
        <w:t xml:space="preserve">adresse </w:t>
      </w:r>
      <w:hyperlink r:id="rId49" w:history="1">
        <w:r w:rsidR="008C2EC4" w:rsidRPr="00A73ADE">
          <w:rPr>
            <w:rStyle w:val="Lienhypertexte"/>
            <w:spacing w:val="-3"/>
            <w:lang w:val="fr-FR"/>
          </w:rPr>
          <w:t>https://www.iea.org/reports/net-zero-by-2050</w:t>
        </w:r>
      </w:hyperlink>
      <w:r w:rsidR="008C2EC4" w:rsidRPr="00A73ADE">
        <w:rPr>
          <w:spacing w:val="-3"/>
          <w:lang w:val="fr-FR"/>
        </w:rPr>
        <w:t>.</w:t>
      </w:r>
    </w:p>
  </w:footnote>
  <w:footnote w:id="52">
    <w:p w14:paraId="2324B9B6" w14:textId="3626D128" w:rsidR="00D86611" w:rsidRPr="00F20792" w:rsidRDefault="00D86611" w:rsidP="00747EED">
      <w:pPr>
        <w:pStyle w:val="Notedebasdepage"/>
        <w:rPr>
          <w:lang w:val="fr-FR"/>
        </w:rPr>
      </w:pPr>
      <w:r w:rsidRPr="00A73ADE">
        <w:rPr>
          <w:lang w:val="fr-FR"/>
        </w:rPr>
        <w:tab/>
      </w:r>
      <w:r w:rsidRPr="00A73ADE">
        <w:rPr>
          <w:rStyle w:val="Appelnotedebasdep"/>
        </w:rPr>
        <w:footnoteRef/>
      </w:r>
      <w:r w:rsidRPr="00A73ADE">
        <w:rPr>
          <w:lang w:val="fr-FR"/>
        </w:rPr>
        <w:tab/>
      </w:r>
      <w:r w:rsidRPr="00A73ADE">
        <w:rPr>
          <w:lang w:val="fr-FR"/>
        </w:rPr>
        <w:tab/>
        <w:t xml:space="preserve">AIE (2023), </w:t>
      </w:r>
      <w:r w:rsidR="00E91F68" w:rsidRPr="00A73ADE">
        <w:rPr>
          <w:lang w:val="fr-FR"/>
        </w:rPr>
        <w:t>« </w:t>
      </w:r>
      <w:r w:rsidRPr="00A73ADE">
        <w:rPr>
          <w:lang w:val="fr-FR"/>
        </w:rPr>
        <w:t>Global EV Outlook 2023</w:t>
      </w:r>
      <w:r w:rsidR="00E91F68" w:rsidRPr="00A73ADE">
        <w:rPr>
          <w:lang w:val="fr-FR"/>
        </w:rPr>
        <w:t> »</w:t>
      </w:r>
      <w:r w:rsidRPr="00A73ADE">
        <w:rPr>
          <w:lang w:val="fr-FR"/>
        </w:rPr>
        <w:t>, disponible à l</w:t>
      </w:r>
      <w:r w:rsidR="00EF6A7F" w:rsidRPr="00A73ADE">
        <w:rPr>
          <w:lang w:val="fr-FR"/>
        </w:rPr>
        <w:t>’</w:t>
      </w:r>
      <w:r w:rsidRPr="00A73ADE">
        <w:rPr>
          <w:lang w:val="fr-FR"/>
        </w:rPr>
        <w:t xml:space="preserve">adresse </w:t>
      </w:r>
      <w:hyperlink r:id="rId50" w:history="1">
        <w:r w:rsidR="008C2EC4" w:rsidRPr="00A73ADE">
          <w:rPr>
            <w:rStyle w:val="Lienhypertexte"/>
            <w:lang w:val="fr-FR"/>
          </w:rPr>
          <w:t>https://www.iea.org/reports/global-ev-outlook-2023</w:t>
        </w:r>
      </w:hyperlink>
      <w:r w:rsidR="008C2EC4">
        <w:rPr>
          <w:lang w:val="fr-FR"/>
        </w:rPr>
        <w:t>.</w:t>
      </w:r>
    </w:p>
  </w:footnote>
  <w:footnote w:id="53">
    <w:p w14:paraId="52F541D9" w14:textId="59B504FC" w:rsidR="00D86611" w:rsidRPr="00F20792" w:rsidRDefault="00D86611" w:rsidP="00747EED">
      <w:pPr>
        <w:pStyle w:val="Notedebasdepage"/>
        <w:rPr>
          <w:lang w:val="fr-FR"/>
        </w:rPr>
      </w:pPr>
      <w:r>
        <w:rPr>
          <w:lang w:val="fr-FR"/>
        </w:rPr>
        <w:tab/>
      </w:r>
      <w:r w:rsidRPr="008D69CF">
        <w:rPr>
          <w:rStyle w:val="Appelnotedebasdep"/>
        </w:rPr>
        <w:footnoteRef/>
      </w:r>
      <w:r>
        <w:rPr>
          <w:lang w:val="fr-FR"/>
        </w:rPr>
        <w:tab/>
      </w:r>
      <w:r>
        <w:rPr>
          <w:lang w:val="fr-FR"/>
        </w:rPr>
        <w:tab/>
        <w:t xml:space="preserve">AIE (2022), </w:t>
      </w:r>
      <w:r w:rsidR="00E91F68">
        <w:rPr>
          <w:lang w:val="fr-FR"/>
        </w:rPr>
        <w:t>« </w:t>
      </w:r>
      <w:r>
        <w:rPr>
          <w:lang w:val="fr-FR"/>
        </w:rPr>
        <w:t>Global EV Outlook 2022</w:t>
      </w:r>
      <w:r w:rsidR="00E91F68">
        <w:rPr>
          <w:lang w:val="fr-FR"/>
        </w:rPr>
        <w:t> »</w:t>
      </w:r>
      <w:r>
        <w:rPr>
          <w:lang w:val="fr-FR"/>
        </w:rPr>
        <w:t>, disponible à l</w:t>
      </w:r>
      <w:r w:rsidR="00EF6A7F">
        <w:rPr>
          <w:lang w:val="fr-FR"/>
        </w:rPr>
        <w:t>’</w:t>
      </w:r>
      <w:r>
        <w:rPr>
          <w:lang w:val="fr-FR"/>
        </w:rPr>
        <w:t xml:space="preserve">adresse </w:t>
      </w:r>
      <w:hyperlink r:id="rId51" w:history="1">
        <w:r w:rsidR="008C2EC4" w:rsidRPr="00A9678A">
          <w:rPr>
            <w:rStyle w:val="Lienhypertexte"/>
            <w:lang w:val="fr-FR"/>
          </w:rPr>
          <w:t>https://www.iea.org/reports/global-ev-outlook-2022</w:t>
        </w:r>
      </w:hyperlink>
      <w:r>
        <w:rPr>
          <w:lang w:val="fr-FR"/>
        </w:rPr>
        <w:t xml:space="preserve"> ; AIE (2023), </w:t>
      </w:r>
      <w:r w:rsidR="00E91F68">
        <w:rPr>
          <w:lang w:val="fr-FR"/>
        </w:rPr>
        <w:t>« </w:t>
      </w:r>
      <w:r>
        <w:rPr>
          <w:lang w:val="fr-FR"/>
        </w:rPr>
        <w:t>Global EV Outlook 2023</w:t>
      </w:r>
      <w:r w:rsidR="00E91F68">
        <w:rPr>
          <w:lang w:val="fr-FR"/>
        </w:rPr>
        <w:t> »</w:t>
      </w:r>
      <w:r>
        <w:rPr>
          <w:lang w:val="fr-FR"/>
        </w:rPr>
        <w:t>, disponible à l</w:t>
      </w:r>
      <w:r w:rsidR="00EF6A7F">
        <w:rPr>
          <w:lang w:val="fr-FR"/>
        </w:rPr>
        <w:t>’</w:t>
      </w:r>
      <w:r>
        <w:rPr>
          <w:lang w:val="fr-FR"/>
        </w:rPr>
        <w:t xml:space="preserve">adresse </w:t>
      </w:r>
      <w:hyperlink r:id="rId52" w:history="1">
        <w:r w:rsidR="008C2EC4" w:rsidRPr="00A9678A">
          <w:rPr>
            <w:rStyle w:val="Lienhypertexte"/>
            <w:lang w:val="fr-FR"/>
          </w:rPr>
          <w:t>https://www.iea.org/reports/global-ev-outlook-2023</w:t>
        </w:r>
      </w:hyperlink>
      <w:r w:rsidR="008C2EC4">
        <w:rPr>
          <w:lang w:val="fr-FR"/>
        </w:rPr>
        <w:t>.</w:t>
      </w:r>
    </w:p>
  </w:footnote>
  <w:footnote w:id="54">
    <w:p w14:paraId="25EC0DA8" w14:textId="16356B5D" w:rsidR="00D86611" w:rsidRPr="00F20792" w:rsidRDefault="00D86611" w:rsidP="00747EED">
      <w:pPr>
        <w:pStyle w:val="Notedebasdepage"/>
        <w:rPr>
          <w:lang w:val="fr-FR"/>
        </w:rPr>
      </w:pPr>
      <w:r>
        <w:rPr>
          <w:lang w:val="fr-FR"/>
        </w:rPr>
        <w:tab/>
      </w:r>
      <w:r w:rsidRPr="008D69CF">
        <w:rPr>
          <w:rStyle w:val="Appelnotedebasdep"/>
        </w:rPr>
        <w:footnoteRef/>
      </w:r>
      <w:r>
        <w:rPr>
          <w:lang w:val="fr-FR"/>
        </w:rPr>
        <w:tab/>
      </w:r>
      <w:r>
        <w:rPr>
          <w:lang w:val="fr-FR"/>
        </w:rPr>
        <w:tab/>
        <w:t xml:space="preserve">E. Dong, H. Du et L. Gardner (2020), </w:t>
      </w:r>
      <w:r w:rsidR="00E91F68">
        <w:rPr>
          <w:lang w:val="fr-FR"/>
        </w:rPr>
        <w:t>« </w:t>
      </w:r>
      <w:r>
        <w:rPr>
          <w:lang w:val="fr-FR"/>
        </w:rPr>
        <w:t>An interactive web-based dashboard to track COVID-19 in real time</w:t>
      </w:r>
      <w:r w:rsidR="00E91F68">
        <w:rPr>
          <w:lang w:val="fr-FR"/>
        </w:rPr>
        <w:t> »</w:t>
      </w:r>
      <w:r>
        <w:rPr>
          <w:lang w:val="fr-FR"/>
        </w:rPr>
        <w:t xml:space="preserve">, </w:t>
      </w:r>
      <w:r>
        <w:rPr>
          <w:i/>
          <w:iCs/>
          <w:lang w:val="fr-FR"/>
        </w:rPr>
        <w:t>The Lancet Infectious Diseases</w:t>
      </w:r>
      <w:r>
        <w:rPr>
          <w:lang w:val="fr-FR"/>
        </w:rPr>
        <w:t>, vol. 20, n</w:t>
      </w:r>
      <w:r w:rsidRPr="008C2EC4">
        <w:rPr>
          <w:vertAlign w:val="superscript"/>
          <w:lang w:val="fr-FR"/>
        </w:rPr>
        <w:t>o</w:t>
      </w:r>
      <w:r w:rsidR="008C2EC4">
        <w:rPr>
          <w:lang w:val="fr-FR"/>
        </w:rPr>
        <w:t> </w:t>
      </w:r>
      <w:r>
        <w:rPr>
          <w:lang w:val="fr-FR"/>
        </w:rPr>
        <w:t>5, p.</w:t>
      </w:r>
      <w:r w:rsidR="008C2EC4">
        <w:rPr>
          <w:lang w:val="fr-FR"/>
        </w:rPr>
        <w:t> </w:t>
      </w:r>
      <w:r>
        <w:rPr>
          <w:lang w:val="fr-FR"/>
        </w:rPr>
        <w:t>533-534, disponible à l</w:t>
      </w:r>
      <w:r w:rsidR="00EF6A7F">
        <w:rPr>
          <w:lang w:val="fr-FR"/>
        </w:rPr>
        <w:t>’</w:t>
      </w:r>
      <w:r>
        <w:rPr>
          <w:lang w:val="fr-FR"/>
        </w:rPr>
        <w:t xml:space="preserve">adresse </w:t>
      </w:r>
      <w:hyperlink r:id="rId53" w:history="1">
        <w:r w:rsidR="008C2EC4" w:rsidRPr="00A9678A">
          <w:rPr>
            <w:rStyle w:val="Lienhypertexte"/>
            <w:lang w:val="fr-FR"/>
          </w:rPr>
          <w:t>https://doi.org/10.1016/S1473-3099(20)30120-1</w:t>
        </w:r>
      </w:hyperlink>
      <w:r>
        <w:rPr>
          <w:lang w:val="fr-FR"/>
        </w:rPr>
        <w:t xml:space="preserve"> ; Google (2022), </w:t>
      </w:r>
      <w:r w:rsidR="00E91F68">
        <w:rPr>
          <w:lang w:val="fr-FR"/>
        </w:rPr>
        <w:t>« </w:t>
      </w:r>
      <w:r>
        <w:rPr>
          <w:lang w:val="fr-FR"/>
        </w:rPr>
        <w:t>Google COVID-19 Community Mobility Reports</w:t>
      </w:r>
      <w:r w:rsidR="00E91F68">
        <w:rPr>
          <w:lang w:val="fr-FR"/>
        </w:rPr>
        <w:t> »</w:t>
      </w:r>
      <w:r>
        <w:rPr>
          <w:lang w:val="fr-FR"/>
        </w:rPr>
        <w:t>, disponible à l</w:t>
      </w:r>
      <w:r w:rsidR="00EF6A7F">
        <w:rPr>
          <w:lang w:val="fr-FR"/>
        </w:rPr>
        <w:t>’</w:t>
      </w:r>
      <w:r>
        <w:rPr>
          <w:lang w:val="fr-FR"/>
        </w:rPr>
        <w:t xml:space="preserve">adresse </w:t>
      </w:r>
      <w:hyperlink r:id="rId54" w:history="1">
        <w:r w:rsidR="008C2EC4" w:rsidRPr="00A9678A">
          <w:rPr>
            <w:rStyle w:val="Lienhypertexte"/>
            <w:lang w:val="fr-FR"/>
          </w:rPr>
          <w:t>https://www.google.com/covid19/mobility</w:t>
        </w:r>
      </w:hyperlink>
      <w:r>
        <w:rPr>
          <w:lang w:val="fr-FR"/>
        </w:rPr>
        <w:t>, page consultée en octobre 2022.</w:t>
      </w:r>
    </w:p>
  </w:footnote>
  <w:footnote w:id="55">
    <w:p w14:paraId="6BD4A81E" w14:textId="1A647FCA" w:rsidR="00D86611" w:rsidRPr="00D86611" w:rsidRDefault="00D86611" w:rsidP="00747EED">
      <w:pPr>
        <w:pStyle w:val="Notedebasdepage"/>
        <w:rPr>
          <w:lang w:val="en-US"/>
        </w:rPr>
      </w:pPr>
      <w:r>
        <w:rPr>
          <w:lang w:val="fr-FR"/>
        </w:rPr>
        <w:tab/>
      </w:r>
      <w:r w:rsidRPr="008D69CF">
        <w:rPr>
          <w:rStyle w:val="Appelnotedebasdep"/>
        </w:rPr>
        <w:footnoteRef/>
      </w:r>
      <w:r w:rsidRPr="00F20792">
        <w:rPr>
          <w:lang w:val="en-US"/>
        </w:rPr>
        <w:tab/>
      </w:r>
      <w:r w:rsidRPr="00F20792">
        <w:rPr>
          <w:lang w:val="en-US"/>
        </w:rPr>
        <w:tab/>
      </w:r>
      <w:r w:rsidRPr="008C2EC4">
        <w:rPr>
          <w:spacing w:val="-2"/>
          <w:lang w:val="en-US"/>
        </w:rPr>
        <w:t>ONU</w:t>
      </w:r>
      <w:r w:rsidR="008C2EC4" w:rsidRPr="008C2EC4">
        <w:rPr>
          <w:spacing w:val="-2"/>
          <w:lang w:val="en-US"/>
        </w:rPr>
        <w:noBreakHyphen/>
      </w:r>
      <w:r w:rsidRPr="008C2EC4">
        <w:rPr>
          <w:spacing w:val="-2"/>
          <w:lang w:val="en-US"/>
        </w:rPr>
        <w:t xml:space="preserve">Habitat et PNUE, 2022, </w:t>
      </w:r>
      <w:r w:rsidRPr="008C2EC4">
        <w:rPr>
          <w:i/>
          <w:iCs/>
          <w:spacing w:val="-2"/>
          <w:lang w:val="en-US"/>
        </w:rPr>
        <w:t>Walking and Cycling in Africa : Evidence and Good Practice to Inspire Action</w:t>
      </w:r>
      <w:r w:rsidRPr="008C2EC4">
        <w:rPr>
          <w:spacing w:val="-2"/>
          <w:lang w:val="en-US"/>
        </w:rPr>
        <w:t>, disponible à l</w:t>
      </w:r>
      <w:r w:rsidR="00EF6A7F" w:rsidRPr="008C2EC4">
        <w:rPr>
          <w:spacing w:val="-2"/>
          <w:lang w:val="en-US"/>
        </w:rPr>
        <w:t>’</w:t>
      </w:r>
      <w:r w:rsidRPr="008C2EC4">
        <w:rPr>
          <w:spacing w:val="-2"/>
          <w:lang w:val="en-US"/>
        </w:rPr>
        <w:t xml:space="preserve">adresse </w:t>
      </w:r>
      <w:hyperlink r:id="rId55" w:history="1">
        <w:r w:rsidR="008C2EC4" w:rsidRPr="00A9678A">
          <w:rPr>
            <w:rStyle w:val="Lienhypertexte"/>
            <w:spacing w:val="-2"/>
            <w:lang w:val="en-US"/>
          </w:rPr>
          <w:t>https://unhabitat.org/sites/default/files/2022/07/executive_summary.pdf</w:t>
        </w:r>
      </w:hyperlink>
      <w:r w:rsidR="008C2EC4">
        <w:rPr>
          <w:spacing w:val="-2"/>
          <w:lang w:val="en-US"/>
        </w:rPr>
        <w:t>.</w:t>
      </w:r>
    </w:p>
  </w:footnote>
  <w:footnote w:id="56">
    <w:p w14:paraId="584268AE" w14:textId="1C873A48" w:rsidR="00D86611" w:rsidRPr="00F20792" w:rsidRDefault="00D86611" w:rsidP="00747EED">
      <w:pPr>
        <w:pStyle w:val="Notedebasdepage"/>
        <w:rPr>
          <w:lang w:val="fr-FR"/>
        </w:rPr>
      </w:pPr>
      <w:r w:rsidRPr="00F20792">
        <w:rPr>
          <w:lang w:val="en-US"/>
        </w:rPr>
        <w:tab/>
      </w:r>
      <w:r w:rsidRPr="008D69CF">
        <w:rPr>
          <w:rStyle w:val="Appelnotedebasdep"/>
        </w:rPr>
        <w:footnoteRef/>
      </w:r>
      <w:r>
        <w:rPr>
          <w:lang w:val="fr-FR"/>
        </w:rPr>
        <w:tab/>
      </w:r>
      <w:r>
        <w:rPr>
          <w:lang w:val="fr-FR"/>
        </w:rPr>
        <w:tab/>
        <w:t>Idem.</w:t>
      </w:r>
    </w:p>
  </w:footnote>
  <w:footnote w:id="57">
    <w:p w14:paraId="06B6B6B4" w14:textId="55CB2782" w:rsidR="00D86611" w:rsidRPr="00F20792" w:rsidRDefault="00D86611" w:rsidP="00747EED">
      <w:pPr>
        <w:pStyle w:val="Notedebasdepage"/>
        <w:rPr>
          <w:lang w:val="fr-FR"/>
        </w:rPr>
      </w:pPr>
      <w:r>
        <w:rPr>
          <w:lang w:val="fr-FR"/>
        </w:rPr>
        <w:tab/>
      </w:r>
      <w:r w:rsidRPr="008D69CF">
        <w:rPr>
          <w:rStyle w:val="Appelnotedebasdep"/>
        </w:rPr>
        <w:footnoteRef/>
      </w:r>
      <w:r>
        <w:rPr>
          <w:lang w:val="fr-FR"/>
        </w:rPr>
        <w:tab/>
      </w:r>
      <w:r>
        <w:rPr>
          <w:lang w:val="fr-FR"/>
        </w:rPr>
        <w:tab/>
        <w:t xml:space="preserve">ONU-Habitat (2021), </w:t>
      </w:r>
      <w:r w:rsidR="00E91F68">
        <w:rPr>
          <w:lang w:val="fr-FR"/>
        </w:rPr>
        <w:t>« </w:t>
      </w:r>
      <w:r>
        <w:rPr>
          <w:lang w:val="fr-FR"/>
        </w:rPr>
        <w:t>11 2 1 Pourcentage d</w:t>
      </w:r>
      <w:r w:rsidR="00EF6A7F">
        <w:rPr>
          <w:lang w:val="fr-FR"/>
        </w:rPr>
        <w:t>’</w:t>
      </w:r>
      <w:r>
        <w:rPr>
          <w:lang w:val="fr-FR"/>
        </w:rPr>
        <w:t>accès aux transports publics</w:t>
      </w:r>
      <w:r w:rsidR="00E91F68">
        <w:rPr>
          <w:lang w:val="fr-FR"/>
        </w:rPr>
        <w:t> »</w:t>
      </w:r>
      <w:r>
        <w:rPr>
          <w:lang w:val="fr-FR"/>
        </w:rPr>
        <w:t>, disponible à l</w:t>
      </w:r>
      <w:r w:rsidR="00EF6A7F">
        <w:rPr>
          <w:lang w:val="fr-FR"/>
        </w:rPr>
        <w:t>’</w:t>
      </w:r>
      <w:r>
        <w:rPr>
          <w:lang w:val="fr-FR"/>
        </w:rPr>
        <w:t xml:space="preserve">adresse </w:t>
      </w:r>
      <w:hyperlink r:id="rId56" w:history="1">
        <w:r w:rsidR="008C2EC4" w:rsidRPr="00A9678A">
          <w:rPr>
            <w:rStyle w:val="Lienhypertexte"/>
            <w:lang w:val="fr-FR"/>
          </w:rPr>
          <w:t>https://data.unhabitat.org/datasets/GUO-UN-Habitat::11-2-1-percentage-access-to-public-transport/about</w:t>
        </w:r>
      </w:hyperlink>
      <w:r w:rsidR="008C2EC4">
        <w:rPr>
          <w:lang w:val="fr-FR"/>
        </w:rPr>
        <w:t xml:space="preserve">. </w:t>
      </w:r>
    </w:p>
  </w:footnote>
  <w:footnote w:id="58">
    <w:p w14:paraId="2A8BC28D" w14:textId="0AC5507A" w:rsidR="00D86611" w:rsidRPr="00EF6A7F" w:rsidRDefault="00D86611" w:rsidP="00747EED">
      <w:pPr>
        <w:pStyle w:val="Notedebasdepage"/>
        <w:rPr>
          <w:lang w:val="en-US"/>
        </w:rPr>
      </w:pPr>
      <w:r>
        <w:rPr>
          <w:lang w:val="fr-FR"/>
        </w:rPr>
        <w:tab/>
      </w:r>
      <w:r w:rsidRPr="008D69CF">
        <w:rPr>
          <w:rStyle w:val="Appelnotedebasdep"/>
        </w:rPr>
        <w:footnoteRef/>
      </w:r>
      <w:r>
        <w:rPr>
          <w:lang w:val="fr-FR"/>
        </w:rPr>
        <w:tab/>
      </w:r>
      <w:r>
        <w:rPr>
          <w:lang w:val="fr-FR"/>
        </w:rPr>
        <w:tab/>
        <w:t xml:space="preserve">R. Behrens, D. Mfinanga et D. Mccormick (éd.) </w:t>
      </w:r>
      <w:r w:rsidRPr="00EF6A7F">
        <w:rPr>
          <w:lang w:val="en-US"/>
        </w:rPr>
        <w:t xml:space="preserve">(2016), </w:t>
      </w:r>
      <w:r w:rsidRPr="00EF6A7F">
        <w:rPr>
          <w:i/>
          <w:iCs/>
          <w:lang w:val="en-US"/>
        </w:rPr>
        <w:t>Paratransit in African Cities: Operations, Regulation and Reform</w:t>
      </w:r>
      <w:r w:rsidRPr="00EF6A7F">
        <w:rPr>
          <w:lang w:val="en-US"/>
        </w:rPr>
        <w:t>, disponible à l</w:t>
      </w:r>
      <w:r w:rsidR="00EF6A7F" w:rsidRPr="00EF6A7F">
        <w:rPr>
          <w:lang w:val="en-US"/>
        </w:rPr>
        <w:t>’</w:t>
      </w:r>
      <w:r w:rsidRPr="00EF6A7F">
        <w:rPr>
          <w:lang w:val="en-US"/>
        </w:rPr>
        <w:t xml:space="preserve">adresse </w:t>
      </w:r>
      <w:hyperlink r:id="rId57" w:history="1">
        <w:r w:rsidR="008C2EC4" w:rsidRPr="00A9678A">
          <w:rPr>
            <w:rStyle w:val="Lienhypertexte"/>
            <w:lang w:val="en-US"/>
          </w:rPr>
          <w:t>https://www.routledge.com/Paratransit-in-African-Cities-Operations-Regulation-and-Reform/Behrens-McCormick-Mfinanga/p/book/9780415870337</w:t>
        </w:r>
      </w:hyperlink>
      <w:r w:rsidR="008C2EC4">
        <w:rPr>
          <w:lang w:val="en-US"/>
        </w:rPr>
        <w:t>.</w:t>
      </w:r>
    </w:p>
  </w:footnote>
  <w:footnote w:id="59">
    <w:p w14:paraId="4EB366AD" w14:textId="4AACBC14" w:rsidR="00D86611" w:rsidRPr="00D86611" w:rsidRDefault="00D86611" w:rsidP="00747EED">
      <w:pPr>
        <w:pStyle w:val="Notedebasdepage"/>
        <w:rPr>
          <w:lang w:val="en-US"/>
        </w:rPr>
      </w:pPr>
      <w:r w:rsidRPr="00EF6A7F">
        <w:rPr>
          <w:lang w:val="en-US"/>
        </w:rPr>
        <w:tab/>
      </w:r>
      <w:r w:rsidRPr="008D69CF">
        <w:rPr>
          <w:rStyle w:val="Appelnotedebasdep"/>
        </w:rPr>
        <w:footnoteRef/>
      </w:r>
      <w:r w:rsidRPr="00F20792">
        <w:rPr>
          <w:lang w:val="en-US"/>
        </w:rPr>
        <w:tab/>
      </w:r>
      <w:r w:rsidRPr="00F20792">
        <w:rPr>
          <w:lang w:val="en-US"/>
        </w:rPr>
        <w:tab/>
      </w:r>
      <w:r w:rsidRPr="008C2EC4">
        <w:rPr>
          <w:spacing w:val="-3"/>
          <w:lang w:val="en-US"/>
        </w:rPr>
        <w:t>ONU</w:t>
      </w:r>
      <w:r w:rsidR="008C2EC4">
        <w:rPr>
          <w:spacing w:val="-3"/>
          <w:lang w:val="en-US"/>
        </w:rPr>
        <w:noBreakHyphen/>
      </w:r>
      <w:r w:rsidRPr="008C2EC4">
        <w:rPr>
          <w:spacing w:val="-3"/>
          <w:lang w:val="en-US"/>
        </w:rPr>
        <w:t xml:space="preserve">Habitat et PNUE (2022), </w:t>
      </w:r>
      <w:r w:rsidRPr="008C2EC4">
        <w:rPr>
          <w:i/>
          <w:iCs/>
          <w:spacing w:val="-3"/>
          <w:lang w:val="en-US"/>
        </w:rPr>
        <w:t>Walking and Cycling in Africa : Evidence and Good Practice to Inspire Action</w:t>
      </w:r>
      <w:r w:rsidRPr="008C2EC4">
        <w:rPr>
          <w:spacing w:val="-3"/>
          <w:lang w:val="en-US"/>
        </w:rPr>
        <w:t>, disponible à l</w:t>
      </w:r>
      <w:r w:rsidR="00EF6A7F" w:rsidRPr="008C2EC4">
        <w:rPr>
          <w:spacing w:val="-3"/>
          <w:lang w:val="en-US"/>
        </w:rPr>
        <w:t>’</w:t>
      </w:r>
      <w:r w:rsidRPr="008C2EC4">
        <w:rPr>
          <w:spacing w:val="-3"/>
          <w:lang w:val="en-US"/>
        </w:rPr>
        <w:t xml:space="preserve">adresse </w:t>
      </w:r>
      <w:hyperlink r:id="rId58" w:history="1">
        <w:r w:rsidR="008C2EC4" w:rsidRPr="008C2EC4">
          <w:rPr>
            <w:rStyle w:val="Lienhypertexte"/>
            <w:spacing w:val="-3"/>
            <w:lang w:val="en-US"/>
          </w:rPr>
          <w:t>https://unhabitat.org/sites/default/files/2022/07/executive_summary.pdf</w:t>
        </w:r>
      </w:hyperlink>
      <w:r w:rsidR="008C2EC4" w:rsidRPr="008C2EC4">
        <w:rPr>
          <w:spacing w:val="-3"/>
          <w:lang w:val="en-US"/>
        </w:rPr>
        <w:t>.</w:t>
      </w:r>
      <w:r w:rsidRPr="00F20792">
        <w:rPr>
          <w:lang w:val="en-US"/>
        </w:rPr>
        <w:t xml:space="preserve"> </w:t>
      </w:r>
    </w:p>
  </w:footnote>
  <w:footnote w:id="60">
    <w:p w14:paraId="5376D150" w14:textId="29FBEFF2" w:rsidR="00D86611" w:rsidRPr="00D86611" w:rsidRDefault="00D86611" w:rsidP="00747EED">
      <w:pPr>
        <w:pStyle w:val="Notedebasdepage"/>
        <w:rPr>
          <w:lang w:val="en-US"/>
        </w:rPr>
      </w:pPr>
      <w:r w:rsidRPr="00F20792">
        <w:rPr>
          <w:lang w:val="en-US"/>
        </w:rPr>
        <w:tab/>
      </w:r>
      <w:r w:rsidRPr="008D69CF">
        <w:rPr>
          <w:rStyle w:val="Appelnotedebasdep"/>
        </w:rPr>
        <w:footnoteRef/>
      </w:r>
      <w:r w:rsidRPr="00F20792">
        <w:rPr>
          <w:lang w:val="en-US"/>
        </w:rPr>
        <w:tab/>
      </w:r>
      <w:r w:rsidRPr="00F20792">
        <w:rPr>
          <w:lang w:val="en-US"/>
        </w:rPr>
        <w:tab/>
      </w:r>
      <w:r w:rsidRPr="008C2EC4">
        <w:rPr>
          <w:spacing w:val="-2"/>
          <w:lang w:val="en-US"/>
        </w:rPr>
        <w:t xml:space="preserve">H. Fan, E. Beukes et X. Sheng (2021), </w:t>
      </w:r>
      <w:r w:rsidR="00E91F68" w:rsidRPr="008C2EC4">
        <w:rPr>
          <w:spacing w:val="-2"/>
          <w:lang w:val="en-US"/>
        </w:rPr>
        <w:t>« </w:t>
      </w:r>
      <w:r w:rsidRPr="008C2EC4">
        <w:rPr>
          <w:spacing w:val="-2"/>
          <w:lang w:val="en-US"/>
        </w:rPr>
        <w:t>Improving the Viability of Bus Rapid Transit Systems: Nine Factors for Sub-Saharan Africa</w:t>
      </w:r>
      <w:r w:rsidR="00E91F68" w:rsidRPr="008C2EC4">
        <w:rPr>
          <w:spacing w:val="-2"/>
          <w:lang w:val="en-US"/>
        </w:rPr>
        <w:t> »</w:t>
      </w:r>
      <w:r w:rsidRPr="008C2EC4">
        <w:rPr>
          <w:spacing w:val="-2"/>
          <w:lang w:val="en-US"/>
        </w:rPr>
        <w:t>, Banque mondiale, disponible à l</w:t>
      </w:r>
      <w:r w:rsidR="00EF6A7F" w:rsidRPr="008C2EC4">
        <w:rPr>
          <w:spacing w:val="-2"/>
          <w:lang w:val="en-US"/>
        </w:rPr>
        <w:t>’</w:t>
      </w:r>
      <w:r w:rsidRPr="008C2EC4">
        <w:rPr>
          <w:spacing w:val="-2"/>
          <w:lang w:val="en-US"/>
        </w:rPr>
        <w:t xml:space="preserve">adresse </w:t>
      </w:r>
      <w:hyperlink r:id="rId59" w:history="1">
        <w:r w:rsidR="008C2EC4" w:rsidRPr="008C2EC4">
          <w:rPr>
            <w:rStyle w:val="Lienhypertexte"/>
            <w:spacing w:val="-2"/>
            <w:lang w:val="en-US"/>
          </w:rPr>
          <w:t>https://blogs.worldbank.org/</w:t>
        </w:r>
      </w:hyperlink>
      <w:r w:rsidR="008C2EC4">
        <w:rPr>
          <w:lang w:val="en-US"/>
        </w:rPr>
        <w:t xml:space="preserve"> </w:t>
      </w:r>
      <w:r w:rsidRPr="0047643F">
        <w:rPr>
          <w:rStyle w:val="Lienhypertexte"/>
          <w:lang w:val="en-US"/>
        </w:rPr>
        <w:t>transport/improving-viability-bus-rapid-transit-systems-nine-factors-sub-saharan-africa</w:t>
      </w:r>
      <w:r w:rsidR="008C2EC4" w:rsidRPr="0047643F">
        <w:rPr>
          <w:rStyle w:val="Lienhypertexte"/>
          <w:color w:val="auto"/>
          <w:lang w:val="en-US"/>
        </w:rPr>
        <w:t>.</w:t>
      </w:r>
    </w:p>
  </w:footnote>
  <w:footnote w:id="61">
    <w:p w14:paraId="1048DB6F" w14:textId="7107EA4F" w:rsidR="00D86611" w:rsidRPr="00D86611" w:rsidRDefault="00D86611" w:rsidP="00747EED">
      <w:pPr>
        <w:pStyle w:val="Notedebasdepage"/>
        <w:rPr>
          <w:lang w:val="en-US"/>
        </w:rPr>
      </w:pPr>
      <w:r w:rsidRPr="00F20792">
        <w:rPr>
          <w:lang w:val="en-US"/>
        </w:rPr>
        <w:tab/>
      </w:r>
      <w:r w:rsidRPr="008D69CF">
        <w:rPr>
          <w:rStyle w:val="Appelnotedebasdep"/>
        </w:rPr>
        <w:footnoteRef/>
      </w:r>
      <w:r w:rsidRPr="00F20792">
        <w:rPr>
          <w:lang w:val="en-US"/>
        </w:rPr>
        <w:tab/>
      </w:r>
      <w:r w:rsidRPr="00F20792">
        <w:rPr>
          <w:lang w:val="en-US"/>
        </w:rPr>
        <w:tab/>
        <w:t xml:space="preserve">Our World in Data (2023), </w:t>
      </w:r>
      <w:r w:rsidR="00E91F68">
        <w:rPr>
          <w:lang w:val="en-US"/>
        </w:rPr>
        <w:t>« </w:t>
      </w:r>
      <w:r w:rsidRPr="00F20792">
        <w:rPr>
          <w:lang w:val="en-US"/>
        </w:rPr>
        <w:t>Carbon intensity of electricity, 2022</w:t>
      </w:r>
      <w:r w:rsidR="00E91F68">
        <w:rPr>
          <w:lang w:val="en-US"/>
        </w:rPr>
        <w:t> »</w:t>
      </w:r>
      <w:r w:rsidRPr="00F20792">
        <w:rPr>
          <w:lang w:val="en-US"/>
        </w:rPr>
        <w:t>, disponible à l</w:t>
      </w:r>
      <w:r w:rsidR="00EF6A7F">
        <w:rPr>
          <w:lang w:val="en-US"/>
        </w:rPr>
        <w:t>’</w:t>
      </w:r>
      <w:r w:rsidRPr="00F20792">
        <w:rPr>
          <w:lang w:val="en-US"/>
        </w:rPr>
        <w:t xml:space="preserve">adresse </w:t>
      </w:r>
      <w:hyperlink r:id="rId60" w:history="1">
        <w:r w:rsidR="008C2EC4" w:rsidRPr="00A9678A">
          <w:rPr>
            <w:rStyle w:val="Lienhypertexte"/>
            <w:lang w:val="en-US"/>
          </w:rPr>
          <w:t>https://ourworldindata.org/grapher/carbon-intensity-electricity</w:t>
        </w:r>
      </w:hyperlink>
      <w:r w:rsidR="008C2EC4">
        <w:rPr>
          <w:lang w:val="en-US"/>
        </w:rPr>
        <w:t>.</w:t>
      </w:r>
    </w:p>
  </w:footnote>
  <w:footnote w:id="62">
    <w:p w14:paraId="5616DDFB" w14:textId="21D3A268" w:rsidR="00D86611" w:rsidRPr="00223202" w:rsidRDefault="00D86611" w:rsidP="00747EED">
      <w:pPr>
        <w:pStyle w:val="Notedebasdepage"/>
        <w:rPr>
          <w:lang w:val="en-US"/>
        </w:rPr>
      </w:pPr>
      <w:r w:rsidRPr="00F20792">
        <w:rPr>
          <w:lang w:val="en-US"/>
        </w:rPr>
        <w:tab/>
      </w:r>
      <w:r w:rsidRPr="008D69CF">
        <w:rPr>
          <w:rStyle w:val="Appelnotedebasdep"/>
        </w:rPr>
        <w:footnoteRef/>
      </w:r>
      <w:r w:rsidRPr="00223202">
        <w:rPr>
          <w:lang w:val="en-US"/>
        </w:rPr>
        <w:tab/>
      </w:r>
      <w:r w:rsidRPr="00223202">
        <w:rPr>
          <w:lang w:val="en-US"/>
        </w:rPr>
        <w:tab/>
        <w:t xml:space="preserve">Eurostat (2023), </w:t>
      </w:r>
      <w:r w:rsidR="00E91F68" w:rsidRPr="00223202">
        <w:rPr>
          <w:lang w:val="en-US"/>
        </w:rPr>
        <w:t>« </w:t>
      </w:r>
      <w:r w:rsidRPr="00223202">
        <w:rPr>
          <w:lang w:val="en-US"/>
        </w:rPr>
        <w:t>Passenger Cars in the EU</w:t>
      </w:r>
      <w:r w:rsidR="00E91F68" w:rsidRPr="00223202">
        <w:rPr>
          <w:lang w:val="en-US"/>
        </w:rPr>
        <w:t> »</w:t>
      </w:r>
      <w:r w:rsidRPr="00223202">
        <w:rPr>
          <w:lang w:val="en-US"/>
        </w:rPr>
        <w:t>, disponible à l</w:t>
      </w:r>
      <w:r w:rsidR="00EF6A7F" w:rsidRPr="00223202">
        <w:rPr>
          <w:lang w:val="en-US"/>
        </w:rPr>
        <w:t>’</w:t>
      </w:r>
      <w:r w:rsidRPr="00223202">
        <w:rPr>
          <w:lang w:val="en-US"/>
        </w:rPr>
        <w:t xml:space="preserve">adresse </w:t>
      </w:r>
      <w:hyperlink r:id="rId61" w:history="1">
        <w:r w:rsidR="00223202" w:rsidRPr="00A9678A">
          <w:rPr>
            <w:rStyle w:val="Lienhypertexte"/>
            <w:lang w:val="en-US"/>
          </w:rPr>
          <w:t>https://ec.europa.eu/eurostat/ statistics-explained/index.php?title=Passenger_cars_in_the_EU</w:t>
        </w:r>
      </w:hyperlink>
      <w:r w:rsidR="008C2EC4" w:rsidRPr="00223202">
        <w:rPr>
          <w:lang w:val="en-US"/>
        </w:rPr>
        <w:t>.</w:t>
      </w:r>
    </w:p>
  </w:footnote>
  <w:footnote w:id="63">
    <w:p w14:paraId="464EC9EA" w14:textId="4D263355" w:rsidR="00D86611" w:rsidRPr="00F20792" w:rsidRDefault="00D86611" w:rsidP="00747EED">
      <w:pPr>
        <w:pStyle w:val="Notedebasdepage"/>
        <w:rPr>
          <w:lang w:val="fr-FR"/>
        </w:rPr>
      </w:pPr>
      <w:r w:rsidRPr="00223202">
        <w:rPr>
          <w:lang w:val="en-US"/>
        </w:rPr>
        <w:tab/>
      </w:r>
      <w:r w:rsidRPr="008D69CF">
        <w:rPr>
          <w:rStyle w:val="Appelnotedebasdep"/>
        </w:rPr>
        <w:footnoteRef/>
      </w:r>
      <w:r>
        <w:rPr>
          <w:lang w:val="fr-FR"/>
        </w:rPr>
        <w:tab/>
      </w:r>
      <w:r>
        <w:rPr>
          <w:lang w:val="fr-FR"/>
        </w:rPr>
        <w:tab/>
        <w:t xml:space="preserve">AIE (2023), </w:t>
      </w:r>
      <w:r w:rsidR="00E91F68">
        <w:rPr>
          <w:lang w:val="fr-FR"/>
        </w:rPr>
        <w:t>« </w:t>
      </w:r>
      <w:r>
        <w:rPr>
          <w:lang w:val="fr-FR"/>
        </w:rPr>
        <w:t>Global EV Outlook 2023</w:t>
      </w:r>
      <w:r w:rsidR="00E91F68">
        <w:rPr>
          <w:lang w:val="fr-FR"/>
        </w:rPr>
        <w:t> »</w:t>
      </w:r>
      <w:r>
        <w:rPr>
          <w:lang w:val="fr-FR"/>
        </w:rPr>
        <w:t>, disponible à l</w:t>
      </w:r>
      <w:r w:rsidR="00EF6A7F">
        <w:rPr>
          <w:lang w:val="fr-FR"/>
        </w:rPr>
        <w:t>’</w:t>
      </w:r>
      <w:r>
        <w:rPr>
          <w:lang w:val="fr-FR"/>
        </w:rPr>
        <w:t xml:space="preserve">adresse </w:t>
      </w:r>
      <w:hyperlink r:id="rId62" w:history="1">
        <w:r w:rsidR="008C2EC4" w:rsidRPr="00A9678A">
          <w:rPr>
            <w:rStyle w:val="Lienhypertexte"/>
            <w:lang w:val="fr-FR"/>
          </w:rPr>
          <w:t>https://www.iea.org/reports/global-ev-outlook-2023</w:t>
        </w:r>
      </w:hyperlink>
      <w:r w:rsidR="008C2EC4">
        <w:rPr>
          <w:lang w:val="fr-FR"/>
        </w:rPr>
        <w:t>.</w:t>
      </w:r>
    </w:p>
  </w:footnote>
  <w:footnote w:id="64">
    <w:p w14:paraId="57A4E6C8" w14:textId="4D8C128E" w:rsidR="00D86611" w:rsidRPr="00F20792" w:rsidRDefault="00D86611" w:rsidP="00747EED">
      <w:pPr>
        <w:pStyle w:val="Notedebasdepage"/>
        <w:rPr>
          <w:lang w:val="fr-FR"/>
        </w:rPr>
      </w:pPr>
      <w:r>
        <w:rPr>
          <w:lang w:val="fr-FR"/>
        </w:rPr>
        <w:tab/>
      </w:r>
      <w:r w:rsidRPr="008D69CF">
        <w:rPr>
          <w:rStyle w:val="Appelnotedebasdep"/>
        </w:rPr>
        <w:footnoteRef/>
      </w:r>
      <w:r>
        <w:rPr>
          <w:lang w:val="fr-FR"/>
        </w:rPr>
        <w:tab/>
      </w:r>
      <w:r>
        <w:rPr>
          <w:lang w:val="fr-FR"/>
        </w:rPr>
        <w:tab/>
        <w:t xml:space="preserve">Idem. </w:t>
      </w:r>
    </w:p>
  </w:footnote>
  <w:footnote w:id="65">
    <w:p w14:paraId="6C365926" w14:textId="11B0A0CA" w:rsidR="00D86611" w:rsidRPr="00F20792" w:rsidRDefault="00D86611" w:rsidP="00747EED">
      <w:pPr>
        <w:pStyle w:val="Notedebasdepage"/>
        <w:rPr>
          <w:lang w:val="fr-FR"/>
        </w:rPr>
      </w:pPr>
      <w:r>
        <w:rPr>
          <w:lang w:val="fr-FR"/>
        </w:rPr>
        <w:tab/>
      </w:r>
      <w:r w:rsidRPr="008D69CF">
        <w:rPr>
          <w:rStyle w:val="Appelnotedebasdep"/>
        </w:rPr>
        <w:footnoteRef/>
      </w:r>
      <w:r>
        <w:rPr>
          <w:lang w:val="fr-FR"/>
        </w:rPr>
        <w:tab/>
      </w:r>
      <w:r>
        <w:rPr>
          <w:lang w:val="fr-FR"/>
        </w:rPr>
        <w:tab/>
        <w:t xml:space="preserve">Eurostat (2022), </w:t>
      </w:r>
      <w:r w:rsidR="00E91F68">
        <w:rPr>
          <w:lang w:val="fr-FR"/>
        </w:rPr>
        <w:t>« </w:t>
      </w:r>
      <w:r>
        <w:rPr>
          <w:lang w:val="fr-FR"/>
        </w:rPr>
        <w:t>EU Meets 2020 Renewable Energy Target in Transport</w:t>
      </w:r>
      <w:r w:rsidR="00E91F68">
        <w:rPr>
          <w:lang w:val="fr-FR"/>
        </w:rPr>
        <w:t> »</w:t>
      </w:r>
      <w:r>
        <w:rPr>
          <w:lang w:val="fr-FR"/>
        </w:rPr>
        <w:t>, disponible à l</w:t>
      </w:r>
      <w:r w:rsidR="00EF6A7F">
        <w:rPr>
          <w:lang w:val="fr-FR"/>
        </w:rPr>
        <w:t>’</w:t>
      </w:r>
      <w:r>
        <w:rPr>
          <w:lang w:val="fr-FR"/>
        </w:rPr>
        <w:t xml:space="preserve">adresse </w:t>
      </w:r>
      <w:hyperlink r:id="rId63" w:history="1">
        <w:r w:rsidR="008C2EC4" w:rsidRPr="00A9678A">
          <w:rPr>
            <w:rStyle w:val="Lienhypertexte"/>
            <w:lang w:val="fr-FR"/>
          </w:rPr>
          <w:t>https://ec.europa.eu/eurostat/web/products-eurostat-news/-/ddn-20220202-2</w:t>
        </w:r>
      </w:hyperlink>
      <w:r w:rsidR="008C2EC4">
        <w:rPr>
          <w:lang w:val="fr-FR"/>
        </w:rPr>
        <w:t>.</w:t>
      </w:r>
    </w:p>
  </w:footnote>
  <w:footnote w:id="66">
    <w:p w14:paraId="7C07067B" w14:textId="6C138589" w:rsidR="00D86611" w:rsidRPr="00F20792" w:rsidRDefault="00D86611" w:rsidP="00747EED">
      <w:pPr>
        <w:pStyle w:val="Notedebasdepage"/>
        <w:rPr>
          <w:lang w:val="fr-FR"/>
        </w:rPr>
      </w:pPr>
      <w:r>
        <w:rPr>
          <w:lang w:val="fr-FR"/>
        </w:rPr>
        <w:tab/>
      </w:r>
      <w:r w:rsidRPr="008D69CF">
        <w:rPr>
          <w:rStyle w:val="Appelnotedebasdep"/>
        </w:rPr>
        <w:footnoteRef/>
      </w:r>
      <w:r>
        <w:rPr>
          <w:lang w:val="fr-FR"/>
        </w:rPr>
        <w:tab/>
      </w:r>
      <w:r>
        <w:rPr>
          <w:lang w:val="fr-FR"/>
        </w:rPr>
        <w:tab/>
        <w:t xml:space="preserve">REN21 (2023), </w:t>
      </w:r>
      <w:r>
        <w:rPr>
          <w:i/>
          <w:iCs/>
          <w:lang w:val="fr-FR"/>
        </w:rPr>
        <w:t>Renewables 2023 Global Status Report : Energy Demand</w:t>
      </w:r>
      <w:r>
        <w:rPr>
          <w:lang w:val="fr-FR"/>
        </w:rPr>
        <w:t>, p.</w:t>
      </w:r>
      <w:r w:rsidR="00223202">
        <w:rPr>
          <w:lang w:val="fr-FR"/>
        </w:rPr>
        <w:t> </w:t>
      </w:r>
      <w:r>
        <w:rPr>
          <w:lang w:val="fr-FR"/>
        </w:rPr>
        <w:t>46, disponible à l</w:t>
      </w:r>
      <w:r w:rsidR="00EF6A7F">
        <w:rPr>
          <w:lang w:val="fr-FR"/>
        </w:rPr>
        <w:t>’</w:t>
      </w:r>
      <w:r>
        <w:rPr>
          <w:lang w:val="fr-FR"/>
        </w:rPr>
        <w:t xml:space="preserve">adresse </w:t>
      </w:r>
      <w:hyperlink r:id="rId64" w:history="1">
        <w:r w:rsidR="008C2EC4" w:rsidRPr="00A9678A">
          <w:rPr>
            <w:rStyle w:val="Lienhypertexte"/>
            <w:lang w:val="fr-FR"/>
          </w:rPr>
          <w:t>https://www.ren21.net/wp-content/uploads/2019/05/GSR2023_Demand_Modules.pdf</w:t>
        </w:r>
      </w:hyperlink>
      <w:r w:rsidR="008C2EC4">
        <w:rPr>
          <w:lang w:val="fr-FR"/>
        </w:rPr>
        <w:t>.</w:t>
      </w:r>
    </w:p>
  </w:footnote>
  <w:footnote w:id="67">
    <w:p w14:paraId="34908A4E" w14:textId="35235EC8" w:rsidR="00D86611" w:rsidRPr="00F20792" w:rsidRDefault="00D86611" w:rsidP="00747EED">
      <w:pPr>
        <w:pStyle w:val="Notedebasdepage"/>
        <w:rPr>
          <w:lang w:val="fr-FR"/>
        </w:rPr>
      </w:pPr>
      <w:r>
        <w:rPr>
          <w:lang w:val="fr-FR"/>
        </w:rPr>
        <w:tab/>
      </w:r>
      <w:r w:rsidRPr="008D69CF">
        <w:rPr>
          <w:rStyle w:val="Appelnotedebasdep"/>
        </w:rPr>
        <w:footnoteRef/>
      </w:r>
      <w:r>
        <w:rPr>
          <w:lang w:val="fr-FR"/>
        </w:rPr>
        <w:tab/>
      </w:r>
      <w:r>
        <w:rPr>
          <w:lang w:val="fr-FR"/>
        </w:rPr>
        <w:tab/>
        <w:t>ICLEI</w:t>
      </w:r>
      <w:r w:rsidR="008C2EC4">
        <w:rPr>
          <w:lang w:val="fr-FR"/>
        </w:rPr>
        <w:t> − </w:t>
      </w:r>
      <w:r>
        <w:rPr>
          <w:lang w:val="fr-FR"/>
        </w:rPr>
        <w:t xml:space="preserve">Les Gouvernements locaux pour le développement durable (2018), </w:t>
      </w:r>
      <w:r w:rsidR="00E91F68">
        <w:rPr>
          <w:lang w:val="fr-FR"/>
        </w:rPr>
        <w:t>« </w:t>
      </w:r>
      <w:r>
        <w:rPr>
          <w:lang w:val="fr-FR"/>
        </w:rPr>
        <w:t>The Status of SUMPs in EU Member States</w:t>
      </w:r>
      <w:r w:rsidR="00E91F68">
        <w:rPr>
          <w:lang w:val="fr-FR"/>
        </w:rPr>
        <w:t> »</w:t>
      </w:r>
      <w:r>
        <w:rPr>
          <w:lang w:val="fr-FR"/>
        </w:rPr>
        <w:t>, disponible à l</w:t>
      </w:r>
      <w:r w:rsidR="00EF6A7F">
        <w:rPr>
          <w:lang w:val="fr-FR"/>
        </w:rPr>
        <w:t>’</w:t>
      </w:r>
      <w:r>
        <w:rPr>
          <w:lang w:val="fr-FR"/>
        </w:rPr>
        <w:t xml:space="preserve">adresse </w:t>
      </w:r>
      <w:hyperlink r:id="rId65" w:history="1">
        <w:r w:rsidR="008C2EC4" w:rsidRPr="00A9678A">
          <w:rPr>
            <w:rStyle w:val="Lienhypertexte"/>
            <w:lang w:val="fr-FR"/>
          </w:rPr>
          <w:t>https://sumps-up.eu/fileadmin/user_upload/ Tools_and_Resources/Reports/SUMPs-Up___PROSPERITY-SUMP-Status-in-EU-Report.pdf</w:t>
        </w:r>
      </w:hyperlink>
      <w:r w:rsidR="008C2EC4">
        <w:rPr>
          <w:lang w:val="fr-FR"/>
        </w:rPr>
        <w:t>.</w:t>
      </w:r>
    </w:p>
  </w:footnote>
  <w:footnote w:id="68">
    <w:p w14:paraId="2816A249" w14:textId="47103FF0" w:rsidR="00D86611" w:rsidRPr="00F20792" w:rsidRDefault="00D86611" w:rsidP="00747EED">
      <w:pPr>
        <w:pStyle w:val="Notedebasdepage"/>
        <w:rPr>
          <w:lang w:val="fr-FR"/>
        </w:rPr>
      </w:pPr>
      <w:r>
        <w:rPr>
          <w:lang w:val="fr-FR"/>
        </w:rPr>
        <w:tab/>
      </w:r>
      <w:r w:rsidRPr="008D69CF">
        <w:rPr>
          <w:rStyle w:val="Appelnotedebasdep"/>
        </w:rPr>
        <w:footnoteRef/>
      </w:r>
      <w:r>
        <w:rPr>
          <w:lang w:val="fr-FR"/>
        </w:rPr>
        <w:tab/>
      </w:r>
      <w:r>
        <w:rPr>
          <w:lang w:val="fr-FR"/>
        </w:rPr>
        <w:tab/>
        <w:t xml:space="preserve">F. Ripa (2021), </w:t>
      </w:r>
      <w:r w:rsidR="00E91F68">
        <w:rPr>
          <w:lang w:val="fr-FR"/>
        </w:rPr>
        <w:t>« </w:t>
      </w:r>
      <w:r>
        <w:rPr>
          <w:lang w:val="fr-FR"/>
        </w:rPr>
        <w:t>La Commission européenne publie un nouveau cadre pour la mobilité urbaine</w:t>
      </w:r>
      <w:r w:rsidR="00E91F68">
        <w:rPr>
          <w:lang w:val="fr-FR"/>
        </w:rPr>
        <w:t> »</w:t>
      </w:r>
      <w:r>
        <w:rPr>
          <w:lang w:val="fr-FR"/>
        </w:rPr>
        <w:t>, disponible à l</w:t>
      </w:r>
      <w:r w:rsidR="00EF6A7F">
        <w:rPr>
          <w:lang w:val="fr-FR"/>
        </w:rPr>
        <w:t>’</w:t>
      </w:r>
      <w:r>
        <w:rPr>
          <w:lang w:val="fr-FR"/>
        </w:rPr>
        <w:t xml:space="preserve">adresse </w:t>
      </w:r>
      <w:hyperlink r:id="rId66" w:history="1">
        <w:r w:rsidR="008C2EC4" w:rsidRPr="00A9678A">
          <w:rPr>
            <w:rStyle w:val="Lienhypertexte"/>
            <w:lang w:val="fr-FR"/>
          </w:rPr>
          <w:t>https://www.eltis.org/in-brief/news/european-commission-releases-new-urban-mobility-framework</w:t>
        </w:r>
      </w:hyperlink>
      <w:r w:rsidR="008C2EC4">
        <w:rPr>
          <w:lang w:val="fr-FR"/>
        </w:rPr>
        <w:t>.</w:t>
      </w:r>
    </w:p>
  </w:footnote>
  <w:footnote w:id="69">
    <w:p w14:paraId="075C9D18" w14:textId="5571A74A" w:rsidR="00D86611" w:rsidRPr="00F20792" w:rsidRDefault="00D86611" w:rsidP="00747EED">
      <w:pPr>
        <w:pStyle w:val="Notedebasdepage"/>
        <w:rPr>
          <w:lang w:val="fr-FR"/>
        </w:rPr>
      </w:pPr>
      <w:r>
        <w:rPr>
          <w:lang w:val="fr-FR"/>
        </w:rPr>
        <w:tab/>
      </w:r>
      <w:r w:rsidRPr="008D69CF">
        <w:rPr>
          <w:rStyle w:val="Appelnotedebasdep"/>
        </w:rPr>
        <w:footnoteRef/>
      </w:r>
      <w:r>
        <w:rPr>
          <w:lang w:val="fr-FR"/>
        </w:rPr>
        <w:tab/>
      </w:r>
      <w:r>
        <w:rPr>
          <w:lang w:val="fr-FR"/>
        </w:rPr>
        <w:tab/>
        <w:t xml:space="preserve">Sadler Consultants (2022), </w:t>
      </w:r>
      <w:r w:rsidR="00E91F68">
        <w:rPr>
          <w:lang w:val="fr-FR"/>
        </w:rPr>
        <w:t>« </w:t>
      </w:r>
      <w:r>
        <w:rPr>
          <w:lang w:val="fr-FR"/>
        </w:rPr>
        <w:t>Urban Access Regulations in Europe</w:t>
      </w:r>
      <w:r w:rsidR="00E91F68">
        <w:rPr>
          <w:lang w:val="fr-FR"/>
        </w:rPr>
        <w:t> »</w:t>
      </w:r>
      <w:r>
        <w:rPr>
          <w:lang w:val="fr-FR"/>
        </w:rPr>
        <w:t>, disponible à l</w:t>
      </w:r>
      <w:r w:rsidR="00EF6A7F">
        <w:rPr>
          <w:lang w:val="fr-FR"/>
        </w:rPr>
        <w:t>’</w:t>
      </w:r>
      <w:r>
        <w:rPr>
          <w:lang w:val="fr-FR"/>
        </w:rPr>
        <w:t xml:space="preserve">adresse </w:t>
      </w:r>
      <w:hyperlink r:id="rId67" w:history="1">
        <w:r w:rsidR="008C2EC4" w:rsidRPr="00A9678A">
          <w:rPr>
            <w:rStyle w:val="Lienhypertexte"/>
            <w:lang w:val="fr-FR"/>
          </w:rPr>
          <w:t>https://urbanaccessregulations.eu</w:t>
        </w:r>
      </w:hyperlink>
      <w:r w:rsidR="008C2EC4">
        <w:rPr>
          <w:lang w:val="fr-FR"/>
        </w:rPr>
        <w:t>.</w:t>
      </w:r>
    </w:p>
  </w:footnote>
  <w:footnote w:id="70">
    <w:p w14:paraId="07035BA4" w14:textId="6F3D46CF" w:rsidR="00D86611" w:rsidRPr="00F20792" w:rsidRDefault="00D86611" w:rsidP="00747EED">
      <w:pPr>
        <w:pStyle w:val="Notedebasdepage"/>
        <w:rPr>
          <w:lang w:val="fr-FR"/>
        </w:rPr>
      </w:pPr>
      <w:r>
        <w:rPr>
          <w:lang w:val="fr-FR"/>
        </w:rPr>
        <w:tab/>
      </w:r>
      <w:r w:rsidRPr="008D69CF">
        <w:rPr>
          <w:rStyle w:val="Appelnotedebasdep"/>
        </w:rPr>
        <w:footnoteRef/>
      </w:r>
      <w:r>
        <w:rPr>
          <w:lang w:val="fr-FR"/>
        </w:rPr>
        <w:tab/>
      </w:r>
      <w:r>
        <w:rPr>
          <w:lang w:val="fr-FR"/>
        </w:rPr>
        <w:tab/>
        <w:t xml:space="preserve">Fédération routière internationale (2022), </w:t>
      </w:r>
      <w:r w:rsidR="00E91F68">
        <w:rPr>
          <w:lang w:val="fr-FR"/>
        </w:rPr>
        <w:t>« </w:t>
      </w:r>
      <w:r>
        <w:rPr>
          <w:lang w:val="fr-FR"/>
        </w:rPr>
        <w:t>World Road Statistics 2022</w:t>
      </w:r>
      <w:r w:rsidR="00E91F68">
        <w:rPr>
          <w:lang w:val="fr-FR"/>
        </w:rPr>
        <w:t> »</w:t>
      </w:r>
      <w:r>
        <w:rPr>
          <w:lang w:val="fr-FR"/>
        </w:rPr>
        <w:t>, disponible à l</w:t>
      </w:r>
      <w:r w:rsidR="00EF6A7F">
        <w:rPr>
          <w:lang w:val="fr-FR"/>
        </w:rPr>
        <w:t>’</w:t>
      </w:r>
      <w:r>
        <w:rPr>
          <w:lang w:val="fr-FR"/>
        </w:rPr>
        <w:t xml:space="preserve">adresse </w:t>
      </w:r>
      <w:hyperlink r:id="rId68" w:history="1">
        <w:r w:rsidR="00223202" w:rsidRPr="00A9678A">
          <w:rPr>
            <w:rStyle w:val="Lienhypertexte"/>
            <w:lang w:val="fr-FR"/>
          </w:rPr>
          <w:t>https://datawarehouse.worldroadstatistics.org</w:t>
        </w:r>
      </w:hyperlink>
      <w:r w:rsidR="008C2EC4">
        <w:rPr>
          <w:lang w:val="fr-FR"/>
        </w:rPr>
        <w:t>.</w:t>
      </w:r>
    </w:p>
  </w:footnote>
  <w:footnote w:id="71">
    <w:p w14:paraId="26DF65B7" w14:textId="6222FB0C" w:rsidR="00D86611" w:rsidRPr="00F20792" w:rsidRDefault="00D86611" w:rsidP="00747EED">
      <w:pPr>
        <w:pStyle w:val="Notedebasdepage"/>
        <w:rPr>
          <w:lang w:val="fr-FR"/>
        </w:rPr>
      </w:pPr>
      <w:r>
        <w:rPr>
          <w:lang w:val="fr-FR"/>
        </w:rPr>
        <w:tab/>
      </w:r>
      <w:r w:rsidRPr="008D69CF">
        <w:rPr>
          <w:rStyle w:val="Appelnotedebasdep"/>
        </w:rPr>
        <w:footnoteRef/>
      </w:r>
      <w:r>
        <w:rPr>
          <w:lang w:val="fr-FR"/>
        </w:rPr>
        <w:tab/>
      </w:r>
      <w:r>
        <w:rPr>
          <w:lang w:val="fr-FR"/>
        </w:rPr>
        <w:tab/>
        <w:t xml:space="preserve">ONU-Habitat (2023), </w:t>
      </w:r>
      <w:r w:rsidR="00E91F68">
        <w:rPr>
          <w:lang w:val="fr-FR"/>
        </w:rPr>
        <w:t>« </w:t>
      </w:r>
      <w:r>
        <w:rPr>
          <w:lang w:val="fr-FR"/>
        </w:rPr>
        <w:t>Urban Indicators Database</w:t>
      </w:r>
      <w:r w:rsidR="00E91F68">
        <w:rPr>
          <w:lang w:val="fr-FR"/>
        </w:rPr>
        <w:t> »</w:t>
      </w:r>
      <w:r>
        <w:rPr>
          <w:lang w:val="fr-FR"/>
        </w:rPr>
        <w:t>, disponible à l</w:t>
      </w:r>
      <w:r w:rsidR="00EF6A7F">
        <w:rPr>
          <w:lang w:val="fr-FR"/>
        </w:rPr>
        <w:t>’</w:t>
      </w:r>
      <w:r>
        <w:rPr>
          <w:lang w:val="fr-FR"/>
        </w:rPr>
        <w:t xml:space="preserve">adresse </w:t>
      </w:r>
      <w:hyperlink r:id="rId69" w:history="1">
        <w:r w:rsidR="008C2EC4" w:rsidRPr="00A9678A">
          <w:rPr>
            <w:rStyle w:val="Lienhypertexte"/>
            <w:lang w:val="fr-FR"/>
          </w:rPr>
          <w:t>https://data.unhabitat.org/pages/urban-transport</w:t>
        </w:r>
      </w:hyperlink>
      <w:r>
        <w:rPr>
          <w:lang w:val="fr-FR"/>
        </w:rPr>
        <w:t>, page consultée le 7</w:t>
      </w:r>
      <w:r w:rsidR="008C2EC4">
        <w:rPr>
          <w:lang w:val="fr-FR"/>
        </w:rPr>
        <w:t> </w:t>
      </w:r>
      <w:r>
        <w:rPr>
          <w:lang w:val="fr-FR"/>
        </w:rPr>
        <w:t>mars 2023.</w:t>
      </w:r>
    </w:p>
  </w:footnote>
  <w:footnote w:id="72">
    <w:p w14:paraId="634DEDBA" w14:textId="36FC82C5" w:rsidR="00D86611" w:rsidRPr="00F20792" w:rsidRDefault="00D86611" w:rsidP="00747EED">
      <w:pPr>
        <w:pStyle w:val="Notedebasdepage"/>
        <w:rPr>
          <w:lang w:val="fr-FR"/>
        </w:rPr>
      </w:pPr>
      <w:r>
        <w:rPr>
          <w:lang w:val="fr-FR"/>
        </w:rPr>
        <w:tab/>
      </w:r>
      <w:r w:rsidRPr="008D69CF">
        <w:rPr>
          <w:rStyle w:val="Appelnotedebasdep"/>
        </w:rPr>
        <w:footnoteRef/>
      </w:r>
      <w:r>
        <w:rPr>
          <w:lang w:val="fr-FR"/>
        </w:rPr>
        <w:tab/>
      </w:r>
      <w:r>
        <w:rPr>
          <w:lang w:val="fr-FR"/>
        </w:rPr>
        <w:tab/>
        <w:t>Institut des ressources mondiales, Fonds pour l</w:t>
      </w:r>
      <w:r w:rsidR="00EF6A7F">
        <w:rPr>
          <w:lang w:val="fr-FR"/>
        </w:rPr>
        <w:t>’</w:t>
      </w:r>
      <w:r>
        <w:rPr>
          <w:lang w:val="fr-FR"/>
        </w:rPr>
        <w:t xml:space="preserve">environnement mondial et Banque interaméricaine de développement (2020), </w:t>
      </w:r>
      <w:r w:rsidR="00E91F68">
        <w:rPr>
          <w:lang w:val="fr-FR"/>
        </w:rPr>
        <w:t>« </w:t>
      </w:r>
      <w:r>
        <w:rPr>
          <w:lang w:val="fr-FR"/>
        </w:rPr>
        <w:t>Informal and Semiformal Services in Latin America : An Overview of Public Transportation Reforms</w:t>
      </w:r>
      <w:r w:rsidR="00E91F68">
        <w:rPr>
          <w:lang w:val="fr-FR"/>
        </w:rPr>
        <w:t> »</w:t>
      </w:r>
      <w:r>
        <w:rPr>
          <w:lang w:val="fr-FR"/>
        </w:rPr>
        <w:t>, disponible à l</w:t>
      </w:r>
      <w:r w:rsidR="00EF6A7F">
        <w:rPr>
          <w:lang w:val="fr-FR"/>
        </w:rPr>
        <w:t>’</w:t>
      </w:r>
      <w:r>
        <w:rPr>
          <w:lang w:val="fr-FR"/>
        </w:rPr>
        <w:t xml:space="preserve">adresse </w:t>
      </w:r>
      <w:hyperlink r:id="rId70" w:history="1">
        <w:r w:rsidR="00094C70" w:rsidRPr="00A9678A">
          <w:rPr>
            <w:rStyle w:val="Lienhypertexte"/>
            <w:lang w:val="fr-FR"/>
          </w:rPr>
          <w:t>http://dx.doi.org/10.18235/0002831</w:t>
        </w:r>
      </w:hyperlink>
      <w:r w:rsidR="00094C70">
        <w:rPr>
          <w:lang w:val="fr-FR"/>
        </w:rPr>
        <w:t>.</w:t>
      </w:r>
    </w:p>
  </w:footnote>
  <w:footnote w:id="73">
    <w:p w14:paraId="3FA5E704" w14:textId="728A8AE4" w:rsidR="00D86611" w:rsidRPr="00F20792" w:rsidRDefault="00D86611" w:rsidP="00747EED">
      <w:pPr>
        <w:pStyle w:val="Notedebasdepage"/>
        <w:rPr>
          <w:highlight w:val="yellow"/>
          <w:lang w:val="fr-FR"/>
        </w:rPr>
      </w:pPr>
      <w:r>
        <w:rPr>
          <w:lang w:val="fr-FR"/>
        </w:rPr>
        <w:tab/>
      </w:r>
      <w:r w:rsidRPr="008D69CF">
        <w:rPr>
          <w:rStyle w:val="Appelnotedebasdep"/>
        </w:rPr>
        <w:footnoteRef/>
      </w:r>
      <w:r>
        <w:rPr>
          <w:lang w:val="fr-FR"/>
        </w:rPr>
        <w:tab/>
      </w:r>
      <w:r>
        <w:rPr>
          <w:lang w:val="fr-FR"/>
        </w:rPr>
        <w:tab/>
        <w:t>Zone métropolitaine de la vallée d</w:t>
      </w:r>
      <w:r w:rsidR="00EF6A7F">
        <w:rPr>
          <w:lang w:val="fr-FR"/>
        </w:rPr>
        <w:t>’</w:t>
      </w:r>
      <w:r>
        <w:rPr>
          <w:lang w:val="fr-FR"/>
        </w:rPr>
        <w:t xml:space="preserve">Aburrá (2021), </w:t>
      </w:r>
      <w:r w:rsidR="00E91F68">
        <w:rPr>
          <w:lang w:val="fr-FR"/>
        </w:rPr>
        <w:t>« </w:t>
      </w:r>
      <w:r>
        <w:rPr>
          <w:lang w:val="fr-FR"/>
        </w:rPr>
        <w:t>Primera zona urbana de aire protegido en Colombia</w:t>
      </w:r>
      <w:r w:rsidR="00E91F68">
        <w:rPr>
          <w:lang w:val="fr-FR"/>
        </w:rPr>
        <w:t> »</w:t>
      </w:r>
      <w:r>
        <w:rPr>
          <w:lang w:val="fr-FR"/>
        </w:rPr>
        <w:t>, disponible à l</w:t>
      </w:r>
      <w:r w:rsidR="00EF6A7F">
        <w:rPr>
          <w:lang w:val="fr-FR"/>
        </w:rPr>
        <w:t>’</w:t>
      </w:r>
      <w:r>
        <w:rPr>
          <w:lang w:val="fr-FR"/>
        </w:rPr>
        <w:t xml:space="preserve">adresse </w:t>
      </w:r>
      <w:hyperlink r:id="rId71" w:history="1">
        <w:r w:rsidR="00094C70" w:rsidRPr="00A9678A">
          <w:rPr>
            <w:rStyle w:val="Lienhypertexte"/>
            <w:lang w:val="fr-FR"/>
          </w:rPr>
          <w:t>https://www.metropol.gov.co/Paginas/Noticias/primera-zona-urbana-de-aire-protegido-en-colombia.aspx</w:t>
        </w:r>
      </w:hyperlink>
      <w:r>
        <w:rPr>
          <w:lang w:val="fr-FR"/>
        </w:rPr>
        <w:t xml:space="preserve"> ; Institute for Transportation and Development Policy (2023), </w:t>
      </w:r>
      <w:r w:rsidR="00E91F68">
        <w:rPr>
          <w:lang w:val="fr-FR"/>
        </w:rPr>
        <w:t>« </w:t>
      </w:r>
      <w:r>
        <w:rPr>
          <w:lang w:val="fr-FR"/>
        </w:rPr>
        <w:t>What is a Low Emission Zone?</w:t>
      </w:r>
      <w:r w:rsidR="00E91F68">
        <w:rPr>
          <w:lang w:val="fr-FR"/>
        </w:rPr>
        <w:t> »</w:t>
      </w:r>
      <w:r>
        <w:rPr>
          <w:lang w:val="fr-FR"/>
        </w:rPr>
        <w:t>, 22</w:t>
      </w:r>
      <w:r w:rsidR="00094C70">
        <w:rPr>
          <w:lang w:val="fr-FR"/>
        </w:rPr>
        <w:t> </w:t>
      </w:r>
      <w:r>
        <w:rPr>
          <w:lang w:val="fr-FR"/>
        </w:rPr>
        <w:t>février, disponible à l</w:t>
      </w:r>
      <w:r w:rsidR="00EF6A7F">
        <w:rPr>
          <w:lang w:val="fr-FR"/>
        </w:rPr>
        <w:t>’</w:t>
      </w:r>
      <w:r>
        <w:rPr>
          <w:lang w:val="fr-FR"/>
        </w:rPr>
        <w:t xml:space="preserve">adresse </w:t>
      </w:r>
      <w:hyperlink r:id="rId72" w:history="1">
        <w:r w:rsidR="00094C70" w:rsidRPr="00A9678A">
          <w:rPr>
            <w:rStyle w:val="Lienhypertexte"/>
            <w:lang w:val="fr-FR"/>
          </w:rPr>
          <w:t>https://www.itdp.org/2023/02/22/what-is-a-low-emission-zone/</w:t>
        </w:r>
      </w:hyperlink>
      <w:r w:rsidR="00094C70">
        <w:rPr>
          <w:lang w:val="fr-FR"/>
        </w:rPr>
        <w:t>.</w:t>
      </w:r>
    </w:p>
  </w:footnote>
  <w:footnote w:id="74">
    <w:p w14:paraId="5A9C5440" w14:textId="1EE2B73B" w:rsidR="00D86611" w:rsidRPr="00D86611" w:rsidRDefault="00D86611" w:rsidP="00747EED">
      <w:pPr>
        <w:pStyle w:val="Notedebasdepage"/>
        <w:rPr>
          <w:lang w:val="en-US"/>
        </w:rPr>
      </w:pPr>
      <w:r w:rsidRPr="00122CDF">
        <w:rPr>
          <w:lang w:val="fr-FR"/>
        </w:rPr>
        <w:tab/>
      </w:r>
      <w:r w:rsidRPr="008D69CF">
        <w:rPr>
          <w:rStyle w:val="Appelnotedebasdep"/>
        </w:rPr>
        <w:footnoteRef/>
      </w:r>
      <w:r w:rsidRPr="00F20792">
        <w:rPr>
          <w:lang w:val="en-US"/>
        </w:rPr>
        <w:tab/>
      </w:r>
      <w:r w:rsidRPr="00F20792">
        <w:rPr>
          <w:lang w:val="en-US"/>
        </w:rPr>
        <w:tab/>
        <w:t xml:space="preserve">Census Bureau des États-Unis (2022), </w:t>
      </w:r>
      <w:r w:rsidR="00E91F68">
        <w:rPr>
          <w:lang w:val="en-US"/>
        </w:rPr>
        <w:t>« </w:t>
      </w:r>
      <w:r w:rsidRPr="00F20792">
        <w:rPr>
          <w:lang w:val="en-US"/>
        </w:rPr>
        <w:t>The Number of People Primarily Working from Home Tripled Between 2019 and 2021</w:t>
      </w:r>
      <w:r w:rsidR="00E91F68">
        <w:rPr>
          <w:lang w:val="en-US"/>
        </w:rPr>
        <w:t> »</w:t>
      </w:r>
      <w:r w:rsidRPr="00F20792">
        <w:rPr>
          <w:lang w:val="en-US"/>
        </w:rPr>
        <w:t>, disponible à l</w:t>
      </w:r>
      <w:r w:rsidR="00EF6A7F">
        <w:rPr>
          <w:lang w:val="en-US"/>
        </w:rPr>
        <w:t>’</w:t>
      </w:r>
      <w:r w:rsidRPr="00F20792">
        <w:rPr>
          <w:lang w:val="en-US"/>
        </w:rPr>
        <w:t xml:space="preserve">adresse </w:t>
      </w:r>
      <w:hyperlink r:id="rId73" w:history="1">
        <w:r w:rsidR="00094C70" w:rsidRPr="00A9678A">
          <w:rPr>
            <w:rStyle w:val="Lienhypertexte"/>
            <w:lang w:val="en-US"/>
          </w:rPr>
          <w:t>https://www.census.gov/newsroom/press-releases/2022/people-working-from-home.html</w:t>
        </w:r>
      </w:hyperlink>
      <w:r w:rsidR="00094C70">
        <w:rPr>
          <w:lang w:val="en-US"/>
        </w:rPr>
        <w:t>.</w:t>
      </w:r>
    </w:p>
  </w:footnote>
  <w:footnote w:id="75">
    <w:p w14:paraId="3A590640" w14:textId="1D41E23F" w:rsidR="00D86611" w:rsidRPr="00D86611" w:rsidRDefault="00D86611" w:rsidP="00747EED">
      <w:pPr>
        <w:pStyle w:val="Notedebasdepage"/>
        <w:rPr>
          <w:lang w:val="en-US"/>
        </w:rPr>
      </w:pPr>
      <w:r w:rsidRPr="00F20792">
        <w:rPr>
          <w:lang w:val="en-US"/>
        </w:rPr>
        <w:tab/>
      </w:r>
      <w:r w:rsidRPr="008D69CF">
        <w:rPr>
          <w:rStyle w:val="Appelnotedebasdep"/>
        </w:rPr>
        <w:footnoteRef/>
      </w:r>
      <w:r w:rsidRPr="00F20792">
        <w:rPr>
          <w:lang w:val="en-US"/>
        </w:rPr>
        <w:tab/>
      </w:r>
      <w:r w:rsidRPr="00F20792">
        <w:rPr>
          <w:lang w:val="en-US"/>
        </w:rPr>
        <w:tab/>
        <w:t xml:space="preserve">AIE (2022), </w:t>
      </w:r>
      <w:r w:rsidR="00E91F68">
        <w:rPr>
          <w:lang w:val="en-US"/>
        </w:rPr>
        <w:t>« </w:t>
      </w:r>
      <w:r w:rsidRPr="00F20792">
        <w:rPr>
          <w:lang w:val="en-US"/>
        </w:rPr>
        <w:t>By 2030 EVs Represent More Than 60 per cent of Vehicles Sold Globally, and Require an Adequate Surge in Chargers Installed in Buildings</w:t>
      </w:r>
      <w:r w:rsidR="00E91F68">
        <w:rPr>
          <w:lang w:val="en-US"/>
        </w:rPr>
        <w:t> »</w:t>
      </w:r>
      <w:r w:rsidRPr="00F20792">
        <w:rPr>
          <w:lang w:val="en-US"/>
        </w:rPr>
        <w:t>, disponible à l</w:t>
      </w:r>
      <w:r w:rsidR="00EF6A7F">
        <w:rPr>
          <w:lang w:val="en-US"/>
        </w:rPr>
        <w:t>’</w:t>
      </w:r>
      <w:r w:rsidRPr="00F20792">
        <w:rPr>
          <w:lang w:val="en-US"/>
        </w:rPr>
        <w:t xml:space="preserve">adresse </w:t>
      </w:r>
      <w:hyperlink r:id="rId74" w:history="1">
        <w:r w:rsidR="00094C70" w:rsidRPr="00A9678A">
          <w:rPr>
            <w:rStyle w:val="Lienhypertexte"/>
            <w:lang w:val="en-US"/>
          </w:rPr>
          <w:t>https://www.iea.org/reports/by-2030-evs-represent-more-than-60-of-vehicles-sold-globally-and-require-an-adequate-surge-in-chargers-installed-in-buildings</w:t>
        </w:r>
      </w:hyperlink>
      <w:r w:rsidR="00094C70">
        <w:rPr>
          <w:lang w:val="en-US"/>
        </w:rPr>
        <w:t>.</w:t>
      </w:r>
    </w:p>
  </w:footnote>
  <w:footnote w:id="76">
    <w:p w14:paraId="3D83F6E2" w14:textId="77777777" w:rsidR="001268E3" w:rsidRPr="00D86611" w:rsidRDefault="001268E3" w:rsidP="001268E3">
      <w:pPr>
        <w:pStyle w:val="Notedebasdepage"/>
        <w:rPr>
          <w:lang w:val="en-US"/>
        </w:rPr>
      </w:pPr>
      <w:r w:rsidRPr="00F20792">
        <w:rPr>
          <w:lang w:val="en-US"/>
        </w:rPr>
        <w:tab/>
      </w:r>
      <w:r w:rsidRPr="008D69CF">
        <w:rPr>
          <w:rStyle w:val="Appelnotedebasdep"/>
        </w:rPr>
        <w:footnoteRef/>
      </w:r>
      <w:r w:rsidRPr="00F20792">
        <w:rPr>
          <w:lang w:val="en-US"/>
        </w:rPr>
        <w:tab/>
      </w:r>
      <w:r w:rsidRPr="00F20792">
        <w:rPr>
          <w:lang w:val="en-US"/>
        </w:rPr>
        <w:tab/>
        <w:t xml:space="preserve">Bipartisan Policy Center (2022), </w:t>
      </w:r>
      <w:r>
        <w:rPr>
          <w:lang w:val="en-US"/>
        </w:rPr>
        <w:t>« </w:t>
      </w:r>
      <w:r w:rsidRPr="00F20792">
        <w:rPr>
          <w:lang w:val="en-US"/>
        </w:rPr>
        <w:t>Inflation Reduction Act (IRA) Summary</w:t>
      </w:r>
      <w:r>
        <w:rPr>
          <w:lang w:val="en-US"/>
        </w:rPr>
        <w:t> :</w:t>
      </w:r>
      <w:r w:rsidRPr="00F20792">
        <w:rPr>
          <w:lang w:val="en-US"/>
        </w:rPr>
        <w:t xml:space="preserve"> Energy and Climate Provisions</w:t>
      </w:r>
      <w:r>
        <w:rPr>
          <w:lang w:val="en-US"/>
        </w:rPr>
        <w:t> »</w:t>
      </w:r>
      <w:r w:rsidRPr="00F20792">
        <w:rPr>
          <w:lang w:val="en-US"/>
        </w:rPr>
        <w:t>, disponible à l</w:t>
      </w:r>
      <w:r>
        <w:rPr>
          <w:lang w:val="en-US"/>
        </w:rPr>
        <w:t>’</w:t>
      </w:r>
      <w:r w:rsidRPr="00F20792">
        <w:rPr>
          <w:lang w:val="en-US"/>
        </w:rPr>
        <w:t xml:space="preserve">adresse </w:t>
      </w:r>
      <w:hyperlink r:id="rId75" w:history="1">
        <w:r w:rsidRPr="00A9678A">
          <w:rPr>
            <w:rStyle w:val="Lienhypertexte"/>
            <w:lang w:val="en-US"/>
          </w:rPr>
          <w:t>https://bipartisanpolicy.org/blog/inflation-reduction-act-summary-energy-climate-provisions</w:t>
        </w:r>
      </w:hyperlink>
      <w:r>
        <w:rPr>
          <w:lang w:val="en-US"/>
        </w:rPr>
        <w:t>.</w:t>
      </w:r>
    </w:p>
  </w:footnote>
  <w:footnote w:id="77">
    <w:p w14:paraId="60BA137A" w14:textId="77777777" w:rsidR="001268E3" w:rsidRPr="00D86611" w:rsidRDefault="001268E3" w:rsidP="001268E3">
      <w:pPr>
        <w:pStyle w:val="Notedebasdepage"/>
        <w:rPr>
          <w:lang w:val="en-US"/>
        </w:rPr>
      </w:pPr>
      <w:r w:rsidRPr="00F20792">
        <w:rPr>
          <w:lang w:val="en-US"/>
        </w:rPr>
        <w:tab/>
      </w:r>
      <w:r w:rsidRPr="008D69CF">
        <w:rPr>
          <w:rStyle w:val="Appelnotedebasdep"/>
        </w:rPr>
        <w:footnoteRef/>
      </w:r>
      <w:r w:rsidRPr="00F20792">
        <w:rPr>
          <w:lang w:val="en-US"/>
        </w:rPr>
        <w:tab/>
      </w:r>
      <w:r w:rsidRPr="00F20792">
        <w:rPr>
          <w:lang w:val="en-US"/>
        </w:rPr>
        <w:tab/>
        <w:t xml:space="preserve">Y. Freemark (2022), </w:t>
      </w:r>
      <w:r>
        <w:rPr>
          <w:lang w:val="en-US"/>
        </w:rPr>
        <w:t>« </w:t>
      </w:r>
      <w:r w:rsidRPr="00F20792">
        <w:rPr>
          <w:lang w:val="en-US"/>
        </w:rPr>
        <w:t>What the Inflation Reduction Act Did, and Didn</w:t>
      </w:r>
      <w:r>
        <w:rPr>
          <w:lang w:val="en-US"/>
        </w:rPr>
        <w:t>’</w:t>
      </w:r>
      <w:r w:rsidRPr="00F20792">
        <w:rPr>
          <w:lang w:val="en-US"/>
        </w:rPr>
        <w:t>t Do, for Sustainable Transportation</w:t>
      </w:r>
      <w:r>
        <w:rPr>
          <w:lang w:val="en-US"/>
        </w:rPr>
        <w:t> »</w:t>
      </w:r>
      <w:r w:rsidRPr="00F20792">
        <w:rPr>
          <w:lang w:val="en-US"/>
        </w:rPr>
        <w:t>, Urban Institute, disponible à l</w:t>
      </w:r>
      <w:r>
        <w:rPr>
          <w:lang w:val="en-US"/>
        </w:rPr>
        <w:t>’</w:t>
      </w:r>
      <w:r w:rsidRPr="00F20792">
        <w:rPr>
          <w:lang w:val="en-US"/>
        </w:rPr>
        <w:t xml:space="preserve">adresse </w:t>
      </w:r>
      <w:hyperlink r:id="rId76" w:history="1">
        <w:r w:rsidRPr="00A9678A">
          <w:rPr>
            <w:rStyle w:val="Lienhypertexte"/>
            <w:lang w:val="en-US"/>
          </w:rPr>
          <w:t>https://www.urban.org/urban-wire/what-inflation-reduction-act-did-and-didnt-do-sustainable-transportation</w:t>
        </w:r>
      </w:hyperlink>
      <w:r>
        <w:rPr>
          <w:lang w:val="en-US"/>
        </w:rPr>
        <w:t>.</w:t>
      </w:r>
    </w:p>
  </w:footnote>
  <w:footnote w:id="78">
    <w:p w14:paraId="5D8A2807" w14:textId="77777777" w:rsidR="001268E3" w:rsidRPr="00D86611" w:rsidRDefault="001268E3" w:rsidP="001268E3">
      <w:pPr>
        <w:pStyle w:val="Notedebasdepage"/>
        <w:rPr>
          <w:lang w:val="en-US"/>
        </w:rPr>
      </w:pPr>
      <w:r w:rsidRPr="00F20792">
        <w:rPr>
          <w:lang w:val="en-US"/>
        </w:rPr>
        <w:tab/>
      </w:r>
      <w:r w:rsidRPr="008D69CF">
        <w:rPr>
          <w:rStyle w:val="Appelnotedebasdep"/>
        </w:rPr>
        <w:footnoteRef/>
      </w:r>
      <w:r w:rsidRPr="00F20792">
        <w:rPr>
          <w:lang w:val="en-US"/>
        </w:rPr>
        <w:tab/>
      </w:r>
      <w:r w:rsidRPr="00F20792">
        <w:rPr>
          <w:lang w:val="en-US"/>
        </w:rPr>
        <w:tab/>
        <w:t xml:space="preserve">M. Mahajan </w:t>
      </w:r>
      <w:r w:rsidRPr="00F20792">
        <w:rPr>
          <w:i/>
          <w:iCs/>
          <w:lang w:val="en-US"/>
        </w:rPr>
        <w:t>et al</w:t>
      </w:r>
      <w:r w:rsidRPr="00F20792">
        <w:rPr>
          <w:lang w:val="en-US"/>
        </w:rPr>
        <w:t xml:space="preserve">. (2022), </w:t>
      </w:r>
      <w:r>
        <w:rPr>
          <w:lang w:val="en-US"/>
        </w:rPr>
        <w:t>« </w:t>
      </w:r>
      <w:r w:rsidRPr="00F20792">
        <w:rPr>
          <w:lang w:val="en-US"/>
        </w:rPr>
        <w:t>Updated Inflation Reduction Act Modeling Using the Energy Policy Simulator</w:t>
      </w:r>
      <w:r>
        <w:rPr>
          <w:lang w:val="en-US"/>
        </w:rPr>
        <w:t> »</w:t>
      </w:r>
      <w:r w:rsidRPr="00F20792">
        <w:rPr>
          <w:lang w:val="en-US"/>
        </w:rPr>
        <w:t>, Energy Innovation, disponible à l</w:t>
      </w:r>
      <w:r>
        <w:rPr>
          <w:lang w:val="en-US"/>
        </w:rPr>
        <w:t>’</w:t>
      </w:r>
      <w:r w:rsidRPr="00F20792">
        <w:rPr>
          <w:lang w:val="en-US"/>
        </w:rPr>
        <w:t xml:space="preserve">adresse </w:t>
      </w:r>
      <w:hyperlink r:id="rId77" w:history="1">
        <w:r w:rsidRPr="00A9678A">
          <w:rPr>
            <w:rStyle w:val="Lienhypertexte"/>
            <w:lang w:val="en-US"/>
          </w:rPr>
          <w:t>https://energyinnovation.org/wp-content/uploads/2022/08/Updated-Inflation-Reduction-Act-Modeling-Using-the-Energy-Policy-Simulator.pdf</w:t>
        </w:r>
      </w:hyperlink>
      <w:r>
        <w:rPr>
          <w:lang w:val="en-US"/>
        </w:rPr>
        <w:t>.</w:t>
      </w:r>
    </w:p>
  </w:footnote>
  <w:footnote w:id="79">
    <w:p w14:paraId="51D14EF9" w14:textId="72585140" w:rsidR="00D86611" w:rsidRPr="00F20792" w:rsidRDefault="00D86611" w:rsidP="00747EED">
      <w:pPr>
        <w:pStyle w:val="Notedebasdepage"/>
        <w:rPr>
          <w:lang w:val="fr-FR"/>
        </w:rPr>
      </w:pPr>
      <w:r w:rsidRPr="00094C70">
        <w:rPr>
          <w:lang w:val="en-US"/>
        </w:rPr>
        <w:tab/>
      </w:r>
      <w:r w:rsidRPr="008D69CF">
        <w:rPr>
          <w:rStyle w:val="Appelnotedebasdep"/>
        </w:rPr>
        <w:footnoteRef/>
      </w:r>
      <w:r>
        <w:rPr>
          <w:lang w:val="fr-FR"/>
        </w:rPr>
        <w:tab/>
      </w:r>
      <w:r>
        <w:rPr>
          <w:lang w:val="fr-FR"/>
        </w:rPr>
        <w:tab/>
        <w:t xml:space="preserve">Lanzajet (2023), </w:t>
      </w:r>
      <w:r w:rsidR="00E91F68">
        <w:rPr>
          <w:lang w:val="fr-FR"/>
        </w:rPr>
        <w:t>« </w:t>
      </w:r>
      <w:r>
        <w:rPr>
          <w:lang w:val="fr-FR"/>
        </w:rPr>
        <w:t>Sustainable Aviation Fuel Readies to Take Flight in Australia</w:t>
      </w:r>
      <w:r w:rsidR="00E91F68">
        <w:rPr>
          <w:lang w:val="fr-FR"/>
        </w:rPr>
        <w:t> »</w:t>
      </w:r>
      <w:r>
        <w:rPr>
          <w:lang w:val="fr-FR"/>
        </w:rPr>
        <w:t>, disponible à l</w:t>
      </w:r>
      <w:r w:rsidR="00EF6A7F">
        <w:rPr>
          <w:lang w:val="fr-FR"/>
        </w:rPr>
        <w:t>’</w:t>
      </w:r>
      <w:r>
        <w:rPr>
          <w:lang w:val="fr-FR"/>
        </w:rPr>
        <w:t xml:space="preserve">adresse </w:t>
      </w:r>
      <w:hyperlink r:id="rId78" w:history="1">
        <w:r w:rsidR="00094C70" w:rsidRPr="00A9678A">
          <w:rPr>
            <w:rStyle w:val="Lienhypertexte"/>
            <w:lang w:val="fr-FR"/>
          </w:rPr>
          <w:t>https://www.lanzajet.com/sustainable-aviation-fuel-readies-to-take-flight-in-australia</w:t>
        </w:r>
      </w:hyperlink>
      <w:r>
        <w:rPr>
          <w:lang w:val="fr-FR"/>
        </w:rPr>
        <w:t> ; Ministère australien des changements climatiques de l</w:t>
      </w:r>
      <w:r w:rsidR="00EF6A7F">
        <w:rPr>
          <w:lang w:val="fr-FR"/>
        </w:rPr>
        <w:t>’</w:t>
      </w:r>
      <w:r>
        <w:rPr>
          <w:lang w:val="fr-FR"/>
        </w:rPr>
        <w:t>énergie, de l</w:t>
      </w:r>
      <w:r w:rsidR="00EF6A7F">
        <w:rPr>
          <w:lang w:val="fr-FR"/>
        </w:rPr>
        <w:t>’</w:t>
      </w:r>
      <w:r>
        <w:rPr>
          <w:lang w:val="fr-FR"/>
        </w:rPr>
        <w:t>environnement et de l</w:t>
      </w:r>
      <w:r w:rsidR="00EF6A7F">
        <w:rPr>
          <w:lang w:val="fr-FR"/>
        </w:rPr>
        <w:t>’</w:t>
      </w:r>
      <w:r>
        <w:rPr>
          <w:lang w:val="fr-FR"/>
        </w:rPr>
        <w:t>eau (n.</w:t>
      </w:r>
      <w:r w:rsidR="00094C70">
        <w:rPr>
          <w:lang w:val="fr-FR"/>
        </w:rPr>
        <w:t xml:space="preserve"> </w:t>
      </w:r>
      <w:r>
        <w:rPr>
          <w:lang w:val="fr-FR"/>
        </w:rPr>
        <w:t xml:space="preserve">d.), </w:t>
      </w:r>
      <w:r w:rsidR="00E91F68">
        <w:rPr>
          <w:lang w:val="fr-FR"/>
        </w:rPr>
        <w:t>« </w:t>
      </w:r>
      <w:r>
        <w:rPr>
          <w:lang w:val="fr-FR"/>
        </w:rPr>
        <w:t>Australia</w:t>
      </w:r>
      <w:r w:rsidR="00EF6A7F">
        <w:rPr>
          <w:lang w:val="fr-FR"/>
        </w:rPr>
        <w:t>’</w:t>
      </w:r>
      <w:r>
        <w:rPr>
          <w:lang w:val="fr-FR"/>
        </w:rPr>
        <w:t>s National Hydrogen Strategy</w:t>
      </w:r>
      <w:r w:rsidR="00E91F68">
        <w:rPr>
          <w:lang w:val="fr-FR"/>
        </w:rPr>
        <w:t> »</w:t>
      </w:r>
      <w:r>
        <w:rPr>
          <w:lang w:val="fr-FR"/>
        </w:rPr>
        <w:t>, disponible à l</w:t>
      </w:r>
      <w:r w:rsidR="00EF6A7F">
        <w:rPr>
          <w:lang w:val="fr-FR"/>
        </w:rPr>
        <w:t>’</w:t>
      </w:r>
      <w:r>
        <w:rPr>
          <w:lang w:val="fr-FR"/>
        </w:rPr>
        <w:t xml:space="preserve">adresse </w:t>
      </w:r>
      <w:r w:rsidR="00094C70" w:rsidRPr="00D07931">
        <w:rPr>
          <w:rStyle w:val="Lienhypertexte"/>
          <w:lang w:val="fr-FR"/>
        </w:rPr>
        <w:t>https://www.dcceew.gov.au /energy/publications/australias-national-hydrogen-strategy</w:t>
      </w:r>
      <w:r>
        <w:rPr>
          <w:lang w:val="fr-FR"/>
        </w:rPr>
        <w:t>, page consultée le 10</w:t>
      </w:r>
      <w:r w:rsidR="00094C70">
        <w:rPr>
          <w:lang w:val="fr-FR"/>
        </w:rPr>
        <w:t> </w:t>
      </w:r>
      <w:r>
        <w:rPr>
          <w:lang w:val="fr-FR"/>
        </w:rPr>
        <w:t>mars 2023.</w:t>
      </w:r>
    </w:p>
  </w:footnote>
  <w:footnote w:id="80">
    <w:p w14:paraId="65CF98DF" w14:textId="565DA3ED" w:rsidR="00D86611" w:rsidRPr="00F20792" w:rsidRDefault="00D86611" w:rsidP="00747EED">
      <w:pPr>
        <w:pStyle w:val="Notedebasdepage"/>
        <w:rPr>
          <w:lang w:val="fr-FR"/>
        </w:rPr>
      </w:pPr>
      <w:r w:rsidRPr="00122CDF">
        <w:rPr>
          <w:lang w:val="fr-FR"/>
        </w:rPr>
        <w:tab/>
      </w:r>
      <w:r w:rsidRPr="008D69CF">
        <w:rPr>
          <w:rStyle w:val="Appelnotedebasdep"/>
        </w:rPr>
        <w:footnoteRef/>
      </w:r>
      <w:r>
        <w:rPr>
          <w:lang w:val="fr-FR"/>
        </w:rPr>
        <w:tab/>
      </w:r>
      <w:r>
        <w:rPr>
          <w:lang w:val="fr-FR"/>
        </w:rPr>
        <w:tab/>
        <w:t>H. Lee</w:t>
      </w:r>
      <w:r>
        <w:rPr>
          <w:i/>
          <w:iCs/>
          <w:lang w:val="fr-FR"/>
        </w:rPr>
        <w:t xml:space="preserve"> et al</w:t>
      </w:r>
      <w:r>
        <w:rPr>
          <w:lang w:val="fr-FR"/>
        </w:rPr>
        <w:t xml:space="preserve">. (2023), </w:t>
      </w:r>
      <w:r w:rsidR="00E91F68">
        <w:rPr>
          <w:lang w:val="fr-FR"/>
        </w:rPr>
        <w:t>« </w:t>
      </w:r>
      <w:r>
        <w:rPr>
          <w:lang w:val="fr-FR"/>
        </w:rPr>
        <w:t>AR6 Synthesis Report, Climate Change 2023</w:t>
      </w:r>
      <w:r w:rsidR="00E91F68">
        <w:rPr>
          <w:lang w:val="fr-FR"/>
        </w:rPr>
        <w:t> »</w:t>
      </w:r>
      <w:r>
        <w:rPr>
          <w:lang w:val="fr-FR"/>
        </w:rPr>
        <w:t>, Groupe d</w:t>
      </w:r>
      <w:r w:rsidR="00EF6A7F">
        <w:rPr>
          <w:lang w:val="fr-FR"/>
        </w:rPr>
        <w:t>’</w:t>
      </w:r>
      <w:r>
        <w:rPr>
          <w:lang w:val="fr-FR"/>
        </w:rPr>
        <w:t>experts intergouvernemental sur l</w:t>
      </w:r>
      <w:r w:rsidR="00EF6A7F">
        <w:rPr>
          <w:lang w:val="fr-FR"/>
        </w:rPr>
        <w:t>’</w:t>
      </w:r>
      <w:r>
        <w:rPr>
          <w:lang w:val="fr-FR"/>
        </w:rPr>
        <w:t>évolution du climat, disponible à l</w:t>
      </w:r>
      <w:r w:rsidR="00EF6A7F">
        <w:rPr>
          <w:lang w:val="fr-FR"/>
        </w:rPr>
        <w:t>’</w:t>
      </w:r>
      <w:r>
        <w:rPr>
          <w:lang w:val="fr-FR"/>
        </w:rPr>
        <w:t xml:space="preserve">adresse </w:t>
      </w:r>
      <w:hyperlink w:history="1">
        <w:r w:rsidR="00094C70" w:rsidRPr="00A9678A">
          <w:rPr>
            <w:rStyle w:val="Lienhypertexte"/>
            <w:lang w:val="fr-FR"/>
          </w:rPr>
          <w:t>https://report.ipcc.ch /ar6syr/pdf/IPCC_AR6_SYR_LongerReport.pdf</w:t>
        </w:r>
      </w:hyperlink>
      <w:r w:rsidR="00094C7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C07F" w14:textId="153552B5" w:rsidR="00D86611" w:rsidRPr="00D86611" w:rsidRDefault="00E25CE0">
    <w:pPr>
      <w:pStyle w:val="En-tte"/>
    </w:pPr>
    <w:fldSimple w:instr=" TITLE  \* MERGEFORMAT ">
      <w:r w:rsidR="00E861DF">
        <w:t>ECE/TRANS/2024/</w:t>
      </w:r>
    </w:fldSimple>
    <w:r w:rsidR="00664093">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D8A8" w14:textId="172C50BE" w:rsidR="00D86611" w:rsidRPr="00D86611" w:rsidRDefault="00E25CE0" w:rsidP="00D86611">
    <w:pPr>
      <w:pStyle w:val="En-tte"/>
      <w:jc w:val="right"/>
    </w:pPr>
    <w:fldSimple w:instr=" TITLE  \* MERGEFORMAT ">
      <w:r w:rsidR="00E861DF">
        <w:t>ECE/TRANS/2024/</w:t>
      </w:r>
    </w:fldSimple>
    <w:r w:rsidR="0066409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42938871">
    <w:abstractNumId w:val="2"/>
  </w:num>
  <w:num w:numId="2" w16cid:durableId="1889150725">
    <w:abstractNumId w:val="2"/>
  </w:num>
  <w:num w:numId="3" w16cid:durableId="671761072">
    <w:abstractNumId w:val="1"/>
  </w:num>
  <w:num w:numId="4" w16cid:durableId="403280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71"/>
    <w:rsid w:val="00017F94"/>
    <w:rsid w:val="00023842"/>
    <w:rsid w:val="000334F9"/>
    <w:rsid w:val="00045FEB"/>
    <w:rsid w:val="00051F7C"/>
    <w:rsid w:val="0007796D"/>
    <w:rsid w:val="0008580A"/>
    <w:rsid w:val="00094C70"/>
    <w:rsid w:val="000A1D0B"/>
    <w:rsid w:val="000B7790"/>
    <w:rsid w:val="000C02B0"/>
    <w:rsid w:val="00111F2F"/>
    <w:rsid w:val="00122086"/>
    <w:rsid w:val="001268E3"/>
    <w:rsid w:val="0014365E"/>
    <w:rsid w:val="00143C66"/>
    <w:rsid w:val="0016543E"/>
    <w:rsid w:val="00176178"/>
    <w:rsid w:val="00197C64"/>
    <w:rsid w:val="001F525A"/>
    <w:rsid w:val="00201148"/>
    <w:rsid w:val="00223202"/>
    <w:rsid w:val="00223272"/>
    <w:rsid w:val="00236DA1"/>
    <w:rsid w:val="0024779E"/>
    <w:rsid w:val="00257168"/>
    <w:rsid w:val="002744B8"/>
    <w:rsid w:val="002832AC"/>
    <w:rsid w:val="002A700B"/>
    <w:rsid w:val="002D7C93"/>
    <w:rsid w:val="00304634"/>
    <w:rsid w:val="00305801"/>
    <w:rsid w:val="00377E39"/>
    <w:rsid w:val="003916DE"/>
    <w:rsid w:val="003A445C"/>
    <w:rsid w:val="00421996"/>
    <w:rsid w:val="00441C3B"/>
    <w:rsid w:val="00446FE5"/>
    <w:rsid w:val="00452396"/>
    <w:rsid w:val="0047643F"/>
    <w:rsid w:val="00477EB2"/>
    <w:rsid w:val="004837D8"/>
    <w:rsid w:val="004E2EED"/>
    <w:rsid w:val="004E468C"/>
    <w:rsid w:val="004F6AA0"/>
    <w:rsid w:val="005505B7"/>
    <w:rsid w:val="005521AF"/>
    <w:rsid w:val="00554D99"/>
    <w:rsid w:val="00560966"/>
    <w:rsid w:val="00573BE5"/>
    <w:rsid w:val="00586ED3"/>
    <w:rsid w:val="00596AA9"/>
    <w:rsid w:val="006109A0"/>
    <w:rsid w:val="0062020D"/>
    <w:rsid w:val="00621E65"/>
    <w:rsid w:val="00664093"/>
    <w:rsid w:val="006A2C4F"/>
    <w:rsid w:val="006D5C4B"/>
    <w:rsid w:val="0071601D"/>
    <w:rsid w:val="00747EED"/>
    <w:rsid w:val="00780216"/>
    <w:rsid w:val="0079483A"/>
    <w:rsid w:val="007A62E6"/>
    <w:rsid w:val="007C1933"/>
    <w:rsid w:val="007E4019"/>
    <w:rsid w:val="007F20FA"/>
    <w:rsid w:val="0080684C"/>
    <w:rsid w:val="0085774E"/>
    <w:rsid w:val="00871C75"/>
    <w:rsid w:val="008776DC"/>
    <w:rsid w:val="008B6554"/>
    <w:rsid w:val="008C2EC4"/>
    <w:rsid w:val="008C73A8"/>
    <w:rsid w:val="008D5EF9"/>
    <w:rsid w:val="009446C0"/>
    <w:rsid w:val="009705C8"/>
    <w:rsid w:val="009A0440"/>
    <w:rsid w:val="009C1CF4"/>
    <w:rsid w:val="009C2E09"/>
    <w:rsid w:val="009E38CB"/>
    <w:rsid w:val="009F6B74"/>
    <w:rsid w:val="00A00371"/>
    <w:rsid w:val="00A3029F"/>
    <w:rsid w:val="00A30353"/>
    <w:rsid w:val="00A73ADE"/>
    <w:rsid w:val="00AB6B82"/>
    <w:rsid w:val="00AC3823"/>
    <w:rsid w:val="00AE323C"/>
    <w:rsid w:val="00AF0CB5"/>
    <w:rsid w:val="00B00181"/>
    <w:rsid w:val="00B00B0D"/>
    <w:rsid w:val="00B45F2E"/>
    <w:rsid w:val="00B47120"/>
    <w:rsid w:val="00B765F7"/>
    <w:rsid w:val="00B77993"/>
    <w:rsid w:val="00B929E7"/>
    <w:rsid w:val="00BA0CA9"/>
    <w:rsid w:val="00C02897"/>
    <w:rsid w:val="00C97039"/>
    <w:rsid w:val="00CA5014"/>
    <w:rsid w:val="00D07931"/>
    <w:rsid w:val="00D3439C"/>
    <w:rsid w:val="00D36B89"/>
    <w:rsid w:val="00D7622E"/>
    <w:rsid w:val="00D86611"/>
    <w:rsid w:val="00DB1831"/>
    <w:rsid w:val="00DD3BFD"/>
    <w:rsid w:val="00DD76FF"/>
    <w:rsid w:val="00DF6678"/>
    <w:rsid w:val="00E0299A"/>
    <w:rsid w:val="00E25CE0"/>
    <w:rsid w:val="00E44976"/>
    <w:rsid w:val="00E50B42"/>
    <w:rsid w:val="00E5173E"/>
    <w:rsid w:val="00E85C74"/>
    <w:rsid w:val="00E861DF"/>
    <w:rsid w:val="00E91F68"/>
    <w:rsid w:val="00E97DAA"/>
    <w:rsid w:val="00EA0CDE"/>
    <w:rsid w:val="00EA6547"/>
    <w:rsid w:val="00ED7237"/>
    <w:rsid w:val="00EF2E22"/>
    <w:rsid w:val="00EF6A7F"/>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8EAED"/>
  <w15:docId w15:val="{3DD90F0E-AAA5-4331-97A8-2782CE49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933"/>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2"/>
      </w:numPr>
      <w:spacing w:after="120"/>
      <w:ind w:right="1134"/>
      <w:jc w:val="both"/>
    </w:pPr>
  </w:style>
  <w:style w:type="paragraph" w:customStyle="1" w:styleId="Bullet2G">
    <w:name w:val="_Bullet 2_G"/>
    <w:basedOn w:val="Normal"/>
    <w:qFormat/>
    <w:rsid w:val="00E0299A"/>
    <w:pPr>
      <w:numPr>
        <w:numId w:val="3"/>
      </w:numPr>
      <w:spacing w:after="120"/>
      <w:ind w:right="1134"/>
      <w:jc w:val="both"/>
    </w:pPr>
  </w:style>
  <w:style w:type="paragraph" w:customStyle="1" w:styleId="ParNoG">
    <w:name w:val="_ParNo_G"/>
    <w:basedOn w:val="Normal"/>
    <w:qFormat/>
    <w:rsid w:val="00B77993"/>
    <w:pPr>
      <w:numPr>
        <w:numId w:val="4"/>
      </w:numPr>
      <w:tabs>
        <w:tab w:val="clear" w:pos="1701"/>
      </w:tabs>
      <w:spacing w:after="120"/>
      <w:ind w:right="1134"/>
      <w:jc w:val="both"/>
    </w:pPr>
  </w:style>
  <w:style w:type="character" w:styleId="Appelnotedebasdep">
    <w:name w:val="footnote reference"/>
    <w:aliases w:val="4_G,4_GR,ftref,16 Point,Superscript 6 Point,Ref,de nota al pie,Fußnotenzeichen DISS,fr,Numbering - Footnote,-E Fußnotenzeichen,Odwołanie przypisu,Times 10 Point,Exposant 3 Point,Footnote symbol,Footnote reference number,numbe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D86611"/>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D86611"/>
    <w:rPr>
      <w:rFonts w:ascii="Times New Roman" w:eastAsiaTheme="minorHAnsi" w:hAnsi="Times New Roman" w:cs="Times New Roman"/>
      <w:sz w:val="20"/>
      <w:szCs w:val="20"/>
      <w:lang w:eastAsia="en-US"/>
    </w:rPr>
  </w:style>
  <w:style w:type="character" w:customStyle="1" w:styleId="H1GChar">
    <w:name w:val="_ H_1_G Char"/>
    <w:link w:val="H1G"/>
    <w:rsid w:val="00D86611"/>
    <w:rPr>
      <w:rFonts w:ascii="Times New Roman" w:eastAsiaTheme="minorHAnsi" w:hAnsi="Times New Roman" w:cs="Times New Roman"/>
      <w:b/>
      <w:sz w:val="24"/>
      <w:szCs w:val="20"/>
      <w:lang w:eastAsia="en-US"/>
    </w:rPr>
  </w:style>
  <w:style w:type="paragraph" w:styleId="Rvision">
    <w:name w:val="Revision"/>
    <w:hidden/>
    <w:uiPriority w:val="99"/>
    <w:semiHidden/>
    <w:rsid w:val="00D86611"/>
    <w:pPr>
      <w:spacing w:after="0" w:line="240" w:lineRule="auto"/>
    </w:pPr>
    <w:rPr>
      <w:rFonts w:ascii="Times New Roman" w:hAnsi="Times New Roman" w:cs="Times New Roman"/>
      <w:sz w:val="20"/>
      <w:szCs w:val="20"/>
      <w:lang w:val="en-GB" w:eastAsia="fr-FR"/>
    </w:rPr>
  </w:style>
  <w:style w:type="character" w:styleId="Mentionnonrsolue">
    <w:name w:val="Unresolved Mention"/>
    <w:basedOn w:val="Policepardfaut"/>
    <w:uiPriority w:val="99"/>
    <w:semiHidden/>
    <w:unhideWhenUsed/>
    <w:rsid w:val="00780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3" Type="http://schemas.openxmlformats.org/officeDocument/2006/relationships/hyperlink" Target="https://www.governing.com/next/are-trains-or-buses-better-for-the-environment" TargetMode="External"/><Relationship Id="rId18" Type="http://schemas.openxmlformats.org/officeDocument/2006/relationships/hyperlink" Target="https://its.berkeley.edu/news/proximity-planning-local-strategy-global-problems-or-global-strategy-local-problems" TargetMode="External"/><Relationship Id="rId26" Type="http://schemas.openxmlformats.org/officeDocument/2006/relationships/hyperlink" Target="https://ecf.com/dashboard" TargetMode="External"/><Relationship Id="rId39" Type="http://schemas.openxmlformats.org/officeDocument/2006/relationships/hyperlink" Target="https://theicct.org/wp-content/uploads/2022/08/lat-am-lvs-hvs-chile-EN-aug22.pdf" TargetMode="External"/><Relationship Id="rId21" Type="http://schemas.openxmlformats.org/officeDocument/2006/relationships/hyperlink" Target="https://www.c40knowledgehub.org/s/article/Zero-Emission-Zones-for-Freight-Lessons-from-Beijing" TargetMode="External"/><Relationship Id="rId34" Type="http://schemas.openxmlformats.org/officeDocument/2006/relationships/hyperlink" Target="https://www.globalfueleconomy.org/data-and-research/publications/trends-in-the-global-vehicle-fleet-2023" TargetMode="External"/><Relationship Id="rId42" Type="http://schemas.openxmlformats.org/officeDocument/2006/relationships/hyperlink" Target="http://www.slocat.net/ndcs" TargetMode="External"/><Relationship Id="rId47" Type="http://schemas.openxmlformats.org/officeDocument/2006/relationships/hyperlink" Target="https://www.iea.org/reports/global-fuel-economy-initiative-2021/executive-summary" TargetMode="External"/><Relationship Id="rId50" Type="http://schemas.openxmlformats.org/officeDocument/2006/relationships/hyperlink" Target="https://www.iea.org/reports/global-ev-outlook-2023" TargetMode="External"/><Relationship Id="rId55" Type="http://schemas.openxmlformats.org/officeDocument/2006/relationships/hyperlink" Target="https://unhabitat.org/sites/default/files/2022/07/executive_summary.pdf" TargetMode="External"/><Relationship Id="rId63" Type="http://schemas.openxmlformats.org/officeDocument/2006/relationships/hyperlink" Target="https://ec.europa.eu/eurostat/web/products-eurostat-news/-/ddn-20220202-2" TargetMode="External"/><Relationship Id="rId68" Type="http://schemas.openxmlformats.org/officeDocument/2006/relationships/hyperlink" Target="https://datawarehouse.worldroadstatistics.org" TargetMode="External"/><Relationship Id="rId76" Type="http://schemas.openxmlformats.org/officeDocument/2006/relationships/hyperlink" Target="https://www.urban.org/urban-wire/what-inflation-reduction-act-did-and-didnt-do-sustainable-transportation" TargetMode="External"/><Relationship Id="rId7" Type="http://schemas.openxmlformats.org/officeDocument/2006/relationships/hyperlink" Target="http://www.slocat.net/vnr" TargetMode="External"/><Relationship Id="rId71" Type="http://schemas.openxmlformats.org/officeDocument/2006/relationships/hyperlink" Target="https://www.metropol.gov.co/Paginas/Noticias/primera-zona-urbana-de-aire-protegido-en-colombia.aspx" TargetMode="External"/><Relationship Id="rId2" Type="http://schemas.openxmlformats.org/officeDocument/2006/relationships/hyperlink" Target="http://www.slocat.net/ndcs" TargetMode="External"/><Relationship Id="rId16" Type="http://schemas.openxmlformats.org/officeDocument/2006/relationships/hyperlink" Target="https://urbanland.uli.org/planning-design/california-relaxes-parking-mandates-to-free-up-multifamily-development-but-will-neighbors-and-lenders-approve" TargetMode="External"/><Relationship Id="rId29" Type="http://schemas.openxmlformats.org/officeDocument/2006/relationships/hyperlink" Target="https://www.iea.org/analysis%20/all?topic=transport" TargetMode="External"/><Relationship Id="rId11" Type="http://schemas.openxmlformats.org/officeDocument/2006/relationships/hyperlink" Target="https://www.gov.br/mdr/pt-br/assuntos/mobilidade-e-servicos-urbanos/planejamento-da-mobilidade-urbana/levantamento-sobre-a-situacao-dos-planos-de-mobilidade-urbana" TargetMode="External"/><Relationship Id="rId24" Type="http://schemas.openxmlformats.org/officeDocument/2006/relationships/hyperlink" Target="http://www.tcc-gsr.com" TargetMode="External"/><Relationship Id="rId32" Type="http://schemas.openxmlformats.org/officeDocument/2006/relationships/hyperlink" Target="https://www.electrive.com/2022/06/29/eu-council-decides-on-100-co2-reductions-for-cars-and-vans-by-2035" TargetMode="External"/><Relationship Id="rId37" Type="http://schemas.openxmlformats.org/officeDocument/2006/relationships/hyperlink" Target="https://www.iea.org/reports/trucks-and-buses" TargetMode="External"/><Relationship Id="rId40" Type="http://schemas.openxmlformats.org/officeDocument/2006/relationships/hyperlink" Target="https://theicct.org/wpcontent/uploads%20/2021/06/HDV-fuel-efficiency-tech-California-Canada-apr2021.pdf" TargetMode="External"/><Relationship Id="rId45" Type="http://schemas.openxmlformats.org/officeDocument/2006/relationships/hyperlink" Target="https://www.iea.org/reports/global-fuel-economy-initiative-2021/executive-summary" TargetMode="External"/><Relationship Id="rId53" Type="http://schemas.openxmlformats.org/officeDocument/2006/relationships/hyperlink" Target="https://doi.org/10.1016/S1473-3099(20)30120-1" TargetMode="External"/><Relationship Id="rId58" Type="http://schemas.openxmlformats.org/officeDocument/2006/relationships/hyperlink" Target="https://unhabitat.org/sites/default/files/2022/07/executive_summary.pdf" TargetMode="External"/><Relationship Id="rId66" Type="http://schemas.openxmlformats.org/officeDocument/2006/relationships/hyperlink" Target="https://www.eltis.org/in-brief/news/european-commission-releases-new-urban-mobility-framework" TargetMode="External"/><Relationship Id="rId74" Type="http://schemas.openxmlformats.org/officeDocument/2006/relationships/hyperlink" Target="https://www.iea.org/reports/by-2030-evs-represent-more-than-60-of-vehicles-sold-globally-and-require-an-adequate-surge-in-chargers-installed-in-buildings" TargetMode="External"/><Relationship Id="rId5" Type="http://schemas.openxmlformats.org/officeDocument/2006/relationships/hyperlink" Target="https://unfccc.int/sites/default/files/NDC/202206/United%20States%20NDC%20April%2021%202021%20Final.pdf" TargetMode="External"/><Relationship Id="rId15" Type="http://schemas.openxmlformats.org/officeDocument/2006/relationships/hyperlink" Target="https://www.transit.dot.gov/about/" TargetMode="External"/><Relationship Id="rId23" Type="http://schemas.openxmlformats.org/officeDocument/2006/relationships/hyperlink" Target="https://docs.google.com/spreadsheets/d/1uMuNG9rTGO52Vuuq6skyqmkH9U5yv1iSJDJYjH64MJM" TargetMode="External"/><Relationship Id="rId28" Type="http://schemas.openxmlformats.org/officeDocument/2006/relationships/hyperlink" Target="http://www.tcc-gsr.com" TargetMode="External"/><Relationship Id="rId36" Type="http://schemas.openxmlformats.org/officeDocument/2006/relationships/hyperlink" Target="https://www.legislation.gov.uk/uksi/2020/1402/regulation/3/made" TargetMode="External"/><Relationship Id="rId49" Type="http://schemas.openxmlformats.org/officeDocument/2006/relationships/hyperlink" Target="https://www.iea.org/reports/net-zero-by-2050" TargetMode="External"/><Relationship Id="rId57" Type="http://schemas.openxmlformats.org/officeDocument/2006/relationships/hyperlink" Target="https://www.routledge.com/Paratransit-in-African-Cities-Operations-Regulation-and-Reform/Behrens-McCormick-Mfinanga/p/book/9780415870337" TargetMode="External"/><Relationship Id="rId61" Type="http://schemas.openxmlformats.org/officeDocument/2006/relationships/hyperlink" Target="https://ec.europa.eu/eurostat/%20statistics-explained/index.php?title=Passenger_cars_in_the_EU" TargetMode="External"/><Relationship Id="rId10" Type="http://schemas.openxmlformats.org/officeDocument/2006/relationships/hyperlink" Target="https://sumps-up.eu/fileadmin/user_upload/Tools_and_Resources/Reports/SUMPs-Up_PROSPERITY-SUMP-Status-in-EU-Report.pdf" TargetMode="External"/><Relationship Id="rId19" Type="http://schemas.openxmlformats.org/officeDocument/2006/relationships/hyperlink" Target="https://urbanaccessregulations.eu" TargetMode="External"/><Relationship Id="rId31" Type="http://schemas.openxmlformats.org/officeDocument/2006/relationships/hyperlink" Target="https://www.electrive.com/2021/07/14/eu-commission-presents-fit-for-55-climate-package" TargetMode="External"/><Relationship Id="rId44" Type="http://schemas.openxmlformats.org/officeDocument/2006/relationships/hyperlink" Target="https://usa.streetsblog.org/2020/01/13/how-cars-waste-space-in-six-simple-images" TargetMode="External"/><Relationship Id="rId52" Type="http://schemas.openxmlformats.org/officeDocument/2006/relationships/hyperlink" Target="https://www.iea.org/reports/global-ev-outlook-2023" TargetMode="External"/><Relationship Id="rId60" Type="http://schemas.openxmlformats.org/officeDocument/2006/relationships/hyperlink" Target="https://ourworldindata.org/grapher/carbon-intensity-electricity" TargetMode="External"/><Relationship Id="rId65" Type="http://schemas.openxmlformats.org/officeDocument/2006/relationships/hyperlink" Target="https://sumps-up.eu/fileadmin/user_upload/%20Tools_and_Resources/Reports/SUMPs-Up___PROSPERITY-SUMP-Status-in-EU-Report.pdf" TargetMode="External"/><Relationship Id="rId73" Type="http://schemas.openxmlformats.org/officeDocument/2006/relationships/hyperlink" Target="https://www.census.gov/newsroom/press-releases/2022/people-working-from-home.html" TargetMode="External"/><Relationship Id="rId78" Type="http://schemas.openxmlformats.org/officeDocument/2006/relationships/hyperlink" Target="https://www.lanzajet.com/sustainable-aviation-fuel-readies-to-take-flight-in-australia" TargetMode="External"/><Relationship Id="rId4" Type="http://schemas.openxmlformats.org/officeDocument/2006/relationships/hyperlink" Target="https://changing-transport.org/tracker" TargetMode="External"/><Relationship Id="rId9" Type="http://schemas.openxmlformats.org/officeDocument/2006/relationships/hyperlink" Target="http://www.slocat.net/vnr" TargetMode="External"/><Relationship Id="rId14" Type="http://schemas.openxmlformats.org/officeDocument/2006/relationships/hyperlink" Target="https://www.constructionweekonline.in/people/transit-oriented-development-making-indian-cities-liveable-again" TargetMode="External"/><Relationship Id="rId22" Type="http://schemas.openxmlformats.org/officeDocument/2006/relationships/hyperlink" Target="https://www.metropol.gov.co/Paginas/Noticias/primera-zona-urbana-de-aire-protegido-en-colombia.aspx" TargetMode="External"/><Relationship Id="rId27" Type="http://schemas.openxmlformats.org/officeDocument/2006/relationships/hyperlink" Target="https://doi.org/10.3389/frsc.2022.805125" TargetMode="External"/><Relationship Id="rId30" Type="http://schemas.openxmlformats.org/officeDocument/2006/relationships/hyperlink" Target="https://theicct.org/zev-phase-ins/" TargetMode="External"/><Relationship Id="rId35" Type="http://schemas.openxmlformats.org/officeDocument/2006/relationships/hyperlink" Target="http://www.tcc-gsr.com" TargetMode="External"/><Relationship Id="rId43" Type="http://schemas.openxmlformats.org/officeDocument/2006/relationships/hyperlink" Target="https://www.itf-oecd.org/itf-transport-outlook-2023" TargetMode="External"/><Relationship Id="rId48" Type="http://schemas.openxmlformats.org/officeDocument/2006/relationships/hyperlink" Target="https://www.worldbank.org/en/topic/climatechange/publication/detox-development" TargetMode="External"/><Relationship Id="rId56" Type="http://schemas.openxmlformats.org/officeDocument/2006/relationships/hyperlink" Target="https://data.unhabitat.org/datasets/GUO-UN-Habitat::11-2-1-percentage-access-to-public-transport/about" TargetMode="External"/><Relationship Id="rId64" Type="http://schemas.openxmlformats.org/officeDocument/2006/relationships/hyperlink" Target="https://www.ren21.net/wp-content/uploads/2019/05/GSR2023_Demand_Modules.pdf" TargetMode="External"/><Relationship Id="rId69" Type="http://schemas.openxmlformats.org/officeDocument/2006/relationships/hyperlink" Target="https://data.unhabitat.org/pages/urban-transport" TargetMode="External"/><Relationship Id="rId77" Type="http://schemas.openxmlformats.org/officeDocument/2006/relationships/hyperlink" Target="https://energyinnovation.org/wp-content/uploads/2022/08/Updated-Inflation-Reduction-Act-Modeling-Using-the-Energy-Policy-Simulator.pdf" TargetMode="External"/><Relationship Id="rId8" Type="http://schemas.openxmlformats.org/officeDocument/2006/relationships/hyperlink" Target="https://hlpf.un.org/sites/default/files/vnrs/2023/VNR%20per%20cent202023%20per%20cent20Croatia%20per%20cent20Report_0.pdf" TargetMode="External"/><Relationship Id="rId51" Type="http://schemas.openxmlformats.org/officeDocument/2006/relationships/hyperlink" Target="https://www.iea.org/reports/global-ev-outlook-2022" TargetMode="External"/><Relationship Id="rId72" Type="http://schemas.openxmlformats.org/officeDocument/2006/relationships/hyperlink" Target="https://www.itdp.org/2023/02/22/what-is-a-low-emission-zone/" TargetMode="External"/><Relationship Id="rId3" Type="http://schemas.openxmlformats.org/officeDocument/2006/relationships/hyperlink" Target="https://changing-transport.org/%20tracker" TargetMode="External"/><Relationship Id="rId12" Type="http://schemas.openxmlformats.org/officeDocument/2006/relationships/hyperlink" Target="https://www.mobiliseyourcity.net/global-monitor-2023" TargetMode="External"/><Relationship Id="rId17" Type="http://schemas.openxmlformats.org/officeDocument/2006/relationships/hyperlink" Target="https://news.gov.bc.ca/releases/2022TRAN0030-000492" TargetMode="External"/><Relationship Id="rId25" Type="http://schemas.openxmlformats.org/officeDocument/2006/relationships/hyperlink" Target="https://www.mcc-berlin.net/en/news/information/information-detail/article/corona-crisis-lesson-additional-bike-lanes-induce-large-increases-in-cycling.html" TargetMode="External"/><Relationship Id="rId33" Type="http://schemas.openxmlformats.org/officeDocument/2006/relationships/hyperlink" Target="https://www.ren21.net/wp-content/uploads/2019/05/GSR2022_Data_Pack_Final.xlsx" TargetMode="External"/><Relationship Id="rId38" Type="http://schemas.openxmlformats.org/officeDocument/2006/relationships/hyperlink" Target="https://climate.ec.europa.eu/eu-action/transport-emissions/road-transport-reducing-co2-emissions-vehicles/reducing-co2-emissions-heavy-duty-vehicles_en" TargetMode="External"/><Relationship Id="rId46" Type="http://schemas.openxmlformats.org/officeDocument/2006/relationships/hyperlink" Target="https://www.iea.org/commentaries/carbon-emissions-fell-across-all-sectors-in-2020-except-for-one-suvs" TargetMode="External"/><Relationship Id="rId59" Type="http://schemas.openxmlformats.org/officeDocument/2006/relationships/hyperlink" Target="https://blogs.worldbank.org/" TargetMode="External"/><Relationship Id="rId67" Type="http://schemas.openxmlformats.org/officeDocument/2006/relationships/hyperlink" Target="https://urbanaccessregulations.eu" TargetMode="External"/><Relationship Id="rId20" Type="http://schemas.openxmlformats.org/officeDocument/2006/relationships/hyperlink" Target="https://theicct.org/sites/default/files/publications/global-cities-zez-dev-EN-aug21.pdf" TargetMode="External"/><Relationship Id="rId41" Type="http://schemas.openxmlformats.org/officeDocument/2006/relationships/hyperlink" Target="https://www.unep.org/emissions-gap-report-2022" TargetMode="External"/><Relationship Id="rId54" Type="http://schemas.openxmlformats.org/officeDocument/2006/relationships/hyperlink" Target="https://www.google.com/covid19/mobility" TargetMode="External"/><Relationship Id="rId62" Type="http://schemas.openxmlformats.org/officeDocument/2006/relationships/hyperlink" Target="https://www.iea.org/reports/global-ev-outlook-2023" TargetMode="External"/><Relationship Id="rId70" Type="http://schemas.openxmlformats.org/officeDocument/2006/relationships/hyperlink" Target="http://dx.doi.org/10.18235/0002831" TargetMode="External"/><Relationship Id="rId75" Type="http://schemas.openxmlformats.org/officeDocument/2006/relationships/hyperlink" Target="https://bipartisanpolicy.org/blog/inflation-reduction-act-summary-energy-climate-provisions" TargetMode="External"/><Relationship Id="rId1" Type="http://schemas.openxmlformats.org/officeDocument/2006/relationships/hyperlink" Target="https://changing-transport.org/tracker" TargetMode="External"/><Relationship Id="rId6" Type="http://schemas.openxmlformats.org/officeDocument/2006/relationships/hyperlink" Target="https://changing-transport.org/track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CF9C3-6F31-47DD-8355-C99EE037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2</TotalTime>
  <Pages>23</Pages>
  <Words>8569</Words>
  <Characters>47133</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ECE/TRANS/2024/</vt:lpstr>
    </vt:vector>
  </TitlesOfParts>
  <Company>DCM</Company>
  <LinksUpToDate>false</LinksUpToDate>
  <CharactersWithSpaces>55591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dc:title>
  <dc:subject/>
  <dc:creator>Estelle-Delphine DITTA</dc:creator>
  <cp:keywords/>
  <cp:lastModifiedBy>Estelle-Delphine DITTA</cp:lastModifiedBy>
  <cp:revision>2</cp:revision>
  <cp:lastPrinted>2014-05-14T10:59:00Z</cp:lastPrinted>
  <dcterms:created xsi:type="dcterms:W3CDTF">2024-01-04T12:54:00Z</dcterms:created>
  <dcterms:modified xsi:type="dcterms:W3CDTF">2024-01-04T12:54:00Z</dcterms:modified>
</cp:coreProperties>
</file>