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D995EA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387F35D" w14:textId="77777777" w:rsidR="00F35BAF" w:rsidRPr="00DB58B5" w:rsidRDefault="00F35BAF" w:rsidP="00706C8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8FF67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EF68EF" w14:textId="17C219BB" w:rsidR="00F35BAF" w:rsidRPr="00DB58B5" w:rsidRDefault="00706C83" w:rsidP="00706C83">
            <w:pPr>
              <w:jc w:val="right"/>
            </w:pPr>
            <w:r w:rsidRPr="00706C83">
              <w:rPr>
                <w:sz w:val="40"/>
              </w:rPr>
              <w:t>ECE</w:t>
            </w:r>
            <w:r>
              <w:t>/TRANS/WP.29/GRSG/2024/21</w:t>
            </w:r>
          </w:p>
        </w:tc>
      </w:tr>
      <w:tr w:rsidR="00F35BAF" w:rsidRPr="00DB58B5" w14:paraId="727EC92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D1437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FEAA97" wp14:editId="61E33A7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15E1B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DE087F" w14:textId="77777777" w:rsidR="00F35BAF" w:rsidRDefault="00706C83" w:rsidP="00C97039">
            <w:pPr>
              <w:spacing w:before="240"/>
            </w:pPr>
            <w:r>
              <w:t>Distr. générale</w:t>
            </w:r>
          </w:p>
          <w:p w14:paraId="7960BAC7" w14:textId="77777777" w:rsidR="00706C83" w:rsidRDefault="00706C83" w:rsidP="00706C83">
            <w:pPr>
              <w:spacing w:line="240" w:lineRule="exact"/>
            </w:pPr>
            <w:r>
              <w:t>30 janvier 2024</w:t>
            </w:r>
          </w:p>
          <w:p w14:paraId="7E5DBCBB" w14:textId="77777777" w:rsidR="00706C83" w:rsidRDefault="00706C83" w:rsidP="00706C83">
            <w:pPr>
              <w:spacing w:line="240" w:lineRule="exact"/>
            </w:pPr>
            <w:r>
              <w:t>Français</w:t>
            </w:r>
          </w:p>
          <w:p w14:paraId="748020FF" w14:textId="3F86D75C" w:rsidR="00706C83" w:rsidRPr="00DB58B5" w:rsidRDefault="00706C83" w:rsidP="00706C83">
            <w:pPr>
              <w:spacing w:line="240" w:lineRule="exact"/>
            </w:pPr>
            <w:r>
              <w:t>Original : anglais</w:t>
            </w:r>
          </w:p>
        </w:tc>
      </w:tr>
    </w:tbl>
    <w:p w14:paraId="04F6BF7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91B44C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334C0B7" w14:textId="77777777" w:rsidR="00706C83" w:rsidRDefault="00706C8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9D1F862" w14:textId="77777777" w:rsidR="00706C83" w:rsidRDefault="00706C83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5FB179AA" w14:textId="77777777" w:rsidR="00706C83" w:rsidRPr="000641B9" w:rsidRDefault="00706C83" w:rsidP="00706C83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127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36955B2E" w14:textId="77777777" w:rsidR="00706C83" w:rsidRPr="000641B9" w:rsidRDefault="00706C83" w:rsidP="00706C83">
      <w:pPr>
        <w:rPr>
          <w:lang w:val="fr-FR"/>
        </w:rPr>
      </w:pPr>
      <w:r>
        <w:rPr>
          <w:lang w:val="fr-FR"/>
        </w:rPr>
        <w:t>Genève, 15-19 avril 2024</w:t>
      </w:r>
    </w:p>
    <w:p w14:paraId="1AD7C72F" w14:textId="77777777" w:rsidR="00706C83" w:rsidRDefault="00706C83" w:rsidP="00706C83">
      <w:pPr>
        <w:rPr>
          <w:lang w:val="fr-FR"/>
        </w:rPr>
      </w:pPr>
      <w:r>
        <w:rPr>
          <w:lang w:val="fr-FR"/>
        </w:rPr>
        <w:t xml:space="preserve">Point 4 a) de l’ordre du jour provisoire </w:t>
      </w:r>
    </w:p>
    <w:p w14:paraId="630116E3" w14:textId="77777777" w:rsidR="00706C83" w:rsidRPr="000641B9" w:rsidRDefault="00706C83" w:rsidP="00706C83">
      <w:pPr>
        <w:rPr>
          <w:b/>
          <w:lang w:val="fr-FR"/>
        </w:rPr>
      </w:pPr>
      <w:r>
        <w:rPr>
          <w:b/>
          <w:bCs/>
          <w:lang w:val="fr-FR"/>
        </w:rPr>
        <w:t>Perception de la présence d’usagers de la route vulnérables à proximité du véhicule :</w:t>
      </w:r>
    </w:p>
    <w:p w14:paraId="3BD7E0E0" w14:textId="77777777" w:rsidR="00706C83" w:rsidRPr="000641B9" w:rsidRDefault="00706C83" w:rsidP="00706C83">
      <w:pPr>
        <w:rPr>
          <w:bCs/>
          <w:lang w:val="fr-FR"/>
        </w:rPr>
      </w:pPr>
      <w:r>
        <w:rPr>
          <w:b/>
          <w:bCs/>
          <w:lang w:val="fr-FR"/>
        </w:rPr>
        <w:t>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 46 (Dispositifs de vision indirecte)</w:t>
      </w:r>
    </w:p>
    <w:p w14:paraId="63DAC61E" w14:textId="77777777" w:rsidR="00706C83" w:rsidRPr="000641B9" w:rsidRDefault="00706C83" w:rsidP="00706C8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1 à la série 06 d’amendements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46 (Dispositifs de vision indirecte)</w:t>
      </w:r>
    </w:p>
    <w:p w14:paraId="5AEF5772" w14:textId="77777777" w:rsidR="00706C83" w:rsidRPr="000641B9" w:rsidRDefault="00706C83" w:rsidP="00706C8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des Pays-Bas</w:t>
      </w:r>
      <w:r w:rsidRPr="00706C83">
        <w:rPr>
          <w:b w:val="0"/>
          <w:bCs/>
          <w:sz w:val="20"/>
          <w:lang w:val="fr-FR"/>
        </w:rPr>
        <w:t>*</w:t>
      </w:r>
    </w:p>
    <w:p w14:paraId="2AFA957E" w14:textId="77777777" w:rsidR="00706C83" w:rsidRDefault="00706C83" w:rsidP="00706C83">
      <w:pPr>
        <w:pStyle w:val="SingleTxtG"/>
        <w:ind w:firstLine="567"/>
        <w:rPr>
          <w:lang w:val="fr-FR"/>
        </w:rPr>
      </w:pPr>
      <w:r>
        <w:rPr>
          <w:lang w:val="fr-FR"/>
        </w:rPr>
        <w:footnoteReference w:customMarkFollows="1" w:id="2"/>
        <w:t xml:space="preserve">Le texte ci-après, établi par l’expert des Pays-Bas, vise à mettre à jour les renvois aux procédures de détermination du point H et d’étalonnage de la machine tridimensionnelle point H (3-D H), celles-ci étant actualisées et transférées de la Résolution d’ensemble sur la construction des véhicules (R.E.3) à la Résolution mutuelle </w:t>
      </w:r>
      <w:r w:rsidRPr="006F024B">
        <w:rPr>
          <w:rFonts w:eastAsia="MS Mincho"/>
          <w:lang w:val="fr-FR"/>
        </w:rPr>
        <w:t>n</w:t>
      </w:r>
      <w:r w:rsidRPr="006F024B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1 (R.M.1). Les modifications qu’il est proposé d’apporter au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46 figurent en caractères gras pour les ajouts et biffés pour les suppressions.</w:t>
      </w:r>
    </w:p>
    <w:p w14:paraId="6A45DDE2" w14:textId="77777777" w:rsidR="00706C83" w:rsidRPr="000641B9" w:rsidRDefault="00706C83" w:rsidP="00706C83">
      <w:pPr>
        <w:pStyle w:val="SingleTxtG"/>
        <w:rPr>
          <w:lang w:val="fr-FR"/>
        </w:rPr>
      </w:pPr>
      <w:r w:rsidRPr="000641B9">
        <w:rPr>
          <w:lang w:val="fr-FR"/>
        </w:rPr>
        <w:br w:type="page"/>
      </w:r>
    </w:p>
    <w:p w14:paraId="155E2283" w14:textId="77777777" w:rsidR="00706C83" w:rsidRPr="00353595" w:rsidRDefault="00706C83" w:rsidP="00706C83">
      <w:pPr>
        <w:pStyle w:val="HChG"/>
        <w:rPr>
          <w:rFonts w:eastAsia="MS Mincho"/>
          <w:color w:val="000000"/>
          <w:sz w:val="40"/>
          <w:szCs w:val="40"/>
          <w:lang w:val="fr-FR"/>
        </w:rPr>
      </w:pPr>
      <w:r>
        <w:rPr>
          <w:lang w:val="fr-FR"/>
        </w:rPr>
        <w:lastRenderedPageBreak/>
        <w:tab/>
      </w:r>
      <w:r w:rsidRPr="00353595">
        <w:rPr>
          <w:lang w:val="fr-FR"/>
        </w:rPr>
        <w:t>I.</w:t>
      </w:r>
      <w:r w:rsidRPr="00353595">
        <w:rPr>
          <w:lang w:val="fr-FR"/>
        </w:rPr>
        <w:tab/>
        <w:t>Proposition</w:t>
      </w:r>
    </w:p>
    <w:p w14:paraId="575EB549" w14:textId="77777777" w:rsidR="00706C83" w:rsidRPr="000641B9" w:rsidRDefault="00706C83" w:rsidP="00706C83">
      <w:pPr>
        <w:pStyle w:val="SingleTxtG"/>
        <w:rPr>
          <w:bCs/>
          <w:lang w:val="fr-FR"/>
        </w:rPr>
      </w:pPr>
      <w:r w:rsidRPr="006F024B">
        <w:rPr>
          <w:i/>
          <w:iCs/>
          <w:lang w:val="fr-FR"/>
        </w:rPr>
        <w:t>Paragraphe 18.1</w:t>
      </w:r>
      <w:r>
        <w:rPr>
          <w:lang w:val="fr-FR"/>
        </w:rPr>
        <w:t>, lire :</w:t>
      </w:r>
    </w:p>
    <w:p w14:paraId="675D861D" w14:textId="1A6F5D4C" w:rsidR="00706C83" w:rsidRPr="000641B9" w:rsidRDefault="00706C83" w:rsidP="00706C83">
      <w:pPr>
        <w:pStyle w:val="SingleTxtG"/>
        <w:ind w:left="2268" w:hanging="1134"/>
        <w:rPr>
          <w:b/>
          <w:lang w:val="fr-FR"/>
        </w:rPr>
      </w:pPr>
      <w:r>
        <w:rPr>
          <w:lang w:val="fr-FR"/>
        </w:rPr>
        <w:t>« 18.1</w:t>
      </w:r>
      <w:r>
        <w:rPr>
          <w:lang w:val="fr-FR"/>
        </w:rPr>
        <w:tab/>
      </w:r>
      <w:r>
        <w:rPr>
          <w:strike/>
          <w:lang w:val="fr-FR"/>
        </w:rPr>
        <w:t>Les procédures de contrôle de la conformité de la production doivent satisfaire aux dispositions formulées dans l’appendice 2 de l’Accord (</w:t>
      </w:r>
      <w:hyperlink r:id="rId8" w:history="1">
        <w:r w:rsidRPr="004E63F2">
          <w:rPr>
            <w:rStyle w:val="Lienhypertexte"/>
            <w:strike/>
            <w:lang w:val="fr-FR"/>
          </w:rPr>
          <w:t>E/ECE/324-E/ECE/TRANS/505/Rev.2</w:t>
        </w:r>
      </w:hyperlink>
      <w:r>
        <w:rPr>
          <w:strike/>
          <w:lang w:val="fr-FR"/>
        </w:rPr>
        <w:t xml:space="preserve">). </w:t>
      </w:r>
      <w:r>
        <w:rPr>
          <w:b/>
          <w:bCs/>
          <w:lang w:val="fr-FR"/>
        </w:rPr>
        <w:t>Les procédures de conformité de la production doivent être conformes à celles qui sont définies à l’article 2 et à l’annexe 1 de l’Accord de 1958 (</w:t>
      </w:r>
      <w:hyperlink r:id="rId9" w:history="1">
        <w:r w:rsidRPr="004E63F2">
          <w:rPr>
            <w:rStyle w:val="Lienhypertexte"/>
            <w:b/>
            <w:bCs/>
            <w:lang w:val="fr-FR"/>
          </w:rPr>
          <w:t>E/ECE/TRANS/505/Rev.3</w:t>
        </w:r>
      </w:hyperlink>
      <w:r>
        <w:rPr>
          <w:b/>
          <w:bCs/>
          <w:lang w:val="fr-FR"/>
        </w:rPr>
        <w:t>) et satisfaire aux prescriptions ci-après :</w:t>
      </w:r>
      <w:r>
        <w:rPr>
          <w:lang w:val="fr-FR"/>
        </w:rPr>
        <w:t> ».</w:t>
      </w:r>
    </w:p>
    <w:p w14:paraId="09EEE326" w14:textId="77777777" w:rsidR="00706C83" w:rsidRPr="000641B9" w:rsidRDefault="00706C83" w:rsidP="00706C83">
      <w:pPr>
        <w:pStyle w:val="SingleTxtG"/>
        <w:rPr>
          <w:bCs/>
          <w:lang w:val="fr-FR"/>
        </w:rPr>
      </w:pPr>
      <w:r>
        <w:rPr>
          <w:i/>
          <w:iCs/>
          <w:lang w:val="fr-FR"/>
        </w:rPr>
        <w:t>Annexe 8, note de bas de page 1</w:t>
      </w:r>
      <w:r>
        <w:rPr>
          <w:lang w:val="fr-FR"/>
        </w:rPr>
        <w:t>, lire :</w:t>
      </w:r>
    </w:p>
    <w:p w14:paraId="2C8CEFC3" w14:textId="6F2CCC5E" w:rsidR="00706C83" w:rsidRPr="006F024B" w:rsidRDefault="00075C72" w:rsidP="00075C72">
      <w:pPr>
        <w:pStyle w:val="Notedebasdepage"/>
        <w:widowControl w:val="0"/>
        <w:kinsoku/>
        <w:overflowPunct/>
        <w:autoSpaceDE/>
        <w:autoSpaceDN/>
        <w:adjustRightInd/>
        <w:snapToGrid/>
        <w:rPr>
          <w:b/>
          <w:szCs w:val="18"/>
          <w:lang w:val="fr-FR"/>
        </w:rPr>
      </w:pPr>
      <w:r>
        <w:rPr>
          <w:spacing w:val="-2"/>
          <w:lang w:val="fr-FR"/>
        </w:rPr>
        <w:tab/>
      </w:r>
      <w:r w:rsidR="00706C83" w:rsidRPr="006F024B">
        <w:rPr>
          <w:spacing w:val="-2"/>
          <w:lang w:val="fr-FR"/>
        </w:rPr>
        <w:t>« </w:t>
      </w:r>
      <w:r w:rsidR="00706C83" w:rsidRPr="006F024B">
        <w:rPr>
          <w:spacing w:val="-2"/>
          <w:szCs w:val="18"/>
          <w:vertAlign w:val="superscript"/>
          <w:lang w:val="fr-FR"/>
        </w:rPr>
        <w:t>1</w:t>
      </w:r>
      <w:r w:rsidR="00706C83" w:rsidRPr="006F024B">
        <w:rPr>
          <w:spacing w:val="-2"/>
          <w:szCs w:val="18"/>
          <w:lang w:val="fr-FR"/>
        </w:rPr>
        <w:tab/>
      </w:r>
      <w:r w:rsidR="00706C83" w:rsidRPr="00075C72">
        <w:rPr>
          <w:spacing w:val="-4"/>
          <w:szCs w:val="18"/>
          <w:lang w:val="fr-FR"/>
        </w:rPr>
        <w:t xml:space="preserve">La procédure est décrite </w:t>
      </w:r>
      <w:r w:rsidR="00706C83" w:rsidRPr="00075C72">
        <w:rPr>
          <w:strike/>
          <w:spacing w:val="-4"/>
          <w:szCs w:val="18"/>
          <w:lang w:val="fr-FR"/>
        </w:rPr>
        <w:t xml:space="preserve">à l’annexe 1 de la Résolution d’ensemble sur la construction des véhicules (R.E.3), document </w:t>
      </w:r>
      <w:hyperlink r:id="rId10" w:history="1">
        <w:r w:rsidR="00706C83" w:rsidRPr="00075C72">
          <w:rPr>
            <w:rStyle w:val="Lienhypertexte"/>
            <w:strike/>
            <w:spacing w:val="-4"/>
            <w:szCs w:val="18"/>
            <w:lang w:val="fr-FR"/>
          </w:rPr>
          <w:t>ECE/TRANS/WP.29/78/Rev.7</w:t>
        </w:r>
      </w:hyperlink>
      <w:r w:rsidRPr="00075C72">
        <w:rPr>
          <w:strike/>
          <w:spacing w:val="-4"/>
          <w:szCs w:val="18"/>
          <w:lang w:val="fr-FR"/>
        </w:rPr>
        <w:t xml:space="preserve"> </w:t>
      </w:r>
      <w:r w:rsidR="00706C83" w:rsidRPr="00075C72">
        <w:rPr>
          <w:strike/>
          <w:spacing w:val="-4"/>
          <w:szCs w:val="18"/>
          <w:lang w:val="fr-FR"/>
        </w:rPr>
        <w:t>(</w:t>
      </w:r>
      <w:hyperlink r:id="rId11" w:history="1">
        <w:r w:rsidRPr="00075C72">
          <w:rPr>
            <w:rStyle w:val="Lienhypertexte"/>
            <w:strike/>
            <w:spacing w:val="-4"/>
            <w:szCs w:val="18"/>
            <w:lang w:val="fr-FR"/>
          </w:rPr>
          <w:t>https://unece.org/transport/standards/transport/vehicle-regulations-wp29/resolutions</w:t>
        </w:r>
      </w:hyperlink>
      <w:r w:rsidR="00706C83" w:rsidRPr="006F024B">
        <w:rPr>
          <w:strike/>
          <w:spacing w:val="-2"/>
          <w:szCs w:val="18"/>
          <w:lang w:val="fr-FR"/>
        </w:rPr>
        <w:t xml:space="preserve">) </w:t>
      </w:r>
      <w:r w:rsidR="00706C83" w:rsidRPr="006F024B">
        <w:rPr>
          <w:b/>
          <w:bCs/>
          <w:spacing w:val="-2"/>
          <w:szCs w:val="18"/>
          <w:lang w:val="fr-FR"/>
        </w:rPr>
        <w:t>dans l’additif 6 à la Résolution mutuelle n</w:t>
      </w:r>
      <w:r w:rsidR="00706C83" w:rsidRPr="006F024B">
        <w:rPr>
          <w:b/>
          <w:bCs/>
          <w:spacing w:val="-2"/>
          <w:szCs w:val="18"/>
          <w:vertAlign w:val="superscript"/>
          <w:lang w:val="fr-FR"/>
        </w:rPr>
        <w:t>o</w:t>
      </w:r>
      <w:r w:rsidR="00706C83" w:rsidRPr="006F024B">
        <w:rPr>
          <w:b/>
          <w:bCs/>
          <w:spacing w:val="-2"/>
          <w:szCs w:val="18"/>
          <w:lang w:val="fr-FR"/>
        </w:rPr>
        <w:t xml:space="preserve"> 1 (R.M.1), document </w:t>
      </w:r>
      <w:hyperlink r:id="rId12" w:history="1">
        <w:r w:rsidRPr="00487F91">
          <w:rPr>
            <w:rStyle w:val="Lienhypertexte"/>
            <w:b/>
            <w:bCs/>
            <w:spacing w:val="-2"/>
            <w:szCs w:val="18"/>
            <w:lang w:val="fr-FR"/>
          </w:rPr>
          <w:t>ECE/TRANS/WP.29/1101/Amend.5</w:t>
        </w:r>
      </w:hyperlink>
      <w:r w:rsidR="00706C83" w:rsidRPr="006F024B">
        <w:rPr>
          <w:b/>
          <w:bCs/>
          <w:spacing w:val="-2"/>
          <w:szCs w:val="18"/>
          <w:lang w:val="fr-FR"/>
        </w:rPr>
        <w:t xml:space="preserve"> (voir </w:t>
      </w:r>
      <w:hyperlink r:id="rId13" w:history="1">
        <w:r w:rsidRPr="00487F91">
          <w:rPr>
            <w:rStyle w:val="Lienhypertexte"/>
            <w:b/>
            <w:bCs/>
            <w:spacing w:val="-2"/>
            <w:szCs w:val="18"/>
            <w:lang w:val="fr-FR"/>
          </w:rPr>
          <w:t>https://unece.org/transport/standards/transport/vehicle-regulations-wp29/resolutions</w:t>
        </w:r>
      </w:hyperlink>
      <w:r w:rsidR="00706C83" w:rsidRPr="006F024B">
        <w:rPr>
          <w:b/>
          <w:bCs/>
          <w:szCs w:val="18"/>
          <w:lang w:val="fr-FR"/>
        </w:rPr>
        <w:t>)</w:t>
      </w:r>
      <w:r w:rsidR="00706C83" w:rsidRPr="006F024B">
        <w:rPr>
          <w:szCs w:val="18"/>
          <w:lang w:val="fr-FR"/>
        </w:rPr>
        <w:t>. </w:t>
      </w:r>
      <w:r w:rsidR="00706C83" w:rsidRPr="006F024B">
        <w:rPr>
          <w:sz w:val="20"/>
          <w:lang w:val="fr-FR"/>
        </w:rPr>
        <w:t>».</w:t>
      </w:r>
      <w:r w:rsidR="00706C83" w:rsidRPr="006F024B">
        <w:rPr>
          <w:szCs w:val="18"/>
          <w:lang w:val="fr-FR"/>
        </w:rPr>
        <w:t xml:space="preserve"> </w:t>
      </w:r>
      <w:bookmarkStart w:id="0" w:name="_Hlk156421770"/>
    </w:p>
    <w:bookmarkEnd w:id="0"/>
    <w:p w14:paraId="35D6E634" w14:textId="77777777" w:rsidR="00706C83" w:rsidRDefault="00706C83" w:rsidP="00706C83">
      <w:pPr>
        <w:pStyle w:val="HChG"/>
        <w:rPr>
          <w:rFonts w:eastAsia="MS Mincho"/>
          <w:color w:val="000000"/>
          <w:sz w:val="40"/>
          <w:szCs w:val="40"/>
          <w:lang w:val="fr-FR"/>
        </w:rPr>
      </w:pPr>
      <w:r>
        <w:rPr>
          <w:lang w:val="fr-FR"/>
        </w:rPr>
        <w:tab/>
      </w:r>
      <w:r w:rsidRPr="00E6404A">
        <w:rPr>
          <w:lang w:val="fr-FR"/>
        </w:rPr>
        <w:t>II.</w:t>
      </w:r>
      <w:r w:rsidRPr="00E6404A">
        <w:rPr>
          <w:lang w:val="fr-FR"/>
        </w:rPr>
        <w:tab/>
        <w:t>Justification</w:t>
      </w:r>
    </w:p>
    <w:p w14:paraId="104A34FB" w14:textId="77777777" w:rsidR="00706C83" w:rsidRPr="000641B9" w:rsidRDefault="00706C83" w:rsidP="00706C83">
      <w:pPr>
        <w:pStyle w:val="SingleTxtG"/>
        <w:rPr>
          <w:rFonts w:eastAsia="Malgun Gothic"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 chapitre 8 a été mis à jour compte tenu de la révision 3 de l’Accord de 1958.</w:t>
      </w:r>
    </w:p>
    <w:p w14:paraId="09DF3DBB" w14:textId="77777777" w:rsidR="00706C83" w:rsidRPr="000641B9" w:rsidRDefault="00706C83" w:rsidP="00706C83">
      <w:pPr>
        <w:pStyle w:val="SingleTxtG"/>
        <w:rPr>
          <w:rFonts w:eastAsia="Malgun Gothic"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Les spécifications de la machine tridimensionnelle de positionnement du point H ont été actualisées et transférées de la R.E.3 à la R.M.1. Une procédure d’étalonnage a également été ajoutée afin que la machine 3-D H utilisée pour tous les essais prévus dans les Règlements ONU et Règlements techniques mondiaux ONU soit toujours la même et donne des résultats cohérents d’un Règlement à l’autre.</w:t>
      </w:r>
    </w:p>
    <w:p w14:paraId="7D2A1D25" w14:textId="48468FF4" w:rsidR="00F9573C" w:rsidRPr="00706C83" w:rsidRDefault="00706C83" w:rsidP="00706C83">
      <w:pPr>
        <w:spacing w:before="240"/>
        <w:jc w:val="center"/>
        <w:rPr>
          <w:u w:val="single"/>
          <w:lang w:val="fr-FR"/>
        </w:rPr>
      </w:pPr>
      <w:r w:rsidRPr="000641B9">
        <w:rPr>
          <w:u w:val="single"/>
          <w:lang w:val="fr-FR"/>
        </w:rPr>
        <w:tab/>
      </w:r>
      <w:r w:rsidRPr="000641B9">
        <w:rPr>
          <w:u w:val="single"/>
          <w:lang w:val="fr-FR"/>
        </w:rPr>
        <w:tab/>
      </w:r>
      <w:r w:rsidRPr="000641B9">
        <w:rPr>
          <w:u w:val="single"/>
          <w:lang w:val="fr-FR"/>
        </w:rPr>
        <w:tab/>
      </w:r>
    </w:p>
    <w:sectPr w:rsidR="00F9573C" w:rsidRPr="00706C83" w:rsidSect="00706C8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D251" w14:textId="77777777" w:rsidR="00B51545" w:rsidRDefault="00B51545" w:rsidP="00F95C08">
      <w:pPr>
        <w:spacing w:line="240" w:lineRule="auto"/>
      </w:pPr>
    </w:p>
  </w:endnote>
  <w:endnote w:type="continuationSeparator" w:id="0">
    <w:p w14:paraId="7580B153" w14:textId="77777777" w:rsidR="00B51545" w:rsidRPr="00AC3823" w:rsidRDefault="00B51545" w:rsidP="00AC3823">
      <w:pPr>
        <w:pStyle w:val="Pieddepage"/>
      </w:pPr>
    </w:p>
  </w:endnote>
  <w:endnote w:type="continuationNotice" w:id="1">
    <w:p w14:paraId="0CD5A7A3" w14:textId="77777777" w:rsidR="00B51545" w:rsidRDefault="00B515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DDE5" w14:textId="6D1DAFF4" w:rsidR="00706C83" w:rsidRPr="00706C83" w:rsidRDefault="00706C83" w:rsidP="00706C83">
    <w:pPr>
      <w:pStyle w:val="Pieddepage"/>
      <w:tabs>
        <w:tab w:val="right" w:pos="9638"/>
      </w:tabs>
    </w:pPr>
    <w:r w:rsidRPr="00706C83">
      <w:rPr>
        <w:b/>
        <w:sz w:val="18"/>
      </w:rPr>
      <w:fldChar w:fldCharType="begin"/>
    </w:r>
    <w:r w:rsidRPr="00706C83">
      <w:rPr>
        <w:b/>
        <w:sz w:val="18"/>
      </w:rPr>
      <w:instrText xml:space="preserve"> PAGE  \* MERGEFORMAT </w:instrText>
    </w:r>
    <w:r w:rsidRPr="00706C83">
      <w:rPr>
        <w:b/>
        <w:sz w:val="18"/>
      </w:rPr>
      <w:fldChar w:fldCharType="separate"/>
    </w:r>
    <w:r w:rsidRPr="00706C83">
      <w:rPr>
        <w:b/>
        <w:noProof/>
        <w:sz w:val="18"/>
      </w:rPr>
      <w:t>2</w:t>
    </w:r>
    <w:r w:rsidRPr="00706C83">
      <w:rPr>
        <w:b/>
        <w:sz w:val="18"/>
      </w:rPr>
      <w:fldChar w:fldCharType="end"/>
    </w:r>
    <w:r>
      <w:rPr>
        <w:b/>
        <w:sz w:val="18"/>
      </w:rPr>
      <w:tab/>
    </w:r>
    <w:r>
      <w:t>GE.24-01573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571E" w14:textId="421DF3FD" w:rsidR="00706C83" w:rsidRPr="00706C83" w:rsidRDefault="00706C83" w:rsidP="00706C83">
    <w:pPr>
      <w:pStyle w:val="Pieddepage"/>
      <w:tabs>
        <w:tab w:val="right" w:pos="9638"/>
      </w:tabs>
      <w:rPr>
        <w:b/>
        <w:sz w:val="18"/>
      </w:rPr>
    </w:pPr>
    <w:r>
      <w:t>GE.24-01573</w:t>
    </w:r>
    <w:r>
      <w:tab/>
    </w:r>
    <w:r w:rsidRPr="00706C83">
      <w:rPr>
        <w:b/>
        <w:sz w:val="18"/>
      </w:rPr>
      <w:fldChar w:fldCharType="begin"/>
    </w:r>
    <w:r w:rsidRPr="00706C83">
      <w:rPr>
        <w:b/>
        <w:sz w:val="18"/>
      </w:rPr>
      <w:instrText xml:space="preserve"> PAGE  \* MERGEFORMAT </w:instrText>
    </w:r>
    <w:r w:rsidRPr="00706C83">
      <w:rPr>
        <w:b/>
        <w:sz w:val="18"/>
      </w:rPr>
      <w:fldChar w:fldCharType="separate"/>
    </w:r>
    <w:r w:rsidRPr="00706C83">
      <w:rPr>
        <w:b/>
        <w:noProof/>
        <w:sz w:val="18"/>
      </w:rPr>
      <w:t>3</w:t>
    </w:r>
    <w:r w:rsidRPr="00706C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A0DB" w14:textId="2DA01A52" w:rsidR="007F20FA" w:rsidRPr="00706C83" w:rsidRDefault="00706C83" w:rsidP="00706C8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6911730" wp14:editId="5AEBCC8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24-01573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FB567B2" wp14:editId="4C4BBF1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190224    200224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0E37" w14:textId="77777777" w:rsidR="00B51545" w:rsidRPr="00AC3823" w:rsidRDefault="00B5154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CD14FE" w14:textId="77777777" w:rsidR="00B51545" w:rsidRPr="00AC3823" w:rsidRDefault="00B5154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4E0699" w14:textId="77777777" w:rsidR="00B51545" w:rsidRPr="00AC3823" w:rsidRDefault="00B51545">
      <w:pPr>
        <w:spacing w:line="240" w:lineRule="auto"/>
        <w:rPr>
          <w:sz w:val="2"/>
          <w:szCs w:val="2"/>
        </w:rPr>
      </w:pPr>
    </w:p>
  </w:footnote>
  <w:footnote w:id="2">
    <w:p w14:paraId="1654B757" w14:textId="1C9AD1D2" w:rsidR="00706C83" w:rsidRPr="000641B9" w:rsidRDefault="00706C83" w:rsidP="00706C83">
      <w:pPr>
        <w:pStyle w:val="Notedebasdepage"/>
        <w:rPr>
          <w:lang w:val="fr-FR"/>
        </w:rPr>
      </w:pPr>
      <w:r>
        <w:rPr>
          <w:lang w:val="fr-FR"/>
        </w:rPr>
        <w:tab/>
      </w:r>
      <w:r w:rsidRPr="00706C83">
        <w:rPr>
          <w:sz w:val="20"/>
          <w:lang w:val="fr-FR"/>
        </w:rPr>
        <w:t>*</w:t>
      </w:r>
      <w:r>
        <w:rPr>
          <w:lang w:val="fr-FR"/>
        </w:rPr>
        <w:tab/>
      </w:r>
      <w:r w:rsidRPr="00706C83">
        <w:t>Conformément</w:t>
      </w:r>
      <w:r>
        <w:rPr>
          <w:lang w:val="fr-FR"/>
        </w:rPr>
        <w:t xml:space="preserve"> au programme de travail du Comité des transports intérieurs pour 2024 tel qu’il figure dans le projet de budget-programme pour 2024 (</w:t>
      </w:r>
      <w:hyperlink r:id="rId1" w:history="1">
        <w:r w:rsidRPr="004E63F2">
          <w:rPr>
            <w:rStyle w:val="Lienhypertexte"/>
            <w:lang w:val="fr-FR"/>
          </w:rPr>
          <w:t>A/78/6</w:t>
        </w:r>
      </w:hyperlink>
      <w:r>
        <w:rPr>
          <w:lang w:val="fr-FR"/>
        </w:rPr>
        <w:t xml:space="preserve">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6A3" w14:textId="1D6C85FF" w:rsidR="00706C83" w:rsidRPr="00706C83" w:rsidRDefault="00706C83">
    <w:pPr>
      <w:pStyle w:val="En-tte"/>
    </w:pPr>
    <w:fldSimple w:instr=" TITLE  \* MERGEFORMAT ">
      <w:r>
        <w:t>ECE/TRANS/WP.29/GRSG/2024/21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907C" w14:textId="03DD0A22" w:rsidR="00706C83" w:rsidRPr="00706C83" w:rsidRDefault="00706C83" w:rsidP="00706C83">
    <w:pPr>
      <w:pStyle w:val="En-tte"/>
      <w:jc w:val="right"/>
    </w:pPr>
    <w:fldSimple w:instr=" TITLE  \* MERGEFORMAT ">
      <w:r>
        <w:t>ECE/TRANS/WP.29/GRSG/2024/21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23831690">
    <w:abstractNumId w:val="12"/>
  </w:num>
  <w:num w:numId="2" w16cid:durableId="1474637317">
    <w:abstractNumId w:val="11"/>
  </w:num>
  <w:num w:numId="3" w16cid:durableId="987513604">
    <w:abstractNumId w:val="10"/>
  </w:num>
  <w:num w:numId="4" w16cid:durableId="1428428231">
    <w:abstractNumId w:val="8"/>
  </w:num>
  <w:num w:numId="5" w16cid:durableId="1099914181">
    <w:abstractNumId w:val="3"/>
  </w:num>
  <w:num w:numId="6" w16cid:durableId="2061440792">
    <w:abstractNumId w:val="2"/>
  </w:num>
  <w:num w:numId="7" w16cid:durableId="1852571998">
    <w:abstractNumId w:val="1"/>
  </w:num>
  <w:num w:numId="8" w16cid:durableId="1444498667">
    <w:abstractNumId w:val="0"/>
  </w:num>
  <w:num w:numId="9" w16cid:durableId="1432817927">
    <w:abstractNumId w:val="9"/>
  </w:num>
  <w:num w:numId="10" w16cid:durableId="2100639437">
    <w:abstractNumId w:val="7"/>
  </w:num>
  <w:num w:numId="11" w16cid:durableId="1627811806">
    <w:abstractNumId w:val="6"/>
  </w:num>
  <w:num w:numId="12" w16cid:durableId="210503516">
    <w:abstractNumId w:val="5"/>
  </w:num>
  <w:num w:numId="13" w16cid:durableId="504133528">
    <w:abstractNumId w:val="4"/>
  </w:num>
  <w:num w:numId="14" w16cid:durableId="1958100446">
    <w:abstractNumId w:val="12"/>
  </w:num>
  <w:num w:numId="15" w16cid:durableId="668293297">
    <w:abstractNumId w:val="11"/>
  </w:num>
  <w:num w:numId="16" w16cid:durableId="605967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45"/>
    <w:rsid w:val="00017F94"/>
    <w:rsid w:val="00023842"/>
    <w:rsid w:val="000334F9"/>
    <w:rsid w:val="00045FEB"/>
    <w:rsid w:val="00075C72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4E63F2"/>
    <w:rsid w:val="005505B7"/>
    <w:rsid w:val="00573BE5"/>
    <w:rsid w:val="00586ED3"/>
    <w:rsid w:val="00596AA9"/>
    <w:rsid w:val="00706C83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51545"/>
    <w:rsid w:val="00B765F7"/>
    <w:rsid w:val="00B77993"/>
    <w:rsid w:val="00BA0CA9"/>
    <w:rsid w:val="00C02897"/>
    <w:rsid w:val="00C97039"/>
    <w:rsid w:val="00D3439C"/>
    <w:rsid w:val="00D7622E"/>
    <w:rsid w:val="00DB1831"/>
    <w:rsid w:val="00DD2412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746B0"/>
  <w15:docId w15:val="{63FC969B-FA52-4384-A6B8-B9241D82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06C8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706C8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E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fr/E/ECE/324-E/ECE/TRANS/505/Rev.2" TargetMode="External"/><Relationship Id="rId13" Type="http://schemas.openxmlformats.org/officeDocument/2006/relationships/hyperlink" Target="https://unece.org/transport/standards/transport/vehicle-regulations-wp29/resolutions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hyperlink" Target="file:///\\conf-share1\LS\FRA\COMMON\FINAL\ECE\TRANS\WP.29\1101\Amend.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transport/standards/transport/vehicle-regulations-wp29/resolution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undocs.org/fr/ECE/TRANS/WP.29/78/Rev.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docs.org/fr/E/ECE/TRANS/505/Rev.3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fr/A/78/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210D0-B79F-49E3-A5DC-40DF66686E81}"/>
</file>

<file path=customXml/itemProps2.xml><?xml version="1.0" encoding="utf-8"?>
<ds:datastoreItem xmlns:ds="http://schemas.openxmlformats.org/officeDocument/2006/customXml" ds:itemID="{AEE13E10-7414-4A6C-924A-7D1176A1898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384</Words>
  <Characters>2689</Characters>
  <Application>Microsoft Office Word</Application>
  <DocSecurity>0</DocSecurity>
  <Lines>224</Lines>
  <Paragraphs>122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ECE/TRANS/WP.29/GRSG/2024/21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2024-02-20T08:07:00Z</dcterms:created>
  <dcterms:modified xsi:type="dcterms:W3CDTF">2024-02-20T08:07:00Z</dcterms:modified>
</cp:coreProperties>
</file>