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7D8" w14:textId="77777777" w:rsidR="00F55358" w:rsidRPr="00C16903" w:rsidRDefault="00F55358" w:rsidP="00F55358">
      <w:pPr>
        <w:spacing w:before="120"/>
        <w:rPr>
          <w:b/>
          <w:sz w:val="28"/>
          <w:szCs w:val="28"/>
          <w:lang w:val="ru-RU" w:eastAsia="fr-FR"/>
        </w:rPr>
      </w:pPr>
      <w:r w:rsidRPr="00C16903">
        <w:rPr>
          <w:b/>
          <w:sz w:val="28"/>
          <w:szCs w:val="28"/>
          <w:lang w:val="ru-RU"/>
        </w:rPr>
        <w:t xml:space="preserve">Economic Commission </w:t>
      </w:r>
      <w:proofErr w:type="spellStart"/>
      <w:r w:rsidRPr="00C16903">
        <w:rPr>
          <w:b/>
          <w:sz w:val="28"/>
          <w:szCs w:val="28"/>
          <w:lang w:val="ru-RU"/>
        </w:rPr>
        <w:t>for</w:t>
      </w:r>
      <w:proofErr w:type="spellEnd"/>
      <w:r w:rsidRPr="00C16903">
        <w:rPr>
          <w:b/>
          <w:sz w:val="28"/>
          <w:szCs w:val="28"/>
          <w:lang w:val="ru-RU"/>
        </w:rPr>
        <w:t xml:space="preserve"> Europe</w:t>
      </w:r>
    </w:p>
    <w:p w14:paraId="04EA5779" w14:textId="77777777" w:rsidR="00F55358" w:rsidRPr="00C16903" w:rsidRDefault="00F55358" w:rsidP="00F55358">
      <w:pPr>
        <w:spacing w:before="120"/>
        <w:rPr>
          <w:sz w:val="28"/>
          <w:szCs w:val="28"/>
          <w:lang w:val="ru-RU"/>
        </w:rPr>
      </w:pPr>
      <w:proofErr w:type="spellStart"/>
      <w:r w:rsidRPr="00C16903">
        <w:rPr>
          <w:sz w:val="28"/>
          <w:szCs w:val="28"/>
          <w:lang w:val="ru-RU"/>
        </w:rPr>
        <w:t>Inland</w:t>
      </w:r>
      <w:proofErr w:type="spellEnd"/>
      <w:r w:rsidRPr="00C16903">
        <w:rPr>
          <w:sz w:val="28"/>
          <w:szCs w:val="28"/>
          <w:lang w:val="ru-RU"/>
        </w:rPr>
        <w:t xml:space="preserve"> Transport Committee</w:t>
      </w:r>
    </w:p>
    <w:p w14:paraId="2D2A73CE" w14:textId="77777777" w:rsidR="00F55358" w:rsidRPr="00C16903" w:rsidRDefault="00F55358" w:rsidP="00F55358">
      <w:pPr>
        <w:spacing w:before="120"/>
        <w:rPr>
          <w:b/>
          <w:sz w:val="24"/>
          <w:szCs w:val="24"/>
          <w:lang w:val="ru-RU"/>
        </w:rPr>
      </w:pPr>
      <w:proofErr w:type="spellStart"/>
      <w:r w:rsidRPr="00C16903">
        <w:rPr>
          <w:b/>
          <w:sz w:val="24"/>
          <w:szCs w:val="24"/>
          <w:lang w:val="ru-RU"/>
        </w:rPr>
        <w:t>Working</w:t>
      </w:r>
      <w:proofErr w:type="spellEnd"/>
      <w:r w:rsidRPr="00C16903">
        <w:rPr>
          <w:b/>
          <w:sz w:val="24"/>
          <w:szCs w:val="24"/>
          <w:lang w:val="ru-RU"/>
        </w:rPr>
        <w:t xml:space="preserve"> Party </w:t>
      </w:r>
      <w:proofErr w:type="spellStart"/>
      <w:r w:rsidRPr="00C16903">
        <w:rPr>
          <w:b/>
          <w:sz w:val="24"/>
          <w:szCs w:val="24"/>
          <w:lang w:val="ru-RU"/>
        </w:rPr>
        <w:t>on</w:t>
      </w:r>
      <w:proofErr w:type="spellEnd"/>
      <w:r w:rsidRPr="00C16903">
        <w:rPr>
          <w:b/>
          <w:sz w:val="24"/>
          <w:szCs w:val="24"/>
          <w:lang w:val="ru-RU"/>
        </w:rPr>
        <w:t xml:space="preserve"> </w:t>
      </w:r>
      <w:proofErr w:type="spellStart"/>
      <w:r w:rsidRPr="00C16903">
        <w:rPr>
          <w:b/>
          <w:sz w:val="24"/>
          <w:szCs w:val="24"/>
          <w:lang w:val="ru-RU"/>
        </w:rPr>
        <w:t>the</w:t>
      </w:r>
      <w:proofErr w:type="spellEnd"/>
      <w:r w:rsidRPr="00C16903">
        <w:rPr>
          <w:b/>
          <w:sz w:val="24"/>
          <w:szCs w:val="24"/>
          <w:lang w:val="ru-RU"/>
        </w:rPr>
        <w:t xml:space="preserve"> Transport </w:t>
      </w:r>
      <w:proofErr w:type="spellStart"/>
      <w:r w:rsidRPr="00C16903">
        <w:rPr>
          <w:b/>
          <w:sz w:val="24"/>
          <w:szCs w:val="24"/>
          <w:lang w:val="ru-RU"/>
        </w:rPr>
        <w:t>of</w:t>
      </w:r>
      <w:proofErr w:type="spellEnd"/>
      <w:r w:rsidRPr="00C16903">
        <w:rPr>
          <w:b/>
          <w:sz w:val="24"/>
          <w:szCs w:val="24"/>
          <w:lang w:val="ru-RU"/>
        </w:rPr>
        <w:t xml:space="preserve"> </w:t>
      </w:r>
      <w:proofErr w:type="spellStart"/>
      <w:r w:rsidRPr="00C16903">
        <w:rPr>
          <w:b/>
          <w:sz w:val="24"/>
          <w:szCs w:val="24"/>
          <w:lang w:val="ru-RU"/>
        </w:rPr>
        <w:t>Dangerous</w:t>
      </w:r>
      <w:proofErr w:type="spellEnd"/>
      <w:r w:rsidRPr="00C16903">
        <w:rPr>
          <w:b/>
          <w:sz w:val="24"/>
          <w:szCs w:val="24"/>
          <w:lang w:val="ru-RU"/>
        </w:rPr>
        <w:t xml:space="preserve"> </w:t>
      </w:r>
      <w:proofErr w:type="spellStart"/>
      <w:r w:rsidRPr="00C16903">
        <w:rPr>
          <w:b/>
          <w:sz w:val="24"/>
          <w:szCs w:val="24"/>
          <w:lang w:val="ru-RU"/>
        </w:rPr>
        <w:t>Goods</w:t>
      </w:r>
      <w:proofErr w:type="spellEnd"/>
    </w:p>
    <w:p w14:paraId="50A97E2D" w14:textId="67A39065" w:rsidR="00F55358" w:rsidRPr="00C16903" w:rsidRDefault="00F55358" w:rsidP="00F55358">
      <w:pPr>
        <w:spacing w:before="120"/>
        <w:rPr>
          <w:b/>
          <w:bCs/>
          <w:lang w:val="ru-RU"/>
        </w:rPr>
      </w:pPr>
      <w:r w:rsidRPr="00C16903">
        <w:rPr>
          <w:b/>
          <w:bCs/>
          <w:lang w:val="ru-RU"/>
        </w:rPr>
        <w:t>11</w:t>
      </w:r>
      <w:r w:rsidR="000D69FC" w:rsidRPr="00C16903">
        <w:rPr>
          <w:b/>
          <w:bCs/>
          <w:lang w:val="ru-RU"/>
        </w:rPr>
        <w:t>5</w:t>
      </w:r>
      <w:r w:rsidRPr="00C16903">
        <w:rPr>
          <w:b/>
          <w:bCs/>
          <w:lang w:val="ru-RU"/>
        </w:rPr>
        <w:t>th session</w:t>
      </w:r>
    </w:p>
    <w:p w14:paraId="115A641C" w14:textId="1C3E9482" w:rsidR="00F55358" w:rsidRPr="00C16903" w:rsidRDefault="00F55358" w:rsidP="00F55358">
      <w:pPr>
        <w:rPr>
          <w:rFonts w:eastAsia="SimSun"/>
          <w:lang w:val="ru-RU"/>
        </w:rPr>
      </w:pPr>
      <w:r w:rsidRPr="00C16903">
        <w:rPr>
          <w:lang w:val="ru-RU"/>
        </w:rPr>
        <w:t xml:space="preserve">Geneva, </w:t>
      </w:r>
      <w:r w:rsidR="000D69FC" w:rsidRPr="00C16903">
        <w:rPr>
          <w:lang w:val="ru-RU"/>
        </w:rPr>
        <w:t>2</w:t>
      </w:r>
      <w:r w:rsidRPr="00C16903">
        <w:rPr>
          <w:lang w:val="ru-RU"/>
        </w:rPr>
        <w:t xml:space="preserve"> - </w:t>
      </w:r>
      <w:r w:rsidR="000D69FC" w:rsidRPr="00C16903">
        <w:rPr>
          <w:lang w:val="ru-RU"/>
        </w:rPr>
        <w:t>5</w:t>
      </w:r>
      <w:r w:rsidRPr="00C16903">
        <w:rPr>
          <w:lang w:val="ru-RU"/>
        </w:rPr>
        <w:t xml:space="preserve"> </w:t>
      </w:r>
      <w:proofErr w:type="spellStart"/>
      <w:r w:rsidR="000D69FC" w:rsidRPr="00C16903">
        <w:rPr>
          <w:lang w:val="ru-RU"/>
        </w:rPr>
        <w:t>April</w:t>
      </w:r>
      <w:proofErr w:type="spellEnd"/>
      <w:r w:rsidRPr="00C16903">
        <w:rPr>
          <w:lang w:val="ru-RU"/>
        </w:rPr>
        <w:t xml:space="preserve"> 202</w:t>
      </w:r>
      <w:r w:rsidR="000D69FC" w:rsidRPr="00C16903">
        <w:rPr>
          <w:lang w:val="ru-RU"/>
        </w:rPr>
        <w:t>4</w:t>
      </w:r>
      <w:r w:rsidR="00957638" w:rsidRPr="00C16903">
        <w:rPr>
          <w:lang w:val="ru-RU"/>
        </w:rPr>
        <w:tab/>
      </w:r>
      <w:r w:rsidR="00957638" w:rsidRPr="00C16903">
        <w:rPr>
          <w:lang w:val="ru-RU"/>
        </w:rPr>
        <w:tab/>
      </w:r>
      <w:r w:rsidR="00957638" w:rsidRPr="00C16903">
        <w:rPr>
          <w:lang w:val="ru-RU"/>
        </w:rPr>
        <w:tab/>
      </w:r>
      <w:r w:rsidR="00957638" w:rsidRPr="00C16903">
        <w:rPr>
          <w:lang w:val="ru-RU"/>
        </w:rPr>
        <w:tab/>
      </w:r>
      <w:r w:rsidR="00957638" w:rsidRPr="00C16903">
        <w:rPr>
          <w:lang w:val="ru-RU"/>
        </w:rPr>
        <w:tab/>
      </w:r>
      <w:r w:rsidR="00957638" w:rsidRPr="00C16903">
        <w:rPr>
          <w:lang w:val="ru-RU"/>
        </w:rPr>
        <w:tab/>
      </w:r>
      <w:r w:rsidR="00957638" w:rsidRPr="00C16903">
        <w:rPr>
          <w:lang w:val="ru-RU"/>
        </w:rPr>
        <w:tab/>
      </w:r>
      <w:r w:rsidR="00D730F5" w:rsidRPr="00C16903">
        <w:rPr>
          <w:lang w:val="ru-RU"/>
        </w:rPr>
        <w:tab/>
      </w:r>
      <w:r w:rsidR="000D69FC" w:rsidRPr="00C16903">
        <w:rPr>
          <w:lang w:val="ru-RU"/>
        </w:rPr>
        <w:t xml:space="preserve">29 </w:t>
      </w:r>
      <w:proofErr w:type="spellStart"/>
      <w:r w:rsidR="000D69FC" w:rsidRPr="00C16903">
        <w:rPr>
          <w:lang w:val="ru-RU"/>
        </w:rPr>
        <w:t>March</w:t>
      </w:r>
      <w:proofErr w:type="spellEnd"/>
      <w:r w:rsidR="000D69FC" w:rsidRPr="00C16903">
        <w:rPr>
          <w:lang w:val="ru-RU"/>
        </w:rPr>
        <w:t xml:space="preserve"> 2024</w:t>
      </w:r>
    </w:p>
    <w:p w14:paraId="53BF3EE4" w14:textId="1D624302" w:rsidR="00F55358" w:rsidRPr="00C16903" w:rsidRDefault="00F55358" w:rsidP="00F55358">
      <w:pPr>
        <w:rPr>
          <w:lang w:val="ru-RU"/>
        </w:rPr>
      </w:pPr>
      <w:proofErr w:type="spellStart"/>
      <w:r w:rsidRPr="00C16903">
        <w:rPr>
          <w:lang w:val="ru-RU"/>
        </w:rPr>
        <w:t>Item</w:t>
      </w:r>
      <w:proofErr w:type="spellEnd"/>
      <w:r w:rsidRPr="00C16903">
        <w:rPr>
          <w:lang w:val="ru-RU"/>
        </w:rPr>
        <w:t xml:space="preserve"> </w:t>
      </w:r>
      <w:r w:rsidR="005D338A" w:rsidRPr="00C16903">
        <w:rPr>
          <w:lang w:val="ru-RU"/>
        </w:rPr>
        <w:t>4</w:t>
      </w:r>
      <w:r w:rsidRPr="00C16903">
        <w:rPr>
          <w:lang w:val="ru-RU"/>
        </w:rPr>
        <w:t xml:space="preserve"> </w:t>
      </w:r>
      <w:proofErr w:type="spellStart"/>
      <w:r w:rsidRPr="00C16903">
        <w:rPr>
          <w:lang w:val="ru-RU"/>
        </w:rPr>
        <w:t>of</w:t>
      </w:r>
      <w:proofErr w:type="spellEnd"/>
      <w:r w:rsidRPr="00C16903">
        <w:rPr>
          <w:lang w:val="ru-RU"/>
        </w:rPr>
        <w:t xml:space="preserve"> </w:t>
      </w:r>
      <w:proofErr w:type="spellStart"/>
      <w:r w:rsidRPr="00C16903">
        <w:rPr>
          <w:lang w:val="ru-RU"/>
        </w:rPr>
        <w:t>the</w:t>
      </w:r>
      <w:proofErr w:type="spellEnd"/>
      <w:r w:rsidRPr="00C16903">
        <w:rPr>
          <w:lang w:val="ru-RU"/>
        </w:rPr>
        <w:t xml:space="preserve"> </w:t>
      </w:r>
      <w:proofErr w:type="spellStart"/>
      <w:r w:rsidRPr="00C16903">
        <w:rPr>
          <w:lang w:val="ru-RU"/>
        </w:rPr>
        <w:t>provisional</w:t>
      </w:r>
      <w:proofErr w:type="spellEnd"/>
      <w:r w:rsidRPr="00C16903">
        <w:rPr>
          <w:lang w:val="ru-RU"/>
        </w:rPr>
        <w:t xml:space="preserve"> </w:t>
      </w:r>
      <w:proofErr w:type="spellStart"/>
      <w:r w:rsidRPr="00C16903">
        <w:rPr>
          <w:lang w:val="ru-RU"/>
        </w:rPr>
        <w:t>agenda</w:t>
      </w:r>
      <w:proofErr w:type="spellEnd"/>
    </w:p>
    <w:p w14:paraId="2CA3528F" w14:textId="7838004E" w:rsidR="00F55358" w:rsidRPr="00C16903" w:rsidRDefault="00A96E56" w:rsidP="00F55358">
      <w:pPr>
        <w:rPr>
          <w:b/>
          <w:bCs/>
          <w:lang w:val="ru-RU"/>
        </w:rPr>
      </w:pPr>
      <w:r w:rsidRPr="00C16903">
        <w:rPr>
          <w:b/>
          <w:lang w:val="ru-RU"/>
        </w:rPr>
        <w:t xml:space="preserve">Work </w:t>
      </w:r>
      <w:proofErr w:type="spellStart"/>
      <w:r w:rsidRPr="00C16903">
        <w:rPr>
          <w:b/>
          <w:lang w:val="ru-RU"/>
        </w:rPr>
        <w:t>of</w:t>
      </w:r>
      <w:proofErr w:type="spellEnd"/>
      <w:r w:rsidRPr="00C16903">
        <w:rPr>
          <w:b/>
          <w:lang w:val="ru-RU"/>
        </w:rPr>
        <w:t xml:space="preserve"> </w:t>
      </w:r>
      <w:proofErr w:type="spellStart"/>
      <w:r w:rsidRPr="00C16903">
        <w:rPr>
          <w:b/>
          <w:lang w:val="ru-RU"/>
        </w:rPr>
        <w:t>the</w:t>
      </w:r>
      <w:proofErr w:type="spellEnd"/>
      <w:r w:rsidRPr="00C16903">
        <w:rPr>
          <w:b/>
          <w:lang w:val="ru-RU"/>
        </w:rPr>
        <w:t xml:space="preserve"> RID/ADR/ADN Joint </w:t>
      </w:r>
      <w:proofErr w:type="spellStart"/>
      <w:r w:rsidRPr="00C16903">
        <w:rPr>
          <w:b/>
          <w:lang w:val="ru-RU"/>
        </w:rPr>
        <w:t>Meeting</w:t>
      </w:r>
      <w:proofErr w:type="spellEnd"/>
    </w:p>
    <w:p w14:paraId="3B0AB583" w14:textId="23576BAF" w:rsidR="00A21779" w:rsidRPr="00C16903" w:rsidRDefault="001C31C4" w:rsidP="00EE08E0">
      <w:pPr>
        <w:pStyle w:val="HChG"/>
        <w:rPr>
          <w:lang w:val="ru-RU"/>
        </w:rPr>
      </w:pPr>
      <w:r w:rsidRPr="00C16903">
        <w:rPr>
          <w:sz w:val="24"/>
          <w:lang w:val="ru-RU"/>
        </w:rPr>
        <w:tab/>
      </w:r>
      <w:r w:rsidRPr="00C16903">
        <w:rPr>
          <w:sz w:val="24"/>
          <w:lang w:val="ru-RU"/>
        </w:rPr>
        <w:tab/>
      </w:r>
      <w:r w:rsidR="00EE08E0" w:rsidRPr="00C16903">
        <w:rPr>
          <w:lang w:val="ru-RU"/>
        </w:rPr>
        <w:t xml:space="preserve">Тексты, принятые на совместном </w:t>
      </w:r>
      <w:r w:rsidR="00D1321A" w:rsidRPr="00D1321A">
        <w:rPr>
          <w:lang w:val="ru-RU"/>
        </w:rPr>
        <w:t>совещании</w:t>
      </w:r>
      <w:r w:rsidR="00EE08E0" w:rsidRPr="00C16903">
        <w:rPr>
          <w:lang w:val="ru-RU"/>
        </w:rPr>
        <w:t xml:space="preserve">: </w:t>
      </w:r>
      <w:proofErr w:type="spellStart"/>
      <w:r w:rsidR="001F2B1E">
        <w:rPr>
          <w:bCs/>
        </w:rPr>
        <w:t>Проекты</w:t>
      </w:r>
      <w:proofErr w:type="spellEnd"/>
      <w:r w:rsidR="001F2B1E">
        <w:rPr>
          <w:bCs/>
        </w:rPr>
        <w:t xml:space="preserve"> </w:t>
      </w:r>
      <w:r w:rsidR="00EE08E0" w:rsidRPr="00C16903">
        <w:rPr>
          <w:lang w:val="ru-RU"/>
        </w:rPr>
        <w:t>поправок к ДОПОГ для вступления в силу 1 января 2025 года</w:t>
      </w:r>
    </w:p>
    <w:p w14:paraId="73C910E6" w14:textId="08D2F453" w:rsidR="001C31C4" w:rsidRPr="00C16903" w:rsidRDefault="00A21779" w:rsidP="00A21779">
      <w:pPr>
        <w:pStyle w:val="H1G"/>
        <w:rPr>
          <w:lang w:val="ru-RU"/>
        </w:rPr>
      </w:pPr>
      <w:r w:rsidRPr="00C16903">
        <w:rPr>
          <w:lang w:val="ru-RU"/>
        </w:rPr>
        <w:tab/>
      </w:r>
      <w:r w:rsidRPr="00C16903">
        <w:rPr>
          <w:lang w:val="ru-RU"/>
        </w:rPr>
        <w:tab/>
      </w:r>
      <w:r w:rsidRPr="00C16903">
        <w:rPr>
          <w:lang w:val="ru-RU"/>
        </w:rPr>
        <w:t>Записка секретариата</w:t>
      </w:r>
    </w:p>
    <w:p w14:paraId="01DD6264" w14:textId="607E8066" w:rsidR="00E56797" w:rsidRPr="00C16903" w:rsidRDefault="00E56797" w:rsidP="001C31C4">
      <w:pPr>
        <w:spacing w:after="120"/>
        <w:ind w:left="1134" w:right="1134"/>
        <w:jc w:val="both"/>
        <w:rPr>
          <w:lang w:val="ru-RU"/>
        </w:rPr>
      </w:pPr>
      <w:r w:rsidRPr="00C16903">
        <w:rPr>
          <w:lang w:val="ru-RU"/>
        </w:rPr>
        <w:t>Секретариат воспроизводит ниже предложения по поправкам к ДОПОГ, которые должны вступить в силу 1 января 2025 года и которые были приняты Совместным совещанием на его сессии в марте 2024 года (проект доклада: ECE/TRANS/WP.15/AC.1/2024/R.2 и add.1 / Окончательный доклад, подлежащий публикации: ECE/TRANS/WP.15/AC.1/172).</w:t>
      </w:r>
    </w:p>
    <w:p w14:paraId="2BB2A073" w14:textId="20E73105" w:rsidR="00C5732F" w:rsidRPr="00C16903" w:rsidRDefault="00C5732F" w:rsidP="00C5732F">
      <w:pPr>
        <w:pStyle w:val="HChG"/>
        <w:rPr>
          <w:lang w:val="ru-RU"/>
        </w:rPr>
      </w:pPr>
      <w:r w:rsidRPr="00C16903">
        <w:rPr>
          <w:b w:val="0"/>
          <w:lang w:val="ru-RU"/>
        </w:rPr>
        <w:tab/>
      </w:r>
      <w:r w:rsidRPr="00C16903">
        <w:rPr>
          <w:bCs/>
          <w:lang w:val="ru-RU"/>
        </w:rPr>
        <w:t>A.</w:t>
      </w:r>
      <w:r w:rsidRPr="00C16903">
        <w:rPr>
          <w:bCs/>
          <w:lang w:val="ru-RU"/>
        </w:rPr>
        <w:tab/>
      </w:r>
      <w:r w:rsidRPr="00C16903">
        <w:rPr>
          <w:lang w:val="ru-RU"/>
        </w:rPr>
        <w:t>Новые проекты поправок</w:t>
      </w:r>
    </w:p>
    <w:p w14:paraId="26796BEC" w14:textId="0A90DA49" w:rsidR="00CF1A94" w:rsidRPr="00C16903" w:rsidRDefault="00CF1A94" w:rsidP="0018137F">
      <w:pPr>
        <w:pStyle w:val="H1G"/>
        <w:rPr>
          <w:lang w:val="ru-RU" w:eastAsia="ru-RU"/>
        </w:rPr>
      </w:pPr>
      <w:r w:rsidRPr="00C16903">
        <w:rPr>
          <w:lang w:val="ru-RU" w:eastAsia="ru-RU"/>
        </w:rPr>
        <w:tab/>
      </w:r>
      <w:r w:rsidRPr="00C16903">
        <w:rPr>
          <w:lang w:val="ru-RU" w:eastAsia="ru-RU"/>
        </w:rPr>
        <w:tab/>
        <w:t>Глава 1.</w:t>
      </w:r>
      <w:r w:rsidR="006C636C" w:rsidRPr="00C16903">
        <w:rPr>
          <w:lang w:val="ru-RU" w:eastAsia="ru-RU"/>
        </w:rPr>
        <w:t>1</w:t>
      </w:r>
    </w:p>
    <w:p w14:paraId="10F14B37" w14:textId="77777777" w:rsidR="00FF2146" w:rsidRPr="00C16903" w:rsidRDefault="00FF2146" w:rsidP="00FF2146">
      <w:pPr>
        <w:pStyle w:val="SingleTxtG"/>
        <w:rPr>
          <w:lang w:val="ru-RU"/>
        </w:rPr>
      </w:pPr>
      <w:r w:rsidRPr="00C16903">
        <w:rPr>
          <w:b/>
          <w:bCs/>
          <w:lang w:val="ru-RU"/>
        </w:rPr>
        <w:t>1.1.3.7</w:t>
      </w:r>
      <w:r w:rsidRPr="00C16903">
        <w:rPr>
          <w:b/>
          <w:bCs/>
          <w:lang w:val="ru-RU"/>
        </w:rPr>
        <w:tab/>
      </w:r>
      <w:r w:rsidRPr="00C16903">
        <w:rPr>
          <w:b/>
          <w:bCs/>
          <w:lang w:val="ru-RU"/>
        </w:rPr>
        <w:tab/>
      </w:r>
      <w:r w:rsidRPr="00C16903">
        <w:rPr>
          <w:lang w:val="ru-RU"/>
        </w:rPr>
        <w:t>[В тексте подпункта b) на французском языке заменить «</w:t>
      </w:r>
      <w:proofErr w:type="spellStart"/>
      <w:r w:rsidRPr="00C16903">
        <w:rPr>
          <w:lang w:val="ru-RU"/>
        </w:rPr>
        <w:t>compartiments</w:t>
      </w:r>
      <w:proofErr w:type="spellEnd"/>
      <w:r w:rsidRPr="00C16903">
        <w:rPr>
          <w:lang w:val="ru-RU"/>
        </w:rPr>
        <w:t xml:space="preserve"> de </w:t>
      </w:r>
      <w:proofErr w:type="spellStart"/>
      <w:r w:rsidRPr="00C16903">
        <w:rPr>
          <w:lang w:val="ru-RU"/>
        </w:rPr>
        <w:t>charge</w:t>
      </w:r>
      <w:proofErr w:type="spellEnd"/>
      <w:r w:rsidRPr="00C16903">
        <w:rPr>
          <w:lang w:val="ru-RU"/>
        </w:rPr>
        <w:t>» на «</w:t>
      </w:r>
      <w:proofErr w:type="spellStart"/>
      <w:r w:rsidRPr="00C16903">
        <w:rPr>
          <w:lang w:val="ru-RU"/>
        </w:rPr>
        <w:t>compartiments</w:t>
      </w:r>
      <w:proofErr w:type="spellEnd"/>
      <w:r w:rsidRPr="00C16903">
        <w:rPr>
          <w:lang w:val="ru-RU"/>
        </w:rPr>
        <w:t xml:space="preserve"> de </w:t>
      </w:r>
      <w:proofErr w:type="spellStart"/>
      <w:r w:rsidRPr="00C16903">
        <w:rPr>
          <w:lang w:val="ru-RU"/>
        </w:rPr>
        <w:t>chargement</w:t>
      </w:r>
      <w:proofErr w:type="spellEnd"/>
      <w:r w:rsidRPr="00C16903">
        <w:rPr>
          <w:lang w:val="ru-RU"/>
        </w:rPr>
        <w:t>» (данная поправка не касается текста на русском языке).]</w:t>
      </w:r>
    </w:p>
    <w:p w14:paraId="2BC2AC52" w14:textId="77777777" w:rsidR="008472D2" w:rsidRPr="00C16903" w:rsidRDefault="008472D2" w:rsidP="008472D2">
      <w:pPr>
        <w:pStyle w:val="H1G"/>
        <w:rPr>
          <w:lang w:val="ru-RU"/>
        </w:rPr>
      </w:pPr>
      <w:r w:rsidRPr="00C16903">
        <w:rPr>
          <w:lang w:val="ru-RU"/>
        </w:rPr>
        <w:tab/>
      </w:r>
      <w:r w:rsidRPr="00C16903">
        <w:rPr>
          <w:lang w:val="ru-RU"/>
        </w:rPr>
        <w:tab/>
      </w:r>
      <w:proofErr w:type="spellStart"/>
      <w:r w:rsidRPr="00C16903">
        <w:rPr>
          <w:lang w:val="ru-RU"/>
        </w:rPr>
        <w:t>Chapter</w:t>
      </w:r>
      <w:proofErr w:type="spellEnd"/>
      <w:r w:rsidRPr="00C16903">
        <w:rPr>
          <w:lang w:val="ru-RU"/>
        </w:rPr>
        <w:t xml:space="preserve"> 1.2</w:t>
      </w:r>
    </w:p>
    <w:p w14:paraId="75ED7191" w14:textId="77777777" w:rsidR="00FE6E8F" w:rsidRPr="00C16903" w:rsidRDefault="00FE6E8F" w:rsidP="00FE6E8F">
      <w:pPr>
        <w:pStyle w:val="SingleTxtG"/>
        <w:rPr>
          <w:lang w:val="ru-RU"/>
        </w:rPr>
      </w:pPr>
      <w:r w:rsidRPr="00C16903">
        <w:rPr>
          <w:b/>
          <w:bCs/>
          <w:lang w:val="ru-RU"/>
        </w:rPr>
        <w:t>1.2.1</w:t>
      </w:r>
      <w:r w:rsidRPr="00C16903">
        <w:rPr>
          <w:b/>
          <w:bCs/>
          <w:lang w:val="ru-RU"/>
        </w:rPr>
        <w:tab/>
      </w:r>
      <w:r w:rsidRPr="00C16903">
        <w:rPr>
          <w:lang w:val="ru-RU"/>
        </w:rPr>
        <w:t>[В разделе 1.2.1, последний абзац определения термина «Контейнер для массовых грузов», заменить «</w:t>
      </w:r>
      <w:proofErr w:type="spellStart"/>
      <w:r w:rsidRPr="00C16903">
        <w:rPr>
          <w:lang w:val="ru-RU"/>
        </w:rPr>
        <w:t>compartiments</w:t>
      </w:r>
      <w:proofErr w:type="spellEnd"/>
      <w:r w:rsidRPr="00C16903">
        <w:rPr>
          <w:lang w:val="ru-RU"/>
        </w:rPr>
        <w:t xml:space="preserve"> de </w:t>
      </w:r>
      <w:proofErr w:type="spellStart"/>
      <w:r w:rsidRPr="00C16903">
        <w:rPr>
          <w:lang w:val="ru-RU"/>
        </w:rPr>
        <w:t>charge</w:t>
      </w:r>
      <w:proofErr w:type="spellEnd"/>
      <w:r w:rsidRPr="00C16903">
        <w:rPr>
          <w:lang w:val="ru-RU"/>
        </w:rPr>
        <w:t>» на «</w:t>
      </w:r>
      <w:proofErr w:type="spellStart"/>
      <w:r w:rsidRPr="00C16903">
        <w:rPr>
          <w:lang w:val="ru-RU"/>
        </w:rPr>
        <w:t>compartiments</w:t>
      </w:r>
      <w:proofErr w:type="spellEnd"/>
      <w:r w:rsidRPr="00C16903">
        <w:rPr>
          <w:lang w:val="ru-RU"/>
        </w:rPr>
        <w:t xml:space="preserve"> de </w:t>
      </w:r>
      <w:proofErr w:type="spellStart"/>
      <w:r w:rsidRPr="00C16903">
        <w:rPr>
          <w:lang w:val="ru-RU"/>
        </w:rPr>
        <w:t>chargement</w:t>
      </w:r>
      <w:proofErr w:type="spellEnd"/>
      <w:r w:rsidRPr="00C16903">
        <w:rPr>
          <w:lang w:val="ru-RU"/>
        </w:rPr>
        <w:t>» (данная поправка не касается текста на русском языке).]</w:t>
      </w:r>
    </w:p>
    <w:p w14:paraId="34A8563B" w14:textId="6E52B159" w:rsidR="00133E70" w:rsidRPr="00C16903" w:rsidRDefault="00133E70" w:rsidP="00133E70">
      <w:pPr>
        <w:pStyle w:val="SingleTxtG"/>
        <w:rPr>
          <w:lang w:val="ru-RU"/>
        </w:rPr>
      </w:pPr>
      <w:r w:rsidRPr="00C16903">
        <w:rPr>
          <w:b/>
          <w:bCs/>
          <w:lang w:val="ru-RU"/>
        </w:rPr>
        <w:t>1.2.2.1</w:t>
      </w:r>
      <w:r w:rsidRPr="00C16903">
        <w:rPr>
          <w:b/>
          <w:bCs/>
          <w:lang w:val="ru-RU"/>
        </w:rPr>
        <w:tab/>
      </w:r>
      <w:r w:rsidRPr="00C16903">
        <w:rPr>
          <w:lang w:val="ru-RU"/>
        </w:rPr>
        <w:tab/>
        <w:t>В таблице, в строке «Масса», в третьем столбце заменить «t (</w:t>
      </w:r>
      <w:proofErr w:type="spellStart"/>
      <w:r w:rsidRPr="00C16903">
        <w:rPr>
          <w:lang w:val="ru-RU"/>
        </w:rPr>
        <w:t>ton</w:t>
      </w:r>
      <w:proofErr w:type="spellEnd"/>
      <w:r w:rsidRPr="00C16903">
        <w:rPr>
          <w:lang w:val="ru-RU"/>
        </w:rPr>
        <w:t>)» на</w:t>
      </w:r>
      <w:r w:rsidRPr="00C16903">
        <w:rPr>
          <w:lang w:val="ru-RU"/>
        </w:rPr>
        <w:t xml:space="preserve"> </w:t>
      </w:r>
      <w:r w:rsidRPr="00C16903">
        <w:rPr>
          <w:lang w:val="ru-RU"/>
        </w:rPr>
        <w:t>«t (</w:t>
      </w:r>
      <w:proofErr w:type="spellStart"/>
      <w:r w:rsidRPr="00C16903">
        <w:rPr>
          <w:lang w:val="ru-RU"/>
        </w:rPr>
        <w:t>tonne</w:t>
      </w:r>
      <w:proofErr w:type="spellEnd"/>
      <w:r w:rsidRPr="00C16903">
        <w:rPr>
          <w:lang w:val="ru-RU"/>
        </w:rPr>
        <w:t>)» (данная поправка не касается текста на русском языке).</w:t>
      </w:r>
    </w:p>
    <w:p w14:paraId="6E178304" w14:textId="2C278689" w:rsidR="0018137F" w:rsidRPr="00C16903" w:rsidRDefault="0018137F" w:rsidP="0018137F">
      <w:pPr>
        <w:pStyle w:val="H1G"/>
        <w:rPr>
          <w:lang w:val="ru-RU" w:eastAsia="ru-RU"/>
        </w:rPr>
      </w:pPr>
      <w:r w:rsidRPr="00C16903">
        <w:rPr>
          <w:lang w:val="ru-RU" w:eastAsia="ru-RU"/>
        </w:rPr>
        <w:tab/>
      </w:r>
      <w:r w:rsidRPr="00C16903">
        <w:rPr>
          <w:lang w:val="ru-RU" w:eastAsia="ru-RU"/>
        </w:rPr>
        <w:tab/>
        <w:t>Глава 1.</w:t>
      </w:r>
      <w:r w:rsidRPr="00C16903">
        <w:rPr>
          <w:lang w:val="ru-RU" w:eastAsia="ru-RU"/>
        </w:rPr>
        <w:t>4</w:t>
      </w:r>
    </w:p>
    <w:p w14:paraId="4CC5F66C" w14:textId="77777777" w:rsidR="00313608" w:rsidRPr="00C16903" w:rsidRDefault="00313608" w:rsidP="00313608">
      <w:pPr>
        <w:pStyle w:val="SingleTxtG"/>
        <w:rPr>
          <w:lang w:val="ru-RU"/>
        </w:rPr>
      </w:pPr>
      <w:r w:rsidRPr="00C16903">
        <w:rPr>
          <w:b/>
          <w:bCs/>
          <w:lang w:val="ru-RU"/>
        </w:rPr>
        <w:t>1.4.2.1.1</w:t>
      </w:r>
      <w:r w:rsidRPr="00C16903">
        <w:rPr>
          <w:lang w:val="ru-RU"/>
        </w:rPr>
        <w:tab/>
        <w:t>В конце подпункта e) заменить точку с запятой на точку.</w:t>
      </w:r>
    </w:p>
    <w:p w14:paraId="086345B0" w14:textId="77777777" w:rsidR="00FD5F45" w:rsidRPr="00C16903" w:rsidRDefault="00FD5F45" w:rsidP="00FD5F45">
      <w:pPr>
        <w:pStyle w:val="SingleTxtG"/>
        <w:rPr>
          <w:lang w:val="ru-RU"/>
        </w:rPr>
      </w:pPr>
      <w:r w:rsidRPr="00C16903">
        <w:rPr>
          <w:lang w:val="ru-RU"/>
        </w:rPr>
        <w:t>Добавить следующий новый подпункт f):</w:t>
      </w:r>
    </w:p>
    <w:p w14:paraId="0952D776" w14:textId="77777777" w:rsidR="00986294" w:rsidRPr="00C16903" w:rsidRDefault="00986294" w:rsidP="00986294">
      <w:pPr>
        <w:pStyle w:val="SingleTxtG"/>
        <w:rPr>
          <w:lang w:val="ru-RU"/>
        </w:rPr>
      </w:pPr>
      <w:r w:rsidRPr="00C16903">
        <w:rPr>
          <w:lang w:val="ru-RU"/>
        </w:rPr>
        <w:t>«f)</w:t>
      </w:r>
      <w:r w:rsidRPr="00C16903">
        <w:rPr>
          <w:lang w:val="ru-RU"/>
        </w:rPr>
        <w:tab/>
        <w:t>в случае контейнеров-цистерн и переносных цистерн, перевозящих охлажденные сжиженные газы, обеспечить определение фактического времени удержания, если применимо, или, в случае порожних неочищенных контейнеров-цистерн и переносных цистерн, обеспечить достаточное снижение давления».</w:t>
      </w:r>
    </w:p>
    <w:p w14:paraId="4F159E22" w14:textId="45531BBC" w:rsidR="008472D2" w:rsidRPr="00C16903" w:rsidRDefault="008472D2" w:rsidP="008472D2">
      <w:pPr>
        <w:pStyle w:val="H1G"/>
        <w:rPr>
          <w:lang w:val="ru-RU"/>
        </w:rPr>
      </w:pPr>
      <w:r w:rsidRPr="00C16903">
        <w:rPr>
          <w:lang w:val="ru-RU"/>
        </w:rPr>
        <w:tab/>
      </w:r>
      <w:r w:rsidRPr="00C16903">
        <w:rPr>
          <w:lang w:val="ru-RU"/>
        </w:rPr>
        <w:tab/>
      </w:r>
      <w:r w:rsidR="00986294" w:rsidRPr="00C16903">
        <w:rPr>
          <w:lang w:val="ru-RU" w:eastAsia="ru-RU"/>
        </w:rPr>
        <w:t xml:space="preserve">Глава </w:t>
      </w:r>
      <w:r w:rsidRPr="00C16903">
        <w:rPr>
          <w:lang w:val="ru-RU"/>
        </w:rPr>
        <w:t>1.6</w:t>
      </w:r>
    </w:p>
    <w:p w14:paraId="783D5C6C" w14:textId="05869B0E" w:rsidR="0003350B" w:rsidRPr="00C16903" w:rsidRDefault="008472D2" w:rsidP="0003350B">
      <w:pPr>
        <w:pStyle w:val="SingleTxtG"/>
        <w:ind w:left="2268" w:hanging="1134"/>
        <w:rPr>
          <w:lang w:val="ru-RU"/>
        </w:rPr>
      </w:pPr>
      <w:r w:rsidRPr="00C16903">
        <w:rPr>
          <w:bCs/>
          <w:lang w:val="ru-RU"/>
        </w:rPr>
        <w:t>1.6.1.51</w:t>
      </w:r>
      <w:r w:rsidRPr="00C16903">
        <w:rPr>
          <w:bCs/>
          <w:lang w:val="ru-RU"/>
        </w:rPr>
        <w:tab/>
      </w:r>
      <w:r w:rsidR="0003350B" w:rsidRPr="00C16903">
        <w:rPr>
          <w:lang w:val="ru-RU"/>
        </w:rPr>
        <w:t>В абзаце после трех втяжек заменить «30 июня 2025 года» на</w:t>
      </w:r>
      <w:r w:rsidR="0003350B" w:rsidRPr="00C16903">
        <w:rPr>
          <w:lang w:val="ru-RU"/>
        </w:rPr>
        <w:t xml:space="preserve"> </w:t>
      </w:r>
      <w:r w:rsidR="0003350B" w:rsidRPr="00C16903">
        <w:rPr>
          <w:lang w:val="ru-RU"/>
        </w:rPr>
        <w:t>«30 июня 2027 года».</w:t>
      </w:r>
    </w:p>
    <w:p w14:paraId="244F5A8D" w14:textId="77777777" w:rsidR="00B054DD" w:rsidRPr="00C16903" w:rsidRDefault="00B054DD" w:rsidP="00B054DD">
      <w:pPr>
        <w:pStyle w:val="SingleTxtG"/>
        <w:rPr>
          <w:lang w:val="ru-RU"/>
        </w:rPr>
      </w:pPr>
      <w:r w:rsidRPr="00C16903">
        <w:rPr>
          <w:b/>
          <w:bCs/>
          <w:lang w:val="ru-RU"/>
        </w:rPr>
        <w:t>1.6.4</w:t>
      </w:r>
      <w:r w:rsidRPr="00C16903">
        <w:rPr>
          <w:lang w:val="ru-RU"/>
        </w:rPr>
        <w:tab/>
        <w:t>Включить новую переходную меру следующего содержания:</w:t>
      </w:r>
    </w:p>
    <w:p w14:paraId="1351A054" w14:textId="77777777" w:rsidR="00B054DD" w:rsidRPr="00C16903" w:rsidRDefault="00B054DD" w:rsidP="00B054DD">
      <w:pPr>
        <w:pStyle w:val="SingleTxtG"/>
        <w:rPr>
          <w:lang w:val="ru-RU"/>
        </w:rPr>
      </w:pPr>
      <w:r w:rsidRPr="00C16903">
        <w:rPr>
          <w:lang w:val="ru-RU"/>
        </w:rPr>
        <w:lastRenderedPageBreak/>
        <w:t>«</w:t>
      </w:r>
      <w:r w:rsidRPr="00C16903">
        <w:rPr>
          <w:b/>
          <w:bCs/>
          <w:lang w:val="ru-RU"/>
        </w:rPr>
        <w:t>1.6.4.66</w:t>
      </w:r>
      <w:r w:rsidRPr="00C16903">
        <w:rPr>
          <w:lang w:val="ru-RU"/>
        </w:rPr>
        <w:tab/>
        <w:t xml:space="preserve">Переносные цистерны, изготовленные до 1 января 2027 года в соответствии с требованиями, действующими до 31 декабря 2024 года, но не отвечающие, однако, требованиям подпункта 6.7.4.15.1 i) </w:t>
      </w:r>
      <w:proofErr w:type="spellStart"/>
      <w:r w:rsidRPr="00C16903">
        <w:rPr>
          <w:lang w:val="ru-RU"/>
        </w:rPr>
        <w:t>iv</w:t>
      </w:r>
      <w:proofErr w:type="spellEnd"/>
      <w:r w:rsidRPr="00C16903">
        <w:rPr>
          <w:lang w:val="ru-RU"/>
        </w:rPr>
        <w:t>), применяемым с 1 января 2025 года, могут по-прежнему эксплуатироваться».</w:t>
      </w:r>
    </w:p>
    <w:p w14:paraId="17A6B134" w14:textId="79300012" w:rsidR="008472D2" w:rsidRPr="00C16903" w:rsidRDefault="008472D2" w:rsidP="008472D2">
      <w:pPr>
        <w:pStyle w:val="H1G"/>
        <w:rPr>
          <w:lang w:val="ru-RU"/>
        </w:rPr>
      </w:pPr>
      <w:r w:rsidRPr="00C16903">
        <w:rPr>
          <w:lang w:val="ru-RU"/>
        </w:rPr>
        <w:tab/>
      </w:r>
      <w:r w:rsidRPr="00C16903">
        <w:rPr>
          <w:lang w:val="ru-RU"/>
        </w:rPr>
        <w:tab/>
      </w:r>
      <w:r w:rsidR="007D56FC" w:rsidRPr="00C16903">
        <w:rPr>
          <w:lang w:val="ru-RU" w:eastAsia="ru-RU"/>
        </w:rPr>
        <w:t xml:space="preserve">Глава </w:t>
      </w:r>
      <w:r w:rsidRPr="00C16903">
        <w:rPr>
          <w:lang w:val="ru-RU"/>
        </w:rPr>
        <w:t>1.8</w:t>
      </w:r>
    </w:p>
    <w:p w14:paraId="73B544CF" w14:textId="77777777" w:rsidR="007E7F3D" w:rsidRPr="00C16903" w:rsidRDefault="007E7F3D" w:rsidP="007E7F3D">
      <w:pPr>
        <w:pStyle w:val="SingleTxtG"/>
        <w:rPr>
          <w:lang w:val="ru-RU"/>
        </w:rPr>
      </w:pPr>
      <w:r w:rsidRPr="00C16903">
        <w:rPr>
          <w:b/>
          <w:bCs/>
          <w:lang w:val="ru-RU"/>
        </w:rPr>
        <w:t>1.8.6.2.1</w:t>
      </w:r>
      <w:r w:rsidRPr="00C16903">
        <w:rPr>
          <w:lang w:val="ru-RU"/>
        </w:rPr>
        <w:tab/>
        <w:t>Поправка гласит следующее:</w:t>
      </w:r>
    </w:p>
    <w:p w14:paraId="0C1DA061" w14:textId="51AADB18" w:rsidR="007E7F3D" w:rsidRPr="00C16903" w:rsidRDefault="007E7F3D" w:rsidP="007E7F3D">
      <w:pPr>
        <w:pStyle w:val="SingleTxtG"/>
        <w:rPr>
          <w:lang w:val="ru-RU"/>
        </w:rPr>
      </w:pPr>
      <w:r w:rsidRPr="00C16903">
        <w:rPr>
          <w:lang w:val="ru-RU"/>
        </w:rPr>
        <w:t>"</w:t>
      </w:r>
      <w:r w:rsidRPr="00C16903">
        <w:rPr>
          <w:b/>
          <w:bCs/>
          <w:lang w:val="ru-RU"/>
        </w:rPr>
        <w:t>1.8.6.2.1</w:t>
      </w:r>
      <w:r w:rsidRPr="00C16903">
        <w:rPr>
          <w:lang w:val="ru-RU"/>
        </w:rPr>
        <w:tab/>
        <w:t xml:space="preserve">Изменить последний </w:t>
      </w:r>
      <w:r w:rsidR="00CC347C" w:rsidRPr="00C16903">
        <w:rPr>
          <w:lang w:val="ru-RU"/>
        </w:rPr>
        <w:t xml:space="preserve">абзац </w:t>
      </w:r>
      <w:r w:rsidRPr="00C16903">
        <w:rPr>
          <w:lang w:val="ru-RU"/>
        </w:rPr>
        <w:t>следующим образом:</w:t>
      </w:r>
    </w:p>
    <w:p w14:paraId="679E615C" w14:textId="77777777" w:rsidR="007E7F3D" w:rsidRPr="00C16903" w:rsidRDefault="007E7F3D" w:rsidP="007E7F3D">
      <w:pPr>
        <w:pStyle w:val="SingleTxtG"/>
        <w:rPr>
          <w:lang w:val="ru-RU"/>
        </w:rPr>
      </w:pPr>
      <w:r w:rsidRPr="00C16903">
        <w:rPr>
          <w:lang w:val="ru-RU"/>
        </w:rPr>
        <w:t>«В тех случаях, когда компетентный орган выполняет функции проверяющего органа самостоятельно, компетентный орган должен соблюдать положения подраздела 1.8.6.3. Однако, когда компетентный орган назначает проверяющий орган для выполнения функций компетентного органа, назначенный орган должен быть аккредитован в соответствии со стандартом EN ISO/IEC 17020:2012 (за исключением пункта 8.1.3) по типу А»".</w:t>
      </w:r>
    </w:p>
    <w:p w14:paraId="5D4971A4" w14:textId="77777777" w:rsidR="007E7F3D" w:rsidRPr="00C16903" w:rsidRDefault="007E7F3D" w:rsidP="007E7F3D">
      <w:pPr>
        <w:pStyle w:val="SingleTxtG"/>
        <w:rPr>
          <w:i/>
          <w:iCs/>
          <w:lang w:val="ru-RU"/>
        </w:rPr>
      </w:pPr>
      <w:r w:rsidRPr="00C16903">
        <w:rPr>
          <w:i/>
          <w:iCs/>
          <w:lang w:val="ru-RU"/>
        </w:rPr>
        <w:t>(Заменяет проект поправки, содержащийся в документе ECE/TRANS/WP.15/264, приложение III)</w:t>
      </w:r>
    </w:p>
    <w:p w14:paraId="599A1193" w14:textId="021DA676" w:rsidR="008C0D19" w:rsidRPr="00C16903" w:rsidRDefault="008C0D19" w:rsidP="008C0D19">
      <w:pPr>
        <w:pStyle w:val="SingleTxtG"/>
        <w:spacing w:before="120"/>
        <w:ind w:left="2268" w:hanging="1134"/>
        <w:rPr>
          <w:lang w:val="ru-RU"/>
        </w:rPr>
      </w:pPr>
      <w:r w:rsidRPr="00C16903">
        <w:rPr>
          <w:lang w:val="ru-RU"/>
        </w:rPr>
        <w:t>1.8.6.3.1</w:t>
      </w:r>
      <w:r w:rsidRPr="00C16903">
        <w:rPr>
          <w:lang w:val="ru-RU"/>
        </w:rPr>
        <w:tab/>
        <w:t>Изменить последнее предложение следующим образом: «Вышеприведенные требования считаются выполненными в случае аккредитации в соответствии со стандартом EN ISO/IEC 17020:2012 (за исключением положения 8.1.3)».</w:t>
      </w:r>
    </w:p>
    <w:p w14:paraId="004F2259" w14:textId="4FD92BE4" w:rsidR="008472D2" w:rsidRPr="00C16903" w:rsidRDefault="008C0D19" w:rsidP="008C0D19">
      <w:pPr>
        <w:pStyle w:val="SingleTxtG"/>
        <w:rPr>
          <w:i/>
          <w:iCs/>
          <w:lang w:val="ru-RU"/>
        </w:rPr>
      </w:pPr>
      <w:r w:rsidRPr="00C16903">
        <w:rPr>
          <w:i/>
          <w:iCs/>
          <w:lang w:val="ru-RU"/>
        </w:rPr>
        <w:t xml:space="preserve">(Справочный документ: </w:t>
      </w:r>
      <w:r w:rsidR="008472D2" w:rsidRPr="00C16903">
        <w:rPr>
          <w:i/>
          <w:iCs/>
          <w:lang w:val="ru-RU"/>
        </w:rPr>
        <w:t xml:space="preserve">ECE/TRANS/WP.15/264, </w:t>
      </w:r>
      <w:r w:rsidRPr="00C16903">
        <w:rPr>
          <w:i/>
          <w:iCs/>
          <w:lang w:val="ru-RU"/>
        </w:rPr>
        <w:t>приложение III</w:t>
      </w:r>
      <w:r w:rsidR="008472D2" w:rsidRPr="00C16903">
        <w:rPr>
          <w:i/>
          <w:iCs/>
          <w:lang w:val="ru-RU"/>
        </w:rPr>
        <w:t>)</w:t>
      </w:r>
    </w:p>
    <w:p w14:paraId="76E56DE2" w14:textId="5C96E225" w:rsidR="008472D2" w:rsidRPr="00C16903" w:rsidRDefault="008472D2" w:rsidP="008472D2">
      <w:pPr>
        <w:pStyle w:val="H1G"/>
        <w:rPr>
          <w:lang w:val="ru-RU"/>
        </w:rPr>
      </w:pPr>
      <w:r w:rsidRPr="00C16903">
        <w:rPr>
          <w:lang w:val="ru-RU"/>
        </w:rPr>
        <w:tab/>
      </w:r>
      <w:r w:rsidRPr="00C16903">
        <w:rPr>
          <w:lang w:val="ru-RU"/>
        </w:rPr>
        <w:tab/>
      </w:r>
      <w:r w:rsidR="007D56FC" w:rsidRPr="00C16903">
        <w:rPr>
          <w:lang w:val="ru-RU" w:eastAsia="ru-RU"/>
        </w:rPr>
        <w:t xml:space="preserve">Глава </w:t>
      </w:r>
      <w:r w:rsidRPr="00C16903">
        <w:rPr>
          <w:lang w:val="ru-RU"/>
        </w:rPr>
        <w:t>4.1</w:t>
      </w:r>
    </w:p>
    <w:p w14:paraId="043D7DF0" w14:textId="77777777" w:rsidR="00404099" w:rsidRPr="00C16903" w:rsidRDefault="00404099" w:rsidP="00442E4B">
      <w:pPr>
        <w:pStyle w:val="SingleTxtG"/>
        <w:ind w:left="2268" w:hanging="1134"/>
        <w:rPr>
          <w:lang w:val="ru-RU"/>
        </w:rPr>
      </w:pPr>
      <w:r w:rsidRPr="00C16903">
        <w:rPr>
          <w:lang w:val="ru-RU"/>
        </w:rPr>
        <w:t>P200</w:t>
      </w:r>
      <w:r w:rsidRPr="00C16903">
        <w:rPr>
          <w:lang w:val="ru-RU"/>
        </w:rPr>
        <w:tab/>
        <w:t>В пункте (11), в конце таблицы, исключить строку для стандарта «EN 14794:2005».</w:t>
      </w:r>
    </w:p>
    <w:p w14:paraId="71797D0C" w14:textId="19F8A2AB" w:rsidR="00236B86" w:rsidRPr="00C16903" w:rsidRDefault="007F78DF" w:rsidP="007F78DF">
      <w:pPr>
        <w:pStyle w:val="SingleTxtG"/>
        <w:ind w:left="2268"/>
        <w:rPr>
          <w:lang w:val="ru-RU"/>
        </w:rPr>
      </w:pPr>
      <w:r w:rsidRPr="00C16903">
        <w:rPr>
          <w:lang w:val="ru-RU"/>
        </w:rPr>
        <w:t>В таблице 2</w:t>
      </w:r>
      <w:r w:rsidRPr="00C16903">
        <w:rPr>
          <w:lang w:val="ru-RU"/>
        </w:rPr>
        <w:t>,</w:t>
      </w:r>
      <w:r w:rsidRPr="00C16903">
        <w:rPr>
          <w:lang w:val="ru-RU"/>
        </w:rPr>
        <w:t xml:space="preserve"> в сноске, относящейся к коэффициенту заполнения для ООН № 1965, </w:t>
      </w:r>
      <w:r w:rsidR="00236B86" w:rsidRPr="00C16903">
        <w:rPr>
          <w:lang w:val="ru-RU"/>
        </w:rPr>
        <w:t>после графика добавить следующее новое примечание:</w:t>
      </w:r>
    </w:p>
    <w:p w14:paraId="5CBF3975" w14:textId="77777777" w:rsidR="00236B86" w:rsidRPr="00C16903" w:rsidRDefault="00236B86" w:rsidP="00236B86">
      <w:pPr>
        <w:pStyle w:val="SingleTxtG"/>
        <w:rPr>
          <w:i/>
          <w:iCs/>
          <w:lang w:val="ru-RU"/>
        </w:rPr>
      </w:pPr>
      <w:r w:rsidRPr="00C16903">
        <w:rPr>
          <w:lang w:val="ru-RU"/>
        </w:rPr>
        <w:t>«</w:t>
      </w:r>
      <w:r w:rsidRPr="00C16903">
        <w:rPr>
          <w:b/>
          <w:bCs/>
          <w:i/>
          <w:iCs/>
          <w:lang w:val="ru-RU"/>
        </w:rPr>
        <w:t>Примечание</w:t>
      </w:r>
      <w:r w:rsidRPr="00C16903">
        <w:rPr>
          <w:i/>
          <w:iCs/>
          <w:lang w:val="ru-RU"/>
        </w:rPr>
        <w:t>: Вышеприведенный график можно использовать для определения правильных коэффициентов наполнения для смесей, перечисленных в подразделе</w:t>
      </w:r>
      <w:r w:rsidRPr="00C16903">
        <w:rPr>
          <w:lang w:val="ru-RU"/>
        </w:rPr>
        <w:t> </w:t>
      </w:r>
      <w:r w:rsidRPr="00C16903">
        <w:rPr>
          <w:i/>
          <w:iCs/>
          <w:lang w:val="ru-RU"/>
        </w:rPr>
        <w:t>2.2.2.3</w:t>
      </w:r>
      <w:r w:rsidRPr="00C16903">
        <w:rPr>
          <w:lang w:val="ru-RU"/>
        </w:rPr>
        <w:t>»</w:t>
      </w:r>
      <w:r w:rsidRPr="00C16903">
        <w:rPr>
          <w:i/>
          <w:iCs/>
          <w:lang w:val="ru-RU"/>
        </w:rPr>
        <w:t>.</w:t>
      </w:r>
    </w:p>
    <w:p w14:paraId="50844D01" w14:textId="6A72F50B" w:rsidR="00CD08E9" w:rsidRPr="00C16903" w:rsidRDefault="00CD08E9" w:rsidP="008472D2">
      <w:pPr>
        <w:pStyle w:val="SingleTxtG"/>
        <w:ind w:left="2268" w:hanging="1134"/>
        <w:rPr>
          <w:bCs/>
          <w:lang w:val="ru-RU"/>
        </w:rPr>
      </w:pPr>
      <w:r w:rsidRPr="00C16903">
        <w:rPr>
          <w:bCs/>
          <w:lang w:val="ru-RU"/>
        </w:rPr>
        <w:t>4.1.6.15</w:t>
      </w:r>
      <w:r w:rsidRPr="00C16903">
        <w:rPr>
          <w:bCs/>
          <w:lang w:val="ru-RU"/>
        </w:rPr>
        <w:tab/>
      </w:r>
      <w:r w:rsidRPr="00C16903">
        <w:rPr>
          <w:bCs/>
          <w:lang w:val="ru-RU"/>
        </w:rPr>
        <w:t xml:space="preserve">В таблице 4.1.6.15.1, в первой строке для </w:t>
      </w:r>
      <w:r w:rsidR="007D56FC" w:rsidRPr="00C16903">
        <w:rPr>
          <w:bCs/>
          <w:lang w:val="ru-RU"/>
        </w:rPr>
        <w:t>«</w:t>
      </w:r>
      <w:r w:rsidRPr="00C16903">
        <w:rPr>
          <w:bCs/>
          <w:lang w:val="ru-RU"/>
        </w:rPr>
        <w:t xml:space="preserve">4.1.6.8 </w:t>
      </w:r>
      <w:r w:rsidR="006F632F" w:rsidRPr="00C16903">
        <w:rPr>
          <w:lang w:val="ru-RU"/>
        </w:rPr>
        <w:t>Вентили с конструктивной защитой</w:t>
      </w:r>
      <w:r w:rsidR="007D56FC" w:rsidRPr="00C16903">
        <w:rPr>
          <w:bCs/>
          <w:lang w:val="ru-RU"/>
        </w:rPr>
        <w:t>»</w:t>
      </w:r>
      <w:r w:rsidRPr="00C16903">
        <w:rPr>
          <w:bCs/>
          <w:lang w:val="ru-RU"/>
        </w:rPr>
        <w:t xml:space="preserve">, во втором столбце, после </w:t>
      </w:r>
      <w:r w:rsidR="007D56FC" w:rsidRPr="00C16903">
        <w:rPr>
          <w:bCs/>
          <w:lang w:val="ru-RU"/>
        </w:rPr>
        <w:t>«</w:t>
      </w:r>
      <w:r w:rsidRPr="00C16903">
        <w:rPr>
          <w:bCs/>
          <w:lang w:val="ru-RU"/>
        </w:rPr>
        <w:t>EN ISO 10297:2014 + A1:2017</w:t>
      </w:r>
      <w:r w:rsidR="007D56FC" w:rsidRPr="00C16903">
        <w:rPr>
          <w:bCs/>
          <w:lang w:val="ru-RU"/>
        </w:rPr>
        <w:t>»</w:t>
      </w:r>
      <w:r w:rsidRPr="00C16903">
        <w:rPr>
          <w:bCs/>
          <w:lang w:val="ru-RU"/>
        </w:rPr>
        <w:t xml:space="preserve"> добавить </w:t>
      </w:r>
      <w:r w:rsidR="007D56FC" w:rsidRPr="00C16903">
        <w:rPr>
          <w:bCs/>
          <w:lang w:val="ru-RU"/>
        </w:rPr>
        <w:t>«</w:t>
      </w:r>
      <w:r w:rsidRPr="00C16903">
        <w:rPr>
          <w:bCs/>
          <w:lang w:val="ru-RU"/>
        </w:rPr>
        <w:t>[или пункт 5.4.2 EN ISO 10297:[2024]]</w:t>
      </w:r>
      <w:r w:rsidR="007D56FC" w:rsidRPr="00C16903">
        <w:rPr>
          <w:bCs/>
          <w:lang w:val="ru-RU"/>
        </w:rPr>
        <w:t>»</w:t>
      </w:r>
      <w:r w:rsidRPr="00C16903">
        <w:rPr>
          <w:bCs/>
          <w:lang w:val="ru-RU"/>
        </w:rPr>
        <w:t>.</w:t>
      </w:r>
    </w:p>
    <w:p w14:paraId="12A025CC" w14:textId="0F572648" w:rsidR="008472D2" w:rsidRPr="00C16903" w:rsidRDefault="008472D2" w:rsidP="008472D2">
      <w:pPr>
        <w:pStyle w:val="H1G"/>
        <w:rPr>
          <w:lang w:val="ru-RU"/>
        </w:rPr>
      </w:pPr>
      <w:r w:rsidRPr="00C16903">
        <w:rPr>
          <w:lang w:val="ru-RU"/>
        </w:rPr>
        <w:tab/>
      </w:r>
      <w:r w:rsidRPr="00C16903">
        <w:rPr>
          <w:lang w:val="ru-RU"/>
        </w:rPr>
        <w:tab/>
      </w:r>
      <w:r w:rsidR="005B2A1A" w:rsidRPr="00C16903">
        <w:rPr>
          <w:lang w:val="ru-RU" w:eastAsia="ru-RU"/>
        </w:rPr>
        <w:t xml:space="preserve">Глава </w:t>
      </w:r>
      <w:r w:rsidRPr="00C16903">
        <w:rPr>
          <w:lang w:val="ru-RU"/>
        </w:rPr>
        <w:t>4.2</w:t>
      </w:r>
    </w:p>
    <w:p w14:paraId="48895820" w14:textId="0ABE2092" w:rsidR="0008609F" w:rsidRPr="00C16903" w:rsidRDefault="0008609F" w:rsidP="0008609F">
      <w:pPr>
        <w:pStyle w:val="SingleTxtG"/>
        <w:rPr>
          <w:i/>
          <w:iCs/>
          <w:lang w:val="ru-RU"/>
        </w:rPr>
      </w:pPr>
      <w:r w:rsidRPr="00C16903">
        <w:rPr>
          <w:lang w:val="ru-RU"/>
        </w:rPr>
        <w:t>После заголовка главы 4.2 в примечании 2 после слов «не являющемся Договаривающейся стороной ДОПОГ» добавить</w:t>
      </w:r>
      <w:r w:rsidRPr="00C16903">
        <w:rPr>
          <w:lang w:val="ru-RU"/>
        </w:rPr>
        <w:t xml:space="preserve"> </w:t>
      </w:r>
      <w:r w:rsidRPr="00C16903">
        <w:rPr>
          <w:lang w:val="ru-RU"/>
        </w:rPr>
        <w:t>«</w:t>
      </w:r>
      <w:r w:rsidRPr="00C16903">
        <w:rPr>
          <w:i/>
          <w:iCs/>
          <w:lang w:val="ru-RU"/>
        </w:rPr>
        <w:t>или утвержденные в соответствии с главой 6.7 МКМПОГ</w:t>
      </w:r>
      <w:r w:rsidRPr="00C16903">
        <w:rPr>
          <w:lang w:val="ru-RU"/>
        </w:rPr>
        <w:t>»</w:t>
      </w:r>
      <w:r w:rsidRPr="00C16903">
        <w:rPr>
          <w:i/>
          <w:iCs/>
          <w:lang w:val="ru-RU"/>
        </w:rPr>
        <w:t>.</w:t>
      </w:r>
    </w:p>
    <w:p w14:paraId="63C0F99C" w14:textId="5CB1E722" w:rsidR="00A97B77" w:rsidRPr="00C16903" w:rsidRDefault="00A97B77" w:rsidP="00A97B77">
      <w:pPr>
        <w:pStyle w:val="SingleTxtG"/>
        <w:rPr>
          <w:lang w:val="ru-RU"/>
        </w:rPr>
      </w:pPr>
      <w:r w:rsidRPr="00C16903">
        <w:rPr>
          <w:b/>
          <w:bCs/>
          <w:lang w:val="ru-RU"/>
        </w:rPr>
        <w:t>4.2.3.7.1</w:t>
      </w:r>
      <w:r w:rsidRPr="00C16903">
        <w:rPr>
          <w:lang w:val="ru-RU"/>
        </w:rPr>
        <w:tab/>
        <w:t xml:space="preserve">В конце добавить новый </w:t>
      </w:r>
      <w:r w:rsidR="00440432" w:rsidRPr="00C16903">
        <w:rPr>
          <w:lang w:val="ru-RU"/>
        </w:rPr>
        <w:t xml:space="preserve">абзац </w:t>
      </w:r>
      <w:r w:rsidRPr="00C16903">
        <w:rPr>
          <w:lang w:val="ru-RU"/>
        </w:rPr>
        <w:t>следующего содержания:</w:t>
      </w:r>
    </w:p>
    <w:p w14:paraId="7D34BF8B" w14:textId="77777777" w:rsidR="00A97B77" w:rsidRPr="00C16903" w:rsidRDefault="00A97B77" w:rsidP="00A97B77">
      <w:pPr>
        <w:pStyle w:val="SingleTxtG"/>
        <w:rPr>
          <w:lang w:val="ru-RU"/>
        </w:rPr>
      </w:pPr>
      <w:r w:rsidRPr="00C16903">
        <w:rPr>
          <w:lang w:val="ru-RU"/>
        </w:rPr>
        <w:t>«Расчет фактического времени удержания может не выполняться, если вся перевозка осуществляется только автомобильным транспортом, без перегрузки на другое транспортное средство и без промежуточного временного хранения. При отказе от расчета фактического времени удержания положения пунктов 4.2.3.7.2, 4.2.3.7.3 и 4.2.3.8 e) и f) не применяются».</w:t>
      </w:r>
    </w:p>
    <w:p w14:paraId="3EDC1B50" w14:textId="2DE9BE2D" w:rsidR="008472D2" w:rsidRPr="00C16903" w:rsidRDefault="008472D2" w:rsidP="008472D2">
      <w:pPr>
        <w:pStyle w:val="H1G"/>
        <w:rPr>
          <w:lang w:val="ru-RU"/>
        </w:rPr>
      </w:pPr>
      <w:r w:rsidRPr="00C16903">
        <w:rPr>
          <w:lang w:val="ru-RU"/>
        </w:rPr>
        <w:tab/>
      </w:r>
      <w:r w:rsidRPr="00C16903">
        <w:rPr>
          <w:lang w:val="ru-RU"/>
        </w:rPr>
        <w:tab/>
      </w:r>
      <w:r w:rsidR="005B2A1A" w:rsidRPr="00C16903">
        <w:rPr>
          <w:lang w:val="ru-RU" w:eastAsia="ru-RU"/>
        </w:rPr>
        <w:t xml:space="preserve">Глава </w:t>
      </w:r>
      <w:r w:rsidRPr="00C16903">
        <w:rPr>
          <w:lang w:val="ru-RU"/>
        </w:rPr>
        <w:t>4.3</w:t>
      </w:r>
    </w:p>
    <w:p w14:paraId="15C0DC3A" w14:textId="7BC274A3" w:rsidR="00447F6C" w:rsidRPr="00C16903" w:rsidRDefault="00447F6C" w:rsidP="00447F6C">
      <w:pPr>
        <w:pStyle w:val="SingleTxtG"/>
        <w:ind w:left="2268" w:right="567" w:hanging="1134"/>
        <w:rPr>
          <w:lang w:val="ru-RU"/>
        </w:rPr>
      </w:pPr>
      <w:r w:rsidRPr="00C16903">
        <w:rPr>
          <w:b/>
          <w:bCs/>
          <w:lang w:val="ru-RU"/>
        </w:rPr>
        <w:t>4.3.3.5</w:t>
      </w:r>
      <w:r w:rsidRPr="00C16903">
        <w:rPr>
          <w:lang w:val="ru-RU"/>
        </w:rPr>
        <w:tab/>
      </w:r>
      <w:r w:rsidRPr="00C16903">
        <w:rPr>
          <w:lang w:val="ru-RU"/>
        </w:rPr>
        <w:tab/>
        <w:t xml:space="preserve">В правой колонке добавить в конце следующий </w:t>
      </w:r>
      <w:r w:rsidR="007D298D" w:rsidRPr="00C16903">
        <w:rPr>
          <w:lang w:val="ru-RU"/>
        </w:rPr>
        <w:t>абзац</w:t>
      </w:r>
      <w:r w:rsidRPr="00C16903">
        <w:rPr>
          <w:lang w:val="ru-RU"/>
        </w:rPr>
        <w:t>:</w:t>
      </w:r>
    </w:p>
    <w:p w14:paraId="22CD5618" w14:textId="77777777" w:rsidR="00447F6C" w:rsidRPr="00C16903" w:rsidRDefault="00447F6C" w:rsidP="00447F6C">
      <w:pPr>
        <w:pStyle w:val="SingleTxtG"/>
        <w:rPr>
          <w:lang w:val="ru-RU"/>
        </w:rPr>
      </w:pPr>
      <w:r w:rsidRPr="00C16903">
        <w:rPr>
          <w:lang w:val="ru-RU"/>
        </w:rPr>
        <w:lastRenderedPageBreak/>
        <w:t>«Расчет фактического времени удержания может не выполняться, если вся перевозка осуществляется только автомобильным транспортом, без перегрузки на другое транспортное средство и без промежуточного временного хранения. При отказе от расчета фактического времени удержания положения пунктов 4.3.3.6 e), f) и g) не применяются».</w:t>
      </w:r>
    </w:p>
    <w:p w14:paraId="3A963BF8" w14:textId="4F534921" w:rsidR="008472D2" w:rsidRPr="00C16903" w:rsidRDefault="008472D2" w:rsidP="008472D2">
      <w:pPr>
        <w:pStyle w:val="H1G"/>
        <w:rPr>
          <w:lang w:val="ru-RU"/>
        </w:rPr>
      </w:pPr>
      <w:r w:rsidRPr="00C16903">
        <w:rPr>
          <w:lang w:val="ru-RU"/>
        </w:rPr>
        <w:tab/>
      </w:r>
      <w:r w:rsidRPr="00C16903">
        <w:rPr>
          <w:lang w:val="ru-RU"/>
        </w:rPr>
        <w:tab/>
      </w:r>
      <w:r w:rsidR="00292D93" w:rsidRPr="00C16903">
        <w:rPr>
          <w:lang w:val="ru-RU" w:eastAsia="ru-RU"/>
        </w:rPr>
        <w:t xml:space="preserve">Глава </w:t>
      </w:r>
      <w:r w:rsidRPr="00C16903">
        <w:rPr>
          <w:lang w:val="ru-RU"/>
        </w:rPr>
        <w:t>5.4</w:t>
      </w:r>
    </w:p>
    <w:p w14:paraId="442C1983" w14:textId="77777777" w:rsidR="00B16D50" w:rsidRPr="00C16903" w:rsidRDefault="008472D2" w:rsidP="00B16D50">
      <w:pPr>
        <w:pStyle w:val="SingleTxtG"/>
        <w:rPr>
          <w:lang w:val="ru-RU"/>
        </w:rPr>
      </w:pPr>
      <w:r w:rsidRPr="00C16903">
        <w:rPr>
          <w:bCs/>
          <w:lang w:val="ru-RU"/>
        </w:rPr>
        <w:t>5.4.1.1.3.1</w:t>
      </w:r>
      <w:r w:rsidRPr="00C16903">
        <w:rPr>
          <w:bCs/>
          <w:lang w:val="ru-RU"/>
        </w:rPr>
        <w:tab/>
      </w:r>
      <w:r w:rsidR="00B16D50" w:rsidRPr="00C16903">
        <w:rPr>
          <w:lang w:val="ru-RU"/>
        </w:rPr>
        <w:t>Изменить последний абзац следующим образом:</w:t>
      </w:r>
    </w:p>
    <w:p w14:paraId="6ADB7F1E" w14:textId="77777777" w:rsidR="00B16D50" w:rsidRPr="00C16903" w:rsidRDefault="00B16D50" w:rsidP="00B16D50">
      <w:pPr>
        <w:pStyle w:val="SingleTxtG"/>
        <w:rPr>
          <w:lang w:val="ru-RU"/>
        </w:rPr>
      </w:pPr>
      <w:r w:rsidRPr="00C16903">
        <w:rPr>
          <w:lang w:val="ru-RU"/>
        </w:rPr>
        <w:t>«Если применяется положение, касающееся отходов, изложенное в пункте 2.1.3.5.5, то техническое наименование, предписанное в главе 3.3, специальное положение 274, можно не добавлять».</w:t>
      </w:r>
    </w:p>
    <w:p w14:paraId="016B4D18" w14:textId="79AEF0DA" w:rsidR="00D636B4" w:rsidRPr="00C16903" w:rsidRDefault="00D636B4" w:rsidP="00D636B4">
      <w:pPr>
        <w:pStyle w:val="SingleTxtG"/>
        <w:rPr>
          <w:lang w:val="ru-RU"/>
        </w:rPr>
      </w:pPr>
      <w:r w:rsidRPr="00C16903">
        <w:rPr>
          <w:b/>
          <w:bCs/>
          <w:lang w:val="ru-RU"/>
        </w:rPr>
        <w:t>5.4.1.2.2</w:t>
      </w:r>
      <w:r w:rsidRPr="00C16903">
        <w:rPr>
          <w:lang w:val="ru-RU"/>
        </w:rPr>
        <w:tab/>
        <w:t xml:space="preserve">В конце пункта d) добавить следующий </w:t>
      </w:r>
      <w:r w:rsidR="00567905" w:rsidRPr="00C16903">
        <w:rPr>
          <w:lang w:val="ru-RU"/>
        </w:rPr>
        <w:t>абзац</w:t>
      </w:r>
      <w:r w:rsidRPr="00C16903">
        <w:rPr>
          <w:lang w:val="ru-RU"/>
        </w:rPr>
        <w:t>:</w:t>
      </w:r>
    </w:p>
    <w:p w14:paraId="0C793E28" w14:textId="77777777" w:rsidR="00D636B4" w:rsidRPr="00C16903" w:rsidRDefault="00D636B4" w:rsidP="00D636B4">
      <w:pPr>
        <w:pStyle w:val="SingleTxtG"/>
        <w:rPr>
          <w:lang w:val="ru-RU"/>
        </w:rPr>
      </w:pPr>
      <w:r w:rsidRPr="00C16903">
        <w:rPr>
          <w:lang w:val="ru-RU"/>
        </w:rPr>
        <w:t>«В случае отказа от расчета фактического времени удержания в соответствии с пунктами 4.2.3.7.1 или 4.3.3.5 данное положение не применяется».</w:t>
      </w:r>
    </w:p>
    <w:p w14:paraId="61C19133" w14:textId="53B2284C" w:rsidR="008472D2" w:rsidRPr="00C16903" w:rsidRDefault="008472D2" w:rsidP="008472D2">
      <w:pPr>
        <w:pStyle w:val="H1G"/>
        <w:rPr>
          <w:lang w:val="ru-RU"/>
        </w:rPr>
      </w:pPr>
      <w:r w:rsidRPr="00C16903">
        <w:rPr>
          <w:lang w:val="ru-RU"/>
        </w:rPr>
        <w:tab/>
      </w:r>
      <w:r w:rsidRPr="00C16903">
        <w:rPr>
          <w:lang w:val="ru-RU"/>
        </w:rPr>
        <w:tab/>
      </w:r>
      <w:r w:rsidR="00292D93" w:rsidRPr="00C16903">
        <w:rPr>
          <w:lang w:val="ru-RU" w:eastAsia="ru-RU"/>
        </w:rPr>
        <w:t xml:space="preserve">Глава </w:t>
      </w:r>
      <w:r w:rsidRPr="00C16903">
        <w:rPr>
          <w:lang w:val="ru-RU"/>
        </w:rPr>
        <w:t>5.5</w:t>
      </w:r>
    </w:p>
    <w:p w14:paraId="6651E7AF" w14:textId="77777777" w:rsidR="00641D44" w:rsidRPr="00C16903" w:rsidRDefault="00641D44" w:rsidP="00641D44">
      <w:pPr>
        <w:pStyle w:val="SingleTxtG"/>
        <w:rPr>
          <w:lang w:val="ru-RU"/>
        </w:rPr>
      </w:pPr>
      <w:r w:rsidRPr="00C16903">
        <w:rPr>
          <w:b/>
          <w:bCs/>
          <w:lang w:val="ru-RU"/>
        </w:rPr>
        <w:t>5.5.4</w:t>
      </w:r>
      <w:r w:rsidRPr="00C16903">
        <w:rPr>
          <w:b/>
          <w:bCs/>
          <w:lang w:val="ru-RU"/>
        </w:rPr>
        <w:tab/>
      </w:r>
      <w:r w:rsidRPr="00C16903">
        <w:rPr>
          <w:lang w:val="ru-RU"/>
        </w:rPr>
        <w:t>[В заголовке заменить «</w:t>
      </w:r>
      <w:proofErr w:type="spellStart"/>
      <w:r w:rsidRPr="00C16903">
        <w:rPr>
          <w:lang w:val="ru-RU"/>
        </w:rPr>
        <w:t>compartiments</w:t>
      </w:r>
      <w:proofErr w:type="spellEnd"/>
      <w:r w:rsidRPr="00C16903">
        <w:rPr>
          <w:lang w:val="ru-RU"/>
        </w:rPr>
        <w:t xml:space="preserve"> de </w:t>
      </w:r>
      <w:proofErr w:type="spellStart"/>
      <w:r w:rsidRPr="00C16903">
        <w:rPr>
          <w:lang w:val="ru-RU"/>
        </w:rPr>
        <w:t>charge</w:t>
      </w:r>
      <w:proofErr w:type="spellEnd"/>
      <w:r w:rsidRPr="00C16903">
        <w:rPr>
          <w:lang w:val="ru-RU"/>
        </w:rPr>
        <w:t>» на «</w:t>
      </w:r>
      <w:proofErr w:type="spellStart"/>
      <w:r w:rsidRPr="00C16903">
        <w:rPr>
          <w:lang w:val="ru-RU"/>
        </w:rPr>
        <w:t>compartiments</w:t>
      </w:r>
      <w:proofErr w:type="spellEnd"/>
      <w:r w:rsidRPr="00C16903">
        <w:rPr>
          <w:lang w:val="ru-RU"/>
        </w:rPr>
        <w:t xml:space="preserve"> de </w:t>
      </w:r>
      <w:proofErr w:type="spellStart"/>
      <w:r w:rsidRPr="00C16903">
        <w:rPr>
          <w:lang w:val="ru-RU"/>
        </w:rPr>
        <w:t>chargement</w:t>
      </w:r>
      <w:proofErr w:type="spellEnd"/>
      <w:r w:rsidRPr="00C16903">
        <w:rPr>
          <w:lang w:val="ru-RU"/>
        </w:rPr>
        <w:t>» (данная поправка не касается текста на русском языке.]</w:t>
      </w:r>
    </w:p>
    <w:p w14:paraId="6F321DF5" w14:textId="77777777" w:rsidR="00641D44" w:rsidRPr="00C16903" w:rsidRDefault="00641D44" w:rsidP="00641D44">
      <w:pPr>
        <w:pStyle w:val="SingleTxtG"/>
        <w:rPr>
          <w:lang w:val="ru-RU"/>
        </w:rPr>
      </w:pPr>
      <w:r w:rsidRPr="00C16903">
        <w:rPr>
          <w:b/>
          <w:bCs/>
          <w:lang w:val="ru-RU"/>
        </w:rPr>
        <w:t>5.5.4.1</w:t>
      </w:r>
      <w:r w:rsidRPr="00C16903">
        <w:rPr>
          <w:b/>
          <w:bCs/>
          <w:lang w:val="ru-RU"/>
        </w:rPr>
        <w:tab/>
      </w:r>
      <w:r w:rsidRPr="00C16903">
        <w:rPr>
          <w:b/>
          <w:bCs/>
          <w:lang w:val="ru-RU"/>
        </w:rPr>
        <w:tab/>
      </w:r>
      <w:r w:rsidRPr="00C16903">
        <w:rPr>
          <w:lang w:val="ru-RU"/>
        </w:rPr>
        <w:t>[В тексте пункта заменить «</w:t>
      </w:r>
      <w:proofErr w:type="spellStart"/>
      <w:r w:rsidRPr="00C16903">
        <w:rPr>
          <w:lang w:val="ru-RU"/>
        </w:rPr>
        <w:t>compartiments</w:t>
      </w:r>
      <w:proofErr w:type="spellEnd"/>
      <w:r w:rsidRPr="00C16903">
        <w:rPr>
          <w:lang w:val="ru-RU"/>
        </w:rPr>
        <w:t xml:space="preserve"> de </w:t>
      </w:r>
      <w:proofErr w:type="spellStart"/>
      <w:r w:rsidRPr="00C16903">
        <w:rPr>
          <w:lang w:val="ru-RU"/>
        </w:rPr>
        <w:t>charge</w:t>
      </w:r>
      <w:proofErr w:type="spellEnd"/>
      <w:r w:rsidRPr="00C16903">
        <w:rPr>
          <w:lang w:val="ru-RU"/>
        </w:rPr>
        <w:t>» на «</w:t>
      </w:r>
      <w:proofErr w:type="spellStart"/>
      <w:r w:rsidRPr="00C16903">
        <w:rPr>
          <w:lang w:val="ru-RU"/>
        </w:rPr>
        <w:t>compartiments</w:t>
      </w:r>
      <w:proofErr w:type="spellEnd"/>
      <w:r w:rsidRPr="00C16903">
        <w:rPr>
          <w:lang w:val="ru-RU"/>
        </w:rPr>
        <w:t xml:space="preserve"> de </w:t>
      </w:r>
      <w:proofErr w:type="spellStart"/>
      <w:r w:rsidRPr="00C16903">
        <w:rPr>
          <w:lang w:val="ru-RU"/>
        </w:rPr>
        <w:t>chargement</w:t>
      </w:r>
      <w:proofErr w:type="spellEnd"/>
      <w:r w:rsidRPr="00C16903">
        <w:rPr>
          <w:lang w:val="ru-RU"/>
        </w:rPr>
        <w:t>» (данная поправка не касается текста на русском языке).]</w:t>
      </w:r>
    </w:p>
    <w:p w14:paraId="0E870442" w14:textId="62FB07AB" w:rsidR="008472D2" w:rsidRPr="00C16903" w:rsidRDefault="008472D2" w:rsidP="008472D2">
      <w:pPr>
        <w:pStyle w:val="H1G"/>
        <w:rPr>
          <w:lang w:val="ru-RU"/>
        </w:rPr>
      </w:pPr>
      <w:r w:rsidRPr="00C16903">
        <w:rPr>
          <w:lang w:val="ru-RU"/>
        </w:rPr>
        <w:tab/>
      </w:r>
      <w:r w:rsidRPr="00C16903">
        <w:rPr>
          <w:lang w:val="ru-RU"/>
        </w:rPr>
        <w:tab/>
      </w:r>
      <w:r w:rsidR="00292D93" w:rsidRPr="00C16903">
        <w:rPr>
          <w:lang w:val="ru-RU" w:eastAsia="ru-RU"/>
        </w:rPr>
        <w:t>Глава</w:t>
      </w:r>
      <w:r w:rsidRPr="00C16903">
        <w:rPr>
          <w:lang w:val="ru-RU"/>
        </w:rPr>
        <w:t xml:space="preserve"> 6.2</w:t>
      </w:r>
    </w:p>
    <w:p w14:paraId="3238ABA0" w14:textId="77777777" w:rsidR="00554C58" w:rsidRPr="00C16903" w:rsidRDefault="00554C58" w:rsidP="00554C58">
      <w:pPr>
        <w:pStyle w:val="SingleTxtG"/>
        <w:ind w:left="2268" w:right="1133" w:hanging="1134"/>
        <w:rPr>
          <w:lang w:val="ru-RU"/>
        </w:rPr>
      </w:pPr>
      <w:r w:rsidRPr="00C16903">
        <w:rPr>
          <w:b/>
          <w:bCs/>
          <w:lang w:val="ru-RU"/>
        </w:rPr>
        <w:t>6.2.4.1</w:t>
      </w:r>
      <w:r w:rsidRPr="00C16903">
        <w:rPr>
          <w:lang w:val="ru-RU"/>
        </w:rPr>
        <w:tab/>
      </w:r>
      <w:r w:rsidRPr="00C16903">
        <w:rPr>
          <w:lang w:val="ru-RU"/>
        </w:rPr>
        <w:tab/>
        <w:t>В таблице, раздел под заголовком «</w:t>
      </w:r>
      <w:r w:rsidRPr="00C16903">
        <w:rPr>
          <w:b/>
          <w:bCs/>
          <w:i/>
          <w:iCs/>
          <w:lang w:val="ru-RU"/>
        </w:rPr>
        <w:t>Для конструкции и изготовления сосудов под давлением или корпусов сосудов под давлением</w:t>
      </w:r>
      <w:r w:rsidRPr="00C16903">
        <w:rPr>
          <w:lang w:val="ru-RU"/>
        </w:rPr>
        <w:t>», внести следующие изменения:</w:t>
      </w:r>
    </w:p>
    <w:p w14:paraId="48E6BC4C" w14:textId="1DC41AA8" w:rsidR="00554C58" w:rsidRPr="00C16903" w:rsidRDefault="00554C58" w:rsidP="00554C58">
      <w:pPr>
        <w:pStyle w:val="SingleTxtG"/>
        <w:ind w:left="2268"/>
        <w:rPr>
          <w:lang w:val="ru-RU"/>
        </w:rPr>
      </w:pPr>
      <w:r w:rsidRPr="00C16903">
        <w:rPr>
          <w:lang w:val="ru-RU"/>
        </w:rPr>
        <w:t>В строке для «EN 1964-3:2000», колонка (4), заменить «До дальнейшего указания» на</w:t>
      </w:r>
      <w:r w:rsidRPr="00C16903">
        <w:rPr>
          <w:lang w:val="ru-RU"/>
        </w:rPr>
        <w:t xml:space="preserve"> </w:t>
      </w:r>
      <w:r w:rsidRPr="00C16903">
        <w:rPr>
          <w:lang w:val="ru-RU"/>
        </w:rPr>
        <w:t>«До 31 декабря 2026 года».</w:t>
      </w:r>
    </w:p>
    <w:p w14:paraId="322C3C35" w14:textId="4A8901FA" w:rsidR="00554C58" w:rsidRPr="00C16903" w:rsidRDefault="00554C58" w:rsidP="00554C58">
      <w:pPr>
        <w:pStyle w:val="SingleTxtG"/>
        <w:ind w:left="2268"/>
        <w:rPr>
          <w:lang w:val="ru-RU"/>
        </w:rPr>
      </w:pPr>
      <w:r w:rsidRPr="00C16903">
        <w:rPr>
          <w:lang w:val="ru-RU"/>
        </w:rPr>
        <w:t>В строке для  «EN 13322-1:2003 + A1:2006», колонка (4), заменить «До дальнейшего указания» на</w:t>
      </w:r>
      <w:r w:rsidRPr="00C16903">
        <w:rPr>
          <w:lang w:val="ru-RU"/>
        </w:rPr>
        <w:t xml:space="preserve"> </w:t>
      </w:r>
      <w:r w:rsidRPr="00C16903">
        <w:rPr>
          <w:lang w:val="ru-RU"/>
        </w:rPr>
        <w:t>«С 1 января 2007 года до 31 декабря 2026 года».</w:t>
      </w:r>
    </w:p>
    <w:p w14:paraId="57547613" w14:textId="09058C27" w:rsidR="00554C58" w:rsidRPr="00C16903" w:rsidRDefault="00554C58" w:rsidP="00554C58">
      <w:pPr>
        <w:pStyle w:val="SingleTxtG"/>
        <w:ind w:left="2268"/>
        <w:rPr>
          <w:lang w:val="ru-RU"/>
        </w:rPr>
      </w:pPr>
      <w:r w:rsidRPr="00C16903">
        <w:rPr>
          <w:lang w:val="ru-RU"/>
        </w:rPr>
        <w:t>После строки для стандарта «EN 13322-1:2003 + A1:2006» добавить следующую новую строку:</w:t>
      </w:r>
    </w:p>
    <w:tbl>
      <w:tblPr>
        <w:tblW w:w="816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402"/>
        <w:gridCol w:w="993"/>
        <w:gridCol w:w="1559"/>
        <w:gridCol w:w="648"/>
      </w:tblGrid>
      <w:tr w:rsidR="00554C58" w:rsidRPr="00C16903" w14:paraId="153C3E9A" w14:textId="77777777" w:rsidTr="00C855E7">
        <w:trPr>
          <w:trHeight w:val="115"/>
        </w:trPr>
        <w:tc>
          <w:tcPr>
            <w:tcW w:w="1559" w:type="dxa"/>
          </w:tcPr>
          <w:p w14:paraId="39D484EA" w14:textId="77777777" w:rsidR="00554C58" w:rsidRPr="00C16903" w:rsidRDefault="00554C58" w:rsidP="00C855E7">
            <w:pPr>
              <w:widowControl w:val="0"/>
              <w:jc w:val="center"/>
              <w:rPr>
                <w:rFonts w:cs="Arial"/>
                <w:lang w:val="ru-RU"/>
              </w:rPr>
            </w:pPr>
            <w:r w:rsidRPr="00C16903">
              <w:rPr>
                <w:lang w:val="ru-RU"/>
              </w:rPr>
              <w:t>(1)</w:t>
            </w:r>
          </w:p>
        </w:tc>
        <w:tc>
          <w:tcPr>
            <w:tcW w:w="3402" w:type="dxa"/>
          </w:tcPr>
          <w:p w14:paraId="28FBCAB1" w14:textId="77777777" w:rsidR="00554C58" w:rsidRPr="00C16903" w:rsidRDefault="00554C58" w:rsidP="00C855E7">
            <w:pPr>
              <w:widowControl w:val="0"/>
              <w:jc w:val="center"/>
              <w:rPr>
                <w:rFonts w:cs="Arial"/>
                <w:lang w:val="ru-RU"/>
              </w:rPr>
            </w:pPr>
            <w:r w:rsidRPr="00C16903">
              <w:rPr>
                <w:lang w:val="ru-RU"/>
              </w:rPr>
              <w:t>(2)</w:t>
            </w:r>
          </w:p>
        </w:tc>
        <w:tc>
          <w:tcPr>
            <w:tcW w:w="993" w:type="dxa"/>
          </w:tcPr>
          <w:p w14:paraId="5E9BBF4A" w14:textId="77777777" w:rsidR="00554C58" w:rsidRPr="00C16903" w:rsidRDefault="00554C58" w:rsidP="00C855E7">
            <w:pPr>
              <w:widowControl w:val="0"/>
              <w:jc w:val="center"/>
              <w:rPr>
                <w:rFonts w:cs="Arial"/>
                <w:lang w:val="ru-RU"/>
              </w:rPr>
            </w:pPr>
            <w:r w:rsidRPr="00C16903">
              <w:rPr>
                <w:lang w:val="ru-RU"/>
              </w:rPr>
              <w:t>(3)</w:t>
            </w:r>
          </w:p>
        </w:tc>
        <w:tc>
          <w:tcPr>
            <w:tcW w:w="1559" w:type="dxa"/>
          </w:tcPr>
          <w:p w14:paraId="180675AB" w14:textId="77777777" w:rsidR="00554C58" w:rsidRPr="00C16903" w:rsidRDefault="00554C58" w:rsidP="00C855E7">
            <w:pPr>
              <w:widowControl w:val="0"/>
              <w:jc w:val="center"/>
              <w:rPr>
                <w:rFonts w:cs="Arial"/>
                <w:lang w:val="ru-RU"/>
              </w:rPr>
            </w:pPr>
            <w:r w:rsidRPr="00C16903">
              <w:rPr>
                <w:lang w:val="ru-RU"/>
              </w:rPr>
              <w:t>(4)</w:t>
            </w:r>
          </w:p>
        </w:tc>
        <w:tc>
          <w:tcPr>
            <w:tcW w:w="648" w:type="dxa"/>
          </w:tcPr>
          <w:p w14:paraId="4ADCD74B" w14:textId="77777777" w:rsidR="00554C58" w:rsidRPr="00C16903" w:rsidRDefault="00554C58" w:rsidP="00C855E7">
            <w:pPr>
              <w:widowControl w:val="0"/>
              <w:jc w:val="center"/>
              <w:rPr>
                <w:rFonts w:cs="Arial"/>
                <w:lang w:val="ru-RU"/>
              </w:rPr>
            </w:pPr>
            <w:r w:rsidRPr="00C16903">
              <w:rPr>
                <w:lang w:val="ru-RU"/>
              </w:rPr>
              <w:t>(5)</w:t>
            </w:r>
          </w:p>
        </w:tc>
      </w:tr>
      <w:tr w:rsidR="00554C58" w:rsidRPr="00C16903" w14:paraId="338EE15F" w14:textId="77777777" w:rsidTr="00C855E7">
        <w:tc>
          <w:tcPr>
            <w:tcW w:w="1559" w:type="dxa"/>
            <w:vAlign w:val="center"/>
          </w:tcPr>
          <w:p w14:paraId="433A5211" w14:textId="77777777" w:rsidR="00554C58" w:rsidRPr="00C16903" w:rsidRDefault="00554C58" w:rsidP="00C855E7">
            <w:pPr>
              <w:widowControl w:val="0"/>
              <w:rPr>
                <w:lang w:val="ru-RU"/>
              </w:rPr>
            </w:pPr>
            <w:r w:rsidRPr="00C16903">
              <w:rPr>
                <w:lang w:val="ru-RU"/>
              </w:rPr>
              <w:t xml:space="preserve">EN </w:t>
            </w:r>
          </w:p>
          <w:p w14:paraId="2F6B31E4" w14:textId="77777777" w:rsidR="00554C58" w:rsidRPr="00C16903" w:rsidRDefault="00554C58" w:rsidP="00C855E7">
            <w:pPr>
              <w:widowControl w:val="0"/>
              <w:rPr>
                <w:rFonts w:cs="Arial"/>
                <w:lang w:val="ru-RU"/>
              </w:rPr>
            </w:pPr>
            <w:r w:rsidRPr="00C16903">
              <w:rPr>
                <w:lang w:val="ru-RU"/>
              </w:rPr>
              <w:t>13322-1:</w:t>
            </w:r>
            <w:r w:rsidRPr="00C16903">
              <w:rPr>
                <w:b/>
                <w:bCs/>
                <w:lang w:val="ru-RU"/>
              </w:rPr>
              <w:t>[</w:t>
            </w:r>
            <w:r w:rsidRPr="00C16903">
              <w:rPr>
                <w:lang w:val="ru-RU"/>
              </w:rPr>
              <w:t>2024</w:t>
            </w:r>
            <w:r w:rsidRPr="00C16903">
              <w:rPr>
                <w:b/>
                <w:bCs/>
                <w:lang w:val="ru-RU"/>
              </w:rPr>
              <w:t>]</w:t>
            </w:r>
          </w:p>
        </w:tc>
        <w:tc>
          <w:tcPr>
            <w:tcW w:w="3402" w:type="dxa"/>
            <w:vAlign w:val="center"/>
          </w:tcPr>
          <w:p w14:paraId="3E65B7E4" w14:textId="77777777" w:rsidR="00554C58" w:rsidRPr="00C16903" w:rsidRDefault="00554C58" w:rsidP="00C855E7">
            <w:pPr>
              <w:widowControl w:val="0"/>
              <w:rPr>
                <w:rFonts w:cs="Arial"/>
                <w:lang w:val="ru-RU"/>
              </w:rPr>
            </w:pPr>
            <w:r w:rsidRPr="00C16903">
              <w:rPr>
                <w:lang w:val="ru-RU"/>
              </w:rPr>
              <w:t>Переносные газовые баллоны — Сварные стальные газовые баллоны многоразового использования — Конструкция и изготовление — Часть 1: Сварная сталь</w:t>
            </w:r>
          </w:p>
        </w:tc>
        <w:tc>
          <w:tcPr>
            <w:tcW w:w="993" w:type="dxa"/>
            <w:vAlign w:val="center"/>
          </w:tcPr>
          <w:p w14:paraId="5F4C8B48" w14:textId="77777777" w:rsidR="00554C58" w:rsidRPr="00C16903" w:rsidRDefault="00554C58" w:rsidP="00C855E7">
            <w:pPr>
              <w:widowControl w:val="0"/>
              <w:rPr>
                <w:rFonts w:cs="Arial"/>
                <w:lang w:val="ru-RU"/>
              </w:rPr>
            </w:pPr>
            <w:r w:rsidRPr="00C16903">
              <w:rPr>
                <w:lang w:val="ru-RU"/>
              </w:rPr>
              <w:t>6.2.3.1 и 6.2.3.4</w:t>
            </w:r>
          </w:p>
        </w:tc>
        <w:tc>
          <w:tcPr>
            <w:tcW w:w="1559" w:type="dxa"/>
            <w:vAlign w:val="center"/>
          </w:tcPr>
          <w:p w14:paraId="168820C0" w14:textId="77777777" w:rsidR="00554C58" w:rsidRPr="00C16903" w:rsidRDefault="00554C58" w:rsidP="00C855E7">
            <w:pPr>
              <w:widowControl w:val="0"/>
              <w:suppressAutoHyphens w:val="0"/>
              <w:jc w:val="center"/>
              <w:rPr>
                <w:rFonts w:cs="Arial"/>
                <w:lang w:val="ru-RU"/>
              </w:rPr>
            </w:pPr>
            <w:r w:rsidRPr="00C16903">
              <w:rPr>
                <w:lang w:val="ru-RU"/>
              </w:rPr>
              <w:t>До дальнейшего указания</w:t>
            </w:r>
          </w:p>
        </w:tc>
        <w:tc>
          <w:tcPr>
            <w:tcW w:w="648" w:type="dxa"/>
            <w:vAlign w:val="center"/>
          </w:tcPr>
          <w:p w14:paraId="7F5D262F" w14:textId="77777777" w:rsidR="00554C58" w:rsidRPr="00C16903" w:rsidRDefault="00554C58" w:rsidP="00C855E7">
            <w:pPr>
              <w:widowControl w:val="0"/>
              <w:rPr>
                <w:rFonts w:cs="Arial"/>
                <w:lang w:val="ru-RU"/>
              </w:rPr>
            </w:pPr>
          </w:p>
        </w:tc>
      </w:tr>
    </w:tbl>
    <w:p w14:paraId="2DB431C7" w14:textId="77777777" w:rsidR="00554C58" w:rsidRPr="00C16903" w:rsidRDefault="00554C58" w:rsidP="00554C58">
      <w:pPr>
        <w:pStyle w:val="SingleTxtG"/>
        <w:spacing w:before="120"/>
        <w:ind w:left="2268"/>
        <w:rPr>
          <w:lang w:val="ru-RU"/>
        </w:rPr>
      </w:pPr>
      <w:r w:rsidRPr="00C16903">
        <w:rPr>
          <w:lang w:val="ru-RU"/>
        </w:rPr>
        <w:t>В таблице, раздел под заголовком «</w:t>
      </w:r>
      <w:r w:rsidRPr="00C16903">
        <w:rPr>
          <w:b/>
          <w:bCs/>
          <w:i/>
          <w:iCs/>
          <w:lang w:val="ru-RU"/>
        </w:rPr>
        <w:t>Для конструкции и изготовления затворов</w:t>
      </w:r>
      <w:r w:rsidRPr="00C16903">
        <w:rPr>
          <w:lang w:val="ru-RU"/>
        </w:rPr>
        <w:t>», внести следующие изменения:</w:t>
      </w:r>
    </w:p>
    <w:p w14:paraId="47325100" w14:textId="7E2CB9FB" w:rsidR="00554C58" w:rsidRPr="00C16903" w:rsidRDefault="00554C58" w:rsidP="00554C58">
      <w:pPr>
        <w:pStyle w:val="SingleTxtG"/>
        <w:ind w:left="2268"/>
        <w:rPr>
          <w:lang w:val="ru-RU"/>
        </w:rPr>
      </w:pPr>
      <w:r w:rsidRPr="00C16903">
        <w:rPr>
          <w:lang w:val="ru-RU"/>
        </w:rPr>
        <w:t>В строке для «EN ISO 10297:2014 + A1:2017», в колонке (4), заменить «До дальнейшего указания» на</w:t>
      </w:r>
      <w:r w:rsidRPr="00C16903">
        <w:rPr>
          <w:lang w:val="ru-RU"/>
        </w:rPr>
        <w:t xml:space="preserve"> </w:t>
      </w:r>
      <w:r w:rsidRPr="00C16903">
        <w:rPr>
          <w:lang w:val="ru-RU"/>
        </w:rPr>
        <w:t>«С 1 января 2019 года до 31 декабря 2026 года».</w:t>
      </w:r>
    </w:p>
    <w:p w14:paraId="056B5B36" w14:textId="643EC194" w:rsidR="00554C58" w:rsidRPr="00C16903" w:rsidRDefault="00554C58" w:rsidP="00554C58">
      <w:pPr>
        <w:pStyle w:val="SingleTxtG"/>
        <w:ind w:left="2268"/>
        <w:rPr>
          <w:rFonts w:cs="Arial"/>
          <w:lang w:val="ru-RU"/>
        </w:rPr>
      </w:pPr>
      <w:r w:rsidRPr="00C16903">
        <w:rPr>
          <w:lang w:val="ru-RU"/>
        </w:rPr>
        <w:t>После строки для стандарта «EN ISO 10297:2014+A1:2017» добавить следующую новую строку</w:t>
      </w:r>
      <w:r w:rsidR="008351FC" w:rsidRPr="00C16903">
        <w:rPr>
          <w:lang w:val="ru-RU"/>
        </w:rPr>
        <w:t>:</w:t>
      </w:r>
      <w:r w:rsidRPr="00C16903">
        <w:rPr>
          <w:rFonts w:cs="Arial"/>
          <w:lang w:val="ru-RU"/>
        </w:rPr>
        <w:t xml:space="preserve"> </w:t>
      </w:r>
    </w:p>
    <w:tbl>
      <w:tblPr>
        <w:tblW w:w="8163" w:type="dxa"/>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3408"/>
        <w:gridCol w:w="980"/>
        <w:gridCol w:w="1566"/>
        <w:gridCol w:w="648"/>
      </w:tblGrid>
      <w:tr w:rsidR="00554C58" w:rsidRPr="00C16903" w14:paraId="40B2B882" w14:textId="77777777" w:rsidTr="00C855E7">
        <w:tc>
          <w:tcPr>
            <w:tcW w:w="1561" w:type="dxa"/>
          </w:tcPr>
          <w:p w14:paraId="0296CD6F" w14:textId="77777777" w:rsidR="00554C58" w:rsidRPr="00C16903" w:rsidRDefault="00554C58" w:rsidP="00C855E7">
            <w:pPr>
              <w:widowControl w:val="0"/>
              <w:jc w:val="center"/>
              <w:rPr>
                <w:rFonts w:cs="Arial"/>
                <w:lang w:val="ru-RU"/>
              </w:rPr>
            </w:pPr>
            <w:r w:rsidRPr="00C16903">
              <w:rPr>
                <w:lang w:val="ru-RU"/>
              </w:rPr>
              <w:t>(1)</w:t>
            </w:r>
          </w:p>
        </w:tc>
        <w:tc>
          <w:tcPr>
            <w:tcW w:w="3408" w:type="dxa"/>
          </w:tcPr>
          <w:p w14:paraId="6E53D23F" w14:textId="77777777" w:rsidR="00554C58" w:rsidRPr="00C16903" w:rsidRDefault="00554C58" w:rsidP="00C855E7">
            <w:pPr>
              <w:widowControl w:val="0"/>
              <w:jc w:val="center"/>
              <w:rPr>
                <w:rFonts w:cs="Arial"/>
                <w:lang w:val="ru-RU"/>
              </w:rPr>
            </w:pPr>
            <w:r w:rsidRPr="00C16903">
              <w:rPr>
                <w:lang w:val="ru-RU"/>
              </w:rPr>
              <w:t>(2)</w:t>
            </w:r>
          </w:p>
        </w:tc>
        <w:tc>
          <w:tcPr>
            <w:tcW w:w="980" w:type="dxa"/>
          </w:tcPr>
          <w:p w14:paraId="20B59A33" w14:textId="77777777" w:rsidR="00554C58" w:rsidRPr="00C16903" w:rsidRDefault="00554C58" w:rsidP="00C855E7">
            <w:pPr>
              <w:widowControl w:val="0"/>
              <w:jc w:val="center"/>
              <w:rPr>
                <w:rFonts w:cs="Arial"/>
                <w:lang w:val="ru-RU"/>
              </w:rPr>
            </w:pPr>
            <w:r w:rsidRPr="00C16903">
              <w:rPr>
                <w:lang w:val="ru-RU"/>
              </w:rPr>
              <w:t>(3)</w:t>
            </w:r>
          </w:p>
        </w:tc>
        <w:tc>
          <w:tcPr>
            <w:tcW w:w="1566" w:type="dxa"/>
          </w:tcPr>
          <w:p w14:paraId="71E962E0" w14:textId="77777777" w:rsidR="00554C58" w:rsidRPr="00C16903" w:rsidRDefault="00554C58" w:rsidP="00C855E7">
            <w:pPr>
              <w:widowControl w:val="0"/>
              <w:jc w:val="center"/>
              <w:rPr>
                <w:rFonts w:cs="Arial"/>
                <w:lang w:val="ru-RU"/>
              </w:rPr>
            </w:pPr>
            <w:r w:rsidRPr="00C16903">
              <w:rPr>
                <w:lang w:val="ru-RU"/>
              </w:rPr>
              <w:t>(4)</w:t>
            </w:r>
          </w:p>
        </w:tc>
        <w:tc>
          <w:tcPr>
            <w:tcW w:w="648" w:type="dxa"/>
          </w:tcPr>
          <w:p w14:paraId="21832F1A" w14:textId="77777777" w:rsidR="00554C58" w:rsidRPr="00C16903" w:rsidRDefault="00554C58" w:rsidP="00C855E7">
            <w:pPr>
              <w:widowControl w:val="0"/>
              <w:jc w:val="center"/>
              <w:rPr>
                <w:rFonts w:cs="Arial"/>
                <w:lang w:val="ru-RU"/>
              </w:rPr>
            </w:pPr>
            <w:r w:rsidRPr="00C16903">
              <w:rPr>
                <w:lang w:val="ru-RU"/>
              </w:rPr>
              <w:t>(5)</w:t>
            </w:r>
          </w:p>
        </w:tc>
      </w:tr>
      <w:tr w:rsidR="00554C58" w:rsidRPr="00C16903" w14:paraId="502FAC3E" w14:textId="77777777" w:rsidTr="00C855E7">
        <w:tc>
          <w:tcPr>
            <w:tcW w:w="1561" w:type="dxa"/>
            <w:vAlign w:val="center"/>
          </w:tcPr>
          <w:p w14:paraId="235D38AE" w14:textId="77777777" w:rsidR="00554C58" w:rsidRPr="00C16903" w:rsidRDefault="00554C58" w:rsidP="00C855E7">
            <w:pPr>
              <w:widowControl w:val="0"/>
              <w:rPr>
                <w:rFonts w:cs="Arial"/>
                <w:lang w:val="ru-RU"/>
              </w:rPr>
            </w:pPr>
            <w:r w:rsidRPr="00C16903">
              <w:rPr>
                <w:lang w:val="ru-RU"/>
              </w:rPr>
              <w:t>EN ISO 10297:</w:t>
            </w:r>
            <w:r w:rsidRPr="00C16903">
              <w:rPr>
                <w:b/>
                <w:bCs/>
                <w:lang w:val="ru-RU"/>
              </w:rPr>
              <w:t>[</w:t>
            </w:r>
            <w:r w:rsidRPr="00C16903">
              <w:rPr>
                <w:lang w:val="ru-RU"/>
              </w:rPr>
              <w:t>2024</w:t>
            </w:r>
            <w:r w:rsidRPr="00C16903">
              <w:rPr>
                <w:b/>
                <w:bCs/>
                <w:lang w:val="ru-RU"/>
              </w:rPr>
              <w:t>]</w:t>
            </w:r>
          </w:p>
        </w:tc>
        <w:tc>
          <w:tcPr>
            <w:tcW w:w="3408" w:type="dxa"/>
            <w:vAlign w:val="center"/>
          </w:tcPr>
          <w:p w14:paraId="4A5442CD" w14:textId="77777777" w:rsidR="00554C58" w:rsidRPr="00C16903" w:rsidRDefault="00554C58" w:rsidP="00C855E7">
            <w:pPr>
              <w:widowControl w:val="0"/>
              <w:rPr>
                <w:rFonts w:cs="Arial"/>
                <w:bCs/>
                <w:lang w:val="ru-RU"/>
              </w:rPr>
            </w:pPr>
            <w:bookmarkStart w:id="0" w:name="_Hlk158206034"/>
            <w:r w:rsidRPr="00C16903">
              <w:rPr>
                <w:lang w:val="ru-RU"/>
              </w:rPr>
              <w:t xml:space="preserve">Газовые баллоны — Вентили баллонов — Технические требования и испытания по типу </w:t>
            </w:r>
            <w:r w:rsidRPr="00C16903">
              <w:rPr>
                <w:lang w:val="ru-RU"/>
              </w:rPr>
              <w:lastRenderedPageBreak/>
              <w:t>конструкции</w:t>
            </w:r>
            <w:bookmarkEnd w:id="0"/>
          </w:p>
        </w:tc>
        <w:tc>
          <w:tcPr>
            <w:tcW w:w="980" w:type="dxa"/>
            <w:vAlign w:val="center"/>
          </w:tcPr>
          <w:p w14:paraId="1D939947" w14:textId="77777777" w:rsidR="00554C58" w:rsidRPr="00C16903" w:rsidRDefault="00554C58" w:rsidP="00C855E7">
            <w:pPr>
              <w:widowControl w:val="0"/>
              <w:rPr>
                <w:rFonts w:cs="Arial"/>
                <w:lang w:val="ru-RU"/>
              </w:rPr>
            </w:pPr>
            <w:r w:rsidRPr="00C16903">
              <w:rPr>
                <w:lang w:val="ru-RU"/>
              </w:rPr>
              <w:lastRenderedPageBreak/>
              <w:t>6.2.3.1 и 6.2.3.3</w:t>
            </w:r>
          </w:p>
        </w:tc>
        <w:tc>
          <w:tcPr>
            <w:tcW w:w="1566" w:type="dxa"/>
            <w:vAlign w:val="center"/>
          </w:tcPr>
          <w:p w14:paraId="426BF45C" w14:textId="77777777" w:rsidR="00554C58" w:rsidRPr="00C16903" w:rsidRDefault="00554C58" w:rsidP="00C855E7">
            <w:pPr>
              <w:widowControl w:val="0"/>
              <w:suppressAutoHyphens w:val="0"/>
              <w:jc w:val="center"/>
              <w:rPr>
                <w:rFonts w:cs="Arial"/>
                <w:lang w:val="ru-RU"/>
              </w:rPr>
            </w:pPr>
            <w:r w:rsidRPr="00C16903">
              <w:rPr>
                <w:lang w:val="ru-RU"/>
              </w:rPr>
              <w:t>До дальнейшего указания</w:t>
            </w:r>
          </w:p>
        </w:tc>
        <w:tc>
          <w:tcPr>
            <w:tcW w:w="648" w:type="dxa"/>
            <w:vAlign w:val="center"/>
          </w:tcPr>
          <w:p w14:paraId="428A56C5" w14:textId="77777777" w:rsidR="00554C58" w:rsidRPr="00C16903" w:rsidRDefault="00554C58" w:rsidP="00C855E7">
            <w:pPr>
              <w:widowControl w:val="0"/>
              <w:rPr>
                <w:rFonts w:cs="Arial"/>
                <w:lang w:val="ru-RU"/>
              </w:rPr>
            </w:pPr>
          </w:p>
        </w:tc>
      </w:tr>
    </w:tbl>
    <w:p w14:paraId="00EF3BAB" w14:textId="5E2C4715" w:rsidR="00554C58" w:rsidRPr="00C16903" w:rsidRDefault="00554C58" w:rsidP="008351FC">
      <w:pPr>
        <w:pStyle w:val="SingleTxtG"/>
        <w:spacing w:before="120"/>
        <w:ind w:left="2268"/>
        <w:rPr>
          <w:lang w:val="ru-RU"/>
        </w:rPr>
      </w:pPr>
      <w:r w:rsidRPr="00C16903">
        <w:rPr>
          <w:lang w:val="ru-RU"/>
        </w:rPr>
        <w:t>В строке для «EN ISO 17871:2020», в колонке (4), заменить «До дальнейшего указания</w:t>
      </w:r>
      <w:r w:rsidR="008351FC" w:rsidRPr="00C16903">
        <w:rPr>
          <w:lang w:val="ru-RU"/>
        </w:rPr>
        <w:t>»</w:t>
      </w:r>
      <w:r w:rsidRPr="00C16903">
        <w:rPr>
          <w:lang w:val="ru-RU"/>
        </w:rPr>
        <w:t xml:space="preserve"> на</w:t>
      </w:r>
      <w:r w:rsidR="008351FC" w:rsidRPr="00C16903">
        <w:rPr>
          <w:lang w:val="ru-RU"/>
        </w:rPr>
        <w:t xml:space="preserve"> </w:t>
      </w:r>
      <w:r w:rsidRPr="00C16903">
        <w:rPr>
          <w:lang w:val="ru-RU"/>
        </w:rPr>
        <w:t>«С 1 января 2023 года до 31 декабря 2026 года».</w:t>
      </w:r>
    </w:p>
    <w:p w14:paraId="097285FD" w14:textId="72D8AFAD" w:rsidR="00554C58" w:rsidRPr="00C16903" w:rsidRDefault="00554C58" w:rsidP="001F1255">
      <w:pPr>
        <w:pStyle w:val="SingleTxtG"/>
        <w:ind w:left="1985"/>
        <w:rPr>
          <w:rFonts w:cs="Arial"/>
          <w:szCs w:val="22"/>
          <w:lang w:val="ru-RU"/>
        </w:rPr>
      </w:pPr>
      <w:r w:rsidRPr="00C16903">
        <w:rPr>
          <w:lang w:val="ru-RU"/>
        </w:rPr>
        <w:t>После строки для  стандарта «EN ISO 17871:2020» добавить следующую новую строку:</w:t>
      </w:r>
    </w:p>
    <w:tbl>
      <w:tblPr>
        <w:tblW w:w="8163" w:type="dxa"/>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3387"/>
        <w:gridCol w:w="980"/>
        <w:gridCol w:w="1568"/>
        <w:gridCol w:w="646"/>
      </w:tblGrid>
      <w:tr w:rsidR="00554C58" w:rsidRPr="00C16903" w14:paraId="6B595676" w14:textId="77777777" w:rsidTr="00C855E7">
        <w:tc>
          <w:tcPr>
            <w:tcW w:w="1582" w:type="dxa"/>
          </w:tcPr>
          <w:p w14:paraId="338BCAC2" w14:textId="77777777" w:rsidR="00554C58" w:rsidRPr="00C16903" w:rsidRDefault="00554C58" w:rsidP="00C855E7">
            <w:pPr>
              <w:widowControl w:val="0"/>
              <w:jc w:val="center"/>
              <w:rPr>
                <w:rFonts w:cs="Arial"/>
                <w:lang w:val="ru-RU"/>
              </w:rPr>
            </w:pPr>
            <w:r w:rsidRPr="00C16903">
              <w:rPr>
                <w:lang w:val="ru-RU"/>
              </w:rPr>
              <w:t>(1)</w:t>
            </w:r>
          </w:p>
        </w:tc>
        <w:tc>
          <w:tcPr>
            <w:tcW w:w="3387" w:type="dxa"/>
          </w:tcPr>
          <w:p w14:paraId="14EE33A5" w14:textId="77777777" w:rsidR="00554C58" w:rsidRPr="00C16903" w:rsidRDefault="00554C58" w:rsidP="00C855E7">
            <w:pPr>
              <w:widowControl w:val="0"/>
              <w:jc w:val="center"/>
              <w:rPr>
                <w:rFonts w:cs="Arial"/>
                <w:lang w:val="ru-RU"/>
              </w:rPr>
            </w:pPr>
            <w:r w:rsidRPr="00C16903">
              <w:rPr>
                <w:lang w:val="ru-RU"/>
              </w:rPr>
              <w:t>(2)</w:t>
            </w:r>
          </w:p>
        </w:tc>
        <w:tc>
          <w:tcPr>
            <w:tcW w:w="980" w:type="dxa"/>
          </w:tcPr>
          <w:p w14:paraId="113FF924" w14:textId="77777777" w:rsidR="00554C58" w:rsidRPr="00C16903" w:rsidRDefault="00554C58" w:rsidP="00C855E7">
            <w:pPr>
              <w:widowControl w:val="0"/>
              <w:jc w:val="center"/>
              <w:rPr>
                <w:rFonts w:cs="Arial"/>
                <w:lang w:val="ru-RU"/>
              </w:rPr>
            </w:pPr>
            <w:r w:rsidRPr="00C16903">
              <w:rPr>
                <w:lang w:val="ru-RU"/>
              </w:rPr>
              <w:t>(3)</w:t>
            </w:r>
          </w:p>
        </w:tc>
        <w:tc>
          <w:tcPr>
            <w:tcW w:w="1568" w:type="dxa"/>
          </w:tcPr>
          <w:p w14:paraId="5E459665" w14:textId="77777777" w:rsidR="00554C58" w:rsidRPr="00C16903" w:rsidRDefault="00554C58" w:rsidP="00C855E7">
            <w:pPr>
              <w:widowControl w:val="0"/>
              <w:jc w:val="center"/>
              <w:rPr>
                <w:rFonts w:cs="Arial"/>
                <w:lang w:val="ru-RU"/>
              </w:rPr>
            </w:pPr>
            <w:r w:rsidRPr="00C16903">
              <w:rPr>
                <w:lang w:val="ru-RU"/>
              </w:rPr>
              <w:t>(4)</w:t>
            </w:r>
          </w:p>
        </w:tc>
        <w:tc>
          <w:tcPr>
            <w:tcW w:w="646" w:type="dxa"/>
          </w:tcPr>
          <w:p w14:paraId="2EA78300" w14:textId="77777777" w:rsidR="00554C58" w:rsidRPr="00C16903" w:rsidRDefault="00554C58" w:rsidP="00C855E7">
            <w:pPr>
              <w:widowControl w:val="0"/>
              <w:jc w:val="center"/>
              <w:rPr>
                <w:rFonts w:cs="Arial"/>
                <w:lang w:val="ru-RU"/>
              </w:rPr>
            </w:pPr>
            <w:r w:rsidRPr="00C16903">
              <w:rPr>
                <w:lang w:val="ru-RU"/>
              </w:rPr>
              <w:t>(5)</w:t>
            </w:r>
          </w:p>
        </w:tc>
      </w:tr>
      <w:tr w:rsidR="00554C58" w:rsidRPr="00C16903" w14:paraId="17AA359D" w14:textId="77777777" w:rsidTr="00C855E7">
        <w:tc>
          <w:tcPr>
            <w:tcW w:w="1582" w:type="dxa"/>
            <w:vAlign w:val="center"/>
          </w:tcPr>
          <w:p w14:paraId="5D56E74C" w14:textId="77777777" w:rsidR="00554C58" w:rsidRPr="00C16903" w:rsidRDefault="00554C58" w:rsidP="00C855E7">
            <w:pPr>
              <w:widowControl w:val="0"/>
              <w:rPr>
                <w:rFonts w:cs="Arial"/>
                <w:lang w:val="ru-RU"/>
              </w:rPr>
            </w:pPr>
            <w:r w:rsidRPr="00C16903">
              <w:rPr>
                <w:lang w:val="ru-RU"/>
              </w:rPr>
              <w:t>EN ISO 17871:2020 + A1:</w:t>
            </w:r>
            <w:r w:rsidRPr="00C16903">
              <w:rPr>
                <w:b/>
                <w:bCs/>
                <w:lang w:val="ru-RU"/>
              </w:rPr>
              <w:t>[</w:t>
            </w:r>
            <w:r w:rsidRPr="00C16903">
              <w:rPr>
                <w:lang w:val="ru-RU"/>
              </w:rPr>
              <w:t>2024</w:t>
            </w:r>
            <w:r w:rsidRPr="00C16903">
              <w:rPr>
                <w:b/>
                <w:bCs/>
                <w:lang w:val="ru-RU"/>
              </w:rPr>
              <w:t>]</w:t>
            </w:r>
          </w:p>
        </w:tc>
        <w:tc>
          <w:tcPr>
            <w:tcW w:w="3387" w:type="dxa"/>
            <w:vAlign w:val="center"/>
          </w:tcPr>
          <w:p w14:paraId="69F44751" w14:textId="77777777" w:rsidR="00554C58" w:rsidRPr="00C16903" w:rsidRDefault="00554C58" w:rsidP="00C855E7">
            <w:pPr>
              <w:widowControl w:val="0"/>
              <w:rPr>
                <w:rFonts w:cs="Arial"/>
                <w:bCs/>
                <w:lang w:val="ru-RU"/>
              </w:rPr>
            </w:pPr>
            <w:r w:rsidRPr="00C16903">
              <w:rPr>
                <w:lang w:val="ru-RU"/>
              </w:rPr>
              <w:t>Газовые баллоны — Быстрооткрывающиеся вентили баллонов — Технические требования и испытания по типу конструкции</w:t>
            </w:r>
          </w:p>
        </w:tc>
        <w:tc>
          <w:tcPr>
            <w:tcW w:w="980" w:type="dxa"/>
            <w:vAlign w:val="center"/>
          </w:tcPr>
          <w:p w14:paraId="5B60E02A" w14:textId="77777777" w:rsidR="00554C58" w:rsidRPr="00C16903" w:rsidRDefault="00554C58" w:rsidP="00C855E7">
            <w:pPr>
              <w:widowControl w:val="0"/>
              <w:rPr>
                <w:rFonts w:cs="Arial"/>
                <w:lang w:val="ru-RU"/>
              </w:rPr>
            </w:pPr>
            <w:r w:rsidRPr="00C16903">
              <w:rPr>
                <w:lang w:val="ru-RU"/>
              </w:rPr>
              <w:t>6.2.3.1, 6.2.3.3 и 6.2.3.4</w:t>
            </w:r>
          </w:p>
        </w:tc>
        <w:tc>
          <w:tcPr>
            <w:tcW w:w="1568" w:type="dxa"/>
            <w:vAlign w:val="center"/>
          </w:tcPr>
          <w:p w14:paraId="2E84A11F" w14:textId="77777777" w:rsidR="00554C58" w:rsidRPr="00C16903" w:rsidRDefault="00554C58" w:rsidP="00C855E7">
            <w:pPr>
              <w:widowControl w:val="0"/>
              <w:jc w:val="center"/>
              <w:rPr>
                <w:rFonts w:cs="Arial"/>
                <w:lang w:val="ru-RU"/>
              </w:rPr>
            </w:pPr>
            <w:r w:rsidRPr="00C16903">
              <w:rPr>
                <w:lang w:val="ru-RU"/>
              </w:rPr>
              <w:t>До дальнейшего указания</w:t>
            </w:r>
          </w:p>
        </w:tc>
        <w:tc>
          <w:tcPr>
            <w:tcW w:w="646" w:type="dxa"/>
            <w:vAlign w:val="center"/>
          </w:tcPr>
          <w:p w14:paraId="3125F163" w14:textId="77777777" w:rsidR="00554C58" w:rsidRPr="00C16903" w:rsidRDefault="00554C58" w:rsidP="00C855E7">
            <w:pPr>
              <w:widowControl w:val="0"/>
              <w:rPr>
                <w:rFonts w:cs="Arial"/>
                <w:lang w:val="ru-RU"/>
              </w:rPr>
            </w:pPr>
          </w:p>
        </w:tc>
      </w:tr>
    </w:tbl>
    <w:p w14:paraId="5090A174" w14:textId="7182B6B8" w:rsidR="008472D2" w:rsidRPr="00C16903" w:rsidRDefault="008472D2" w:rsidP="008472D2">
      <w:pPr>
        <w:pStyle w:val="H1G"/>
        <w:rPr>
          <w:lang w:val="ru-RU"/>
        </w:rPr>
      </w:pPr>
      <w:r w:rsidRPr="00C16903">
        <w:rPr>
          <w:lang w:val="ru-RU"/>
        </w:rPr>
        <w:tab/>
      </w:r>
      <w:r w:rsidRPr="00C16903">
        <w:rPr>
          <w:lang w:val="ru-RU"/>
        </w:rPr>
        <w:tab/>
      </w:r>
      <w:r w:rsidR="00042F03" w:rsidRPr="00C16903">
        <w:rPr>
          <w:lang w:val="ru-RU" w:eastAsia="ru-RU"/>
        </w:rPr>
        <w:t>Глава</w:t>
      </w:r>
      <w:r w:rsidR="00042F03" w:rsidRPr="00C16903">
        <w:rPr>
          <w:lang w:val="ru-RU"/>
        </w:rPr>
        <w:t xml:space="preserve"> </w:t>
      </w:r>
      <w:r w:rsidRPr="00C16903">
        <w:rPr>
          <w:lang w:val="ru-RU"/>
        </w:rPr>
        <w:t>6.8</w:t>
      </w:r>
    </w:p>
    <w:p w14:paraId="0E9F050F" w14:textId="1C7FCB49" w:rsidR="00E146D8" w:rsidRPr="00C16903" w:rsidRDefault="00E146D8" w:rsidP="00E146D8">
      <w:pPr>
        <w:pStyle w:val="SingleTxtG"/>
        <w:ind w:left="2268" w:hanging="1134"/>
        <w:rPr>
          <w:lang w:val="ru-RU"/>
        </w:rPr>
      </w:pPr>
      <w:r w:rsidRPr="00C16903">
        <w:rPr>
          <w:b/>
          <w:bCs/>
          <w:lang w:val="ru-RU"/>
        </w:rPr>
        <w:t>6.8.2.3.2</w:t>
      </w:r>
      <w:r w:rsidRPr="00C16903">
        <w:rPr>
          <w:lang w:val="ru-RU"/>
        </w:rPr>
        <w:tab/>
        <w:t>В примечании заменить «приложение B к стандарту EN 12972:2018» на</w:t>
      </w:r>
      <w:r w:rsidRPr="00C16903">
        <w:rPr>
          <w:lang w:val="ru-RU"/>
        </w:rPr>
        <w:t xml:space="preserve"> </w:t>
      </w:r>
      <w:r w:rsidRPr="00C16903">
        <w:rPr>
          <w:lang w:val="ru-RU"/>
        </w:rPr>
        <w:t>«приложение B к стандарту EN 12972:2018 + A1:</w:t>
      </w:r>
      <w:r w:rsidRPr="00C16903">
        <w:rPr>
          <w:b/>
          <w:bCs/>
          <w:lang w:val="ru-RU"/>
        </w:rPr>
        <w:t>[</w:t>
      </w:r>
      <w:r w:rsidRPr="00C16903">
        <w:rPr>
          <w:lang w:val="ru-RU"/>
        </w:rPr>
        <w:t>2024</w:t>
      </w:r>
      <w:r w:rsidRPr="00C16903">
        <w:rPr>
          <w:b/>
          <w:bCs/>
          <w:lang w:val="ru-RU"/>
        </w:rPr>
        <w:t>]</w:t>
      </w:r>
      <w:r w:rsidRPr="00C16903">
        <w:rPr>
          <w:lang w:val="ru-RU"/>
        </w:rPr>
        <w:t>.</w:t>
      </w:r>
    </w:p>
    <w:p w14:paraId="5559D44A" w14:textId="1E6A5412" w:rsidR="009F135C" w:rsidRPr="00C16903" w:rsidRDefault="009F135C" w:rsidP="009F135C">
      <w:pPr>
        <w:pStyle w:val="SingleTxtG"/>
        <w:ind w:left="2268" w:right="1133" w:hanging="1134"/>
        <w:rPr>
          <w:lang w:val="ru-RU"/>
        </w:rPr>
      </w:pPr>
      <w:r w:rsidRPr="00C16903">
        <w:rPr>
          <w:b/>
          <w:bCs/>
          <w:lang w:val="ru-RU"/>
        </w:rPr>
        <w:t>6.8.2.6.1</w:t>
      </w:r>
      <w:r w:rsidRPr="00C16903">
        <w:rPr>
          <w:lang w:val="ru-RU"/>
        </w:rPr>
        <w:tab/>
        <w:t>В таблице, раздел под заголовком «</w:t>
      </w:r>
      <w:r w:rsidRPr="00C16903">
        <w:rPr>
          <w:b/>
          <w:bCs/>
          <w:i/>
          <w:iCs/>
          <w:lang w:val="ru-RU"/>
        </w:rPr>
        <w:t>Для оборудования</w:t>
      </w:r>
      <w:r w:rsidRPr="00C16903">
        <w:rPr>
          <w:lang w:val="ru-RU"/>
        </w:rPr>
        <w:t>», для стандартов «EN 14432:2014» и «EN 14433:2014» в колонке (3), заменить «6.8.2.3.2» на</w:t>
      </w:r>
      <w:r w:rsidRPr="00C16903">
        <w:rPr>
          <w:lang w:val="ru-RU"/>
        </w:rPr>
        <w:t xml:space="preserve"> </w:t>
      </w:r>
      <w:r w:rsidRPr="00C16903">
        <w:rPr>
          <w:lang w:val="ru-RU"/>
        </w:rPr>
        <w:t>«6.8.2.3.1».</w:t>
      </w:r>
    </w:p>
    <w:p w14:paraId="6C293BC5" w14:textId="77777777" w:rsidR="00AB4E65" w:rsidRPr="00C16903" w:rsidRDefault="00AB4E65" w:rsidP="00AB4E65">
      <w:pPr>
        <w:pStyle w:val="SingleTxtG"/>
        <w:rPr>
          <w:lang w:val="ru-RU"/>
        </w:rPr>
      </w:pPr>
      <w:r w:rsidRPr="00C16903">
        <w:rPr>
          <w:b/>
          <w:bCs/>
          <w:lang w:val="ru-RU"/>
        </w:rPr>
        <w:t>6.8.2.6.2</w:t>
      </w:r>
      <w:r w:rsidRPr="00C16903">
        <w:rPr>
          <w:lang w:val="ru-RU"/>
        </w:rPr>
        <w:tab/>
        <w:t>В таблице внести следующие изменения:</w:t>
      </w:r>
    </w:p>
    <w:p w14:paraId="275AE894" w14:textId="4D067411" w:rsidR="00AB4E65" w:rsidRPr="00C16903" w:rsidRDefault="00AB4E65" w:rsidP="00AB4E65">
      <w:pPr>
        <w:pStyle w:val="SingleTxtG"/>
        <w:ind w:left="2268"/>
        <w:rPr>
          <w:lang w:val="ru-RU"/>
        </w:rPr>
      </w:pPr>
      <w:r w:rsidRPr="00C16903">
        <w:rPr>
          <w:lang w:val="ru-RU"/>
        </w:rPr>
        <w:t>В строке для стандарта «EN 12972:2018», в колонке (4), заменить «До дальнейшего указания» на</w:t>
      </w:r>
      <w:r w:rsidRPr="00C16903">
        <w:rPr>
          <w:lang w:val="ru-RU"/>
        </w:rPr>
        <w:t xml:space="preserve"> </w:t>
      </w:r>
      <w:r w:rsidRPr="00C16903">
        <w:rPr>
          <w:lang w:val="ru-RU"/>
        </w:rPr>
        <w:t>«До 31 декабря 2026 года».</w:t>
      </w:r>
    </w:p>
    <w:p w14:paraId="4439AE5F" w14:textId="7DC5FEFE" w:rsidR="00AB4E65" w:rsidRPr="00C16903" w:rsidRDefault="00AB4E65" w:rsidP="00AB4E65">
      <w:pPr>
        <w:pStyle w:val="SingleTxtG"/>
        <w:ind w:left="2268"/>
        <w:rPr>
          <w:rFonts w:cs="Arial"/>
          <w:szCs w:val="22"/>
          <w:lang w:val="ru-RU"/>
        </w:rPr>
      </w:pPr>
      <w:r w:rsidRPr="00C16903">
        <w:rPr>
          <w:lang w:val="ru-RU"/>
        </w:rPr>
        <w:t>После строки для стандарта «EN 12972:2018» добавить следующую новую строку:</w:t>
      </w:r>
    </w:p>
    <w:tbl>
      <w:tblPr>
        <w:tblW w:w="8224" w:type="dxa"/>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3387"/>
        <w:gridCol w:w="1128"/>
        <w:gridCol w:w="1418"/>
        <w:gridCol w:w="709"/>
      </w:tblGrid>
      <w:tr w:rsidR="00AB4E65" w:rsidRPr="00C16903" w14:paraId="45885C6D" w14:textId="77777777" w:rsidTr="00C855E7">
        <w:tc>
          <w:tcPr>
            <w:tcW w:w="1582" w:type="dxa"/>
          </w:tcPr>
          <w:p w14:paraId="70A4997F" w14:textId="77777777" w:rsidR="00AB4E65" w:rsidRPr="00C16903" w:rsidRDefault="00AB4E65" w:rsidP="00C855E7">
            <w:pPr>
              <w:widowControl w:val="0"/>
              <w:jc w:val="center"/>
              <w:rPr>
                <w:rFonts w:cs="Arial"/>
                <w:sz w:val="18"/>
                <w:szCs w:val="18"/>
                <w:lang w:val="ru-RU"/>
              </w:rPr>
            </w:pPr>
            <w:r w:rsidRPr="00C16903">
              <w:rPr>
                <w:lang w:val="ru-RU"/>
              </w:rPr>
              <w:t>(1)</w:t>
            </w:r>
          </w:p>
        </w:tc>
        <w:tc>
          <w:tcPr>
            <w:tcW w:w="3387" w:type="dxa"/>
          </w:tcPr>
          <w:p w14:paraId="75A18C67" w14:textId="77777777" w:rsidR="00AB4E65" w:rsidRPr="00C16903" w:rsidRDefault="00AB4E65" w:rsidP="00C855E7">
            <w:pPr>
              <w:widowControl w:val="0"/>
              <w:jc w:val="center"/>
              <w:rPr>
                <w:rFonts w:cs="Arial"/>
                <w:sz w:val="18"/>
                <w:szCs w:val="18"/>
                <w:lang w:val="ru-RU"/>
              </w:rPr>
            </w:pPr>
            <w:r w:rsidRPr="00C16903">
              <w:rPr>
                <w:lang w:val="ru-RU"/>
              </w:rPr>
              <w:t>(2)</w:t>
            </w:r>
          </w:p>
        </w:tc>
        <w:tc>
          <w:tcPr>
            <w:tcW w:w="1128" w:type="dxa"/>
          </w:tcPr>
          <w:p w14:paraId="51944194" w14:textId="77777777" w:rsidR="00AB4E65" w:rsidRPr="00C16903" w:rsidRDefault="00AB4E65" w:rsidP="00C855E7">
            <w:pPr>
              <w:widowControl w:val="0"/>
              <w:jc w:val="center"/>
              <w:rPr>
                <w:rFonts w:cs="Arial"/>
                <w:sz w:val="18"/>
                <w:szCs w:val="18"/>
                <w:lang w:val="ru-RU"/>
              </w:rPr>
            </w:pPr>
            <w:r w:rsidRPr="00C16903">
              <w:rPr>
                <w:lang w:val="ru-RU"/>
              </w:rPr>
              <w:t>(3)</w:t>
            </w:r>
          </w:p>
        </w:tc>
        <w:tc>
          <w:tcPr>
            <w:tcW w:w="1418" w:type="dxa"/>
          </w:tcPr>
          <w:p w14:paraId="3FA4B5D7" w14:textId="77777777" w:rsidR="00AB4E65" w:rsidRPr="00C16903" w:rsidRDefault="00AB4E65" w:rsidP="00C855E7">
            <w:pPr>
              <w:widowControl w:val="0"/>
              <w:jc w:val="center"/>
              <w:rPr>
                <w:rFonts w:cs="Arial"/>
                <w:sz w:val="18"/>
                <w:szCs w:val="18"/>
                <w:lang w:val="ru-RU"/>
              </w:rPr>
            </w:pPr>
            <w:r w:rsidRPr="00C16903">
              <w:rPr>
                <w:lang w:val="ru-RU"/>
              </w:rPr>
              <w:t>(4)</w:t>
            </w:r>
          </w:p>
        </w:tc>
        <w:tc>
          <w:tcPr>
            <w:tcW w:w="709" w:type="dxa"/>
          </w:tcPr>
          <w:p w14:paraId="2CE0C23D" w14:textId="77777777" w:rsidR="00AB4E65" w:rsidRPr="00C16903" w:rsidRDefault="00AB4E65" w:rsidP="00C855E7">
            <w:pPr>
              <w:widowControl w:val="0"/>
              <w:jc w:val="center"/>
              <w:rPr>
                <w:rFonts w:cs="Arial"/>
                <w:sz w:val="18"/>
                <w:szCs w:val="18"/>
                <w:lang w:val="ru-RU"/>
              </w:rPr>
            </w:pPr>
            <w:r w:rsidRPr="00C16903">
              <w:rPr>
                <w:lang w:val="ru-RU"/>
              </w:rPr>
              <w:t>(5)</w:t>
            </w:r>
          </w:p>
        </w:tc>
      </w:tr>
      <w:tr w:rsidR="00AB4E65" w:rsidRPr="00C16903" w14:paraId="41D56747" w14:textId="77777777" w:rsidTr="00C855E7">
        <w:tc>
          <w:tcPr>
            <w:tcW w:w="1582" w:type="dxa"/>
            <w:vAlign w:val="center"/>
          </w:tcPr>
          <w:p w14:paraId="1B4E9944" w14:textId="77777777" w:rsidR="00AB4E65" w:rsidRPr="00C16903" w:rsidRDefault="00AB4E65" w:rsidP="00C855E7">
            <w:pPr>
              <w:widowControl w:val="0"/>
              <w:rPr>
                <w:rFonts w:cs="Arial"/>
                <w:lang w:val="ru-RU"/>
              </w:rPr>
            </w:pPr>
            <w:r w:rsidRPr="00C16903">
              <w:rPr>
                <w:lang w:val="ru-RU"/>
              </w:rPr>
              <w:t>EN 12972:2018 + A1:</w:t>
            </w:r>
            <w:r w:rsidRPr="00C16903">
              <w:rPr>
                <w:b/>
                <w:bCs/>
                <w:lang w:val="ru-RU"/>
              </w:rPr>
              <w:t>[</w:t>
            </w:r>
            <w:r w:rsidRPr="00C16903">
              <w:rPr>
                <w:lang w:val="ru-RU"/>
              </w:rPr>
              <w:t>2024</w:t>
            </w:r>
            <w:r w:rsidRPr="00C16903">
              <w:rPr>
                <w:b/>
                <w:bCs/>
                <w:lang w:val="ru-RU"/>
              </w:rPr>
              <w:t>]</w:t>
            </w:r>
          </w:p>
        </w:tc>
        <w:tc>
          <w:tcPr>
            <w:tcW w:w="3387" w:type="dxa"/>
            <w:vAlign w:val="center"/>
          </w:tcPr>
          <w:p w14:paraId="315A8D1C" w14:textId="77777777" w:rsidR="00AB4E65" w:rsidRPr="00C16903" w:rsidRDefault="00AB4E65" w:rsidP="00C855E7">
            <w:pPr>
              <w:autoSpaceDE w:val="0"/>
              <w:autoSpaceDN w:val="0"/>
              <w:adjustRightInd w:val="0"/>
              <w:rPr>
                <w:rFonts w:cs="Arial"/>
                <w:bCs/>
                <w:lang w:val="ru-RU"/>
              </w:rPr>
            </w:pPr>
            <w:r w:rsidRPr="00C16903">
              <w:rPr>
                <w:lang w:val="ru-RU"/>
              </w:rPr>
              <w:t>Цистерны для перевозки опасных грузов — Испытания, проверка и маркировка металлических цистерн</w:t>
            </w:r>
          </w:p>
        </w:tc>
        <w:tc>
          <w:tcPr>
            <w:tcW w:w="1128" w:type="dxa"/>
            <w:vAlign w:val="center"/>
          </w:tcPr>
          <w:p w14:paraId="79E448FB" w14:textId="77777777" w:rsidR="00AB4E65" w:rsidRPr="00C16903" w:rsidRDefault="00AB4E65" w:rsidP="00C855E7">
            <w:pPr>
              <w:widowControl w:val="0"/>
              <w:rPr>
                <w:rFonts w:cs="Arial"/>
                <w:lang w:val="ru-RU"/>
              </w:rPr>
            </w:pPr>
            <w:r w:rsidRPr="00C16903">
              <w:rPr>
                <w:lang w:val="ru-RU"/>
              </w:rPr>
              <w:t>6.8.2.1.23, 6.8.2.4 и 6.8.3.4</w:t>
            </w:r>
          </w:p>
        </w:tc>
        <w:tc>
          <w:tcPr>
            <w:tcW w:w="1418" w:type="dxa"/>
            <w:vAlign w:val="center"/>
          </w:tcPr>
          <w:p w14:paraId="45D0AEE8" w14:textId="77777777" w:rsidR="00AB4E65" w:rsidRPr="00C16903" w:rsidRDefault="00AB4E65" w:rsidP="00C855E7">
            <w:pPr>
              <w:widowControl w:val="0"/>
              <w:jc w:val="center"/>
              <w:rPr>
                <w:rFonts w:cs="Arial"/>
                <w:lang w:val="ru-RU"/>
              </w:rPr>
            </w:pPr>
            <w:r w:rsidRPr="00C16903">
              <w:rPr>
                <w:lang w:val="ru-RU"/>
              </w:rPr>
              <w:t>До дальнейшего указания</w:t>
            </w:r>
          </w:p>
        </w:tc>
        <w:tc>
          <w:tcPr>
            <w:tcW w:w="709" w:type="dxa"/>
            <w:vAlign w:val="center"/>
          </w:tcPr>
          <w:p w14:paraId="71D2DF82" w14:textId="77777777" w:rsidR="00AB4E65" w:rsidRPr="00C16903" w:rsidRDefault="00AB4E65" w:rsidP="00C855E7">
            <w:pPr>
              <w:widowControl w:val="0"/>
              <w:rPr>
                <w:rFonts w:cs="Arial"/>
                <w:lang w:val="ru-RU"/>
              </w:rPr>
            </w:pPr>
          </w:p>
        </w:tc>
      </w:tr>
    </w:tbl>
    <w:p w14:paraId="6BBA398D" w14:textId="316009E7" w:rsidR="008472D2" w:rsidRPr="00C16903" w:rsidRDefault="008472D2" w:rsidP="008472D2">
      <w:pPr>
        <w:pStyle w:val="SingleTxtG"/>
        <w:spacing w:before="120"/>
        <w:ind w:left="2268" w:hanging="1134"/>
        <w:rPr>
          <w:bCs/>
          <w:lang w:val="ru-RU"/>
        </w:rPr>
      </w:pPr>
      <w:r w:rsidRPr="00C16903">
        <w:rPr>
          <w:bCs/>
          <w:lang w:val="ru-RU"/>
        </w:rPr>
        <w:t>6.8.3.2.9.4</w:t>
      </w:r>
      <w:r w:rsidRPr="00C16903">
        <w:rPr>
          <w:bCs/>
          <w:lang w:val="ru-RU"/>
        </w:rPr>
        <w:tab/>
      </w:r>
      <w:r w:rsidR="00E31617" w:rsidRPr="00C16903">
        <w:rPr>
          <w:lang w:val="ru-RU"/>
        </w:rPr>
        <w:t>Изменить первое предложение следующим образом:</w:t>
      </w:r>
    </w:p>
    <w:p w14:paraId="0DE2A0C1" w14:textId="77777777" w:rsidR="00197E17" w:rsidRPr="00C16903" w:rsidRDefault="008472D2" w:rsidP="00197E17">
      <w:pPr>
        <w:pStyle w:val="SingleTxtG"/>
        <w:rPr>
          <w:lang w:val="ru-RU"/>
        </w:rPr>
      </w:pPr>
      <w:r w:rsidRPr="00C16903">
        <w:rPr>
          <w:bCs/>
          <w:lang w:val="ru-RU"/>
        </w:rPr>
        <w:tab/>
      </w:r>
      <w:r w:rsidR="00197E17" w:rsidRPr="00C16903">
        <w:rPr>
          <w:lang w:val="ru-RU"/>
        </w:rPr>
        <w:t>«Каждое входное отверстие предохранительных клапанов должно располагаться в верхней части корпуса, как можно ближе к верхней образующей».</w:t>
      </w:r>
    </w:p>
    <w:p w14:paraId="33C716FC" w14:textId="2F883255" w:rsidR="004E1F69" w:rsidRPr="00C16903" w:rsidRDefault="008472D2" w:rsidP="004E1F69">
      <w:pPr>
        <w:pStyle w:val="SingleTxtG"/>
        <w:rPr>
          <w:lang w:val="ru-RU"/>
        </w:rPr>
      </w:pPr>
      <w:r w:rsidRPr="00C16903">
        <w:rPr>
          <w:bCs/>
          <w:lang w:val="ru-RU"/>
        </w:rPr>
        <w:t>6.8.4</w:t>
      </w:r>
      <w:r w:rsidR="007D1B92" w:rsidRPr="00C16903">
        <w:rPr>
          <w:bCs/>
          <w:lang w:val="ru-RU"/>
        </w:rPr>
        <w:t xml:space="preserve">, </w:t>
      </w:r>
      <w:r w:rsidRPr="00C16903">
        <w:rPr>
          <w:bCs/>
          <w:lang w:val="ru-RU"/>
        </w:rPr>
        <w:t>d)</w:t>
      </w:r>
      <w:r w:rsidR="007D1B92" w:rsidRPr="00C16903">
        <w:rPr>
          <w:bCs/>
          <w:lang w:val="ru-RU"/>
        </w:rPr>
        <w:t xml:space="preserve"> </w:t>
      </w:r>
      <w:r w:rsidRPr="00C16903">
        <w:rPr>
          <w:bCs/>
          <w:lang w:val="ru-RU"/>
        </w:rPr>
        <w:t>TT8</w:t>
      </w:r>
      <w:r w:rsidRPr="00C16903">
        <w:rPr>
          <w:bCs/>
          <w:lang w:val="ru-RU"/>
        </w:rPr>
        <w:tab/>
      </w:r>
      <w:r w:rsidR="007D1B92" w:rsidRPr="00C16903">
        <w:rPr>
          <w:lang w:val="ru-RU"/>
        </w:rPr>
        <w:t xml:space="preserve">Изменить </w:t>
      </w:r>
      <w:r w:rsidR="004E1F69" w:rsidRPr="00C16903">
        <w:rPr>
          <w:lang w:val="ru-RU"/>
        </w:rPr>
        <w:t xml:space="preserve">последний </w:t>
      </w:r>
      <w:r w:rsidR="000E4541" w:rsidRPr="00C16903">
        <w:rPr>
          <w:lang w:val="ru-RU"/>
        </w:rPr>
        <w:t>абзац</w:t>
      </w:r>
      <w:r w:rsidR="000E4541" w:rsidRPr="00C16903">
        <w:rPr>
          <w:lang w:val="ru-RU"/>
        </w:rPr>
        <w:t xml:space="preserve"> </w:t>
      </w:r>
      <w:r w:rsidR="004E1F69" w:rsidRPr="00C16903">
        <w:rPr>
          <w:lang w:val="ru-RU"/>
        </w:rPr>
        <w:t>следующим образом:</w:t>
      </w:r>
    </w:p>
    <w:p w14:paraId="0A76BF9B" w14:textId="77777777" w:rsidR="0085508A" w:rsidRPr="00C16903" w:rsidRDefault="0085508A" w:rsidP="0085508A">
      <w:pPr>
        <w:pStyle w:val="SingleTxtG"/>
        <w:rPr>
          <w:lang w:val="ru-RU"/>
        </w:rPr>
      </w:pPr>
      <w:r w:rsidRPr="00C16903">
        <w:rPr>
          <w:lang w:val="ru-RU"/>
        </w:rPr>
        <w:t xml:space="preserve">«Такие проверки методом </w:t>
      </w:r>
      <w:proofErr w:type="spellStart"/>
      <w:r w:rsidRPr="00C16903">
        <w:rPr>
          <w:lang w:val="ru-RU"/>
        </w:rPr>
        <w:t>магнитоскопии</w:t>
      </w:r>
      <w:proofErr w:type="spellEnd"/>
      <w:r w:rsidRPr="00C16903">
        <w:rPr>
          <w:lang w:val="ru-RU"/>
        </w:rPr>
        <w:t xml:space="preserve"> должны проводиться в соответствии со стандартом EN 12972:2018 + A1:[2024]».</w:t>
      </w:r>
    </w:p>
    <w:p w14:paraId="1DC98DCE" w14:textId="48734E18" w:rsidR="008472D2" w:rsidRPr="00C16903" w:rsidRDefault="007D1B92" w:rsidP="008472D2">
      <w:pPr>
        <w:pStyle w:val="SingleTxtG"/>
        <w:ind w:left="2268" w:hanging="1134"/>
        <w:rPr>
          <w:bCs/>
          <w:lang w:val="ru-RU"/>
        </w:rPr>
      </w:pPr>
      <w:r w:rsidRPr="00C16903">
        <w:rPr>
          <w:bCs/>
          <w:lang w:val="ru-RU"/>
        </w:rPr>
        <w:t>6.8.4, d)</w:t>
      </w:r>
      <w:r w:rsidRPr="00C16903">
        <w:rPr>
          <w:bCs/>
          <w:lang w:val="ru-RU"/>
        </w:rPr>
        <w:t xml:space="preserve"> </w:t>
      </w:r>
      <w:r w:rsidR="008472D2" w:rsidRPr="00C16903">
        <w:rPr>
          <w:bCs/>
          <w:lang w:val="ru-RU"/>
        </w:rPr>
        <w:t>TT11</w:t>
      </w:r>
      <w:r w:rsidRPr="00C16903">
        <w:rPr>
          <w:bCs/>
          <w:lang w:val="ru-RU"/>
        </w:rPr>
        <w:tab/>
      </w:r>
      <w:r w:rsidR="00220539" w:rsidRPr="00C16903">
        <w:rPr>
          <w:lang w:val="ru-RU"/>
        </w:rPr>
        <w:t>Изменить ссылку на стандарт EN ISO 17638:2016 следующим образом:</w:t>
      </w:r>
    </w:p>
    <w:p w14:paraId="7EED1B8F" w14:textId="77777777" w:rsidR="005E32E8" w:rsidRPr="00C16903" w:rsidRDefault="005E32E8" w:rsidP="005E32E8">
      <w:pPr>
        <w:pStyle w:val="SingleTxtG"/>
        <w:rPr>
          <w:lang w:val="ru-RU"/>
        </w:rPr>
      </w:pPr>
      <w:r w:rsidRPr="00C16903">
        <w:rPr>
          <w:lang w:val="ru-RU"/>
        </w:rPr>
        <w:t>"–</w:t>
      </w:r>
      <w:r w:rsidRPr="00C16903">
        <w:rPr>
          <w:lang w:val="ru-RU"/>
        </w:rPr>
        <w:tab/>
        <w:t>EN ISO 17638:2016 «Неразрушающий контроль сварных соединений. Магнитопорошковый контроль» с приемкой индикаций в соответствии с уровнем 2Х согласно стандарту EN ISO 23278:2015 «Неразрушающий контроль сварных соединений. Магнитопорошковый контроль». Уровни приемки".</w:t>
      </w:r>
    </w:p>
    <w:p w14:paraId="13B36AD7" w14:textId="255FB6AF" w:rsidR="00946153" w:rsidRPr="00C16903" w:rsidRDefault="00946153" w:rsidP="00946153">
      <w:pPr>
        <w:pStyle w:val="SingleTxtG"/>
        <w:ind w:left="2268"/>
        <w:rPr>
          <w:lang w:val="ru-RU"/>
        </w:rPr>
      </w:pPr>
      <w:r w:rsidRPr="00C16903">
        <w:rPr>
          <w:lang w:val="ru-RU"/>
        </w:rPr>
        <w:t xml:space="preserve">Изменить </w:t>
      </w:r>
      <w:r w:rsidR="001842C1" w:rsidRPr="00C16903">
        <w:rPr>
          <w:lang w:val="ru-RU"/>
        </w:rPr>
        <w:t>абзац</w:t>
      </w:r>
      <w:r w:rsidR="001842C1" w:rsidRPr="00C16903">
        <w:rPr>
          <w:lang w:val="ru-RU"/>
        </w:rPr>
        <w:t xml:space="preserve"> </w:t>
      </w:r>
      <w:r w:rsidRPr="00C16903">
        <w:rPr>
          <w:lang w:val="ru-RU"/>
        </w:rPr>
        <w:t xml:space="preserve">после четвертого отступа, включая отступ этого </w:t>
      </w:r>
      <w:r w:rsidR="00492435" w:rsidRPr="00C16903">
        <w:rPr>
          <w:lang w:val="ru-RU"/>
        </w:rPr>
        <w:t>абзаца</w:t>
      </w:r>
      <w:r w:rsidRPr="00C16903">
        <w:rPr>
          <w:lang w:val="ru-RU"/>
        </w:rPr>
        <w:t>, следующим образом:</w:t>
      </w:r>
    </w:p>
    <w:p w14:paraId="428ADD6E" w14:textId="77777777" w:rsidR="00042F03" w:rsidRPr="00C16903" w:rsidRDefault="00042F03" w:rsidP="00042F03">
      <w:pPr>
        <w:pStyle w:val="SingleTxtG"/>
        <w:rPr>
          <w:lang w:val="ru-RU"/>
        </w:rPr>
      </w:pPr>
      <w:r w:rsidRPr="00C16903">
        <w:rPr>
          <w:lang w:val="ru-RU"/>
        </w:rPr>
        <w:t>«Неразрушающий контроль должен осуществляться персоналом в соответствии со стандартами EN 12972:2018 + A1:[2024] или EN 14334:2014».</w:t>
      </w:r>
    </w:p>
    <w:p w14:paraId="15117781" w14:textId="49A2000A" w:rsidR="008472D2" w:rsidRPr="00C16903" w:rsidRDefault="008472D2" w:rsidP="008472D2">
      <w:pPr>
        <w:pStyle w:val="H1G"/>
        <w:rPr>
          <w:lang w:val="ru-RU"/>
        </w:rPr>
      </w:pPr>
      <w:r w:rsidRPr="00C16903">
        <w:rPr>
          <w:lang w:val="ru-RU"/>
        </w:rPr>
        <w:lastRenderedPageBreak/>
        <w:tab/>
      </w:r>
      <w:r w:rsidRPr="00C16903">
        <w:rPr>
          <w:lang w:val="ru-RU"/>
        </w:rPr>
        <w:tab/>
      </w:r>
      <w:r w:rsidR="00042F03" w:rsidRPr="00C16903">
        <w:rPr>
          <w:lang w:val="ru-RU" w:eastAsia="ru-RU"/>
        </w:rPr>
        <w:t>Глава</w:t>
      </w:r>
      <w:r w:rsidR="00042F03" w:rsidRPr="00C16903">
        <w:rPr>
          <w:lang w:val="ru-RU"/>
        </w:rPr>
        <w:t xml:space="preserve"> </w:t>
      </w:r>
      <w:r w:rsidRPr="00C16903">
        <w:rPr>
          <w:lang w:val="ru-RU"/>
        </w:rPr>
        <w:t>6.11</w:t>
      </w:r>
    </w:p>
    <w:p w14:paraId="193784B8" w14:textId="7AE3C92F" w:rsidR="000633C8" w:rsidRPr="00C16903" w:rsidRDefault="008472D2" w:rsidP="00AC68C2">
      <w:pPr>
        <w:pStyle w:val="SingleTxtG"/>
        <w:ind w:left="2268" w:hanging="1134"/>
        <w:rPr>
          <w:lang w:val="ru-RU"/>
        </w:rPr>
      </w:pPr>
      <w:r w:rsidRPr="00C16903">
        <w:rPr>
          <w:bCs/>
          <w:lang w:val="ru-RU"/>
        </w:rPr>
        <w:t>6.11.1.4</w:t>
      </w:r>
      <w:r w:rsidRPr="00C16903">
        <w:rPr>
          <w:bCs/>
          <w:lang w:val="ru-RU"/>
        </w:rPr>
        <w:tab/>
      </w:r>
      <w:r w:rsidR="000633C8" w:rsidRPr="00C16903">
        <w:rPr>
          <w:lang w:val="ru-RU"/>
        </w:rPr>
        <w:t>[В тексте пункта заменить «</w:t>
      </w:r>
      <w:proofErr w:type="spellStart"/>
      <w:r w:rsidR="000633C8" w:rsidRPr="00C16903">
        <w:rPr>
          <w:lang w:val="ru-RU"/>
        </w:rPr>
        <w:t>compartiments</w:t>
      </w:r>
      <w:proofErr w:type="spellEnd"/>
      <w:r w:rsidR="000633C8" w:rsidRPr="00C16903">
        <w:rPr>
          <w:lang w:val="ru-RU"/>
        </w:rPr>
        <w:t xml:space="preserve"> de </w:t>
      </w:r>
      <w:proofErr w:type="spellStart"/>
      <w:r w:rsidR="000633C8" w:rsidRPr="00C16903">
        <w:rPr>
          <w:lang w:val="ru-RU"/>
        </w:rPr>
        <w:t>charge</w:t>
      </w:r>
      <w:proofErr w:type="spellEnd"/>
      <w:r w:rsidR="000633C8" w:rsidRPr="00C16903">
        <w:rPr>
          <w:lang w:val="ru-RU"/>
        </w:rPr>
        <w:t>» на «</w:t>
      </w:r>
      <w:proofErr w:type="spellStart"/>
      <w:r w:rsidR="000633C8" w:rsidRPr="00C16903">
        <w:rPr>
          <w:lang w:val="ru-RU"/>
        </w:rPr>
        <w:t>compartiments</w:t>
      </w:r>
      <w:proofErr w:type="spellEnd"/>
      <w:r w:rsidR="000633C8" w:rsidRPr="00C16903">
        <w:rPr>
          <w:lang w:val="ru-RU"/>
        </w:rPr>
        <w:t xml:space="preserve"> de </w:t>
      </w:r>
      <w:proofErr w:type="spellStart"/>
      <w:r w:rsidR="000633C8" w:rsidRPr="00C16903">
        <w:rPr>
          <w:lang w:val="ru-RU"/>
        </w:rPr>
        <w:t>chargement</w:t>
      </w:r>
      <w:proofErr w:type="spellEnd"/>
      <w:r w:rsidR="000633C8" w:rsidRPr="00C16903">
        <w:rPr>
          <w:lang w:val="ru-RU"/>
        </w:rPr>
        <w:t xml:space="preserve">» (данная </w:t>
      </w:r>
      <w:r w:rsidR="00AC68C2" w:rsidRPr="00C16903">
        <w:rPr>
          <w:lang w:val="ru-RU"/>
        </w:rPr>
        <w:t xml:space="preserve">первая </w:t>
      </w:r>
      <w:r w:rsidR="000633C8" w:rsidRPr="00C16903">
        <w:rPr>
          <w:lang w:val="ru-RU"/>
        </w:rPr>
        <w:t>поправка не касается текста на русском языке.]</w:t>
      </w:r>
    </w:p>
    <w:p w14:paraId="3F861340" w14:textId="77777777" w:rsidR="004A1B39" w:rsidRPr="00C16903" w:rsidRDefault="008472D2" w:rsidP="004A1B39">
      <w:pPr>
        <w:pStyle w:val="SingleTxtG"/>
        <w:ind w:left="2268"/>
        <w:rPr>
          <w:rFonts w:cs="Arial"/>
          <w:szCs w:val="22"/>
          <w:lang w:val="ru-RU"/>
        </w:rPr>
      </w:pPr>
      <w:r w:rsidRPr="00C16903">
        <w:rPr>
          <w:bCs/>
          <w:lang w:val="ru-RU"/>
        </w:rPr>
        <w:tab/>
      </w:r>
      <w:r w:rsidR="004A1B39" w:rsidRPr="00C16903">
        <w:rPr>
          <w:lang w:val="ru-RU"/>
        </w:rPr>
        <w:t>Изменить сноску 2 следующим образом:</w:t>
      </w:r>
    </w:p>
    <w:p w14:paraId="159D5C5D" w14:textId="77777777" w:rsidR="004A1B39" w:rsidRPr="00C16903" w:rsidRDefault="004A1B39" w:rsidP="004A1B39">
      <w:pPr>
        <w:pStyle w:val="SingleTxtG"/>
        <w:rPr>
          <w:rFonts w:cs="Arial"/>
          <w:szCs w:val="22"/>
          <w:lang w:val="ru-RU"/>
        </w:rPr>
      </w:pPr>
      <w:r w:rsidRPr="00C16903">
        <w:rPr>
          <w:lang w:val="ru-RU"/>
        </w:rPr>
        <w:t>«</w:t>
      </w:r>
      <w:r w:rsidRPr="00C16903">
        <w:rPr>
          <w:vertAlign w:val="superscript"/>
          <w:lang w:val="ru-RU"/>
        </w:rPr>
        <w:t>2</w:t>
      </w:r>
      <w:r w:rsidRPr="00C16903">
        <w:rPr>
          <w:lang w:val="ru-RU"/>
        </w:rPr>
        <w:tab/>
        <w:t>Третье издание IRS (Международные решения для железнодорожного транспорта), применимое с 1 декабря 2023 года».</w:t>
      </w:r>
    </w:p>
    <w:p w14:paraId="508E2A5D" w14:textId="50ED14A8" w:rsidR="008472D2" w:rsidRPr="00C16903" w:rsidRDefault="008472D2" w:rsidP="004A1B39">
      <w:pPr>
        <w:pStyle w:val="H1G"/>
        <w:rPr>
          <w:lang w:val="ru-RU"/>
        </w:rPr>
      </w:pPr>
      <w:r w:rsidRPr="00C16903">
        <w:rPr>
          <w:lang w:val="ru-RU"/>
        </w:rPr>
        <w:tab/>
      </w:r>
      <w:r w:rsidRPr="00C16903">
        <w:rPr>
          <w:lang w:val="ru-RU"/>
        </w:rPr>
        <w:tab/>
      </w:r>
      <w:r w:rsidR="00042F03" w:rsidRPr="00C16903">
        <w:rPr>
          <w:lang w:val="ru-RU"/>
        </w:rPr>
        <w:t xml:space="preserve">Глава </w:t>
      </w:r>
      <w:r w:rsidRPr="00C16903">
        <w:rPr>
          <w:lang w:val="ru-RU"/>
        </w:rPr>
        <w:t>7.1</w:t>
      </w:r>
    </w:p>
    <w:p w14:paraId="2EA42C29" w14:textId="77777777" w:rsidR="00182F8B" w:rsidRPr="00C16903" w:rsidRDefault="00182F8B" w:rsidP="00182F8B">
      <w:pPr>
        <w:pStyle w:val="SingleTxtG"/>
        <w:rPr>
          <w:rFonts w:cs="Arial"/>
          <w:szCs w:val="22"/>
          <w:lang w:val="ru-RU"/>
        </w:rPr>
      </w:pPr>
      <w:r w:rsidRPr="00C16903">
        <w:rPr>
          <w:b/>
          <w:bCs/>
          <w:lang w:val="ru-RU"/>
        </w:rPr>
        <w:t>7.1.3</w:t>
      </w:r>
      <w:r w:rsidRPr="00C16903">
        <w:rPr>
          <w:lang w:val="ru-RU"/>
        </w:rPr>
        <w:tab/>
      </w:r>
      <w:r w:rsidRPr="00C16903">
        <w:rPr>
          <w:lang w:val="ru-RU"/>
        </w:rPr>
        <w:tab/>
        <w:t>Изменить сноску 2 следующим образом:</w:t>
      </w:r>
    </w:p>
    <w:p w14:paraId="6B3EE48D" w14:textId="77777777" w:rsidR="00182F8B" w:rsidRPr="00C16903" w:rsidRDefault="00182F8B" w:rsidP="00182F8B">
      <w:pPr>
        <w:pStyle w:val="SingleTxtG"/>
        <w:rPr>
          <w:rFonts w:cs="Arial"/>
          <w:i/>
          <w:iCs/>
          <w:szCs w:val="22"/>
          <w:lang w:val="ru-RU"/>
        </w:rPr>
      </w:pPr>
      <w:r w:rsidRPr="00C16903">
        <w:rPr>
          <w:lang w:val="ru-RU"/>
        </w:rPr>
        <w:t>«</w:t>
      </w:r>
      <w:r w:rsidRPr="00C16903">
        <w:rPr>
          <w:vertAlign w:val="superscript"/>
          <w:lang w:val="ru-RU"/>
        </w:rPr>
        <w:t>2</w:t>
      </w:r>
      <w:r w:rsidRPr="00C16903">
        <w:rPr>
          <w:lang w:val="ru-RU"/>
        </w:rPr>
        <w:tab/>
      </w:r>
      <w:r w:rsidRPr="00C16903">
        <w:rPr>
          <w:i/>
          <w:iCs/>
          <w:lang w:val="ru-RU"/>
        </w:rPr>
        <w:t>Третье издание IRS (Международные решения для железнодорожного транспорта), применимое с 1 декабря 2023 года</w:t>
      </w:r>
      <w:r w:rsidRPr="00C16903">
        <w:rPr>
          <w:lang w:val="ru-RU"/>
        </w:rPr>
        <w:t>»</w:t>
      </w:r>
      <w:r w:rsidRPr="00C16903">
        <w:rPr>
          <w:i/>
          <w:iCs/>
          <w:lang w:val="ru-RU"/>
        </w:rPr>
        <w:t>.</w:t>
      </w:r>
    </w:p>
    <w:p w14:paraId="111C8440" w14:textId="672B0B9A" w:rsidR="008472D2" w:rsidRPr="00C16903" w:rsidRDefault="008472D2" w:rsidP="008472D2">
      <w:pPr>
        <w:pStyle w:val="H1G"/>
        <w:rPr>
          <w:lang w:val="ru-RU"/>
        </w:rPr>
      </w:pPr>
      <w:r w:rsidRPr="00C16903">
        <w:rPr>
          <w:lang w:val="ru-RU"/>
        </w:rPr>
        <w:tab/>
      </w:r>
      <w:r w:rsidRPr="00C16903">
        <w:rPr>
          <w:lang w:val="ru-RU"/>
        </w:rPr>
        <w:tab/>
      </w:r>
      <w:r w:rsidR="00042F03" w:rsidRPr="00C16903">
        <w:rPr>
          <w:lang w:val="ru-RU" w:eastAsia="ru-RU"/>
        </w:rPr>
        <w:t>Глава</w:t>
      </w:r>
      <w:r w:rsidR="00042F03" w:rsidRPr="00C16903">
        <w:rPr>
          <w:lang w:val="ru-RU"/>
        </w:rPr>
        <w:t xml:space="preserve"> </w:t>
      </w:r>
      <w:r w:rsidRPr="00C16903">
        <w:rPr>
          <w:lang w:val="ru-RU"/>
        </w:rPr>
        <w:t>7.3</w:t>
      </w:r>
    </w:p>
    <w:p w14:paraId="2B38BD6F" w14:textId="77777777" w:rsidR="001E2840" w:rsidRPr="00C16903" w:rsidRDefault="001E2840" w:rsidP="001E2840">
      <w:pPr>
        <w:pStyle w:val="SingleTxtG"/>
        <w:rPr>
          <w:lang w:val="ru-RU"/>
        </w:rPr>
      </w:pPr>
      <w:r w:rsidRPr="00C16903">
        <w:rPr>
          <w:b/>
          <w:bCs/>
          <w:lang w:val="ru-RU"/>
        </w:rPr>
        <w:t>7.3.3.2.6</w:t>
      </w:r>
      <w:r w:rsidRPr="00C16903">
        <w:rPr>
          <w:lang w:val="ru-RU"/>
        </w:rPr>
        <w:tab/>
        <w:t>[В тексте пункта, положение AP8, заменить «</w:t>
      </w:r>
      <w:proofErr w:type="spellStart"/>
      <w:r w:rsidRPr="00C16903">
        <w:rPr>
          <w:lang w:val="ru-RU"/>
        </w:rPr>
        <w:t>compartiments</w:t>
      </w:r>
      <w:proofErr w:type="spellEnd"/>
      <w:r w:rsidRPr="00C16903">
        <w:rPr>
          <w:lang w:val="ru-RU"/>
        </w:rPr>
        <w:t xml:space="preserve"> de </w:t>
      </w:r>
      <w:proofErr w:type="spellStart"/>
      <w:r w:rsidRPr="00C16903">
        <w:rPr>
          <w:lang w:val="ru-RU"/>
        </w:rPr>
        <w:t>charge</w:t>
      </w:r>
      <w:proofErr w:type="spellEnd"/>
      <w:r w:rsidRPr="00C16903">
        <w:rPr>
          <w:lang w:val="ru-RU"/>
        </w:rPr>
        <w:t>» на «</w:t>
      </w:r>
      <w:proofErr w:type="spellStart"/>
      <w:r w:rsidRPr="00C16903">
        <w:rPr>
          <w:lang w:val="ru-RU"/>
        </w:rPr>
        <w:t>compartiments</w:t>
      </w:r>
      <w:proofErr w:type="spellEnd"/>
      <w:r w:rsidRPr="00C16903">
        <w:rPr>
          <w:lang w:val="ru-RU"/>
        </w:rPr>
        <w:t xml:space="preserve"> de </w:t>
      </w:r>
      <w:proofErr w:type="spellStart"/>
      <w:r w:rsidRPr="00C16903">
        <w:rPr>
          <w:lang w:val="ru-RU"/>
        </w:rPr>
        <w:t>chargement</w:t>
      </w:r>
      <w:proofErr w:type="spellEnd"/>
      <w:r w:rsidRPr="00C16903">
        <w:rPr>
          <w:lang w:val="ru-RU"/>
        </w:rPr>
        <w:t>» (дважды), а «</w:t>
      </w:r>
      <w:proofErr w:type="spellStart"/>
      <w:r w:rsidRPr="00C16903">
        <w:rPr>
          <w:lang w:val="ru-RU"/>
        </w:rPr>
        <w:t>compartiment</w:t>
      </w:r>
      <w:proofErr w:type="spellEnd"/>
      <w:r w:rsidRPr="00C16903">
        <w:rPr>
          <w:lang w:val="ru-RU"/>
        </w:rPr>
        <w:t xml:space="preserve"> de </w:t>
      </w:r>
      <w:proofErr w:type="spellStart"/>
      <w:r w:rsidRPr="00C16903">
        <w:rPr>
          <w:lang w:val="ru-RU"/>
        </w:rPr>
        <w:t>charge</w:t>
      </w:r>
      <w:proofErr w:type="spellEnd"/>
      <w:r w:rsidRPr="00C16903">
        <w:rPr>
          <w:lang w:val="ru-RU"/>
        </w:rPr>
        <w:t>» на «</w:t>
      </w:r>
      <w:proofErr w:type="spellStart"/>
      <w:r w:rsidRPr="00C16903">
        <w:rPr>
          <w:lang w:val="ru-RU"/>
        </w:rPr>
        <w:t>compartiment</w:t>
      </w:r>
      <w:proofErr w:type="spellEnd"/>
      <w:r w:rsidRPr="00C16903">
        <w:rPr>
          <w:lang w:val="ru-RU"/>
        </w:rPr>
        <w:t xml:space="preserve"> de </w:t>
      </w:r>
      <w:proofErr w:type="spellStart"/>
      <w:r w:rsidRPr="00C16903">
        <w:rPr>
          <w:lang w:val="ru-RU"/>
        </w:rPr>
        <w:t>chargement</w:t>
      </w:r>
      <w:proofErr w:type="spellEnd"/>
      <w:r w:rsidRPr="00C16903">
        <w:rPr>
          <w:lang w:val="ru-RU"/>
        </w:rPr>
        <w:t>» (данные поправки не касаются текста на русском языке).]</w:t>
      </w:r>
    </w:p>
    <w:p w14:paraId="1C26B153" w14:textId="12F9DC02" w:rsidR="006C636C" w:rsidRPr="00C16903" w:rsidRDefault="006C636C" w:rsidP="006C636C">
      <w:pPr>
        <w:pStyle w:val="HChG"/>
        <w:rPr>
          <w:lang w:val="ru-RU"/>
        </w:rPr>
      </w:pPr>
      <w:r w:rsidRPr="00C16903">
        <w:rPr>
          <w:b w:val="0"/>
          <w:lang w:val="ru-RU"/>
        </w:rPr>
        <w:tab/>
      </w:r>
      <w:r w:rsidRPr="00C16903">
        <w:rPr>
          <w:bCs/>
          <w:lang w:val="ru-RU"/>
        </w:rPr>
        <w:t>B.</w:t>
      </w:r>
      <w:r w:rsidRPr="00C16903">
        <w:rPr>
          <w:bCs/>
          <w:lang w:val="ru-RU"/>
        </w:rPr>
        <w:tab/>
      </w:r>
      <w:r w:rsidR="00077403" w:rsidRPr="00C16903">
        <w:rPr>
          <w:lang w:val="ru-RU"/>
        </w:rPr>
        <w:t>Поправки к проекту поправок, содержащемуся в документе ECE/TRANS/WP.15/265</w:t>
      </w:r>
    </w:p>
    <w:p w14:paraId="33C72F3C" w14:textId="0CD6E2D4" w:rsidR="00EE59F7" w:rsidRPr="00C16903" w:rsidRDefault="00EE59F7" w:rsidP="00EE59F7">
      <w:pPr>
        <w:pStyle w:val="H23G"/>
        <w:rPr>
          <w:b w:val="0"/>
          <w:bCs/>
          <w:lang w:val="ru-RU"/>
        </w:rPr>
      </w:pPr>
      <w:r w:rsidRPr="00C16903">
        <w:rPr>
          <w:bCs/>
          <w:lang w:val="ru-RU"/>
        </w:rPr>
        <w:tab/>
      </w:r>
      <w:r w:rsidRPr="00C16903">
        <w:rPr>
          <w:bCs/>
          <w:lang w:val="ru-RU"/>
        </w:rPr>
        <w:tab/>
        <w:t xml:space="preserve">Глава </w:t>
      </w:r>
      <w:r w:rsidRPr="00C16903">
        <w:rPr>
          <w:bCs/>
          <w:lang w:val="ru-RU"/>
        </w:rPr>
        <w:t>2.1</w:t>
      </w:r>
      <w:r w:rsidRPr="00C16903">
        <w:rPr>
          <w:bCs/>
          <w:lang w:val="ru-RU"/>
        </w:rPr>
        <w:t xml:space="preserve">, поправка к </w:t>
      </w:r>
      <w:r w:rsidRPr="00C16903">
        <w:rPr>
          <w:rFonts w:eastAsia="SimSun"/>
          <w:lang w:val="ru-RU"/>
        </w:rPr>
        <w:t>2.1.5.2</w:t>
      </w:r>
    </w:p>
    <w:p w14:paraId="7B6BDAAC" w14:textId="77777777" w:rsidR="00EE59F7" w:rsidRPr="00C16903" w:rsidRDefault="00EE59F7" w:rsidP="00EE59F7">
      <w:pPr>
        <w:pStyle w:val="SingleTxtG"/>
        <w:rPr>
          <w:lang w:val="ru-RU"/>
        </w:rPr>
      </w:pPr>
      <w:r w:rsidRPr="00C16903">
        <w:rPr>
          <w:i/>
          <w:iCs/>
          <w:lang w:val="ru-RU"/>
        </w:rPr>
        <w:t>Заменить</w:t>
      </w:r>
      <w:r w:rsidRPr="00C16903">
        <w:rPr>
          <w:lang w:val="ru-RU"/>
        </w:rPr>
        <w:t xml:space="preserve"> существующий текст следующим:</w:t>
      </w:r>
    </w:p>
    <w:p w14:paraId="41FD139B" w14:textId="3FCFD20F" w:rsidR="00501C4E" w:rsidRPr="00C16903" w:rsidRDefault="00501C4E" w:rsidP="00501C4E">
      <w:pPr>
        <w:pStyle w:val="SingleTxtG"/>
        <w:keepNext/>
        <w:keepLines/>
        <w:rPr>
          <w:lang w:val="ru-RU"/>
        </w:rPr>
      </w:pPr>
      <w:r w:rsidRPr="00C16903">
        <w:rPr>
          <w:b/>
          <w:bCs/>
          <w:lang w:val="ru-RU"/>
        </w:rPr>
        <w:t xml:space="preserve">2.1.5.2 </w:t>
      </w:r>
      <w:r w:rsidRPr="00C16903">
        <w:rPr>
          <w:b/>
          <w:bCs/>
          <w:lang w:val="ru-RU"/>
        </w:rPr>
        <w:tab/>
      </w:r>
      <w:r w:rsidRPr="00C16903">
        <w:rPr>
          <w:lang w:val="ru-RU"/>
        </w:rPr>
        <w:t>Изменить следующим образом:</w:t>
      </w:r>
    </w:p>
    <w:p w14:paraId="24E5FB99" w14:textId="77777777" w:rsidR="00501C4E" w:rsidRPr="00C16903" w:rsidRDefault="00501C4E" w:rsidP="00501C4E">
      <w:pPr>
        <w:pStyle w:val="SingleTxtG"/>
        <w:keepNext/>
        <w:keepLines/>
        <w:rPr>
          <w:lang w:val="ru-RU"/>
        </w:rPr>
      </w:pPr>
      <w:r w:rsidRPr="00C16903">
        <w:rPr>
          <w:lang w:val="ru-RU"/>
        </w:rPr>
        <w:t>«</w:t>
      </w:r>
      <w:r w:rsidRPr="00C16903">
        <w:rPr>
          <w:b/>
          <w:bCs/>
          <w:lang w:val="ru-RU"/>
        </w:rPr>
        <w:t xml:space="preserve">2.1.5.2 </w:t>
      </w:r>
      <w:r w:rsidRPr="00C16903">
        <w:rPr>
          <w:b/>
          <w:bCs/>
          <w:lang w:val="ru-RU"/>
        </w:rPr>
        <w:tab/>
      </w:r>
      <w:r w:rsidRPr="00C16903">
        <w:rPr>
          <w:lang w:val="ru-RU"/>
        </w:rPr>
        <w:t>Такие изделия могут, кроме того, содержать элементы или батареи. Литий-металлические, литий-ионные и натрий-ионные элементы и батареи, являющиеся неотъемлемой частью изделия, должны быть такого типа, который, как доказано, отвечает требованиям к испытаниям, изложенным в подразделе 38.3 части III Руководства по испытаниям и критериям. К изделиям, содержащим опытные образцы литий-металлических, литий-ионных и натрий-ионных элементов или батарей, перевозимые для испытаний, или к изделиям, содержащим литий-металлические, литий-ионные и натрий-ионные элементы или батареи, изготовленные в виде промышленных партий, состоящих из не более чем 100 таких элементов или батарей, применяются требования специального положения 310 главы 3.3».</w:t>
      </w:r>
    </w:p>
    <w:p w14:paraId="28C8EA4D" w14:textId="5716E681" w:rsidR="00092232" w:rsidRPr="00C16903" w:rsidRDefault="00092232" w:rsidP="00092232">
      <w:pPr>
        <w:pStyle w:val="H23G"/>
        <w:rPr>
          <w:lang w:val="ru-RU"/>
        </w:rPr>
      </w:pPr>
      <w:r w:rsidRPr="00C16903">
        <w:rPr>
          <w:lang w:val="ru-RU"/>
        </w:rPr>
        <w:tab/>
        <w:t xml:space="preserve"> </w:t>
      </w:r>
      <w:r w:rsidRPr="00C16903">
        <w:rPr>
          <w:lang w:val="ru-RU"/>
        </w:rPr>
        <w:tab/>
      </w:r>
      <w:r w:rsidR="00EC3A79" w:rsidRPr="00C16903">
        <w:rPr>
          <w:bCs/>
          <w:lang w:val="ru-RU"/>
        </w:rPr>
        <w:t xml:space="preserve">Глава </w:t>
      </w:r>
      <w:r w:rsidRPr="00C16903">
        <w:rPr>
          <w:lang w:val="ru-RU"/>
        </w:rPr>
        <w:t xml:space="preserve">3.3, </w:t>
      </w:r>
      <w:r w:rsidR="00EC3A79" w:rsidRPr="00C16903">
        <w:rPr>
          <w:bCs/>
          <w:lang w:val="ru-RU"/>
        </w:rPr>
        <w:t xml:space="preserve">поправка к </w:t>
      </w:r>
      <w:r w:rsidR="00353365" w:rsidRPr="00C16903">
        <w:rPr>
          <w:bCs/>
          <w:lang w:val="ru-RU"/>
        </w:rPr>
        <w:t>СП</w:t>
      </w:r>
      <w:r w:rsidRPr="00C16903">
        <w:rPr>
          <w:rFonts w:eastAsia="SimSun"/>
          <w:lang w:val="ru-RU"/>
        </w:rPr>
        <w:t xml:space="preserve"> 188 f)</w:t>
      </w:r>
    </w:p>
    <w:p w14:paraId="73A06131" w14:textId="77777777" w:rsidR="00353365" w:rsidRPr="00C16903" w:rsidRDefault="00353365" w:rsidP="00353365">
      <w:pPr>
        <w:pStyle w:val="SingleTxtG"/>
        <w:rPr>
          <w:lang w:val="ru-RU"/>
        </w:rPr>
      </w:pPr>
      <w:r w:rsidRPr="00C16903">
        <w:rPr>
          <w:i/>
          <w:iCs/>
          <w:lang w:val="ru-RU"/>
        </w:rPr>
        <w:t>Заменить</w:t>
      </w:r>
      <w:r w:rsidRPr="00C16903">
        <w:rPr>
          <w:lang w:val="ru-RU"/>
        </w:rPr>
        <w:t xml:space="preserve"> существующий текст следующим:</w:t>
      </w:r>
    </w:p>
    <w:p w14:paraId="7A403609" w14:textId="77777777" w:rsidR="008C7F51" w:rsidRPr="00C16903" w:rsidRDefault="008C7F51" w:rsidP="008C7F51">
      <w:pPr>
        <w:pStyle w:val="SingleTxtG"/>
        <w:rPr>
          <w:lang w:val="ru-RU"/>
        </w:rPr>
      </w:pPr>
      <w:r w:rsidRPr="00C16903">
        <w:rPr>
          <w:lang w:val="ru-RU"/>
        </w:rPr>
        <w:t>«В пункте f):</w:t>
      </w:r>
    </w:p>
    <w:p w14:paraId="0C65F920" w14:textId="77777777" w:rsidR="008C7F51" w:rsidRPr="00C16903" w:rsidRDefault="008C7F51" w:rsidP="008C7F51">
      <w:pPr>
        <w:pStyle w:val="SingleTxtG"/>
        <w:rPr>
          <w:lang w:val="ru-RU"/>
        </w:rPr>
      </w:pPr>
      <w:r w:rsidRPr="00C16903">
        <w:rPr>
          <w:lang w:val="ru-RU"/>
        </w:rPr>
        <w:t>–</w:t>
      </w:r>
      <w:r w:rsidRPr="00C16903">
        <w:rPr>
          <w:lang w:val="ru-RU"/>
        </w:rPr>
        <w:tab/>
        <w:t>в первом предложении заменить “маркировочный знак литиевых батарей” на “маркировочный знак батарей”;</w:t>
      </w:r>
    </w:p>
    <w:p w14:paraId="3F1302C9" w14:textId="77777777" w:rsidR="008C7F51" w:rsidRPr="00C16903" w:rsidRDefault="008C7F51" w:rsidP="008C7F51">
      <w:pPr>
        <w:pStyle w:val="SingleTxtG"/>
        <w:rPr>
          <w:lang w:val="ru-RU"/>
        </w:rPr>
      </w:pPr>
      <w:r w:rsidRPr="00C16903">
        <w:rPr>
          <w:lang w:val="ru-RU"/>
        </w:rPr>
        <w:t>–</w:t>
      </w:r>
      <w:r w:rsidRPr="00C16903">
        <w:rPr>
          <w:lang w:val="ru-RU"/>
        </w:rPr>
        <w:tab/>
        <w:t>в первом предложении последнего абзаца заменить “маркировочный знак литиевых батарей” на “ маркировочный знак батарей”;</w:t>
      </w:r>
    </w:p>
    <w:p w14:paraId="575EC1C5" w14:textId="3D8330DE" w:rsidR="008C7F51" w:rsidRPr="00C16903" w:rsidRDefault="008C7F51" w:rsidP="008C7F51">
      <w:pPr>
        <w:pStyle w:val="SingleTxtG"/>
        <w:rPr>
          <w:lang w:val="ru-RU"/>
        </w:rPr>
      </w:pPr>
      <w:r w:rsidRPr="00C16903">
        <w:rPr>
          <w:lang w:val="ru-RU"/>
        </w:rPr>
        <w:t>–</w:t>
      </w:r>
      <w:r w:rsidRPr="00C16903">
        <w:rPr>
          <w:lang w:val="ru-RU"/>
        </w:rPr>
        <w:tab/>
        <w:t>в примечании заменить “(маркировочный знак литиевых батарей)” на “(маркировочный знак батарей)”.</w:t>
      </w:r>
    </w:p>
    <w:p w14:paraId="07221FFD" w14:textId="7715EDB7" w:rsidR="00092232" w:rsidRPr="00C16903" w:rsidRDefault="00092232" w:rsidP="00092232">
      <w:pPr>
        <w:pStyle w:val="H23G"/>
        <w:rPr>
          <w:lang w:val="ru-RU"/>
        </w:rPr>
      </w:pPr>
      <w:r w:rsidRPr="00C16903">
        <w:rPr>
          <w:lang w:val="ru-RU"/>
        </w:rPr>
        <w:tab/>
        <w:t xml:space="preserve"> </w:t>
      </w:r>
      <w:r w:rsidRPr="00C16903">
        <w:rPr>
          <w:lang w:val="ru-RU"/>
        </w:rPr>
        <w:tab/>
      </w:r>
      <w:r w:rsidR="008C7F51" w:rsidRPr="00C16903">
        <w:rPr>
          <w:bCs/>
          <w:lang w:val="ru-RU"/>
        </w:rPr>
        <w:t xml:space="preserve">Глава </w:t>
      </w:r>
      <w:r w:rsidRPr="00C16903">
        <w:rPr>
          <w:lang w:val="ru-RU"/>
        </w:rPr>
        <w:t xml:space="preserve">4.1, 4.1.4.1, P006, </w:t>
      </w:r>
      <w:r w:rsidR="00DF1664" w:rsidRPr="00C16903">
        <w:rPr>
          <w:bCs/>
          <w:lang w:val="ru-RU"/>
        </w:rPr>
        <w:t xml:space="preserve">новый пункт </w:t>
      </w:r>
      <w:r w:rsidRPr="00C16903">
        <w:rPr>
          <w:lang w:val="ru-RU"/>
        </w:rPr>
        <w:t xml:space="preserve">(5), </w:t>
      </w:r>
      <w:r w:rsidR="005872FB" w:rsidRPr="00C16903">
        <w:rPr>
          <w:lang w:val="ru-RU"/>
        </w:rPr>
        <w:t>в</w:t>
      </w:r>
      <w:r w:rsidR="005872FB" w:rsidRPr="00C16903">
        <w:rPr>
          <w:lang w:val="ru-RU"/>
        </w:rPr>
        <w:t xml:space="preserve"> первом предложении </w:t>
      </w:r>
      <w:r w:rsidRPr="00C16903">
        <w:rPr>
          <w:lang w:val="ru-RU"/>
        </w:rPr>
        <w:t>(</w:t>
      </w:r>
      <w:r w:rsidR="0083522B" w:rsidRPr="00C16903">
        <w:rPr>
          <w:lang w:val="ru-RU"/>
        </w:rPr>
        <w:t>дважды</w:t>
      </w:r>
      <w:r w:rsidRPr="00C16903">
        <w:rPr>
          <w:lang w:val="ru-RU"/>
        </w:rPr>
        <w:t>)</w:t>
      </w:r>
    </w:p>
    <w:p w14:paraId="10C0191D" w14:textId="78ECDEFB" w:rsidR="00F875CF" w:rsidRPr="00C16903" w:rsidRDefault="00F875CF" w:rsidP="00F875CF">
      <w:pPr>
        <w:pStyle w:val="SingleTxtG"/>
        <w:rPr>
          <w:lang w:val="ru-RU"/>
        </w:rPr>
      </w:pPr>
      <w:r w:rsidRPr="00C16903">
        <w:rPr>
          <w:i/>
          <w:iCs/>
          <w:lang w:val="ru-RU"/>
        </w:rPr>
        <w:t>Вместо</w:t>
      </w:r>
      <w:r w:rsidRPr="00C16903">
        <w:rPr>
          <w:lang w:val="ru-RU"/>
        </w:rPr>
        <w:t xml:space="preserve"> «</w:t>
      </w:r>
      <w:r w:rsidR="00C67F8D" w:rsidRPr="00C16903">
        <w:rPr>
          <w:lang w:val="ru-RU"/>
        </w:rPr>
        <w:t>литиевых элементов или батарей</w:t>
      </w:r>
      <w:r w:rsidRPr="00C16903">
        <w:rPr>
          <w:lang w:val="ru-RU"/>
        </w:rPr>
        <w:t xml:space="preserve">» </w:t>
      </w:r>
      <w:r w:rsidRPr="00C16903">
        <w:rPr>
          <w:i/>
          <w:iCs/>
          <w:lang w:val="ru-RU"/>
        </w:rPr>
        <w:t>читать</w:t>
      </w:r>
      <w:r w:rsidRPr="00C16903">
        <w:rPr>
          <w:lang w:val="ru-RU"/>
        </w:rPr>
        <w:t xml:space="preserve"> «</w:t>
      </w:r>
      <w:r w:rsidR="00C67F8D" w:rsidRPr="00C16903">
        <w:rPr>
          <w:lang w:val="ru-RU"/>
        </w:rPr>
        <w:t>литиевых элементов или батарей</w:t>
      </w:r>
      <w:r w:rsidR="00C16903" w:rsidRPr="00C16903">
        <w:rPr>
          <w:lang w:val="ru-RU"/>
        </w:rPr>
        <w:t xml:space="preserve"> </w:t>
      </w:r>
      <w:r w:rsidR="00C16903" w:rsidRPr="00C16903">
        <w:rPr>
          <w:lang w:val="ru-RU"/>
        </w:rPr>
        <w:t>или натрий-ионных элементов или батарей</w:t>
      </w:r>
      <w:r w:rsidRPr="00C16903">
        <w:rPr>
          <w:lang w:val="ru-RU"/>
        </w:rPr>
        <w:t>».</w:t>
      </w:r>
    </w:p>
    <w:p w14:paraId="6DB32E07" w14:textId="253A0BF2" w:rsidR="00092232" w:rsidRPr="00C16903" w:rsidRDefault="00092232" w:rsidP="00092232">
      <w:pPr>
        <w:pStyle w:val="H23G"/>
        <w:rPr>
          <w:lang w:val="ru-RU"/>
        </w:rPr>
      </w:pPr>
      <w:r w:rsidRPr="00C16903">
        <w:rPr>
          <w:lang w:val="ru-RU"/>
        </w:rPr>
        <w:lastRenderedPageBreak/>
        <w:tab/>
        <w:t xml:space="preserve"> </w:t>
      </w:r>
      <w:r w:rsidRPr="00C16903">
        <w:rPr>
          <w:lang w:val="ru-RU"/>
        </w:rPr>
        <w:tab/>
      </w:r>
      <w:r w:rsidR="004D7003" w:rsidRPr="00C16903">
        <w:rPr>
          <w:bCs/>
          <w:lang w:val="ru-RU"/>
        </w:rPr>
        <w:t xml:space="preserve">Глава </w:t>
      </w:r>
      <w:r w:rsidRPr="00C16903">
        <w:rPr>
          <w:lang w:val="ru-RU"/>
        </w:rPr>
        <w:t xml:space="preserve">4.1, 4.1.4.3, LP03, </w:t>
      </w:r>
      <w:r w:rsidR="004D7003" w:rsidRPr="00C16903">
        <w:rPr>
          <w:bCs/>
          <w:lang w:val="ru-RU"/>
        </w:rPr>
        <w:t>новый пункт</w:t>
      </w:r>
      <w:r w:rsidRPr="00C16903">
        <w:rPr>
          <w:lang w:val="ru-RU"/>
        </w:rPr>
        <w:t xml:space="preserve"> (4), </w:t>
      </w:r>
      <w:r w:rsidR="00883F94" w:rsidRPr="00C16903">
        <w:rPr>
          <w:lang w:val="ru-RU"/>
        </w:rPr>
        <w:t>в первом предложении (дважды)</w:t>
      </w:r>
    </w:p>
    <w:p w14:paraId="7889D8B4" w14:textId="32332B2F" w:rsidR="00883F94" w:rsidRPr="00C16903" w:rsidRDefault="00883F94" w:rsidP="00883F94">
      <w:pPr>
        <w:pStyle w:val="SingleTxtG"/>
        <w:rPr>
          <w:lang w:val="ru-RU"/>
        </w:rPr>
      </w:pPr>
      <w:r w:rsidRPr="00C16903">
        <w:rPr>
          <w:i/>
          <w:iCs/>
          <w:lang w:val="ru-RU"/>
        </w:rPr>
        <w:t>Вместо</w:t>
      </w:r>
      <w:r w:rsidRPr="00C16903">
        <w:rPr>
          <w:lang w:val="ru-RU"/>
        </w:rPr>
        <w:t xml:space="preserve"> «литиевых элементов или батарей» </w:t>
      </w:r>
      <w:r w:rsidRPr="00C16903">
        <w:rPr>
          <w:i/>
          <w:iCs/>
          <w:lang w:val="ru-RU"/>
        </w:rPr>
        <w:t>читать</w:t>
      </w:r>
      <w:r w:rsidRPr="00C16903">
        <w:rPr>
          <w:lang w:val="ru-RU"/>
        </w:rPr>
        <w:t xml:space="preserve"> «литиевых элементов или батарей или натрий-ионных элементов или батарей».</w:t>
      </w:r>
    </w:p>
    <w:p w14:paraId="4012FDC2" w14:textId="2EEAC21B" w:rsidR="00092232" w:rsidRPr="00C16903" w:rsidRDefault="00092232" w:rsidP="00092232">
      <w:pPr>
        <w:pStyle w:val="H23G"/>
        <w:rPr>
          <w:lang w:val="ru-RU"/>
        </w:rPr>
      </w:pPr>
      <w:r w:rsidRPr="00C16903">
        <w:rPr>
          <w:lang w:val="ru-RU"/>
        </w:rPr>
        <w:tab/>
        <w:t xml:space="preserve"> </w:t>
      </w:r>
      <w:r w:rsidRPr="00C16903">
        <w:rPr>
          <w:lang w:val="ru-RU"/>
        </w:rPr>
        <w:tab/>
      </w:r>
      <w:r w:rsidR="00883F94" w:rsidRPr="00C16903">
        <w:rPr>
          <w:bCs/>
          <w:lang w:val="ru-RU"/>
        </w:rPr>
        <w:t xml:space="preserve">Глава </w:t>
      </w:r>
      <w:r w:rsidRPr="00C16903">
        <w:rPr>
          <w:lang w:val="ru-RU"/>
        </w:rPr>
        <w:t xml:space="preserve">5.2, </w:t>
      </w:r>
      <w:r w:rsidR="00883F94" w:rsidRPr="00C16903">
        <w:rPr>
          <w:bCs/>
          <w:lang w:val="ru-RU"/>
        </w:rPr>
        <w:t>поправка к</w:t>
      </w:r>
      <w:r w:rsidRPr="00C16903">
        <w:rPr>
          <w:lang w:val="ru-RU"/>
        </w:rPr>
        <w:t xml:space="preserve"> </w:t>
      </w:r>
      <w:r w:rsidRPr="00C16903">
        <w:rPr>
          <w:rFonts w:eastAsia="SimSun"/>
          <w:lang w:val="ru-RU"/>
        </w:rPr>
        <w:t>5.2.1.9</w:t>
      </w:r>
    </w:p>
    <w:p w14:paraId="4575B40C" w14:textId="77777777" w:rsidR="00883F94" w:rsidRPr="00C16903" w:rsidRDefault="00883F94" w:rsidP="00883F94">
      <w:pPr>
        <w:pStyle w:val="SingleTxtG"/>
        <w:rPr>
          <w:lang w:val="ru-RU"/>
        </w:rPr>
      </w:pPr>
      <w:r w:rsidRPr="00C16903">
        <w:rPr>
          <w:i/>
          <w:iCs/>
          <w:lang w:val="ru-RU"/>
        </w:rPr>
        <w:t>Заменить</w:t>
      </w:r>
      <w:r w:rsidRPr="00C16903">
        <w:rPr>
          <w:lang w:val="ru-RU"/>
        </w:rPr>
        <w:t xml:space="preserve"> существующий текст следующим:</w:t>
      </w:r>
    </w:p>
    <w:p w14:paraId="722544B4" w14:textId="12AD71A2" w:rsidR="00D55769" w:rsidRPr="002C666F" w:rsidRDefault="00D55769" w:rsidP="00D55769">
      <w:pPr>
        <w:pStyle w:val="SingleTxtG"/>
        <w:tabs>
          <w:tab w:val="left" w:pos="2268"/>
        </w:tabs>
      </w:pPr>
      <w:r w:rsidRPr="00D55769">
        <w:t>5.2.1.9</w:t>
      </w:r>
      <w:r w:rsidRPr="00D55769">
        <w:tab/>
      </w:r>
      <w:proofErr w:type="spellStart"/>
      <w:r>
        <w:t>Изменить</w:t>
      </w:r>
      <w:proofErr w:type="spellEnd"/>
      <w:r>
        <w:t xml:space="preserve"> </w:t>
      </w:r>
      <w:proofErr w:type="spellStart"/>
      <w:r>
        <w:t>заголовок</w:t>
      </w:r>
      <w:proofErr w:type="spellEnd"/>
      <w:r>
        <w:t xml:space="preserve"> </w:t>
      </w:r>
      <w:proofErr w:type="spellStart"/>
      <w:r>
        <w:t>на</w:t>
      </w:r>
      <w:proofErr w:type="spellEnd"/>
      <w:r>
        <w:t xml:space="preserve"> </w:t>
      </w:r>
      <w:r w:rsidR="002A45F6">
        <w:rPr>
          <w:lang w:val="fr-CH"/>
        </w:rPr>
        <w:t>«</w:t>
      </w:r>
      <w:proofErr w:type="spellStart"/>
      <w:r>
        <w:rPr>
          <w:b/>
          <w:bCs/>
          <w:i/>
          <w:iCs/>
        </w:rPr>
        <w:t>Маркировочный</w:t>
      </w:r>
      <w:proofErr w:type="spellEnd"/>
      <w:r>
        <w:rPr>
          <w:b/>
          <w:bCs/>
          <w:i/>
          <w:iCs/>
        </w:rPr>
        <w:t xml:space="preserve"> </w:t>
      </w:r>
      <w:proofErr w:type="spellStart"/>
      <w:r>
        <w:rPr>
          <w:b/>
          <w:bCs/>
          <w:i/>
          <w:iCs/>
        </w:rPr>
        <w:t>знак</w:t>
      </w:r>
      <w:proofErr w:type="spellEnd"/>
      <w:r>
        <w:rPr>
          <w:b/>
          <w:bCs/>
          <w:i/>
          <w:iCs/>
        </w:rPr>
        <w:t xml:space="preserve"> </w:t>
      </w:r>
      <w:proofErr w:type="spellStart"/>
      <w:r>
        <w:rPr>
          <w:b/>
          <w:bCs/>
          <w:i/>
          <w:iCs/>
        </w:rPr>
        <w:t>батарей</w:t>
      </w:r>
      <w:proofErr w:type="spellEnd"/>
      <w:r w:rsidR="002A45F6">
        <w:rPr>
          <w:lang w:val="fr-CH"/>
        </w:rPr>
        <w:t>»</w:t>
      </w:r>
      <w:r>
        <w:t>.</w:t>
      </w:r>
    </w:p>
    <w:p w14:paraId="6ECA50B2" w14:textId="76B36B28" w:rsidR="00092232" w:rsidRPr="00C16903" w:rsidRDefault="00092232" w:rsidP="00092232">
      <w:pPr>
        <w:pStyle w:val="H23G"/>
        <w:rPr>
          <w:lang w:val="ru-RU"/>
        </w:rPr>
      </w:pPr>
      <w:r w:rsidRPr="00C16903">
        <w:rPr>
          <w:lang w:val="ru-RU"/>
        </w:rPr>
        <w:tab/>
        <w:t xml:space="preserve"> </w:t>
      </w:r>
      <w:r w:rsidRPr="00C16903">
        <w:rPr>
          <w:lang w:val="ru-RU"/>
        </w:rPr>
        <w:tab/>
      </w:r>
      <w:r w:rsidR="00D55769" w:rsidRPr="00C16903">
        <w:rPr>
          <w:bCs/>
          <w:lang w:val="ru-RU"/>
        </w:rPr>
        <w:t xml:space="preserve">Глава </w:t>
      </w:r>
      <w:r w:rsidRPr="00C16903">
        <w:rPr>
          <w:lang w:val="ru-RU"/>
        </w:rPr>
        <w:t xml:space="preserve">5.2, 5.2.1.9.2, </w:t>
      </w:r>
      <w:r w:rsidR="00CC235B" w:rsidRPr="00CC235B">
        <w:rPr>
          <w:lang w:val="ru-RU"/>
        </w:rPr>
        <w:t>вторая поправка</w:t>
      </w:r>
    </w:p>
    <w:p w14:paraId="53952469" w14:textId="77777777" w:rsidR="00D70014" w:rsidRPr="00C16903" w:rsidRDefault="00D70014" w:rsidP="00D70014">
      <w:pPr>
        <w:pStyle w:val="SingleTxtG"/>
        <w:rPr>
          <w:lang w:val="ru-RU"/>
        </w:rPr>
      </w:pPr>
      <w:r w:rsidRPr="00C16903">
        <w:rPr>
          <w:i/>
          <w:iCs/>
          <w:lang w:val="ru-RU"/>
        </w:rPr>
        <w:t>Заменить</w:t>
      </w:r>
      <w:r w:rsidRPr="00C16903">
        <w:rPr>
          <w:lang w:val="ru-RU"/>
        </w:rPr>
        <w:t xml:space="preserve"> существующий текст следующим:</w:t>
      </w:r>
    </w:p>
    <w:p w14:paraId="2F38E719" w14:textId="796FFC7F" w:rsidR="00201014" w:rsidRPr="002C666F" w:rsidRDefault="00201014" w:rsidP="00201014">
      <w:pPr>
        <w:pStyle w:val="SingleTxtG"/>
      </w:pPr>
      <w:proofErr w:type="spellStart"/>
      <w:r>
        <w:t>Изменить</w:t>
      </w:r>
      <w:proofErr w:type="spellEnd"/>
      <w:r>
        <w:t xml:space="preserve"> </w:t>
      </w:r>
      <w:proofErr w:type="spellStart"/>
      <w:r>
        <w:t>заголовок</w:t>
      </w:r>
      <w:proofErr w:type="spellEnd"/>
      <w:r>
        <w:t xml:space="preserve"> </w:t>
      </w:r>
      <w:proofErr w:type="spellStart"/>
      <w:r>
        <w:t>рисунка</w:t>
      </w:r>
      <w:proofErr w:type="spellEnd"/>
      <w:r>
        <w:t xml:space="preserve"> 5.2.1.9.2 </w:t>
      </w:r>
      <w:proofErr w:type="spellStart"/>
      <w:r>
        <w:t>на</w:t>
      </w:r>
      <w:proofErr w:type="spellEnd"/>
      <w:r>
        <w:t xml:space="preserve"> </w:t>
      </w:r>
      <w:r w:rsidR="002A45F6">
        <w:rPr>
          <w:lang w:val="fr-CH"/>
        </w:rPr>
        <w:t>«</w:t>
      </w:r>
      <w:proofErr w:type="spellStart"/>
      <w:r>
        <w:rPr>
          <w:b/>
          <w:bCs/>
        </w:rPr>
        <w:t>Маркировочный</w:t>
      </w:r>
      <w:proofErr w:type="spellEnd"/>
      <w:r>
        <w:rPr>
          <w:b/>
          <w:bCs/>
        </w:rPr>
        <w:t xml:space="preserve"> </w:t>
      </w:r>
      <w:proofErr w:type="spellStart"/>
      <w:r>
        <w:rPr>
          <w:b/>
          <w:bCs/>
        </w:rPr>
        <w:t>знак</w:t>
      </w:r>
      <w:proofErr w:type="spellEnd"/>
      <w:r>
        <w:rPr>
          <w:b/>
          <w:bCs/>
        </w:rPr>
        <w:t xml:space="preserve"> </w:t>
      </w:r>
      <w:proofErr w:type="spellStart"/>
      <w:r>
        <w:rPr>
          <w:b/>
          <w:bCs/>
        </w:rPr>
        <w:t>батарей</w:t>
      </w:r>
      <w:proofErr w:type="spellEnd"/>
      <w:r w:rsidR="002A45F6">
        <w:rPr>
          <w:lang w:val="fr-CH"/>
        </w:rPr>
        <w:t>»</w:t>
      </w:r>
      <w:r>
        <w:t>.</w:t>
      </w:r>
    </w:p>
    <w:p w14:paraId="4B4C732C" w14:textId="357F9F5F" w:rsidR="00092232" w:rsidRPr="00C16903" w:rsidRDefault="00092232" w:rsidP="00092232">
      <w:pPr>
        <w:pStyle w:val="H23G"/>
        <w:rPr>
          <w:lang w:val="ru-RU"/>
        </w:rPr>
      </w:pPr>
      <w:r w:rsidRPr="00C16903">
        <w:rPr>
          <w:lang w:val="ru-RU"/>
        </w:rPr>
        <w:tab/>
        <w:t xml:space="preserve"> </w:t>
      </w:r>
      <w:r w:rsidRPr="00C16903">
        <w:rPr>
          <w:lang w:val="ru-RU"/>
        </w:rPr>
        <w:tab/>
      </w:r>
      <w:r w:rsidR="00201014" w:rsidRPr="00C16903">
        <w:rPr>
          <w:bCs/>
          <w:lang w:val="ru-RU"/>
        </w:rPr>
        <w:t xml:space="preserve">Глава </w:t>
      </w:r>
      <w:r w:rsidRPr="00C16903">
        <w:rPr>
          <w:lang w:val="ru-RU"/>
        </w:rPr>
        <w:t xml:space="preserve">5.2, </w:t>
      </w:r>
      <w:r w:rsidR="00201014" w:rsidRPr="00C16903">
        <w:rPr>
          <w:bCs/>
          <w:lang w:val="ru-RU"/>
        </w:rPr>
        <w:t>поправка к</w:t>
      </w:r>
      <w:r w:rsidR="00201014" w:rsidRPr="00C16903">
        <w:rPr>
          <w:lang w:val="ru-RU"/>
        </w:rPr>
        <w:t xml:space="preserve"> </w:t>
      </w:r>
      <w:r w:rsidRPr="00C16903">
        <w:rPr>
          <w:lang w:val="ru-RU"/>
        </w:rPr>
        <w:t>5.2.2.1.12.1</w:t>
      </w:r>
    </w:p>
    <w:p w14:paraId="4EEDF012" w14:textId="77777777" w:rsidR="00201014" w:rsidRPr="00C16903" w:rsidRDefault="00201014" w:rsidP="00201014">
      <w:pPr>
        <w:pStyle w:val="SingleTxtG"/>
        <w:rPr>
          <w:lang w:val="ru-RU"/>
        </w:rPr>
      </w:pPr>
      <w:r w:rsidRPr="00C16903">
        <w:rPr>
          <w:i/>
          <w:iCs/>
          <w:lang w:val="ru-RU"/>
        </w:rPr>
        <w:t>Заменить</w:t>
      </w:r>
      <w:r w:rsidRPr="00C16903">
        <w:rPr>
          <w:lang w:val="ru-RU"/>
        </w:rPr>
        <w:t xml:space="preserve"> существующий текст следующим:</w:t>
      </w:r>
    </w:p>
    <w:p w14:paraId="145106D1" w14:textId="50BDD3C5" w:rsidR="002A45F6" w:rsidRPr="002A45F6" w:rsidRDefault="002A45F6" w:rsidP="002A45F6">
      <w:pPr>
        <w:pStyle w:val="SingleTxtG"/>
        <w:ind w:left="2268" w:hanging="1134"/>
      </w:pPr>
      <w:r w:rsidRPr="002A45F6">
        <w:t>5.2.2.1.12.1</w:t>
      </w:r>
      <w:r w:rsidRPr="002A45F6">
        <w:tab/>
      </w:r>
      <w:proofErr w:type="spellStart"/>
      <w:r w:rsidRPr="002A45F6">
        <w:t>Заменить</w:t>
      </w:r>
      <w:proofErr w:type="spellEnd"/>
      <w:r w:rsidRPr="002A45F6">
        <w:t xml:space="preserve"> </w:t>
      </w:r>
      <w:r>
        <w:rPr>
          <w:lang w:val="fr-CH"/>
        </w:rPr>
        <w:t>«</w:t>
      </w:r>
      <w:proofErr w:type="spellStart"/>
      <w:r w:rsidRPr="002A45F6">
        <w:t>литиевые</w:t>
      </w:r>
      <w:proofErr w:type="spellEnd"/>
      <w:r w:rsidRPr="002A45F6">
        <w:t xml:space="preserve"> </w:t>
      </w:r>
      <w:proofErr w:type="spellStart"/>
      <w:r w:rsidRPr="002A45F6">
        <w:t>батареи</w:t>
      </w:r>
      <w:proofErr w:type="spellEnd"/>
      <w:r>
        <w:rPr>
          <w:lang w:val="fr-CH"/>
        </w:rPr>
        <w:t>»</w:t>
      </w:r>
      <w:r w:rsidRPr="002A45F6">
        <w:t xml:space="preserve"> </w:t>
      </w:r>
      <w:proofErr w:type="spellStart"/>
      <w:r w:rsidRPr="002A45F6">
        <w:t>на</w:t>
      </w:r>
      <w:proofErr w:type="spellEnd"/>
      <w:r w:rsidRPr="002A45F6">
        <w:t xml:space="preserve"> </w:t>
      </w:r>
      <w:r>
        <w:rPr>
          <w:lang w:val="fr-CH"/>
        </w:rPr>
        <w:t>«</w:t>
      </w:r>
      <w:proofErr w:type="spellStart"/>
      <w:r w:rsidRPr="002A45F6">
        <w:t>литиевые</w:t>
      </w:r>
      <w:proofErr w:type="spellEnd"/>
      <w:r w:rsidRPr="002A45F6">
        <w:t xml:space="preserve"> </w:t>
      </w:r>
      <w:proofErr w:type="spellStart"/>
      <w:r w:rsidRPr="002A45F6">
        <w:t>батареи</w:t>
      </w:r>
      <w:proofErr w:type="spellEnd"/>
      <w:r w:rsidRPr="002A45F6">
        <w:t xml:space="preserve"> </w:t>
      </w:r>
      <w:proofErr w:type="spellStart"/>
      <w:r w:rsidRPr="002A45F6">
        <w:t>или</w:t>
      </w:r>
      <w:proofErr w:type="spellEnd"/>
      <w:r w:rsidRPr="002A45F6">
        <w:t xml:space="preserve"> </w:t>
      </w:r>
      <w:proofErr w:type="spellStart"/>
      <w:r w:rsidRPr="002A45F6">
        <w:t>натрий-ионные</w:t>
      </w:r>
      <w:proofErr w:type="spellEnd"/>
      <w:r w:rsidRPr="002A45F6">
        <w:t xml:space="preserve"> </w:t>
      </w:r>
      <w:proofErr w:type="spellStart"/>
      <w:r w:rsidRPr="002A45F6">
        <w:t>батареи</w:t>
      </w:r>
      <w:proofErr w:type="spellEnd"/>
      <w:r>
        <w:rPr>
          <w:lang w:val="fr-CH"/>
        </w:rPr>
        <w:t>»</w:t>
      </w:r>
      <w:r w:rsidRPr="002A45F6">
        <w:t xml:space="preserve">, а </w:t>
      </w:r>
      <w:r>
        <w:rPr>
          <w:lang w:val="fr-CH"/>
        </w:rPr>
        <w:t>«</w:t>
      </w:r>
      <w:proofErr w:type="spellStart"/>
      <w:r w:rsidRPr="002A45F6">
        <w:t>маркировочного</w:t>
      </w:r>
      <w:proofErr w:type="spellEnd"/>
      <w:r w:rsidRPr="002A45F6">
        <w:t xml:space="preserve"> </w:t>
      </w:r>
      <w:proofErr w:type="spellStart"/>
      <w:r w:rsidRPr="002A45F6">
        <w:t>знака</w:t>
      </w:r>
      <w:proofErr w:type="spellEnd"/>
      <w:r w:rsidRPr="002A45F6">
        <w:t xml:space="preserve"> </w:t>
      </w:r>
      <w:proofErr w:type="spellStart"/>
      <w:r w:rsidRPr="002A45F6">
        <w:t>литиевых</w:t>
      </w:r>
      <w:proofErr w:type="spellEnd"/>
      <w:r w:rsidRPr="002A45F6">
        <w:t xml:space="preserve"> </w:t>
      </w:r>
      <w:proofErr w:type="spellStart"/>
      <w:r w:rsidRPr="002A45F6">
        <w:t>батарей</w:t>
      </w:r>
      <w:proofErr w:type="spellEnd"/>
      <w:r>
        <w:rPr>
          <w:lang w:val="fr-CH"/>
        </w:rPr>
        <w:t>»</w:t>
      </w:r>
      <w:r w:rsidRPr="002A45F6">
        <w:t xml:space="preserve"> </w:t>
      </w:r>
      <w:proofErr w:type="spellStart"/>
      <w:r w:rsidRPr="002A45F6">
        <w:t>на</w:t>
      </w:r>
      <w:proofErr w:type="spellEnd"/>
      <w:r w:rsidRPr="002A45F6">
        <w:t xml:space="preserve"> </w:t>
      </w:r>
      <w:r>
        <w:rPr>
          <w:lang w:val="fr-CH"/>
        </w:rPr>
        <w:t>«</w:t>
      </w:r>
      <w:proofErr w:type="spellStart"/>
      <w:r w:rsidRPr="002A45F6">
        <w:t>маркировочного</w:t>
      </w:r>
      <w:proofErr w:type="spellEnd"/>
      <w:r w:rsidRPr="002A45F6">
        <w:t xml:space="preserve"> </w:t>
      </w:r>
      <w:proofErr w:type="spellStart"/>
      <w:r w:rsidRPr="002A45F6">
        <w:t>знака</w:t>
      </w:r>
      <w:proofErr w:type="spellEnd"/>
      <w:r w:rsidRPr="002A45F6">
        <w:t xml:space="preserve"> </w:t>
      </w:r>
      <w:proofErr w:type="spellStart"/>
      <w:r w:rsidRPr="002A45F6">
        <w:t>батарей</w:t>
      </w:r>
      <w:proofErr w:type="spellEnd"/>
      <w:r>
        <w:rPr>
          <w:lang w:val="fr-CH"/>
        </w:rPr>
        <w:t>»</w:t>
      </w:r>
      <w:r w:rsidRPr="002A45F6">
        <w:t>.</w:t>
      </w:r>
    </w:p>
    <w:p w14:paraId="73F20B22" w14:textId="1A11582B" w:rsidR="00092232" w:rsidRPr="00C16903" w:rsidRDefault="00092232" w:rsidP="00092232">
      <w:pPr>
        <w:pStyle w:val="H23G"/>
        <w:rPr>
          <w:lang w:val="ru-RU"/>
        </w:rPr>
      </w:pPr>
      <w:r w:rsidRPr="00C16903">
        <w:rPr>
          <w:lang w:val="ru-RU"/>
        </w:rPr>
        <w:tab/>
        <w:t xml:space="preserve"> </w:t>
      </w:r>
      <w:r w:rsidRPr="00C16903">
        <w:rPr>
          <w:lang w:val="ru-RU"/>
        </w:rPr>
        <w:tab/>
      </w:r>
      <w:r w:rsidR="004F216F" w:rsidRPr="00C16903">
        <w:rPr>
          <w:bCs/>
          <w:lang w:val="ru-RU"/>
        </w:rPr>
        <w:t xml:space="preserve">Глава </w:t>
      </w:r>
      <w:r w:rsidRPr="00C16903">
        <w:rPr>
          <w:lang w:val="ru-RU"/>
        </w:rPr>
        <w:t xml:space="preserve">7.3, 7.3.3.2.7, </w:t>
      </w:r>
      <w:r w:rsidR="004F216F" w:rsidRPr="00C16903">
        <w:rPr>
          <w:bCs/>
          <w:lang w:val="ru-RU"/>
        </w:rPr>
        <w:t xml:space="preserve">новый </w:t>
      </w:r>
      <w:r w:rsidRPr="00C16903">
        <w:rPr>
          <w:lang w:val="ru-RU"/>
        </w:rPr>
        <w:t xml:space="preserve">AP12, </w:t>
      </w:r>
      <w:r w:rsidR="00456FD9" w:rsidRPr="00456FD9">
        <w:rPr>
          <w:lang w:val="ru-RU"/>
        </w:rPr>
        <w:t>третий абзац</w:t>
      </w:r>
    </w:p>
    <w:p w14:paraId="0D55356D" w14:textId="1CCCDCC2" w:rsidR="00456FD9" w:rsidRPr="00C16903" w:rsidRDefault="00456FD9" w:rsidP="00456FD9">
      <w:pPr>
        <w:pStyle w:val="SingleTxtG"/>
        <w:rPr>
          <w:lang w:val="ru-RU"/>
        </w:rPr>
      </w:pPr>
      <w:r w:rsidRPr="00C16903">
        <w:rPr>
          <w:i/>
          <w:iCs/>
          <w:lang w:val="ru-RU"/>
        </w:rPr>
        <w:t>Вместо</w:t>
      </w:r>
      <w:r w:rsidRPr="00C16903">
        <w:rPr>
          <w:lang w:val="ru-RU"/>
        </w:rPr>
        <w:t xml:space="preserve"> «</w:t>
      </w:r>
      <w:proofErr w:type="spellStart"/>
      <w:r w:rsidR="00136A71">
        <w:t>двух</w:t>
      </w:r>
      <w:proofErr w:type="spellEnd"/>
      <w:r w:rsidR="00136A71">
        <w:t xml:space="preserve"> </w:t>
      </w:r>
      <w:proofErr w:type="spellStart"/>
      <w:r w:rsidR="00136A71">
        <w:t>слоев</w:t>
      </w:r>
      <w:proofErr w:type="spellEnd"/>
      <w:r w:rsidRPr="00C16903">
        <w:rPr>
          <w:lang w:val="ru-RU"/>
        </w:rPr>
        <w:t xml:space="preserve">» </w:t>
      </w:r>
      <w:r w:rsidRPr="00C16903">
        <w:rPr>
          <w:i/>
          <w:iCs/>
          <w:lang w:val="ru-RU"/>
        </w:rPr>
        <w:t>читать</w:t>
      </w:r>
      <w:r w:rsidRPr="00C16903">
        <w:rPr>
          <w:lang w:val="ru-RU"/>
        </w:rPr>
        <w:t xml:space="preserve"> «</w:t>
      </w:r>
      <w:proofErr w:type="spellStart"/>
      <w:r w:rsidR="009F2A87">
        <w:t>двух</w:t>
      </w:r>
      <w:proofErr w:type="spellEnd"/>
      <w:r w:rsidR="009F2A87">
        <w:t xml:space="preserve"> </w:t>
      </w:r>
      <w:proofErr w:type="spellStart"/>
      <w:r w:rsidR="009F2A87">
        <w:t>компонентов</w:t>
      </w:r>
      <w:proofErr w:type="spellEnd"/>
      <w:r w:rsidRPr="00C16903">
        <w:rPr>
          <w:lang w:val="ru-RU"/>
        </w:rPr>
        <w:t>».</w:t>
      </w:r>
    </w:p>
    <w:p w14:paraId="0FED1A3B" w14:textId="0DFCC54D" w:rsidR="00092232" w:rsidRPr="00C16903" w:rsidRDefault="00092232" w:rsidP="00092232">
      <w:pPr>
        <w:pStyle w:val="H23G"/>
        <w:rPr>
          <w:lang w:val="ru-RU"/>
        </w:rPr>
      </w:pPr>
      <w:r w:rsidRPr="00C16903">
        <w:rPr>
          <w:lang w:val="ru-RU"/>
        </w:rPr>
        <w:tab/>
        <w:t xml:space="preserve"> </w:t>
      </w:r>
      <w:r w:rsidRPr="00C16903">
        <w:rPr>
          <w:lang w:val="ru-RU"/>
        </w:rPr>
        <w:tab/>
      </w:r>
      <w:r w:rsidR="009F2A87" w:rsidRPr="00C16903">
        <w:rPr>
          <w:bCs/>
          <w:lang w:val="ru-RU"/>
        </w:rPr>
        <w:t xml:space="preserve">Глава </w:t>
      </w:r>
      <w:r w:rsidRPr="00C16903">
        <w:rPr>
          <w:lang w:val="ru-RU"/>
        </w:rPr>
        <w:t xml:space="preserve">7.3, 7.3.3.2.7, </w:t>
      </w:r>
      <w:r w:rsidR="009F2A87" w:rsidRPr="00C16903">
        <w:rPr>
          <w:bCs/>
          <w:lang w:val="ru-RU"/>
        </w:rPr>
        <w:t xml:space="preserve">новый </w:t>
      </w:r>
      <w:r w:rsidRPr="00C16903">
        <w:rPr>
          <w:lang w:val="ru-RU"/>
        </w:rPr>
        <w:t xml:space="preserve">AP12, </w:t>
      </w:r>
      <w:r w:rsidR="009F2A87" w:rsidRPr="009F2A87">
        <w:rPr>
          <w:lang w:val="ru-RU"/>
        </w:rPr>
        <w:t>четвертый абзац, первое предложение</w:t>
      </w:r>
    </w:p>
    <w:p w14:paraId="6FCE9140" w14:textId="7B8FE433" w:rsidR="009F2A87" w:rsidRPr="00C16903" w:rsidRDefault="009F2A87" w:rsidP="009F2A87">
      <w:pPr>
        <w:pStyle w:val="SingleTxtG"/>
        <w:rPr>
          <w:lang w:val="ru-RU"/>
        </w:rPr>
      </w:pPr>
      <w:r w:rsidRPr="00C16903">
        <w:rPr>
          <w:i/>
          <w:iCs/>
          <w:lang w:val="ru-RU"/>
        </w:rPr>
        <w:t>Вместо</w:t>
      </w:r>
      <w:r w:rsidRPr="00C16903">
        <w:rPr>
          <w:lang w:val="ru-RU"/>
        </w:rPr>
        <w:t xml:space="preserve"> «</w:t>
      </w:r>
      <w:proofErr w:type="spellStart"/>
      <w:r w:rsidR="00E97836">
        <w:t>Внутренний</w:t>
      </w:r>
      <w:proofErr w:type="spellEnd"/>
      <w:r w:rsidR="00E97836">
        <w:t xml:space="preserve"> </w:t>
      </w:r>
      <w:proofErr w:type="spellStart"/>
      <w:r w:rsidR="00E97836">
        <w:t>слой</w:t>
      </w:r>
      <w:proofErr w:type="spellEnd"/>
      <w:r w:rsidRPr="00C16903">
        <w:rPr>
          <w:lang w:val="ru-RU"/>
        </w:rPr>
        <w:t xml:space="preserve">» </w:t>
      </w:r>
      <w:r w:rsidRPr="00C16903">
        <w:rPr>
          <w:i/>
          <w:iCs/>
          <w:lang w:val="ru-RU"/>
        </w:rPr>
        <w:t>читать</w:t>
      </w:r>
      <w:r w:rsidRPr="00C16903">
        <w:rPr>
          <w:lang w:val="ru-RU"/>
        </w:rPr>
        <w:t xml:space="preserve"> «</w:t>
      </w:r>
      <w:proofErr w:type="spellStart"/>
      <w:r w:rsidR="00F00C75">
        <w:t>Внутренний</w:t>
      </w:r>
      <w:proofErr w:type="spellEnd"/>
      <w:r w:rsidR="00F00C75">
        <w:t xml:space="preserve"> </w:t>
      </w:r>
      <w:proofErr w:type="spellStart"/>
      <w:r w:rsidR="00F00C75">
        <w:t>компонент</w:t>
      </w:r>
      <w:proofErr w:type="spellEnd"/>
      <w:r w:rsidRPr="00C16903">
        <w:rPr>
          <w:lang w:val="ru-RU"/>
        </w:rPr>
        <w:t>».</w:t>
      </w:r>
    </w:p>
    <w:p w14:paraId="18EB5C08" w14:textId="319F31B1" w:rsidR="00092232" w:rsidRPr="00C16903" w:rsidRDefault="00092232" w:rsidP="00092232">
      <w:pPr>
        <w:pStyle w:val="H23G"/>
        <w:rPr>
          <w:lang w:val="ru-RU"/>
        </w:rPr>
      </w:pPr>
      <w:r w:rsidRPr="00C16903">
        <w:rPr>
          <w:lang w:val="ru-RU"/>
        </w:rPr>
        <w:tab/>
        <w:t xml:space="preserve"> </w:t>
      </w:r>
      <w:r w:rsidRPr="00C16903">
        <w:rPr>
          <w:lang w:val="ru-RU"/>
        </w:rPr>
        <w:tab/>
      </w:r>
      <w:r w:rsidR="00F00C75" w:rsidRPr="00C16903">
        <w:rPr>
          <w:bCs/>
          <w:lang w:val="ru-RU"/>
        </w:rPr>
        <w:t xml:space="preserve">Глава </w:t>
      </w:r>
      <w:r w:rsidR="00F00C75" w:rsidRPr="00C16903">
        <w:rPr>
          <w:lang w:val="ru-RU"/>
        </w:rPr>
        <w:t xml:space="preserve">7.3, 7.3.3.2.7, </w:t>
      </w:r>
      <w:r w:rsidR="00F00C75" w:rsidRPr="00C16903">
        <w:rPr>
          <w:bCs/>
          <w:lang w:val="ru-RU"/>
        </w:rPr>
        <w:t xml:space="preserve">новый </w:t>
      </w:r>
      <w:r w:rsidR="00F00C75" w:rsidRPr="00C16903">
        <w:rPr>
          <w:lang w:val="ru-RU"/>
        </w:rPr>
        <w:t xml:space="preserve">AP12, </w:t>
      </w:r>
      <w:r w:rsidR="00F00C75" w:rsidRPr="009F2A87">
        <w:rPr>
          <w:lang w:val="ru-RU"/>
        </w:rPr>
        <w:t xml:space="preserve">четвертый абзац, </w:t>
      </w:r>
      <w:r w:rsidR="00AA0547" w:rsidRPr="00AA0547">
        <w:rPr>
          <w:lang w:val="ru-RU"/>
        </w:rPr>
        <w:t xml:space="preserve">второе </w:t>
      </w:r>
      <w:r w:rsidR="00AA0547" w:rsidRPr="009F2A87">
        <w:rPr>
          <w:lang w:val="ru-RU"/>
        </w:rPr>
        <w:t>предложение</w:t>
      </w:r>
    </w:p>
    <w:p w14:paraId="36BF094F" w14:textId="77777777" w:rsidR="00AA0547" w:rsidRPr="00C16903" w:rsidRDefault="00AA0547" w:rsidP="00AA0547">
      <w:pPr>
        <w:pStyle w:val="SingleTxtG"/>
        <w:rPr>
          <w:lang w:val="ru-RU"/>
        </w:rPr>
      </w:pPr>
      <w:r w:rsidRPr="00C16903">
        <w:rPr>
          <w:i/>
          <w:iCs/>
          <w:lang w:val="ru-RU"/>
        </w:rPr>
        <w:t>Вместо</w:t>
      </w:r>
      <w:r w:rsidRPr="00C16903">
        <w:rPr>
          <w:lang w:val="ru-RU"/>
        </w:rPr>
        <w:t xml:space="preserve"> «</w:t>
      </w:r>
      <w:proofErr w:type="spellStart"/>
      <w:r>
        <w:t>Внутренний</w:t>
      </w:r>
      <w:proofErr w:type="spellEnd"/>
      <w:r>
        <w:t xml:space="preserve"> </w:t>
      </w:r>
      <w:proofErr w:type="spellStart"/>
      <w:r>
        <w:t>слой</w:t>
      </w:r>
      <w:proofErr w:type="spellEnd"/>
      <w:r w:rsidRPr="00C16903">
        <w:rPr>
          <w:lang w:val="ru-RU"/>
        </w:rPr>
        <w:t xml:space="preserve">» </w:t>
      </w:r>
      <w:r w:rsidRPr="00C16903">
        <w:rPr>
          <w:i/>
          <w:iCs/>
          <w:lang w:val="ru-RU"/>
        </w:rPr>
        <w:t>читать</w:t>
      </w:r>
      <w:r w:rsidRPr="00C16903">
        <w:rPr>
          <w:lang w:val="ru-RU"/>
        </w:rPr>
        <w:t xml:space="preserve"> «</w:t>
      </w:r>
      <w:proofErr w:type="spellStart"/>
      <w:r>
        <w:t>Внутренний</w:t>
      </w:r>
      <w:proofErr w:type="spellEnd"/>
      <w:r>
        <w:t xml:space="preserve"> </w:t>
      </w:r>
      <w:proofErr w:type="spellStart"/>
      <w:r>
        <w:t>компонент</w:t>
      </w:r>
      <w:proofErr w:type="spellEnd"/>
      <w:r w:rsidRPr="00C16903">
        <w:rPr>
          <w:lang w:val="ru-RU"/>
        </w:rPr>
        <w:t>».</w:t>
      </w:r>
    </w:p>
    <w:p w14:paraId="7B83F769" w14:textId="4F6AF479" w:rsidR="00092232" w:rsidRPr="00C16903" w:rsidRDefault="00092232" w:rsidP="00092232">
      <w:pPr>
        <w:pStyle w:val="H23G"/>
        <w:rPr>
          <w:lang w:val="ru-RU"/>
        </w:rPr>
      </w:pPr>
      <w:r w:rsidRPr="00C16903">
        <w:rPr>
          <w:lang w:val="ru-RU"/>
        </w:rPr>
        <w:tab/>
        <w:t xml:space="preserve"> </w:t>
      </w:r>
      <w:r w:rsidRPr="00C16903">
        <w:rPr>
          <w:lang w:val="ru-RU"/>
        </w:rPr>
        <w:tab/>
      </w:r>
      <w:r w:rsidR="0097333D" w:rsidRPr="00C16903">
        <w:rPr>
          <w:bCs/>
          <w:lang w:val="ru-RU"/>
        </w:rPr>
        <w:t xml:space="preserve">Глава </w:t>
      </w:r>
      <w:r w:rsidRPr="00C16903">
        <w:rPr>
          <w:lang w:val="ru-RU"/>
        </w:rPr>
        <w:t xml:space="preserve">7.3, 7.3.3.2.7, </w:t>
      </w:r>
      <w:r w:rsidR="0097333D" w:rsidRPr="00C16903">
        <w:rPr>
          <w:bCs/>
          <w:lang w:val="ru-RU"/>
        </w:rPr>
        <w:t xml:space="preserve">новый </w:t>
      </w:r>
      <w:r w:rsidRPr="00C16903">
        <w:rPr>
          <w:lang w:val="ru-RU"/>
        </w:rPr>
        <w:t xml:space="preserve">AP12, </w:t>
      </w:r>
      <w:r w:rsidR="0097333D" w:rsidRPr="0097333D">
        <w:rPr>
          <w:lang w:val="ru-RU"/>
        </w:rPr>
        <w:t xml:space="preserve">пятый </w:t>
      </w:r>
      <w:r w:rsidR="0097333D" w:rsidRPr="0097333D">
        <w:rPr>
          <w:lang w:val="ru-RU"/>
        </w:rPr>
        <w:t>абзац, первое предложение</w:t>
      </w:r>
    </w:p>
    <w:p w14:paraId="09544156" w14:textId="0AFA4AD8" w:rsidR="0097333D" w:rsidRPr="00C16903" w:rsidRDefault="0097333D" w:rsidP="0097333D">
      <w:pPr>
        <w:pStyle w:val="SingleTxtG"/>
        <w:rPr>
          <w:lang w:val="ru-RU"/>
        </w:rPr>
      </w:pPr>
      <w:r w:rsidRPr="00C16903">
        <w:rPr>
          <w:i/>
          <w:iCs/>
          <w:lang w:val="ru-RU"/>
        </w:rPr>
        <w:t>Вместо</w:t>
      </w:r>
      <w:r w:rsidRPr="00C16903">
        <w:rPr>
          <w:lang w:val="ru-RU"/>
        </w:rPr>
        <w:t xml:space="preserve"> «</w:t>
      </w:r>
      <w:proofErr w:type="spellStart"/>
      <w:r w:rsidR="00BB306B">
        <w:t>Внешний</w:t>
      </w:r>
      <w:proofErr w:type="spellEnd"/>
      <w:r w:rsidR="00BB306B">
        <w:t xml:space="preserve"> </w:t>
      </w:r>
      <w:proofErr w:type="spellStart"/>
      <w:r w:rsidR="00BB306B">
        <w:t>слой</w:t>
      </w:r>
      <w:proofErr w:type="spellEnd"/>
      <w:r w:rsidRPr="00C16903">
        <w:rPr>
          <w:lang w:val="ru-RU"/>
        </w:rPr>
        <w:t xml:space="preserve">» </w:t>
      </w:r>
      <w:r w:rsidRPr="00C16903">
        <w:rPr>
          <w:i/>
          <w:iCs/>
          <w:lang w:val="ru-RU"/>
        </w:rPr>
        <w:t>читать</w:t>
      </w:r>
      <w:r w:rsidRPr="00C16903">
        <w:rPr>
          <w:lang w:val="ru-RU"/>
        </w:rPr>
        <w:t xml:space="preserve"> «</w:t>
      </w:r>
      <w:proofErr w:type="spellStart"/>
      <w:r w:rsidR="00D55DC0">
        <w:t>Внешний</w:t>
      </w:r>
      <w:proofErr w:type="spellEnd"/>
      <w:r w:rsidR="00D55DC0">
        <w:t xml:space="preserve"> </w:t>
      </w:r>
      <w:proofErr w:type="spellStart"/>
      <w:r w:rsidR="00D55DC0">
        <w:t>компонент</w:t>
      </w:r>
      <w:proofErr w:type="spellEnd"/>
      <w:r w:rsidRPr="00C16903">
        <w:rPr>
          <w:lang w:val="ru-RU"/>
        </w:rPr>
        <w:t>».</w:t>
      </w:r>
    </w:p>
    <w:p w14:paraId="5EF5C29A" w14:textId="48912EFD" w:rsidR="0097333D" w:rsidRPr="00C16903" w:rsidRDefault="0097333D" w:rsidP="0097333D">
      <w:pPr>
        <w:pStyle w:val="H23G"/>
        <w:rPr>
          <w:lang w:val="ru-RU"/>
        </w:rPr>
      </w:pPr>
      <w:r w:rsidRPr="00C16903">
        <w:rPr>
          <w:lang w:val="ru-RU"/>
        </w:rPr>
        <w:tab/>
        <w:t xml:space="preserve"> </w:t>
      </w:r>
      <w:r w:rsidRPr="00C16903">
        <w:rPr>
          <w:lang w:val="ru-RU"/>
        </w:rPr>
        <w:tab/>
      </w:r>
      <w:r w:rsidRPr="00C16903">
        <w:rPr>
          <w:bCs/>
          <w:lang w:val="ru-RU"/>
        </w:rPr>
        <w:t xml:space="preserve">Глава </w:t>
      </w:r>
      <w:r w:rsidRPr="00C16903">
        <w:rPr>
          <w:lang w:val="ru-RU"/>
        </w:rPr>
        <w:t xml:space="preserve">7.3, 7.3.3.2.7, </w:t>
      </w:r>
      <w:r w:rsidRPr="00C16903">
        <w:rPr>
          <w:bCs/>
          <w:lang w:val="ru-RU"/>
        </w:rPr>
        <w:t xml:space="preserve">новый </w:t>
      </w:r>
      <w:r w:rsidRPr="00C16903">
        <w:rPr>
          <w:lang w:val="ru-RU"/>
        </w:rPr>
        <w:t xml:space="preserve">AP12, </w:t>
      </w:r>
      <w:r w:rsidRPr="0097333D">
        <w:rPr>
          <w:lang w:val="ru-RU"/>
        </w:rPr>
        <w:t xml:space="preserve">пятый абзац, </w:t>
      </w:r>
      <w:r w:rsidRPr="00AA0547">
        <w:rPr>
          <w:lang w:val="ru-RU"/>
        </w:rPr>
        <w:t xml:space="preserve">второе </w:t>
      </w:r>
      <w:r w:rsidRPr="0097333D">
        <w:rPr>
          <w:lang w:val="ru-RU"/>
        </w:rPr>
        <w:t>предложение</w:t>
      </w:r>
    </w:p>
    <w:p w14:paraId="40C0ED02" w14:textId="77777777" w:rsidR="00E756C4" w:rsidRPr="002C161E" w:rsidRDefault="00E756C4" w:rsidP="00E756C4">
      <w:pPr>
        <w:spacing w:after="120"/>
        <w:ind w:left="1134" w:right="1134"/>
        <w:jc w:val="both"/>
      </w:pPr>
      <w:proofErr w:type="spellStart"/>
      <w:r w:rsidRPr="002C161E">
        <w:t>Данное</w:t>
      </w:r>
      <w:proofErr w:type="spellEnd"/>
      <w:r w:rsidRPr="002C161E">
        <w:t xml:space="preserve"> </w:t>
      </w:r>
      <w:proofErr w:type="spellStart"/>
      <w:r w:rsidRPr="002C161E">
        <w:t>исправление</w:t>
      </w:r>
      <w:proofErr w:type="spellEnd"/>
      <w:r w:rsidRPr="002C161E">
        <w:t xml:space="preserve"> </w:t>
      </w:r>
      <w:proofErr w:type="spellStart"/>
      <w:r w:rsidRPr="002C161E">
        <w:t>не</w:t>
      </w:r>
      <w:proofErr w:type="spellEnd"/>
      <w:r w:rsidRPr="002C161E">
        <w:t xml:space="preserve"> </w:t>
      </w:r>
      <w:proofErr w:type="spellStart"/>
      <w:r w:rsidRPr="002C161E">
        <w:t>касается</w:t>
      </w:r>
      <w:proofErr w:type="spellEnd"/>
      <w:r w:rsidRPr="002C161E">
        <w:t xml:space="preserve"> </w:t>
      </w:r>
      <w:proofErr w:type="spellStart"/>
      <w:r w:rsidRPr="002C161E">
        <w:t>текста</w:t>
      </w:r>
      <w:proofErr w:type="spellEnd"/>
      <w:r w:rsidRPr="002C161E">
        <w:t xml:space="preserve"> </w:t>
      </w:r>
      <w:proofErr w:type="spellStart"/>
      <w:r w:rsidRPr="002C161E">
        <w:t>на</w:t>
      </w:r>
      <w:proofErr w:type="spellEnd"/>
      <w:r w:rsidRPr="002C161E">
        <w:t xml:space="preserve"> </w:t>
      </w:r>
      <w:proofErr w:type="spellStart"/>
      <w:r w:rsidRPr="002C161E">
        <w:t>русском</w:t>
      </w:r>
      <w:proofErr w:type="spellEnd"/>
      <w:r w:rsidRPr="002C161E">
        <w:t xml:space="preserve"> </w:t>
      </w:r>
      <w:proofErr w:type="spellStart"/>
      <w:r w:rsidRPr="002C161E">
        <w:t>языке</w:t>
      </w:r>
      <w:proofErr w:type="spellEnd"/>
      <w:r w:rsidRPr="002C161E">
        <w:t>.</w:t>
      </w:r>
    </w:p>
    <w:p w14:paraId="517DD2FF" w14:textId="52D5A9A6" w:rsidR="00092232" w:rsidRPr="00C16903" w:rsidRDefault="00092232" w:rsidP="00092232">
      <w:pPr>
        <w:pStyle w:val="H23G"/>
        <w:rPr>
          <w:lang w:val="ru-RU"/>
        </w:rPr>
      </w:pPr>
      <w:r w:rsidRPr="00C16903">
        <w:rPr>
          <w:lang w:val="ru-RU"/>
        </w:rPr>
        <w:tab/>
        <w:t xml:space="preserve"> </w:t>
      </w:r>
      <w:r w:rsidRPr="00C16903">
        <w:rPr>
          <w:lang w:val="ru-RU"/>
        </w:rPr>
        <w:tab/>
      </w:r>
      <w:r w:rsidR="00FC1C14" w:rsidRPr="00C16903">
        <w:rPr>
          <w:bCs/>
          <w:lang w:val="ru-RU"/>
        </w:rPr>
        <w:t xml:space="preserve">Глава </w:t>
      </w:r>
      <w:r w:rsidRPr="00C16903">
        <w:rPr>
          <w:lang w:val="ru-RU"/>
        </w:rPr>
        <w:t xml:space="preserve">7.5, 7.5.11, </w:t>
      </w:r>
      <w:r w:rsidR="00FC1C14" w:rsidRPr="00C16903">
        <w:rPr>
          <w:bCs/>
          <w:lang w:val="ru-RU"/>
        </w:rPr>
        <w:t xml:space="preserve">новый </w:t>
      </w:r>
      <w:r w:rsidRPr="00C16903">
        <w:rPr>
          <w:lang w:val="ru-RU"/>
        </w:rPr>
        <w:t xml:space="preserve">CV38, </w:t>
      </w:r>
      <w:r w:rsidR="00AA77B5" w:rsidRPr="00AA77B5">
        <w:rPr>
          <w:lang w:val="ru-RU"/>
        </w:rPr>
        <w:t>второй абзац, второе предложение</w:t>
      </w:r>
    </w:p>
    <w:p w14:paraId="3F2562A3" w14:textId="77777777" w:rsidR="00AA77B5" w:rsidRPr="00C16903" w:rsidRDefault="00AA77B5" w:rsidP="00AA77B5">
      <w:pPr>
        <w:pStyle w:val="SingleTxtG"/>
        <w:rPr>
          <w:lang w:val="ru-RU"/>
        </w:rPr>
      </w:pPr>
      <w:r w:rsidRPr="00C16903">
        <w:rPr>
          <w:i/>
          <w:iCs/>
          <w:lang w:val="ru-RU"/>
        </w:rPr>
        <w:t>Вместо</w:t>
      </w:r>
      <w:r w:rsidRPr="00C16903">
        <w:rPr>
          <w:lang w:val="ru-RU"/>
        </w:rPr>
        <w:t xml:space="preserve"> «</w:t>
      </w:r>
      <w:proofErr w:type="spellStart"/>
      <w:r>
        <w:t>Внешний</w:t>
      </w:r>
      <w:proofErr w:type="spellEnd"/>
      <w:r>
        <w:t xml:space="preserve"> </w:t>
      </w:r>
      <w:proofErr w:type="spellStart"/>
      <w:r>
        <w:t>слой</w:t>
      </w:r>
      <w:proofErr w:type="spellEnd"/>
      <w:r w:rsidRPr="00C16903">
        <w:rPr>
          <w:lang w:val="ru-RU"/>
        </w:rPr>
        <w:t xml:space="preserve">» </w:t>
      </w:r>
      <w:r w:rsidRPr="00C16903">
        <w:rPr>
          <w:i/>
          <w:iCs/>
          <w:lang w:val="ru-RU"/>
        </w:rPr>
        <w:t>читать</w:t>
      </w:r>
      <w:r w:rsidRPr="00C16903">
        <w:rPr>
          <w:lang w:val="ru-RU"/>
        </w:rPr>
        <w:t xml:space="preserve"> «</w:t>
      </w:r>
      <w:proofErr w:type="spellStart"/>
      <w:r>
        <w:t>Внешний</w:t>
      </w:r>
      <w:proofErr w:type="spellEnd"/>
      <w:r>
        <w:t xml:space="preserve"> </w:t>
      </w:r>
      <w:proofErr w:type="spellStart"/>
      <w:r>
        <w:t>компонент</w:t>
      </w:r>
      <w:proofErr w:type="spellEnd"/>
      <w:r w:rsidRPr="00C16903">
        <w:rPr>
          <w:lang w:val="ru-RU"/>
        </w:rPr>
        <w:t>».</w:t>
      </w:r>
    </w:p>
    <w:p w14:paraId="4B1A92BC" w14:textId="3C8C70D5" w:rsidR="00052054" w:rsidRPr="00C16903" w:rsidRDefault="00052054" w:rsidP="00052054">
      <w:pPr>
        <w:pStyle w:val="ListParagraph"/>
        <w:spacing w:after="0" w:line="240" w:lineRule="auto"/>
        <w:ind w:left="1134"/>
        <w:jc w:val="center"/>
        <w:rPr>
          <w:rFonts w:ascii="Times New Roman" w:hAnsi="Times New Roman" w:cs="Times New Roman"/>
          <w:sz w:val="20"/>
          <w:szCs w:val="22"/>
          <w:lang w:val="ru-RU"/>
        </w:rPr>
      </w:pPr>
      <w:r w:rsidRPr="00C16903">
        <w:rPr>
          <w:rFonts w:ascii="Times New Roman" w:hAnsi="Times New Roman" w:cs="Times New Roman"/>
          <w:sz w:val="20"/>
          <w:szCs w:val="22"/>
          <w:lang w:val="ru-RU"/>
        </w:rPr>
        <w:t>________________</w:t>
      </w:r>
    </w:p>
    <w:sectPr w:rsidR="00052054" w:rsidRPr="00C16903" w:rsidSect="006770F0">
      <w:headerReference w:type="even" r:id="rId11"/>
      <w:headerReference w:type="default" r:id="rId12"/>
      <w:footerReference w:type="even" r:id="rId13"/>
      <w:footerReference w:type="default" r:id="rId14"/>
      <w:headerReference w:type="first" r:id="rId15"/>
      <w:endnotePr>
        <w:numFmt w:val="decimal"/>
      </w:endnotePr>
      <w:pgSz w:w="11907" w:h="16840" w:code="9"/>
      <w:pgMar w:top="1276"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8DB6" w14:textId="77777777" w:rsidR="00B13C3F" w:rsidRDefault="00B13C3F"/>
  </w:endnote>
  <w:endnote w:type="continuationSeparator" w:id="0">
    <w:p w14:paraId="64A86C30" w14:textId="77777777" w:rsidR="00B13C3F" w:rsidRDefault="00B13C3F"/>
  </w:endnote>
  <w:endnote w:type="continuationNotice" w:id="1">
    <w:p w14:paraId="629AB6B1" w14:textId="77777777" w:rsidR="00B13C3F" w:rsidRDefault="00B13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DCA" w14:textId="60A6511C"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024C02">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D863"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710A" w14:textId="77777777" w:rsidR="00B13C3F" w:rsidRPr="000B175B" w:rsidRDefault="00B13C3F" w:rsidP="000B175B">
      <w:pPr>
        <w:tabs>
          <w:tab w:val="right" w:pos="2155"/>
        </w:tabs>
        <w:spacing w:after="80"/>
        <w:ind w:left="680"/>
        <w:rPr>
          <w:u w:val="single"/>
        </w:rPr>
      </w:pPr>
      <w:r>
        <w:rPr>
          <w:u w:val="single"/>
        </w:rPr>
        <w:tab/>
      </w:r>
    </w:p>
  </w:footnote>
  <w:footnote w:type="continuationSeparator" w:id="0">
    <w:p w14:paraId="2FCCD874" w14:textId="77777777" w:rsidR="00B13C3F" w:rsidRPr="00FC68B7" w:rsidRDefault="00B13C3F" w:rsidP="00FC68B7">
      <w:pPr>
        <w:tabs>
          <w:tab w:val="left" w:pos="2155"/>
        </w:tabs>
        <w:spacing w:after="80"/>
        <w:ind w:left="680"/>
        <w:rPr>
          <w:u w:val="single"/>
        </w:rPr>
      </w:pPr>
      <w:r>
        <w:rPr>
          <w:u w:val="single"/>
        </w:rPr>
        <w:tab/>
      </w:r>
    </w:p>
  </w:footnote>
  <w:footnote w:type="continuationNotice" w:id="1">
    <w:p w14:paraId="5A0A3AB6" w14:textId="77777777" w:rsidR="00B13C3F" w:rsidRDefault="00B13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9D3" w14:textId="765D3E61" w:rsidR="0092434D" w:rsidRPr="00617E96" w:rsidRDefault="0092434D" w:rsidP="005D338A">
    <w:pPr>
      <w:pStyle w:val="Header"/>
      <w:tabs>
        <w:tab w:val="left" w:pos="885"/>
      </w:tabs>
      <w:rPr>
        <w:lang w:val="fr-CH"/>
      </w:rPr>
    </w:pPr>
    <w:r>
      <w:rPr>
        <w:lang w:val="fr-CH"/>
      </w:rPr>
      <w:t>INF.</w:t>
    </w:r>
    <w:r w:rsidR="000D69FC">
      <w:rPr>
        <w:lang w:val="fr-CH"/>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BE0" w14:textId="4E71E954" w:rsidR="0092434D" w:rsidRPr="00F71BEF" w:rsidRDefault="0092434D" w:rsidP="00982036">
    <w:pPr>
      <w:pStyle w:val="Header"/>
      <w:jc w:val="right"/>
      <w:rPr>
        <w:lang w:val="fr-CH"/>
      </w:rPr>
    </w:pPr>
    <w:r w:rsidRPr="00F71BEF">
      <w:rPr>
        <w:lang w:val="fr-CH"/>
      </w:rPr>
      <w:t>INF.</w:t>
    </w:r>
    <w:r w:rsidR="000D69FC">
      <w:rPr>
        <w:lang w:val="fr-CH"/>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694" w14:textId="00C3E091" w:rsidR="0092434D" w:rsidRPr="00617E96" w:rsidRDefault="00B170C8" w:rsidP="00617E96">
    <w:pPr>
      <w:pStyle w:val="Header"/>
      <w:jc w:val="right"/>
      <w:rPr>
        <w:sz w:val="28"/>
        <w:szCs w:val="28"/>
        <w:lang w:val="fr-CH"/>
      </w:rPr>
    </w:pPr>
    <w:r>
      <w:rPr>
        <w:sz w:val="28"/>
        <w:szCs w:val="28"/>
        <w:lang w:val="fr-CH"/>
      </w:rPr>
      <w:t>INF.</w:t>
    </w:r>
    <w:r w:rsidR="000D69FC">
      <w:rPr>
        <w:sz w:val="28"/>
        <w:szCs w:val="28"/>
        <w:lang w:val="fr-CH"/>
      </w:rPr>
      <w:t>12</w:t>
    </w:r>
    <w:r w:rsidR="007F1766">
      <w:rPr>
        <w:sz w:val="28"/>
        <w:szCs w:val="28"/>
        <w:lang w:val="fr-CH"/>
      </w:rPr>
      <w:t xml:space="preserve"> </w:t>
    </w:r>
    <w:proofErr w:type="spellStart"/>
    <w:r w:rsidR="00616981">
      <w:rPr>
        <w:sz w:val="28"/>
        <w:szCs w:val="28"/>
        <w:lang w:val="fr-CH"/>
      </w:rPr>
      <w:t>Russian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02C40CA"/>
    <w:multiLevelType w:val="hybridMultilevel"/>
    <w:tmpl w:val="9004702E"/>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F28DE"/>
    <w:multiLevelType w:val="hybridMultilevel"/>
    <w:tmpl w:val="C728D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10574"/>
    <w:multiLevelType w:val="hybridMultilevel"/>
    <w:tmpl w:val="E6DABA16"/>
    <w:lvl w:ilvl="0" w:tplc="2C066F50">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16cid:durableId="975523722">
    <w:abstractNumId w:val="1"/>
  </w:num>
  <w:num w:numId="2" w16cid:durableId="1963146456">
    <w:abstractNumId w:val="0"/>
  </w:num>
  <w:num w:numId="3" w16cid:durableId="1204639451">
    <w:abstractNumId w:val="2"/>
  </w:num>
  <w:num w:numId="4" w16cid:durableId="281423039">
    <w:abstractNumId w:val="3"/>
  </w:num>
  <w:num w:numId="5" w16cid:durableId="231547273">
    <w:abstractNumId w:val="8"/>
  </w:num>
  <w:num w:numId="6" w16cid:durableId="601450039">
    <w:abstractNumId w:val="9"/>
  </w:num>
  <w:num w:numId="7" w16cid:durableId="351886231">
    <w:abstractNumId w:val="7"/>
  </w:num>
  <w:num w:numId="8" w16cid:durableId="1395394052">
    <w:abstractNumId w:val="6"/>
  </w:num>
  <w:num w:numId="9" w16cid:durableId="1445274684">
    <w:abstractNumId w:val="5"/>
  </w:num>
  <w:num w:numId="10" w16cid:durableId="1876573049">
    <w:abstractNumId w:val="4"/>
  </w:num>
  <w:num w:numId="11" w16cid:durableId="716978532">
    <w:abstractNumId w:val="16"/>
  </w:num>
  <w:num w:numId="12" w16cid:durableId="236134171">
    <w:abstractNumId w:val="13"/>
  </w:num>
  <w:num w:numId="13" w16cid:durableId="1942450013">
    <w:abstractNumId w:val="11"/>
  </w:num>
  <w:num w:numId="14" w16cid:durableId="1360812623">
    <w:abstractNumId w:val="17"/>
  </w:num>
  <w:num w:numId="15" w16cid:durableId="1720545674">
    <w:abstractNumId w:val="19"/>
  </w:num>
  <w:num w:numId="16" w16cid:durableId="96369974">
    <w:abstractNumId w:val="14"/>
  </w:num>
  <w:num w:numId="17" w16cid:durableId="1353729760">
    <w:abstractNumId w:val="12"/>
  </w:num>
  <w:num w:numId="18" w16cid:durableId="1594896184">
    <w:abstractNumId w:val="20"/>
  </w:num>
  <w:num w:numId="19" w16cid:durableId="1270358443">
    <w:abstractNumId w:val="18"/>
  </w:num>
  <w:num w:numId="20" w16cid:durableId="543563900">
    <w:abstractNumId w:val="15"/>
  </w:num>
  <w:num w:numId="21" w16cid:durableId="28076959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06D78"/>
    <w:rsid w:val="00007358"/>
    <w:rsid w:val="00011932"/>
    <w:rsid w:val="000162D9"/>
    <w:rsid w:val="000229D3"/>
    <w:rsid w:val="000241F2"/>
    <w:rsid w:val="00024C02"/>
    <w:rsid w:val="00026D9C"/>
    <w:rsid w:val="0003350B"/>
    <w:rsid w:val="000353DA"/>
    <w:rsid w:val="0003772E"/>
    <w:rsid w:val="000404E5"/>
    <w:rsid w:val="00042739"/>
    <w:rsid w:val="00042F03"/>
    <w:rsid w:val="000457B4"/>
    <w:rsid w:val="00046B1F"/>
    <w:rsid w:val="00047596"/>
    <w:rsid w:val="00050F6B"/>
    <w:rsid w:val="00051134"/>
    <w:rsid w:val="00052054"/>
    <w:rsid w:val="00052E85"/>
    <w:rsid w:val="000575AC"/>
    <w:rsid w:val="00057E97"/>
    <w:rsid w:val="000633C8"/>
    <w:rsid w:val="000646F4"/>
    <w:rsid w:val="0006491B"/>
    <w:rsid w:val="00065AD1"/>
    <w:rsid w:val="00065C6D"/>
    <w:rsid w:val="00071B62"/>
    <w:rsid w:val="00071E36"/>
    <w:rsid w:val="00072C8C"/>
    <w:rsid w:val="000733B5"/>
    <w:rsid w:val="00077403"/>
    <w:rsid w:val="00081815"/>
    <w:rsid w:val="00083E2B"/>
    <w:rsid w:val="00084795"/>
    <w:rsid w:val="0008497C"/>
    <w:rsid w:val="00085285"/>
    <w:rsid w:val="0008609F"/>
    <w:rsid w:val="00086654"/>
    <w:rsid w:val="00092232"/>
    <w:rsid w:val="000931C0"/>
    <w:rsid w:val="00096C84"/>
    <w:rsid w:val="000A17BA"/>
    <w:rsid w:val="000A213A"/>
    <w:rsid w:val="000A2E7E"/>
    <w:rsid w:val="000A309E"/>
    <w:rsid w:val="000A78F4"/>
    <w:rsid w:val="000A7999"/>
    <w:rsid w:val="000B0595"/>
    <w:rsid w:val="000B175B"/>
    <w:rsid w:val="000B3A0F"/>
    <w:rsid w:val="000B491C"/>
    <w:rsid w:val="000B4EF7"/>
    <w:rsid w:val="000C1C47"/>
    <w:rsid w:val="000C2C03"/>
    <w:rsid w:val="000C2D2E"/>
    <w:rsid w:val="000C497A"/>
    <w:rsid w:val="000D08B9"/>
    <w:rsid w:val="000D127D"/>
    <w:rsid w:val="000D2452"/>
    <w:rsid w:val="000D3E3E"/>
    <w:rsid w:val="000D4266"/>
    <w:rsid w:val="000D69FC"/>
    <w:rsid w:val="000E0415"/>
    <w:rsid w:val="000E0492"/>
    <w:rsid w:val="000E0637"/>
    <w:rsid w:val="000E1362"/>
    <w:rsid w:val="000E3B67"/>
    <w:rsid w:val="000E4541"/>
    <w:rsid w:val="000F2981"/>
    <w:rsid w:val="00104094"/>
    <w:rsid w:val="001062BF"/>
    <w:rsid w:val="00110035"/>
    <w:rsid w:val="001103AA"/>
    <w:rsid w:val="00110611"/>
    <w:rsid w:val="00111A5C"/>
    <w:rsid w:val="0011666B"/>
    <w:rsid w:val="00121D95"/>
    <w:rsid w:val="001279D0"/>
    <w:rsid w:val="00127CAE"/>
    <w:rsid w:val="00130A16"/>
    <w:rsid w:val="0013299E"/>
    <w:rsid w:val="00133E70"/>
    <w:rsid w:val="00136A71"/>
    <w:rsid w:val="00145971"/>
    <w:rsid w:val="00147062"/>
    <w:rsid w:val="00153C2C"/>
    <w:rsid w:val="00164FF7"/>
    <w:rsid w:val="00165F3A"/>
    <w:rsid w:val="0016663C"/>
    <w:rsid w:val="001723AA"/>
    <w:rsid w:val="0017318C"/>
    <w:rsid w:val="00173696"/>
    <w:rsid w:val="001742BA"/>
    <w:rsid w:val="001746C1"/>
    <w:rsid w:val="00175C8D"/>
    <w:rsid w:val="00175E6F"/>
    <w:rsid w:val="00177C0F"/>
    <w:rsid w:val="0018137F"/>
    <w:rsid w:val="001817D6"/>
    <w:rsid w:val="00181D88"/>
    <w:rsid w:val="00182F8B"/>
    <w:rsid w:val="001842C1"/>
    <w:rsid w:val="00184C4B"/>
    <w:rsid w:val="00186EEA"/>
    <w:rsid w:val="00195D8C"/>
    <w:rsid w:val="00197E17"/>
    <w:rsid w:val="001A1394"/>
    <w:rsid w:val="001A1D4B"/>
    <w:rsid w:val="001A2105"/>
    <w:rsid w:val="001A6E11"/>
    <w:rsid w:val="001A6F83"/>
    <w:rsid w:val="001B128F"/>
    <w:rsid w:val="001B4B04"/>
    <w:rsid w:val="001C31C4"/>
    <w:rsid w:val="001C346C"/>
    <w:rsid w:val="001C522D"/>
    <w:rsid w:val="001C6663"/>
    <w:rsid w:val="001C7895"/>
    <w:rsid w:val="001D0C8C"/>
    <w:rsid w:val="001D1419"/>
    <w:rsid w:val="001D1CC3"/>
    <w:rsid w:val="001D26DF"/>
    <w:rsid w:val="001D2EDC"/>
    <w:rsid w:val="001D3A03"/>
    <w:rsid w:val="001D4954"/>
    <w:rsid w:val="001D4AEC"/>
    <w:rsid w:val="001D7750"/>
    <w:rsid w:val="001E1C97"/>
    <w:rsid w:val="001E2840"/>
    <w:rsid w:val="001E2989"/>
    <w:rsid w:val="001E3EEF"/>
    <w:rsid w:val="001E4C81"/>
    <w:rsid w:val="001E68FC"/>
    <w:rsid w:val="001E7B67"/>
    <w:rsid w:val="001F1255"/>
    <w:rsid w:val="001F1AE1"/>
    <w:rsid w:val="001F239D"/>
    <w:rsid w:val="001F2B1E"/>
    <w:rsid w:val="001F4D07"/>
    <w:rsid w:val="001F715D"/>
    <w:rsid w:val="00201014"/>
    <w:rsid w:val="002017D8"/>
    <w:rsid w:val="00202DA8"/>
    <w:rsid w:val="00207AC3"/>
    <w:rsid w:val="00210872"/>
    <w:rsid w:val="00210C59"/>
    <w:rsid w:val="00211E0B"/>
    <w:rsid w:val="00220539"/>
    <w:rsid w:val="00222DF8"/>
    <w:rsid w:val="00223A66"/>
    <w:rsid w:val="00224D92"/>
    <w:rsid w:val="0022549B"/>
    <w:rsid w:val="00234DF2"/>
    <w:rsid w:val="00236B86"/>
    <w:rsid w:val="00237818"/>
    <w:rsid w:val="00237E67"/>
    <w:rsid w:val="002403F0"/>
    <w:rsid w:val="0024772E"/>
    <w:rsid w:val="00250271"/>
    <w:rsid w:val="002514D4"/>
    <w:rsid w:val="00261ACC"/>
    <w:rsid w:val="002646A4"/>
    <w:rsid w:val="00267B69"/>
    <w:rsid w:val="00267F5F"/>
    <w:rsid w:val="002709B0"/>
    <w:rsid w:val="00271AEC"/>
    <w:rsid w:val="0027517D"/>
    <w:rsid w:val="00275325"/>
    <w:rsid w:val="0027769C"/>
    <w:rsid w:val="00282751"/>
    <w:rsid w:val="00282E77"/>
    <w:rsid w:val="00284318"/>
    <w:rsid w:val="002864E1"/>
    <w:rsid w:val="00286B4D"/>
    <w:rsid w:val="00290943"/>
    <w:rsid w:val="00292D93"/>
    <w:rsid w:val="0029372B"/>
    <w:rsid w:val="002A2DDB"/>
    <w:rsid w:val="002A45F6"/>
    <w:rsid w:val="002A4C9A"/>
    <w:rsid w:val="002B5655"/>
    <w:rsid w:val="002C03AE"/>
    <w:rsid w:val="002C1C5D"/>
    <w:rsid w:val="002C2BC2"/>
    <w:rsid w:val="002C6AC2"/>
    <w:rsid w:val="002D0CA9"/>
    <w:rsid w:val="002D4643"/>
    <w:rsid w:val="002E4DE5"/>
    <w:rsid w:val="002F175C"/>
    <w:rsid w:val="002F5EA4"/>
    <w:rsid w:val="00302E18"/>
    <w:rsid w:val="00313608"/>
    <w:rsid w:val="0032120D"/>
    <w:rsid w:val="003229D8"/>
    <w:rsid w:val="00325ACC"/>
    <w:rsid w:val="003336F3"/>
    <w:rsid w:val="00336DB6"/>
    <w:rsid w:val="00344D4C"/>
    <w:rsid w:val="003472E5"/>
    <w:rsid w:val="00352709"/>
    <w:rsid w:val="00353365"/>
    <w:rsid w:val="00353B6A"/>
    <w:rsid w:val="003563FB"/>
    <w:rsid w:val="003619B5"/>
    <w:rsid w:val="00362309"/>
    <w:rsid w:val="00365763"/>
    <w:rsid w:val="00371178"/>
    <w:rsid w:val="003711BC"/>
    <w:rsid w:val="00371590"/>
    <w:rsid w:val="00377020"/>
    <w:rsid w:val="003776D0"/>
    <w:rsid w:val="00387101"/>
    <w:rsid w:val="00387947"/>
    <w:rsid w:val="00392E47"/>
    <w:rsid w:val="00394CC5"/>
    <w:rsid w:val="003A2CB7"/>
    <w:rsid w:val="003A4F3E"/>
    <w:rsid w:val="003A6810"/>
    <w:rsid w:val="003B173B"/>
    <w:rsid w:val="003B2A95"/>
    <w:rsid w:val="003B4873"/>
    <w:rsid w:val="003C0075"/>
    <w:rsid w:val="003C2CC4"/>
    <w:rsid w:val="003C2D4E"/>
    <w:rsid w:val="003C34D6"/>
    <w:rsid w:val="003C7018"/>
    <w:rsid w:val="003D1847"/>
    <w:rsid w:val="003D4B23"/>
    <w:rsid w:val="003D5C99"/>
    <w:rsid w:val="003D6CB1"/>
    <w:rsid w:val="003E130E"/>
    <w:rsid w:val="003E3D63"/>
    <w:rsid w:val="003E7397"/>
    <w:rsid w:val="003E77BB"/>
    <w:rsid w:val="003F596A"/>
    <w:rsid w:val="004021CB"/>
    <w:rsid w:val="00404099"/>
    <w:rsid w:val="004066A5"/>
    <w:rsid w:val="00410C89"/>
    <w:rsid w:val="004114BC"/>
    <w:rsid w:val="00412270"/>
    <w:rsid w:val="00421FE8"/>
    <w:rsid w:val="00422E03"/>
    <w:rsid w:val="0042319F"/>
    <w:rsid w:val="004236BE"/>
    <w:rsid w:val="004240EB"/>
    <w:rsid w:val="0042588A"/>
    <w:rsid w:val="00426B9B"/>
    <w:rsid w:val="0043251A"/>
    <w:rsid w:val="004325CB"/>
    <w:rsid w:val="0043615A"/>
    <w:rsid w:val="00440432"/>
    <w:rsid w:val="00442A83"/>
    <w:rsid w:val="00442E4B"/>
    <w:rsid w:val="00443285"/>
    <w:rsid w:val="00447F6C"/>
    <w:rsid w:val="0045495B"/>
    <w:rsid w:val="004561E5"/>
    <w:rsid w:val="004565C6"/>
    <w:rsid w:val="00456FD9"/>
    <w:rsid w:val="004570B1"/>
    <w:rsid w:val="00463723"/>
    <w:rsid w:val="004711F4"/>
    <w:rsid w:val="0047262C"/>
    <w:rsid w:val="004732BE"/>
    <w:rsid w:val="0047379F"/>
    <w:rsid w:val="00483811"/>
    <w:rsid w:val="0048397A"/>
    <w:rsid w:val="00483E81"/>
    <w:rsid w:val="00485CBB"/>
    <w:rsid w:val="004866B7"/>
    <w:rsid w:val="00490D93"/>
    <w:rsid w:val="00492435"/>
    <w:rsid w:val="004A1B39"/>
    <w:rsid w:val="004A27BC"/>
    <w:rsid w:val="004A2BD3"/>
    <w:rsid w:val="004A30C9"/>
    <w:rsid w:val="004A5098"/>
    <w:rsid w:val="004A6F63"/>
    <w:rsid w:val="004B1837"/>
    <w:rsid w:val="004B2EAF"/>
    <w:rsid w:val="004B7F33"/>
    <w:rsid w:val="004C2461"/>
    <w:rsid w:val="004C2EC8"/>
    <w:rsid w:val="004C7462"/>
    <w:rsid w:val="004D0588"/>
    <w:rsid w:val="004D0E76"/>
    <w:rsid w:val="004D1404"/>
    <w:rsid w:val="004D33EE"/>
    <w:rsid w:val="004D6D47"/>
    <w:rsid w:val="004D7003"/>
    <w:rsid w:val="004E1F69"/>
    <w:rsid w:val="004E6FFC"/>
    <w:rsid w:val="004E77B2"/>
    <w:rsid w:val="004F216F"/>
    <w:rsid w:val="004F6969"/>
    <w:rsid w:val="0050113C"/>
    <w:rsid w:val="00501C4E"/>
    <w:rsid w:val="00504B2D"/>
    <w:rsid w:val="00504CB6"/>
    <w:rsid w:val="0050780D"/>
    <w:rsid w:val="005142F0"/>
    <w:rsid w:val="0052136D"/>
    <w:rsid w:val="00522680"/>
    <w:rsid w:val="00525AE1"/>
    <w:rsid w:val="00525CA7"/>
    <w:rsid w:val="00527225"/>
    <w:rsid w:val="005273D7"/>
    <w:rsid w:val="0052775E"/>
    <w:rsid w:val="00534A4D"/>
    <w:rsid w:val="005357F4"/>
    <w:rsid w:val="0053784E"/>
    <w:rsid w:val="0054034C"/>
    <w:rsid w:val="005420F2"/>
    <w:rsid w:val="00544504"/>
    <w:rsid w:val="00547B54"/>
    <w:rsid w:val="0055167B"/>
    <w:rsid w:val="00552CEB"/>
    <w:rsid w:val="00554C58"/>
    <w:rsid w:val="0056027C"/>
    <w:rsid w:val="0056099E"/>
    <w:rsid w:val="00561B06"/>
    <w:rsid w:val="005628B6"/>
    <w:rsid w:val="0056374F"/>
    <w:rsid w:val="00567905"/>
    <w:rsid w:val="00575310"/>
    <w:rsid w:val="00575B3B"/>
    <w:rsid w:val="00575C6F"/>
    <w:rsid w:val="00576B01"/>
    <w:rsid w:val="0057735C"/>
    <w:rsid w:val="005778AE"/>
    <w:rsid w:val="00580442"/>
    <w:rsid w:val="005813C3"/>
    <w:rsid w:val="005816C6"/>
    <w:rsid w:val="0058228E"/>
    <w:rsid w:val="005872FB"/>
    <w:rsid w:val="00591D4E"/>
    <w:rsid w:val="005941EC"/>
    <w:rsid w:val="005958A0"/>
    <w:rsid w:val="00596156"/>
    <w:rsid w:val="0059724D"/>
    <w:rsid w:val="005A1A08"/>
    <w:rsid w:val="005A2E0F"/>
    <w:rsid w:val="005A3960"/>
    <w:rsid w:val="005A619C"/>
    <w:rsid w:val="005A7D56"/>
    <w:rsid w:val="005B2A1A"/>
    <w:rsid w:val="005B2B63"/>
    <w:rsid w:val="005B3DB3"/>
    <w:rsid w:val="005B4E13"/>
    <w:rsid w:val="005B7E57"/>
    <w:rsid w:val="005C342F"/>
    <w:rsid w:val="005C551E"/>
    <w:rsid w:val="005D0D8E"/>
    <w:rsid w:val="005D338A"/>
    <w:rsid w:val="005D36CF"/>
    <w:rsid w:val="005D4078"/>
    <w:rsid w:val="005D4D80"/>
    <w:rsid w:val="005D7CAC"/>
    <w:rsid w:val="005E32E8"/>
    <w:rsid w:val="005E526F"/>
    <w:rsid w:val="005E5BC9"/>
    <w:rsid w:val="005E62A6"/>
    <w:rsid w:val="005F497E"/>
    <w:rsid w:val="005F5489"/>
    <w:rsid w:val="005F7B75"/>
    <w:rsid w:val="006001EE"/>
    <w:rsid w:val="006005F7"/>
    <w:rsid w:val="006033AF"/>
    <w:rsid w:val="006039E1"/>
    <w:rsid w:val="00605042"/>
    <w:rsid w:val="0060603F"/>
    <w:rsid w:val="00607401"/>
    <w:rsid w:val="00607B17"/>
    <w:rsid w:val="00611FC4"/>
    <w:rsid w:val="006134C9"/>
    <w:rsid w:val="006156A8"/>
    <w:rsid w:val="006157E0"/>
    <w:rsid w:val="006159FF"/>
    <w:rsid w:val="006160CF"/>
    <w:rsid w:val="00616981"/>
    <w:rsid w:val="006176FB"/>
    <w:rsid w:val="00617E96"/>
    <w:rsid w:val="0063012C"/>
    <w:rsid w:val="00636884"/>
    <w:rsid w:val="00636B88"/>
    <w:rsid w:val="00636F0C"/>
    <w:rsid w:val="006404E9"/>
    <w:rsid w:val="00640B26"/>
    <w:rsid w:val="00641D44"/>
    <w:rsid w:val="0065178B"/>
    <w:rsid w:val="00652D0A"/>
    <w:rsid w:val="00654A94"/>
    <w:rsid w:val="0065720E"/>
    <w:rsid w:val="00660126"/>
    <w:rsid w:val="00662BB6"/>
    <w:rsid w:val="00662CFB"/>
    <w:rsid w:val="006642B6"/>
    <w:rsid w:val="0066501A"/>
    <w:rsid w:val="0066792F"/>
    <w:rsid w:val="00672FDA"/>
    <w:rsid w:val="00673A86"/>
    <w:rsid w:val="00675849"/>
    <w:rsid w:val="00676606"/>
    <w:rsid w:val="006770F0"/>
    <w:rsid w:val="00684C21"/>
    <w:rsid w:val="006904BE"/>
    <w:rsid w:val="006924F6"/>
    <w:rsid w:val="00695084"/>
    <w:rsid w:val="006A1DA6"/>
    <w:rsid w:val="006A2530"/>
    <w:rsid w:val="006A32FE"/>
    <w:rsid w:val="006A681C"/>
    <w:rsid w:val="006B12C6"/>
    <w:rsid w:val="006B7A89"/>
    <w:rsid w:val="006C1AF1"/>
    <w:rsid w:val="006C2420"/>
    <w:rsid w:val="006C3589"/>
    <w:rsid w:val="006C4AFF"/>
    <w:rsid w:val="006C636C"/>
    <w:rsid w:val="006C74F5"/>
    <w:rsid w:val="006D08C7"/>
    <w:rsid w:val="006D289F"/>
    <w:rsid w:val="006D37AF"/>
    <w:rsid w:val="006D4A39"/>
    <w:rsid w:val="006D51D0"/>
    <w:rsid w:val="006D5FB9"/>
    <w:rsid w:val="006D6EF2"/>
    <w:rsid w:val="006E0AEF"/>
    <w:rsid w:val="006E1D88"/>
    <w:rsid w:val="006E564B"/>
    <w:rsid w:val="006E5927"/>
    <w:rsid w:val="006E5EDB"/>
    <w:rsid w:val="006E7191"/>
    <w:rsid w:val="006F632F"/>
    <w:rsid w:val="00700E41"/>
    <w:rsid w:val="007011A3"/>
    <w:rsid w:val="00703577"/>
    <w:rsid w:val="00703768"/>
    <w:rsid w:val="007047A9"/>
    <w:rsid w:val="00705894"/>
    <w:rsid w:val="007145FF"/>
    <w:rsid w:val="00723E5B"/>
    <w:rsid w:val="00724C17"/>
    <w:rsid w:val="007252CD"/>
    <w:rsid w:val="0072632A"/>
    <w:rsid w:val="007327D5"/>
    <w:rsid w:val="0073593C"/>
    <w:rsid w:val="00735D53"/>
    <w:rsid w:val="00735E74"/>
    <w:rsid w:val="00737E7A"/>
    <w:rsid w:val="007508B7"/>
    <w:rsid w:val="00752B30"/>
    <w:rsid w:val="007609DA"/>
    <w:rsid w:val="007629C8"/>
    <w:rsid w:val="00763EA8"/>
    <w:rsid w:val="0076621E"/>
    <w:rsid w:val="0076669C"/>
    <w:rsid w:val="0077047D"/>
    <w:rsid w:val="007708A5"/>
    <w:rsid w:val="00773A18"/>
    <w:rsid w:val="007851CB"/>
    <w:rsid w:val="00787B89"/>
    <w:rsid w:val="007931F7"/>
    <w:rsid w:val="00796040"/>
    <w:rsid w:val="007A0D0E"/>
    <w:rsid w:val="007A2F1B"/>
    <w:rsid w:val="007A57A3"/>
    <w:rsid w:val="007A63B6"/>
    <w:rsid w:val="007B2176"/>
    <w:rsid w:val="007B249A"/>
    <w:rsid w:val="007B5332"/>
    <w:rsid w:val="007B6BA5"/>
    <w:rsid w:val="007C3390"/>
    <w:rsid w:val="007C38EF"/>
    <w:rsid w:val="007C4CB5"/>
    <w:rsid w:val="007C4F4B"/>
    <w:rsid w:val="007C554F"/>
    <w:rsid w:val="007D1B92"/>
    <w:rsid w:val="007D298D"/>
    <w:rsid w:val="007D3162"/>
    <w:rsid w:val="007D4DD5"/>
    <w:rsid w:val="007D56FC"/>
    <w:rsid w:val="007D784A"/>
    <w:rsid w:val="007E01E9"/>
    <w:rsid w:val="007E1827"/>
    <w:rsid w:val="007E63F3"/>
    <w:rsid w:val="007E7F3D"/>
    <w:rsid w:val="007F1766"/>
    <w:rsid w:val="007F2D2E"/>
    <w:rsid w:val="007F32E1"/>
    <w:rsid w:val="007F6611"/>
    <w:rsid w:val="007F78DF"/>
    <w:rsid w:val="00802DBF"/>
    <w:rsid w:val="0081086B"/>
    <w:rsid w:val="00811920"/>
    <w:rsid w:val="00812BD8"/>
    <w:rsid w:val="00815AD0"/>
    <w:rsid w:val="00816F53"/>
    <w:rsid w:val="00821907"/>
    <w:rsid w:val="008242D7"/>
    <w:rsid w:val="008254F7"/>
    <w:rsid w:val="008257B1"/>
    <w:rsid w:val="00826FDE"/>
    <w:rsid w:val="0082782C"/>
    <w:rsid w:val="008301AA"/>
    <w:rsid w:val="00832334"/>
    <w:rsid w:val="0083307A"/>
    <w:rsid w:val="008351FC"/>
    <w:rsid w:val="0083522B"/>
    <w:rsid w:val="00835470"/>
    <w:rsid w:val="00843767"/>
    <w:rsid w:val="008472D2"/>
    <w:rsid w:val="0085508A"/>
    <w:rsid w:val="008600BB"/>
    <w:rsid w:val="00863F32"/>
    <w:rsid w:val="008679D9"/>
    <w:rsid w:val="00872313"/>
    <w:rsid w:val="008731E4"/>
    <w:rsid w:val="00875766"/>
    <w:rsid w:val="00883F94"/>
    <w:rsid w:val="008878DE"/>
    <w:rsid w:val="0089025B"/>
    <w:rsid w:val="00893000"/>
    <w:rsid w:val="0089303C"/>
    <w:rsid w:val="00894669"/>
    <w:rsid w:val="00895BAB"/>
    <w:rsid w:val="008979B1"/>
    <w:rsid w:val="008A50EE"/>
    <w:rsid w:val="008A6B25"/>
    <w:rsid w:val="008A6C4F"/>
    <w:rsid w:val="008B2335"/>
    <w:rsid w:val="008B6BA3"/>
    <w:rsid w:val="008C04E2"/>
    <w:rsid w:val="008C0D19"/>
    <w:rsid w:val="008C271F"/>
    <w:rsid w:val="008C4B88"/>
    <w:rsid w:val="008C7F51"/>
    <w:rsid w:val="008D2094"/>
    <w:rsid w:val="008D2334"/>
    <w:rsid w:val="008D244D"/>
    <w:rsid w:val="008D4BAE"/>
    <w:rsid w:val="008E0678"/>
    <w:rsid w:val="008E2D75"/>
    <w:rsid w:val="008E329B"/>
    <w:rsid w:val="008E5914"/>
    <w:rsid w:val="008E611B"/>
    <w:rsid w:val="008E6D2E"/>
    <w:rsid w:val="008E7508"/>
    <w:rsid w:val="008E79BD"/>
    <w:rsid w:val="008E7E09"/>
    <w:rsid w:val="008F31D2"/>
    <w:rsid w:val="008F52F4"/>
    <w:rsid w:val="008F6553"/>
    <w:rsid w:val="0090002A"/>
    <w:rsid w:val="009049EC"/>
    <w:rsid w:val="00904B8F"/>
    <w:rsid w:val="00906E4A"/>
    <w:rsid w:val="00913370"/>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46153"/>
    <w:rsid w:val="00950197"/>
    <w:rsid w:val="00957638"/>
    <w:rsid w:val="00957EB6"/>
    <w:rsid w:val="00961785"/>
    <w:rsid w:val="00964FCA"/>
    <w:rsid w:val="00965DD5"/>
    <w:rsid w:val="00966E54"/>
    <w:rsid w:val="0096751C"/>
    <w:rsid w:val="0097333D"/>
    <w:rsid w:val="00973BBC"/>
    <w:rsid w:val="00973C44"/>
    <w:rsid w:val="009760F3"/>
    <w:rsid w:val="0097696C"/>
    <w:rsid w:val="00976CFB"/>
    <w:rsid w:val="009812D6"/>
    <w:rsid w:val="00982036"/>
    <w:rsid w:val="0098501C"/>
    <w:rsid w:val="00986294"/>
    <w:rsid w:val="00986AC7"/>
    <w:rsid w:val="0099006D"/>
    <w:rsid w:val="009941AF"/>
    <w:rsid w:val="009956B6"/>
    <w:rsid w:val="0099747B"/>
    <w:rsid w:val="009A0830"/>
    <w:rsid w:val="009A0E8D"/>
    <w:rsid w:val="009A5C6E"/>
    <w:rsid w:val="009A6244"/>
    <w:rsid w:val="009A6497"/>
    <w:rsid w:val="009A776B"/>
    <w:rsid w:val="009A7D9E"/>
    <w:rsid w:val="009B26E7"/>
    <w:rsid w:val="009B35FC"/>
    <w:rsid w:val="009B536C"/>
    <w:rsid w:val="009B5CF9"/>
    <w:rsid w:val="009C0B8E"/>
    <w:rsid w:val="009C2D0E"/>
    <w:rsid w:val="009C306B"/>
    <w:rsid w:val="009D6B04"/>
    <w:rsid w:val="009E076B"/>
    <w:rsid w:val="009E5596"/>
    <w:rsid w:val="009E7286"/>
    <w:rsid w:val="009F11B1"/>
    <w:rsid w:val="009F135C"/>
    <w:rsid w:val="009F2712"/>
    <w:rsid w:val="009F2A87"/>
    <w:rsid w:val="009F5A70"/>
    <w:rsid w:val="00A00697"/>
    <w:rsid w:val="00A00A3F"/>
    <w:rsid w:val="00A01489"/>
    <w:rsid w:val="00A03381"/>
    <w:rsid w:val="00A046A3"/>
    <w:rsid w:val="00A144E6"/>
    <w:rsid w:val="00A21779"/>
    <w:rsid w:val="00A278F2"/>
    <w:rsid w:val="00A3026E"/>
    <w:rsid w:val="00A32DEF"/>
    <w:rsid w:val="00A338F1"/>
    <w:rsid w:val="00A35BE0"/>
    <w:rsid w:val="00A4373C"/>
    <w:rsid w:val="00A45485"/>
    <w:rsid w:val="00A54C24"/>
    <w:rsid w:val="00A568EC"/>
    <w:rsid w:val="00A6129C"/>
    <w:rsid w:val="00A62DE2"/>
    <w:rsid w:val="00A65994"/>
    <w:rsid w:val="00A72178"/>
    <w:rsid w:val="00A72F22"/>
    <w:rsid w:val="00A7360F"/>
    <w:rsid w:val="00A748A6"/>
    <w:rsid w:val="00A7585D"/>
    <w:rsid w:val="00A769F4"/>
    <w:rsid w:val="00A76D88"/>
    <w:rsid w:val="00A776B4"/>
    <w:rsid w:val="00A77EA9"/>
    <w:rsid w:val="00A820AF"/>
    <w:rsid w:val="00A86C48"/>
    <w:rsid w:val="00A9066D"/>
    <w:rsid w:val="00A925FC"/>
    <w:rsid w:val="00A94361"/>
    <w:rsid w:val="00A95C69"/>
    <w:rsid w:val="00A96E56"/>
    <w:rsid w:val="00A97B77"/>
    <w:rsid w:val="00AA0547"/>
    <w:rsid w:val="00AA0CD7"/>
    <w:rsid w:val="00AA293C"/>
    <w:rsid w:val="00AA5E3A"/>
    <w:rsid w:val="00AA626D"/>
    <w:rsid w:val="00AA6B02"/>
    <w:rsid w:val="00AA77B5"/>
    <w:rsid w:val="00AB3532"/>
    <w:rsid w:val="00AB4E65"/>
    <w:rsid w:val="00AB5C99"/>
    <w:rsid w:val="00AC3F1A"/>
    <w:rsid w:val="00AC4D43"/>
    <w:rsid w:val="00AC68C2"/>
    <w:rsid w:val="00AD08A9"/>
    <w:rsid w:val="00AD77A4"/>
    <w:rsid w:val="00AE08F1"/>
    <w:rsid w:val="00AE18E6"/>
    <w:rsid w:val="00AE2E12"/>
    <w:rsid w:val="00AE40BD"/>
    <w:rsid w:val="00AF0EA9"/>
    <w:rsid w:val="00AF434F"/>
    <w:rsid w:val="00AF4570"/>
    <w:rsid w:val="00B002D3"/>
    <w:rsid w:val="00B0107C"/>
    <w:rsid w:val="00B02C99"/>
    <w:rsid w:val="00B054DD"/>
    <w:rsid w:val="00B13C3F"/>
    <w:rsid w:val="00B15F1E"/>
    <w:rsid w:val="00B16D50"/>
    <w:rsid w:val="00B170C8"/>
    <w:rsid w:val="00B30179"/>
    <w:rsid w:val="00B33B8F"/>
    <w:rsid w:val="00B3446B"/>
    <w:rsid w:val="00B35CD5"/>
    <w:rsid w:val="00B40092"/>
    <w:rsid w:val="00B421C1"/>
    <w:rsid w:val="00B46794"/>
    <w:rsid w:val="00B53483"/>
    <w:rsid w:val="00B55C71"/>
    <w:rsid w:val="00B567A2"/>
    <w:rsid w:val="00B56E4A"/>
    <w:rsid w:val="00B56E9C"/>
    <w:rsid w:val="00B64B1F"/>
    <w:rsid w:val="00B654F3"/>
    <w:rsid w:val="00B6553F"/>
    <w:rsid w:val="00B7025D"/>
    <w:rsid w:val="00B72BE1"/>
    <w:rsid w:val="00B73B96"/>
    <w:rsid w:val="00B74C28"/>
    <w:rsid w:val="00B777AE"/>
    <w:rsid w:val="00B77D05"/>
    <w:rsid w:val="00B81206"/>
    <w:rsid w:val="00B81E12"/>
    <w:rsid w:val="00B876F7"/>
    <w:rsid w:val="00B903D2"/>
    <w:rsid w:val="00B946EE"/>
    <w:rsid w:val="00B96BDE"/>
    <w:rsid w:val="00B97C94"/>
    <w:rsid w:val="00BB306B"/>
    <w:rsid w:val="00BB3F2F"/>
    <w:rsid w:val="00BC3FA0"/>
    <w:rsid w:val="00BC5010"/>
    <w:rsid w:val="00BC74E9"/>
    <w:rsid w:val="00BD034E"/>
    <w:rsid w:val="00BD144B"/>
    <w:rsid w:val="00BD43A5"/>
    <w:rsid w:val="00BD5B58"/>
    <w:rsid w:val="00BE3161"/>
    <w:rsid w:val="00BE7AAC"/>
    <w:rsid w:val="00BF0CF2"/>
    <w:rsid w:val="00BF2EF3"/>
    <w:rsid w:val="00BF41B8"/>
    <w:rsid w:val="00BF48D9"/>
    <w:rsid w:val="00BF52A7"/>
    <w:rsid w:val="00BF5486"/>
    <w:rsid w:val="00BF62A8"/>
    <w:rsid w:val="00BF67DE"/>
    <w:rsid w:val="00BF68A8"/>
    <w:rsid w:val="00BF71AB"/>
    <w:rsid w:val="00BF76F9"/>
    <w:rsid w:val="00C01468"/>
    <w:rsid w:val="00C06FD0"/>
    <w:rsid w:val="00C11661"/>
    <w:rsid w:val="00C11A03"/>
    <w:rsid w:val="00C14EC4"/>
    <w:rsid w:val="00C16903"/>
    <w:rsid w:val="00C1762F"/>
    <w:rsid w:val="00C17B9D"/>
    <w:rsid w:val="00C22881"/>
    <w:rsid w:val="00C22C0C"/>
    <w:rsid w:val="00C25CAF"/>
    <w:rsid w:val="00C27179"/>
    <w:rsid w:val="00C2766D"/>
    <w:rsid w:val="00C3345D"/>
    <w:rsid w:val="00C34337"/>
    <w:rsid w:val="00C36DF5"/>
    <w:rsid w:val="00C415D3"/>
    <w:rsid w:val="00C43DD2"/>
    <w:rsid w:val="00C4527F"/>
    <w:rsid w:val="00C463DD"/>
    <w:rsid w:val="00C465BB"/>
    <w:rsid w:val="00C4724C"/>
    <w:rsid w:val="00C51AD6"/>
    <w:rsid w:val="00C55F19"/>
    <w:rsid w:val="00C566DB"/>
    <w:rsid w:val="00C5732F"/>
    <w:rsid w:val="00C60884"/>
    <w:rsid w:val="00C60D3B"/>
    <w:rsid w:val="00C629A0"/>
    <w:rsid w:val="00C62EBB"/>
    <w:rsid w:val="00C64629"/>
    <w:rsid w:val="00C64CBC"/>
    <w:rsid w:val="00C67F8D"/>
    <w:rsid w:val="00C711ED"/>
    <w:rsid w:val="00C745C3"/>
    <w:rsid w:val="00C75A4D"/>
    <w:rsid w:val="00C75D0C"/>
    <w:rsid w:val="00C8506D"/>
    <w:rsid w:val="00C91922"/>
    <w:rsid w:val="00C933EF"/>
    <w:rsid w:val="00C96DF2"/>
    <w:rsid w:val="00C97150"/>
    <w:rsid w:val="00CA2428"/>
    <w:rsid w:val="00CA31C6"/>
    <w:rsid w:val="00CA6D93"/>
    <w:rsid w:val="00CA7D2A"/>
    <w:rsid w:val="00CB0F53"/>
    <w:rsid w:val="00CB3E03"/>
    <w:rsid w:val="00CB75BF"/>
    <w:rsid w:val="00CC235B"/>
    <w:rsid w:val="00CC2893"/>
    <w:rsid w:val="00CC347C"/>
    <w:rsid w:val="00CC5BC3"/>
    <w:rsid w:val="00CD08E9"/>
    <w:rsid w:val="00CD1B04"/>
    <w:rsid w:val="00CD32BF"/>
    <w:rsid w:val="00CD4AA6"/>
    <w:rsid w:val="00CD6BFA"/>
    <w:rsid w:val="00CE37CD"/>
    <w:rsid w:val="00CE4A8F"/>
    <w:rsid w:val="00CF1A94"/>
    <w:rsid w:val="00CF299F"/>
    <w:rsid w:val="00D009D8"/>
    <w:rsid w:val="00D00EBF"/>
    <w:rsid w:val="00D02987"/>
    <w:rsid w:val="00D036D7"/>
    <w:rsid w:val="00D04C98"/>
    <w:rsid w:val="00D11F71"/>
    <w:rsid w:val="00D12F38"/>
    <w:rsid w:val="00D1321A"/>
    <w:rsid w:val="00D13D3B"/>
    <w:rsid w:val="00D15DCF"/>
    <w:rsid w:val="00D2002F"/>
    <w:rsid w:val="00D2031B"/>
    <w:rsid w:val="00D2089B"/>
    <w:rsid w:val="00D21BAC"/>
    <w:rsid w:val="00D248B6"/>
    <w:rsid w:val="00D25FE2"/>
    <w:rsid w:val="00D26585"/>
    <w:rsid w:val="00D3022D"/>
    <w:rsid w:val="00D329C1"/>
    <w:rsid w:val="00D35589"/>
    <w:rsid w:val="00D35A18"/>
    <w:rsid w:val="00D37B31"/>
    <w:rsid w:val="00D37C72"/>
    <w:rsid w:val="00D41201"/>
    <w:rsid w:val="00D4244C"/>
    <w:rsid w:val="00D43252"/>
    <w:rsid w:val="00D46113"/>
    <w:rsid w:val="00D47CFD"/>
    <w:rsid w:val="00D47EEA"/>
    <w:rsid w:val="00D500EA"/>
    <w:rsid w:val="00D52237"/>
    <w:rsid w:val="00D55769"/>
    <w:rsid w:val="00D55DC0"/>
    <w:rsid w:val="00D611FF"/>
    <w:rsid w:val="00D61562"/>
    <w:rsid w:val="00D636B4"/>
    <w:rsid w:val="00D70014"/>
    <w:rsid w:val="00D712B8"/>
    <w:rsid w:val="00D722CE"/>
    <w:rsid w:val="00D730F5"/>
    <w:rsid w:val="00D773DF"/>
    <w:rsid w:val="00D858D0"/>
    <w:rsid w:val="00D87F0A"/>
    <w:rsid w:val="00D95303"/>
    <w:rsid w:val="00D978C6"/>
    <w:rsid w:val="00DA111D"/>
    <w:rsid w:val="00DA1781"/>
    <w:rsid w:val="00DA3C1C"/>
    <w:rsid w:val="00DB12D7"/>
    <w:rsid w:val="00DB539C"/>
    <w:rsid w:val="00DB5C6F"/>
    <w:rsid w:val="00DB6987"/>
    <w:rsid w:val="00DC1C1D"/>
    <w:rsid w:val="00DC2A81"/>
    <w:rsid w:val="00DC393A"/>
    <w:rsid w:val="00DC7544"/>
    <w:rsid w:val="00DD1088"/>
    <w:rsid w:val="00DD24FE"/>
    <w:rsid w:val="00DE083C"/>
    <w:rsid w:val="00DE6B06"/>
    <w:rsid w:val="00DF1664"/>
    <w:rsid w:val="00DF4D79"/>
    <w:rsid w:val="00DF5FF4"/>
    <w:rsid w:val="00DF6C26"/>
    <w:rsid w:val="00DF6E71"/>
    <w:rsid w:val="00DF72F1"/>
    <w:rsid w:val="00E046DF"/>
    <w:rsid w:val="00E146D8"/>
    <w:rsid w:val="00E2083E"/>
    <w:rsid w:val="00E20B22"/>
    <w:rsid w:val="00E214F0"/>
    <w:rsid w:val="00E21A71"/>
    <w:rsid w:val="00E22415"/>
    <w:rsid w:val="00E27346"/>
    <w:rsid w:val="00E27B0C"/>
    <w:rsid w:val="00E31617"/>
    <w:rsid w:val="00E3251A"/>
    <w:rsid w:val="00E33162"/>
    <w:rsid w:val="00E33D8B"/>
    <w:rsid w:val="00E35514"/>
    <w:rsid w:val="00E366E6"/>
    <w:rsid w:val="00E37533"/>
    <w:rsid w:val="00E406E9"/>
    <w:rsid w:val="00E421B1"/>
    <w:rsid w:val="00E43BF2"/>
    <w:rsid w:val="00E47D93"/>
    <w:rsid w:val="00E5372B"/>
    <w:rsid w:val="00E56797"/>
    <w:rsid w:val="00E64514"/>
    <w:rsid w:val="00E64CFF"/>
    <w:rsid w:val="00E6717E"/>
    <w:rsid w:val="00E70BBC"/>
    <w:rsid w:val="00E71BC8"/>
    <w:rsid w:val="00E7260F"/>
    <w:rsid w:val="00E73F5D"/>
    <w:rsid w:val="00E756C4"/>
    <w:rsid w:val="00E77CBF"/>
    <w:rsid w:val="00E77E4E"/>
    <w:rsid w:val="00E82DA4"/>
    <w:rsid w:val="00E87BF2"/>
    <w:rsid w:val="00E91B79"/>
    <w:rsid w:val="00E93FF0"/>
    <w:rsid w:val="00E94ED4"/>
    <w:rsid w:val="00E95435"/>
    <w:rsid w:val="00E95ED7"/>
    <w:rsid w:val="00E96630"/>
    <w:rsid w:val="00E97836"/>
    <w:rsid w:val="00E97BAF"/>
    <w:rsid w:val="00EA2925"/>
    <w:rsid w:val="00EA3FC3"/>
    <w:rsid w:val="00EB09F5"/>
    <w:rsid w:val="00EB3B4B"/>
    <w:rsid w:val="00EC0EC1"/>
    <w:rsid w:val="00EC211A"/>
    <w:rsid w:val="00EC3A79"/>
    <w:rsid w:val="00EC3E73"/>
    <w:rsid w:val="00EC60D8"/>
    <w:rsid w:val="00ED099A"/>
    <w:rsid w:val="00ED7297"/>
    <w:rsid w:val="00ED7A2A"/>
    <w:rsid w:val="00EE08E0"/>
    <w:rsid w:val="00EE105C"/>
    <w:rsid w:val="00EE59F7"/>
    <w:rsid w:val="00EE5A98"/>
    <w:rsid w:val="00EE5EA4"/>
    <w:rsid w:val="00EF1D7F"/>
    <w:rsid w:val="00EF4C20"/>
    <w:rsid w:val="00F00C75"/>
    <w:rsid w:val="00F015F8"/>
    <w:rsid w:val="00F12849"/>
    <w:rsid w:val="00F12D83"/>
    <w:rsid w:val="00F15436"/>
    <w:rsid w:val="00F21C74"/>
    <w:rsid w:val="00F23D5B"/>
    <w:rsid w:val="00F25064"/>
    <w:rsid w:val="00F259E5"/>
    <w:rsid w:val="00F31E5F"/>
    <w:rsid w:val="00F333A2"/>
    <w:rsid w:val="00F36F52"/>
    <w:rsid w:val="00F37C38"/>
    <w:rsid w:val="00F42032"/>
    <w:rsid w:val="00F424E8"/>
    <w:rsid w:val="00F44998"/>
    <w:rsid w:val="00F52C77"/>
    <w:rsid w:val="00F55358"/>
    <w:rsid w:val="00F55403"/>
    <w:rsid w:val="00F6100A"/>
    <w:rsid w:val="00F66C5E"/>
    <w:rsid w:val="00F702EB"/>
    <w:rsid w:val="00F71495"/>
    <w:rsid w:val="00F71BEF"/>
    <w:rsid w:val="00F7208B"/>
    <w:rsid w:val="00F75087"/>
    <w:rsid w:val="00F8066F"/>
    <w:rsid w:val="00F87036"/>
    <w:rsid w:val="00F875CF"/>
    <w:rsid w:val="00F93781"/>
    <w:rsid w:val="00F95073"/>
    <w:rsid w:val="00F97AB4"/>
    <w:rsid w:val="00FA7D6D"/>
    <w:rsid w:val="00FB014F"/>
    <w:rsid w:val="00FB2F06"/>
    <w:rsid w:val="00FB4929"/>
    <w:rsid w:val="00FB613B"/>
    <w:rsid w:val="00FB6CDB"/>
    <w:rsid w:val="00FB76AD"/>
    <w:rsid w:val="00FC1C14"/>
    <w:rsid w:val="00FC42E5"/>
    <w:rsid w:val="00FC67FE"/>
    <w:rsid w:val="00FC68B7"/>
    <w:rsid w:val="00FD072A"/>
    <w:rsid w:val="00FD39C5"/>
    <w:rsid w:val="00FD3F98"/>
    <w:rsid w:val="00FD45B6"/>
    <w:rsid w:val="00FD5404"/>
    <w:rsid w:val="00FD5F45"/>
    <w:rsid w:val="00FD67D2"/>
    <w:rsid w:val="00FE106A"/>
    <w:rsid w:val="00FE6E8F"/>
    <w:rsid w:val="00FF145D"/>
    <w:rsid w:val="00FF2146"/>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65F35"/>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 w:type="paragraph" w:styleId="CommentSubject">
    <w:name w:val="annotation subject"/>
    <w:basedOn w:val="CommentText"/>
    <w:next w:val="CommentText"/>
    <w:link w:val="CommentSubjectChar"/>
    <w:semiHidden/>
    <w:unhideWhenUsed/>
    <w:rsid w:val="00071E36"/>
    <w:pPr>
      <w:spacing w:line="240" w:lineRule="auto"/>
    </w:pPr>
    <w:rPr>
      <w:b/>
      <w:bCs/>
    </w:rPr>
  </w:style>
  <w:style w:type="character" w:customStyle="1" w:styleId="CommentTextChar">
    <w:name w:val="Comment Text Char"/>
    <w:basedOn w:val="DefaultParagraphFont"/>
    <w:link w:val="CommentText"/>
    <w:semiHidden/>
    <w:rsid w:val="00071E36"/>
    <w:rPr>
      <w:lang w:eastAsia="en-US"/>
    </w:rPr>
  </w:style>
  <w:style w:type="character" w:customStyle="1" w:styleId="CommentSubjectChar">
    <w:name w:val="Comment Subject Char"/>
    <w:basedOn w:val="CommentTextChar"/>
    <w:link w:val="CommentSubject"/>
    <w:semiHidden/>
    <w:rsid w:val="00071E36"/>
    <w:rPr>
      <w:b/>
      <w:bCs/>
      <w:lang w:eastAsia="en-US"/>
    </w:rPr>
  </w:style>
  <w:style w:type="paragraph" w:styleId="Revision">
    <w:name w:val="Revision"/>
    <w:hidden/>
    <w:uiPriority w:val="99"/>
    <w:semiHidden/>
    <w:rsid w:val="00071E36"/>
    <w:rPr>
      <w:lang w:eastAsia="en-US"/>
    </w:rPr>
  </w:style>
  <w:style w:type="character" w:customStyle="1" w:styleId="H23GChar">
    <w:name w:val="_ H_2/3_G Char"/>
    <w:link w:val="H23G"/>
    <w:locked/>
    <w:rsid w:val="00092232"/>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39">
      <w:bodyDiv w:val="1"/>
      <w:marLeft w:val="0"/>
      <w:marRight w:val="0"/>
      <w:marTop w:val="0"/>
      <w:marBottom w:val="0"/>
      <w:divBdr>
        <w:top w:val="none" w:sz="0" w:space="0" w:color="auto"/>
        <w:left w:val="none" w:sz="0" w:space="0" w:color="auto"/>
        <w:bottom w:val="none" w:sz="0" w:space="0" w:color="auto"/>
        <w:right w:val="none" w:sz="0" w:space="0" w:color="auto"/>
      </w:divBdr>
    </w:div>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52295344">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762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2D6FEBF1-7547-4191-8DE8-BDB533329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4.xml><?xml version="1.0" encoding="utf-8"?>
<ds:datastoreItem xmlns:ds="http://schemas.openxmlformats.org/officeDocument/2006/customXml" ds:itemID="{66222CE6-6CE8-4C1B-89AE-234517E3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1911</Words>
  <Characters>10512</Characters>
  <Application>Microsoft Office Word</Application>
  <DocSecurity>0</DocSecurity>
  <Lines>87</Lines>
  <Paragraphs>24</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12399</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Sabrina Mansion</cp:lastModifiedBy>
  <cp:revision>159</cp:revision>
  <cp:lastPrinted>2018-05-09T09:23:00Z</cp:lastPrinted>
  <dcterms:created xsi:type="dcterms:W3CDTF">2022-04-01T08:23:00Z</dcterms:created>
  <dcterms:modified xsi:type="dcterms:W3CDTF">2024-03-29T10:52:00Z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