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C188F43" w14:textId="77777777" w:rsidTr="006476E1">
        <w:trPr>
          <w:trHeight w:val="851"/>
        </w:trPr>
        <w:tc>
          <w:tcPr>
            <w:tcW w:w="1259" w:type="dxa"/>
            <w:tcBorders>
              <w:top w:val="nil"/>
              <w:left w:val="nil"/>
              <w:bottom w:val="single" w:sz="4" w:space="0" w:color="auto"/>
              <w:right w:val="nil"/>
            </w:tcBorders>
          </w:tcPr>
          <w:p w14:paraId="5866F46A" w14:textId="77777777" w:rsidR="00E52109" w:rsidRPr="002A32CB" w:rsidRDefault="00E52109" w:rsidP="004858F5"/>
        </w:tc>
        <w:tc>
          <w:tcPr>
            <w:tcW w:w="2236" w:type="dxa"/>
            <w:tcBorders>
              <w:top w:val="nil"/>
              <w:left w:val="nil"/>
              <w:bottom w:val="single" w:sz="4" w:space="0" w:color="auto"/>
              <w:right w:val="nil"/>
            </w:tcBorders>
            <w:vAlign w:val="bottom"/>
          </w:tcPr>
          <w:p w14:paraId="00BB712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1EFEB09" w14:textId="019FE444" w:rsidR="00E52109" w:rsidRDefault="00A77CCF" w:rsidP="00A77CCF">
            <w:pPr>
              <w:jc w:val="right"/>
            </w:pPr>
            <w:r w:rsidRPr="00A77CCF">
              <w:rPr>
                <w:sz w:val="40"/>
              </w:rPr>
              <w:t>ST</w:t>
            </w:r>
            <w:r>
              <w:t>/SG/AC.10/C.3/2024/17</w:t>
            </w:r>
          </w:p>
        </w:tc>
      </w:tr>
      <w:tr w:rsidR="00E52109" w14:paraId="2BEBC5CB" w14:textId="77777777" w:rsidTr="006476E1">
        <w:trPr>
          <w:trHeight w:val="2835"/>
        </w:trPr>
        <w:tc>
          <w:tcPr>
            <w:tcW w:w="1259" w:type="dxa"/>
            <w:tcBorders>
              <w:top w:val="single" w:sz="4" w:space="0" w:color="auto"/>
              <w:left w:val="nil"/>
              <w:bottom w:val="single" w:sz="12" w:space="0" w:color="auto"/>
              <w:right w:val="nil"/>
            </w:tcBorders>
          </w:tcPr>
          <w:p w14:paraId="353CDE43" w14:textId="77777777" w:rsidR="00E52109" w:rsidRDefault="00E52109" w:rsidP="006476E1">
            <w:pPr>
              <w:spacing w:before="120"/>
              <w:jc w:val="center"/>
            </w:pPr>
            <w:r>
              <w:rPr>
                <w:noProof/>
                <w:lang w:val="fr-CH" w:eastAsia="fr-CH"/>
              </w:rPr>
              <w:drawing>
                <wp:inline distT="0" distB="0" distL="0" distR="0" wp14:anchorId="68AEA374" wp14:editId="0EC1891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27751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670F71C" w14:textId="77777777" w:rsidR="00D94B05" w:rsidRDefault="00A77CCF" w:rsidP="00A77CCF">
            <w:pPr>
              <w:spacing w:before="240" w:line="240" w:lineRule="exact"/>
            </w:pPr>
            <w:r>
              <w:t>Distr.: General</w:t>
            </w:r>
          </w:p>
          <w:p w14:paraId="6DFC90E8" w14:textId="77777777" w:rsidR="00A77CCF" w:rsidRDefault="00A77CCF" w:rsidP="00A77CCF">
            <w:pPr>
              <w:spacing w:line="240" w:lineRule="exact"/>
            </w:pPr>
            <w:r>
              <w:t>9 April 2024</w:t>
            </w:r>
          </w:p>
          <w:p w14:paraId="53D58EBA" w14:textId="77777777" w:rsidR="00A77CCF" w:rsidRDefault="00A77CCF" w:rsidP="00A77CCF">
            <w:pPr>
              <w:spacing w:line="240" w:lineRule="exact"/>
            </w:pPr>
          </w:p>
          <w:p w14:paraId="33C51CB9" w14:textId="42D15B9F" w:rsidR="00A77CCF" w:rsidRDefault="00A77CCF" w:rsidP="00A77CCF">
            <w:pPr>
              <w:spacing w:line="240" w:lineRule="exact"/>
            </w:pPr>
            <w:r>
              <w:t>Original: English</w:t>
            </w:r>
          </w:p>
        </w:tc>
      </w:tr>
    </w:tbl>
    <w:p w14:paraId="3CCA8C5D" w14:textId="77777777" w:rsidR="00A77CCF" w:rsidRPr="006500BA" w:rsidRDefault="00A77CC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1779717" w14:textId="77777777" w:rsidR="00A77CCF" w:rsidRPr="006500BA" w:rsidRDefault="00A77CCF" w:rsidP="004858F5">
      <w:pPr>
        <w:spacing w:before="120"/>
        <w:rPr>
          <w:rFonts w:ascii="Helv" w:hAnsi="Helv" w:cs="Helv"/>
          <w:b/>
          <w:color w:val="000000"/>
        </w:rPr>
      </w:pPr>
      <w:r w:rsidRPr="006500BA">
        <w:rPr>
          <w:b/>
        </w:rPr>
        <w:t xml:space="preserve">Sub-Committee of Experts on the </w:t>
      </w:r>
      <w:r>
        <w:rPr>
          <w:b/>
        </w:rPr>
        <w:t>Transport of Dangerous Goods</w:t>
      </w:r>
    </w:p>
    <w:p w14:paraId="23EC15E3" w14:textId="641AF206" w:rsidR="00A77CCF" w:rsidRPr="006500BA" w:rsidRDefault="00484196" w:rsidP="004858F5">
      <w:pPr>
        <w:spacing w:before="120"/>
        <w:rPr>
          <w:b/>
        </w:rPr>
      </w:pPr>
      <w:r>
        <w:rPr>
          <w:b/>
        </w:rPr>
        <w:t>Sixty-fourth</w:t>
      </w:r>
      <w:r w:rsidR="00A77CCF">
        <w:rPr>
          <w:b/>
        </w:rPr>
        <w:t xml:space="preserve"> </w:t>
      </w:r>
      <w:r w:rsidR="00A77CCF" w:rsidRPr="006500BA">
        <w:rPr>
          <w:b/>
        </w:rPr>
        <w:t>session</w:t>
      </w:r>
    </w:p>
    <w:p w14:paraId="331078B6" w14:textId="1822F28B" w:rsidR="00A77CCF" w:rsidRPr="006500BA" w:rsidRDefault="00A77CCF" w:rsidP="004858F5">
      <w:r w:rsidRPr="006500BA">
        <w:t xml:space="preserve">Geneva, </w:t>
      </w:r>
      <w:r w:rsidR="00484196">
        <w:t>24 June-3 July 2024</w:t>
      </w:r>
    </w:p>
    <w:p w14:paraId="19F3B064" w14:textId="30EF1887" w:rsidR="00A77CCF" w:rsidRPr="006500BA" w:rsidRDefault="00A77CCF" w:rsidP="004858F5">
      <w:r w:rsidRPr="006500BA">
        <w:t xml:space="preserve">Item </w:t>
      </w:r>
      <w:r w:rsidR="002C2884">
        <w:t>3</w:t>
      </w:r>
      <w:r w:rsidRPr="006500BA">
        <w:t xml:space="preserve"> of the provisional agenda</w:t>
      </w:r>
    </w:p>
    <w:p w14:paraId="6C06549B" w14:textId="4CED8BBB" w:rsidR="00AF5DE1" w:rsidRDefault="005B4321" w:rsidP="004858F5">
      <w:pPr>
        <w:rPr>
          <w:b/>
        </w:rPr>
      </w:pPr>
      <w:r w:rsidRPr="00F80CDB">
        <w:rPr>
          <w:b/>
        </w:rPr>
        <w:t xml:space="preserve">Listing, </w:t>
      </w:r>
      <w:proofErr w:type="gramStart"/>
      <w:r w:rsidRPr="00F80CDB">
        <w:rPr>
          <w:b/>
        </w:rPr>
        <w:t>classification</w:t>
      </w:r>
      <w:proofErr w:type="gramEnd"/>
      <w:r w:rsidRPr="00F80CDB">
        <w:rPr>
          <w:b/>
        </w:rPr>
        <w:t xml:space="preserve"> and packing</w:t>
      </w:r>
    </w:p>
    <w:p w14:paraId="432B5870" w14:textId="4768098B" w:rsidR="00F6224E" w:rsidRDefault="005B4321" w:rsidP="00884854">
      <w:pPr>
        <w:pStyle w:val="HChG"/>
      </w:pPr>
      <w:r>
        <w:tab/>
      </w:r>
      <w:r>
        <w:tab/>
      </w:r>
      <w:r w:rsidR="00F6224E" w:rsidRPr="00081A3E">
        <w:rPr>
          <w:lang w:val="en-US"/>
        </w:rPr>
        <w:t>Tr</w:t>
      </w:r>
      <w:r w:rsidR="00F6224E">
        <w:rPr>
          <w:lang w:val="en-US"/>
        </w:rPr>
        <w:t>ansport</w:t>
      </w:r>
      <w:r w:rsidR="00F6224E" w:rsidRPr="00F80CDB">
        <w:t xml:space="preserve"> of liquid </w:t>
      </w:r>
      <w:r w:rsidR="00F6224E" w:rsidRPr="00884854">
        <w:t>organic</w:t>
      </w:r>
      <w:r w:rsidR="00F6224E" w:rsidRPr="00F80CDB">
        <w:t xml:space="preserve"> hydrogen carrier </w:t>
      </w:r>
      <w:r w:rsidR="007F6FF8">
        <w:t>–</w:t>
      </w:r>
      <w:r w:rsidR="00F6224E" w:rsidRPr="00F80CDB">
        <w:t xml:space="preserve"> new special provision to UN</w:t>
      </w:r>
      <w:r w:rsidR="004E5B35">
        <w:t> </w:t>
      </w:r>
      <w:r w:rsidR="00F6224E" w:rsidRPr="00F80CDB">
        <w:t>3082</w:t>
      </w:r>
    </w:p>
    <w:p w14:paraId="70ECA1B8" w14:textId="4F578F5B" w:rsidR="00F6224E" w:rsidRDefault="00F6224E" w:rsidP="00884854">
      <w:pPr>
        <w:pStyle w:val="H1G"/>
        <w:rPr>
          <w:sz w:val="20"/>
        </w:rPr>
      </w:pPr>
      <w:r>
        <w:tab/>
      </w:r>
      <w:r>
        <w:tab/>
        <w:t xml:space="preserve">Submitted by </w:t>
      </w:r>
      <w:r w:rsidRPr="00F80CDB">
        <w:t xml:space="preserve">the expert </w:t>
      </w:r>
      <w:r w:rsidRPr="00884854">
        <w:t>from</w:t>
      </w:r>
      <w:r w:rsidRPr="00F80CDB">
        <w:t xml:space="preserve"> Germany</w:t>
      </w:r>
      <w:r w:rsidR="004E5B35" w:rsidRPr="004E5B35">
        <w:rPr>
          <w:rStyle w:val="FootnoteReference"/>
          <w:sz w:val="20"/>
          <w:vertAlign w:val="baseline"/>
        </w:rPr>
        <w:footnoteReference w:customMarkFollows="1" w:id="2"/>
        <w:t>*</w:t>
      </w:r>
    </w:p>
    <w:p w14:paraId="4104F24D" w14:textId="77777777" w:rsidR="00F6224E" w:rsidRDefault="00F6224E" w:rsidP="00884854">
      <w:pPr>
        <w:pStyle w:val="HChG"/>
      </w:pPr>
      <w:r>
        <w:tab/>
        <w:t>I.</w:t>
      </w:r>
      <w:r>
        <w:tab/>
      </w:r>
      <w:r w:rsidRPr="00884854">
        <w:t>Introduction</w:t>
      </w:r>
    </w:p>
    <w:p w14:paraId="75D04185" w14:textId="77777777" w:rsidR="00F6224E" w:rsidRDefault="00F6224E" w:rsidP="00884854">
      <w:pPr>
        <w:pStyle w:val="SingleTxtG"/>
      </w:pPr>
      <w:r>
        <w:t>1.</w:t>
      </w:r>
      <w:r>
        <w:tab/>
      </w:r>
      <w:r w:rsidRPr="002504D9">
        <w:t>Hydrogen</w:t>
      </w:r>
      <w:r w:rsidRPr="00404F9F">
        <w:t xml:space="preserve"> will play an important role in decarbonizing the energy systems. There are different options for transportation, </w:t>
      </w:r>
      <w:r w:rsidRPr="00884854">
        <w:t>one</w:t>
      </w:r>
      <w:r w:rsidRPr="00404F9F">
        <w:t xml:space="preserve"> being the </w:t>
      </w:r>
      <w:r>
        <w:t xml:space="preserve">chemical </w:t>
      </w:r>
      <w:r w:rsidRPr="00404F9F">
        <w:t>binding of hydrogen molecules to chemical carriers. Rules for transporting hydrogen via different pathways will have to be adapted in the future.</w:t>
      </w:r>
    </w:p>
    <w:p w14:paraId="516E8B71" w14:textId="77777777" w:rsidR="00F6224E" w:rsidRDefault="00F6224E" w:rsidP="00F6224E">
      <w:pPr>
        <w:pStyle w:val="SingleTxtG"/>
      </w:pPr>
      <w:r>
        <w:t>2.</w:t>
      </w:r>
      <w:r>
        <w:tab/>
      </w:r>
      <w:r w:rsidRPr="00404F9F">
        <w:t xml:space="preserve">Germany </w:t>
      </w:r>
      <w:r>
        <w:t>is convinced</w:t>
      </w:r>
      <w:r w:rsidRPr="00404F9F">
        <w:t xml:space="preserve"> that the </w:t>
      </w:r>
      <w:r w:rsidRPr="004C1303">
        <w:t xml:space="preserve">transport conditions when </w:t>
      </w:r>
      <w:r>
        <w:t xml:space="preserve">transporting liquid organic hydrogen carriers (LOHC) based on </w:t>
      </w:r>
      <w:proofErr w:type="spellStart"/>
      <w:r w:rsidRPr="004C1303">
        <w:t>benzyltoluene</w:t>
      </w:r>
      <w:proofErr w:type="spellEnd"/>
      <w:r w:rsidRPr="004C1303">
        <w:t xml:space="preserve"> (BT) </w:t>
      </w:r>
      <w:r w:rsidRPr="00404F9F">
        <w:t xml:space="preserve">could benefit from clarification. </w:t>
      </w:r>
      <w:r>
        <w:t>In addition, Germany</w:t>
      </w:r>
      <w:r w:rsidRPr="00404F9F">
        <w:t xml:space="preserve"> is of the opinion that the interpretations and amendments proposed in </w:t>
      </w:r>
      <w:r>
        <w:t xml:space="preserve">this </w:t>
      </w:r>
      <w:r w:rsidRPr="00404F9F">
        <w:t xml:space="preserve">document lead to </w:t>
      </w:r>
      <w:r>
        <w:t xml:space="preserve">a higher </w:t>
      </w:r>
      <w:r w:rsidRPr="00404F9F">
        <w:t xml:space="preserve">level of </w:t>
      </w:r>
      <w:r w:rsidRPr="002504D9">
        <w:t>protection</w:t>
      </w:r>
      <w:r w:rsidRPr="00404F9F">
        <w:t xml:space="preserve"> </w:t>
      </w:r>
      <w:r>
        <w:t>for the transport of hydrogen when chemically bound</w:t>
      </w:r>
      <w:r w:rsidRPr="004C1303">
        <w:t xml:space="preserve"> to this carrier </w:t>
      </w:r>
      <w:r w:rsidRPr="00404F9F">
        <w:t xml:space="preserve">and result in more </w:t>
      </w:r>
      <w:r>
        <w:t>coherent</w:t>
      </w:r>
      <w:r w:rsidRPr="00404F9F">
        <w:t xml:space="preserve"> measures</w:t>
      </w:r>
      <w:r>
        <w:t xml:space="preserve">. Currently, the </w:t>
      </w:r>
      <w:r w:rsidRPr="00757033">
        <w:rPr>
          <w:i/>
          <w:iCs/>
        </w:rPr>
        <w:t>Model Regulations</w:t>
      </w:r>
      <w:r>
        <w:t xml:space="preserve"> do not properly define the levels of physically dissolved hydrogen for </w:t>
      </w:r>
      <w:proofErr w:type="spellStart"/>
      <w:r>
        <w:t>benzyltoluene</w:t>
      </w:r>
      <w:proofErr w:type="spellEnd"/>
      <w:r>
        <w:t xml:space="preserve"> as a hydrogen carrier. By introducing the </w:t>
      </w:r>
      <w:r w:rsidRPr="00404F9F">
        <w:t>requirements</w:t>
      </w:r>
      <w:r>
        <w:t xml:space="preserve"> proposed below</w:t>
      </w:r>
      <w:r w:rsidRPr="007D79FD">
        <w:rPr>
          <w:lang w:val="en-US"/>
        </w:rPr>
        <w:t>,</w:t>
      </w:r>
      <w:r w:rsidRPr="00404F9F">
        <w:t xml:space="preserve"> </w:t>
      </w:r>
      <w:r>
        <w:t>Germany intends to</w:t>
      </w:r>
      <w:r w:rsidRPr="00404F9F">
        <w:t xml:space="preserve"> </w:t>
      </w:r>
      <w:r>
        <w:t>increase safety when transporting hydrogen via this carrier.</w:t>
      </w:r>
    </w:p>
    <w:p w14:paraId="18E85F45" w14:textId="3BA86209" w:rsidR="00F6224E" w:rsidRPr="002F17F7" w:rsidRDefault="00F6224E" w:rsidP="00FF2600">
      <w:pPr>
        <w:pStyle w:val="SingleTxtG"/>
        <w:rPr>
          <w:lang w:val="en-US"/>
        </w:rPr>
      </w:pPr>
      <w:r w:rsidRPr="002F17F7">
        <w:rPr>
          <w:lang w:val="en-US"/>
        </w:rPr>
        <w:t>3.</w:t>
      </w:r>
      <w:r>
        <w:rPr>
          <w:lang w:val="en-US"/>
        </w:rPr>
        <w:tab/>
        <w:t>A working</w:t>
      </w:r>
      <w:r w:rsidRPr="002F17F7">
        <w:rPr>
          <w:lang w:val="en-US"/>
        </w:rPr>
        <w:t xml:space="preserve"> </w:t>
      </w:r>
      <w:r>
        <w:rPr>
          <w:lang w:val="en-US"/>
        </w:rPr>
        <w:t>document</w:t>
      </w:r>
      <w:r w:rsidRPr="002F17F7">
        <w:rPr>
          <w:lang w:val="en-US"/>
        </w:rPr>
        <w:t xml:space="preserve"> was presented at the last session </w:t>
      </w:r>
      <w:r>
        <w:rPr>
          <w:lang w:val="en-US"/>
        </w:rPr>
        <w:t xml:space="preserve">of the Sub-Committee. Considering the </w:t>
      </w:r>
      <w:r w:rsidRPr="00FF2600">
        <w:t>positive</w:t>
      </w:r>
      <w:r>
        <w:rPr>
          <w:lang w:val="en-US"/>
        </w:rPr>
        <w:t xml:space="preserve"> feedback to th</w:t>
      </w:r>
      <w:r w:rsidR="00E3490E">
        <w:rPr>
          <w:lang w:val="en-US"/>
        </w:rPr>
        <w:t>at</w:t>
      </w:r>
      <w:r>
        <w:rPr>
          <w:lang w:val="en-US"/>
        </w:rPr>
        <w:t xml:space="preserve"> document, Germany decided to resubmit this proposal with some additional information.</w:t>
      </w:r>
    </w:p>
    <w:p w14:paraId="259B9F27" w14:textId="77777777" w:rsidR="00F6224E" w:rsidRPr="00783F74" w:rsidRDefault="00F6224E" w:rsidP="00F6224E">
      <w:pPr>
        <w:pStyle w:val="HChG"/>
      </w:pPr>
      <w:r>
        <w:tab/>
        <w:t>II.</w:t>
      </w:r>
      <w:r>
        <w:tab/>
        <w:t>Discussion</w:t>
      </w:r>
    </w:p>
    <w:p w14:paraId="5E3560C6" w14:textId="77777777" w:rsidR="00F6224E" w:rsidRPr="00E018E1" w:rsidRDefault="00F6224E" w:rsidP="00FF2600">
      <w:pPr>
        <w:pStyle w:val="SingleTxtG"/>
        <w:rPr>
          <w:lang w:eastAsia="en-US"/>
        </w:rPr>
      </w:pPr>
      <w:r>
        <w:rPr>
          <w:lang w:eastAsia="en-US"/>
        </w:rPr>
        <w:t>4</w:t>
      </w:r>
      <w:r w:rsidRPr="00E018E1">
        <w:rPr>
          <w:lang w:eastAsia="en-US"/>
        </w:rPr>
        <w:t>.</w:t>
      </w:r>
      <w:r w:rsidRPr="00E018E1">
        <w:rPr>
          <w:lang w:eastAsia="en-US"/>
        </w:rPr>
        <w:tab/>
        <w:t xml:space="preserve">There are various transport options for hydrogen. Hydrogen can be transported under high pressure as a gas, in refrigerated liquefied form or chemically bound to liquid carrier substances, so-called liquid organic hydrogen carriers (LOHC). One of the substances to which hydrogen can be chemically bound is </w:t>
      </w:r>
      <w:proofErr w:type="spellStart"/>
      <w:r w:rsidRPr="00E018E1">
        <w:rPr>
          <w:lang w:eastAsia="en-US"/>
        </w:rPr>
        <w:t>benzyltoluene</w:t>
      </w:r>
      <w:proofErr w:type="spellEnd"/>
      <w:r w:rsidRPr="00E018E1">
        <w:rPr>
          <w:lang w:eastAsia="en-US"/>
        </w:rPr>
        <w:t>.</w:t>
      </w:r>
    </w:p>
    <w:p w14:paraId="40CE8251" w14:textId="77777777" w:rsidR="00F6224E" w:rsidRPr="00E018E1" w:rsidRDefault="00F6224E" w:rsidP="00FF2600">
      <w:pPr>
        <w:pStyle w:val="SingleTxtG"/>
        <w:rPr>
          <w:lang w:eastAsia="en-US"/>
        </w:rPr>
      </w:pPr>
      <w:r>
        <w:rPr>
          <w:lang w:eastAsia="en-US"/>
        </w:rPr>
        <w:lastRenderedPageBreak/>
        <w:t>5</w:t>
      </w:r>
      <w:r w:rsidRPr="00E018E1">
        <w:rPr>
          <w:lang w:eastAsia="en-US"/>
        </w:rPr>
        <w:t>.</w:t>
      </w:r>
      <w:r w:rsidRPr="00E018E1">
        <w:rPr>
          <w:lang w:eastAsia="en-US"/>
        </w:rPr>
        <w:tab/>
      </w:r>
      <w:proofErr w:type="spellStart"/>
      <w:r w:rsidRPr="00E018E1">
        <w:rPr>
          <w:lang w:eastAsia="en-US"/>
        </w:rPr>
        <w:t>Benzyltoluene</w:t>
      </w:r>
      <w:proofErr w:type="spellEnd"/>
      <w:r w:rsidRPr="00E018E1">
        <w:rPr>
          <w:lang w:eastAsia="en-US"/>
        </w:rPr>
        <w:t xml:space="preserve"> is a substance that has been well known for a long time and is assigned to UN No. 3082 ENVIRONMENTALLY DANGEROUS SUBSTANCE, LIQUID, N.O.S. as a dangerous good of Class 9. Six hydrogen molecules can be chemically bound to one </w:t>
      </w:r>
      <w:proofErr w:type="spellStart"/>
      <w:r w:rsidRPr="00E018E1">
        <w:rPr>
          <w:lang w:eastAsia="en-US"/>
        </w:rPr>
        <w:t>benzyltoluene</w:t>
      </w:r>
      <w:proofErr w:type="spellEnd"/>
      <w:r w:rsidRPr="00E018E1">
        <w:rPr>
          <w:lang w:eastAsia="en-US"/>
        </w:rPr>
        <w:t xml:space="preserve"> molecule in accordance with the following scheme (hydrogenation).</w:t>
      </w:r>
    </w:p>
    <w:p w14:paraId="4D6A36F7" w14:textId="77777777" w:rsidR="00F6224E" w:rsidRPr="00E018E1" w:rsidRDefault="00F6224E" w:rsidP="00F6224E">
      <w:pPr>
        <w:suppressAutoHyphens/>
        <w:spacing w:after="120"/>
        <w:ind w:left="1134" w:right="1134"/>
        <w:jc w:val="both"/>
        <w:rPr>
          <w:rFonts w:eastAsia="Times New Roman"/>
          <w:lang w:eastAsia="en-US"/>
        </w:rPr>
      </w:pPr>
    </w:p>
    <w:p w14:paraId="7ECB7DE4" w14:textId="77777777" w:rsidR="00F6224E" w:rsidRPr="00E018E1" w:rsidRDefault="00F6224E" w:rsidP="00F6224E">
      <w:pPr>
        <w:suppressAutoHyphens/>
        <w:spacing w:after="120"/>
        <w:ind w:left="1134" w:right="1134"/>
        <w:jc w:val="both"/>
        <w:rPr>
          <w:rFonts w:eastAsia="Times New Roman"/>
          <w:lang w:eastAsia="en-US"/>
        </w:rPr>
      </w:pPr>
      <w:r w:rsidRPr="00E018E1">
        <w:rPr>
          <w:rFonts w:eastAsia="Times New Roman"/>
          <w:noProof/>
          <w:lang w:eastAsia="en-US"/>
        </w:rPr>
        <w:drawing>
          <wp:inline distT="0" distB="0" distL="0" distR="0" wp14:anchorId="05B2E92F" wp14:editId="785F75C5">
            <wp:extent cx="4045907" cy="15570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7039" cy="1584394"/>
                    </a:xfrm>
                    <a:prstGeom prst="rect">
                      <a:avLst/>
                    </a:prstGeom>
                    <a:noFill/>
                  </pic:spPr>
                </pic:pic>
              </a:graphicData>
            </a:graphic>
          </wp:inline>
        </w:drawing>
      </w:r>
    </w:p>
    <w:p w14:paraId="5FA97DB3" w14:textId="37DD55E7" w:rsidR="00F6224E" w:rsidRPr="009372F5" w:rsidRDefault="00F6224E" w:rsidP="00FF2600">
      <w:pPr>
        <w:pStyle w:val="SingleTxtG"/>
        <w:rPr>
          <w:lang w:val="en-US" w:eastAsia="en-US"/>
        </w:rPr>
      </w:pPr>
      <w:r w:rsidRPr="009372F5">
        <w:rPr>
          <w:lang w:val="en-US" w:eastAsia="en-US"/>
        </w:rPr>
        <w:t>This means that</w:t>
      </w:r>
      <w:r>
        <w:rPr>
          <w:lang w:val="en-US" w:eastAsia="en-US"/>
        </w:rPr>
        <w:t>,</w:t>
      </w:r>
      <w:r w:rsidRPr="009372F5">
        <w:rPr>
          <w:lang w:val="en-US" w:eastAsia="en-US"/>
        </w:rPr>
        <w:t xml:space="preserve"> depending on </w:t>
      </w:r>
      <w:r>
        <w:rPr>
          <w:lang w:val="en-US" w:eastAsia="en-US"/>
        </w:rPr>
        <w:t xml:space="preserve">the </w:t>
      </w:r>
      <w:r w:rsidRPr="009372F5">
        <w:rPr>
          <w:lang w:val="en-US" w:eastAsia="en-US"/>
        </w:rPr>
        <w:t>degree of hydrogenation</w:t>
      </w:r>
      <w:r>
        <w:rPr>
          <w:lang w:val="en-US" w:eastAsia="en-US"/>
        </w:rPr>
        <w:t>,</w:t>
      </w:r>
      <w:r w:rsidRPr="009372F5">
        <w:rPr>
          <w:lang w:val="en-US" w:eastAsia="en-US"/>
        </w:rPr>
        <w:t xml:space="preserve"> in one </w:t>
      </w:r>
      <w:r>
        <w:rPr>
          <w:lang w:val="en-US" w:eastAsia="en-US"/>
        </w:rPr>
        <w:t>l</w:t>
      </w:r>
      <w:r w:rsidRPr="009372F5">
        <w:rPr>
          <w:lang w:val="en-US" w:eastAsia="en-US"/>
        </w:rPr>
        <w:t>ite</w:t>
      </w:r>
      <w:r>
        <w:rPr>
          <w:lang w:val="en-US" w:eastAsia="en-US"/>
        </w:rPr>
        <w:t xml:space="preserve">r of </w:t>
      </w:r>
      <w:proofErr w:type="spellStart"/>
      <w:r>
        <w:rPr>
          <w:lang w:val="en-US" w:eastAsia="en-US"/>
        </w:rPr>
        <w:t>benzyltoluene</w:t>
      </w:r>
      <w:proofErr w:type="spellEnd"/>
      <w:r>
        <w:rPr>
          <w:lang w:val="en-US" w:eastAsia="en-US"/>
        </w:rPr>
        <w:t xml:space="preserve"> up to approximately 700 liters of hydrogen </w:t>
      </w:r>
      <w:r w:rsidRPr="00FF2600">
        <w:t>can</w:t>
      </w:r>
      <w:r>
        <w:rPr>
          <w:lang w:val="en-US" w:eastAsia="en-US"/>
        </w:rPr>
        <w:t xml:space="preserve"> be chemically bound.</w:t>
      </w:r>
    </w:p>
    <w:p w14:paraId="04482F32" w14:textId="77777777" w:rsidR="00F6224E" w:rsidRPr="00E018E1" w:rsidRDefault="00F6224E" w:rsidP="00FF2600">
      <w:pPr>
        <w:pStyle w:val="SingleTxtG"/>
        <w:rPr>
          <w:lang w:eastAsia="en-US"/>
        </w:rPr>
      </w:pPr>
      <w:r>
        <w:rPr>
          <w:lang w:eastAsia="en-US"/>
        </w:rPr>
        <w:t>6</w:t>
      </w:r>
      <w:r w:rsidRPr="00E018E1">
        <w:rPr>
          <w:lang w:eastAsia="en-US"/>
        </w:rPr>
        <w:t>.</w:t>
      </w:r>
      <w:r w:rsidRPr="00E018E1">
        <w:rPr>
          <w:lang w:eastAsia="en-US"/>
        </w:rPr>
        <w:tab/>
        <w:t>Special reaction conditions are necessary to later release the chemically bound hydrogen. In this specific case, the chemical bonds are released with the help of a catalytic system at temperatures of 250 °C. This means that the chemically bound hydrogen cannot be released under transport conditions.</w:t>
      </w:r>
    </w:p>
    <w:p w14:paraId="60474B9B" w14:textId="77777777" w:rsidR="00F6224E" w:rsidRPr="00E018E1" w:rsidRDefault="00F6224E" w:rsidP="00FF2600">
      <w:pPr>
        <w:pStyle w:val="SingleTxtG"/>
        <w:rPr>
          <w:lang w:eastAsia="en-US"/>
        </w:rPr>
      </w:pPr>
      <w:r>
        <w:rPr>
          <w:lang w:eastAsia="en-US"/>
        </w:rPr>
        <w:t>7</w:t>
      </w:r>
      <w:r w:rsidRPr="00E018E1">
        <w:rPr>
          <w:lang w:eastAsia="en-US"/>
        </w:rPr>
        <w:t>.</w:t>
      </w:r>
      <w:r w:rsidRPr="00E018E1">
        <w:rPr>
          <w:lang w:eastAsia="en-US"/>
        </w:rPr>
        <w:tab/>
        <w:t xml:space="preserve">The problem, which Germany has furthermore considered from the point of view of safety, is the fact that in the process of binding hydrogen to the hydrogen carrier (hydrogenation) traces of hydrogen in physically dissolved form, </w:t>
      </w:r>
      <w:proofErr w:type="gramStart"/>
      <w:r w:rsidRPr="00E018E1">
        <w:rPr>
          <w:lang w:eastAsia="en-US"/>
        </w:rPr>
        <w:t>i.e.</w:t>
      </w:r>
      <w:proofErr w:type="gramEnd"/>
      <w:r w:rsidRPr="00E018E1">
        <w:rPr>
          <w:lang w:eastAsia="en-US"/>
        </w:rPr>
        <w:t xml:space="preserve"> not chemically bound, can remain in the hydrogen carrier. These traces of hydrogen that are only physically dissolved may potentially be released during transport.</w:t>
      </w:r>
    </w:p>
    <w:p w14:paraId="2A2C6D39" w14:textId="77777777" w:rsidR="00F6224E" w:rsidRPr="00E018E1" w:rsidRDefault="00F6224E" w:rsidP="00FF2600">
      <w:pPr>
        <w:pStyle w:val="SingleTxtG"/>
        <w:rPr>
          <w:lang w:eastAsia="en-US"/>
        </w:rPr>
      </w:pPr>
      <w:r>
        <w:rPr>
          <w:lang w:eastAsia="en-US"/>
        </w:rPr>
        <w:t>8</w:t>
      </w:r>
      <w:r w:rsidRPr="00E018E1">
        <w:rPr>
          <w:lang w:eastAsia="en-US"/>
        </w:rPr>
        <w:t>.</w:t>
      </w:r>
      <w:r w:rsidRPr="00E018E1">
        <w:rPr>
          <w:lang w:eastAsia="en-US"/>
        </w:rPr>
        <w:tab/>
        <w:t xml:space="preserve">To obtain reliable insights and to be able to carry out a well-founded safety assessment of the possible scenarios, the </w:t>
      </w:r>
      <w:proofErr w:type="spellStart"/>
      <w:r w:rsidRPr="00E018E1">
        <w:rPr>
          <w:lang w:eastAsia="en-US"/>
        </w:rPr>
        <w:t>Physikalisch-Technische</w:t>
      </w:r>
      <w:proofErr w:type="spellEnd"/>
      <w:r w:rsidRPr="00E018E1">
        <w:rPr>
          <w:lang w:eastAsia="en-US"/>
        </w:rPr>
        <w:t xml:space="preserve"> </w:t>
      </w:r>
      <w:proofErr w:type="spellStart"/>
      <w:r w:rsidRPr="00E018E1">
        <w:rPr>
          <w:lang w:eastAsia="en-US"/>
        </w:rPr>
        <w:t>Bundesanstalt</w:t>
      </w:r>
      <w:proofErr w:type="spellEnd"/>
      <w:r w:rsidRPr="00E018E1">
        <w:rPr>
          <w:lang w:eastAsia="en-US"/>
        </w:rPr>
        <w:t xml:space="preserve"> (PTB, National Metrology Institute of Germany) has carried out experimental tests. These tests were aimed at determining whether the release of the physically dissolved traces of hydrogen can lead to the formation of explosive atmospheres.</w:t>
      </w:r>
    </w:p>
    <w:p w14:paraId="0566FD7A" w14:textId="77777777" w:rsidR="00F6224E" w:rsidRPr="00E018E1" w:rsidRDefault="00F6224E" w:rsidP="00FF2600">
      <w:pPr>
        <w:pStyle w:val="SingleTxtG"/>
        <w:rPr>
          <w:lang w:eastAsia="en-US"/>
        </w:rPr>
      </w:pPr>
      <w:r>
        <w:rPr>
          <w:lang w:eastAsia="en-US"/>
        </w:rPr>
        <w:t>9</w:t>
      </w:r>
      <w:r w:rsidRPr="00E018E1">
        <w:rPr>
          <w:lang w:eastAsia="en-US"/>
        </w:rPr>
        <w:t>.</w:t>
      </w:r>
      <w:r w:rsidRPr="00E018E1">
        <w:rPr>
          <w:lang w:eastAsia="en-US"/>
        </w:rPr>
        <w:tab/>
        <w:t xml:space="preserve">For the tests conducted at the PTB, extreme test conditions (worst case scenarios) were chosen. The degree of filling of the autoclave was 90 per cent and the samples were first cooled down to -30 °C and subsequently heated to 70 °C to achieve the greatest possible gas release (hydrogen). </w:t>
      </w:r>
    </w:p>
    <w:p w14:paraId="5B16D5A9" w14:textId="77777777" w:rsidR="00F6224E" w:rsidRPr="00E018E1" w:rsidRDefault="00F6224E" w:rsidP="00FF2600">
      <w:pPr>
        <w:pStyle w:val="HChG"/>
        <w:rPr>
          <w:lang w:eastAsia="en-US"/>
        </w:rPr>
      </w:pPr>
      <w:r w:rsidRPr="00E018E1">
        <w:rPr>
          <w:lang w:eastAsia="en-US"/>
        </w:rPr>
        <w:tab/>
        <w:t>III.</w:t>
      </w:r>
      <w:r w:rsidRPr="00E018E1">
        <w:rPr>
          <w:lang w:eastAsia="en-US"/>
        </w:rPr>
        <w:tab/>
      </w:r>
      <w:r w:rsidRPr="00E018E1">
        <w:rPr>
          <w:lang w:eastAsia="en-US"/>
        </w:rPr>
        <w:tab/>
        <w:t>Results</w:t>
      </w:r>
    </w:p>
    <w:p w14:paraId="160F91E8" w14:textId="77777777" w:rsidR="00F6224E" w:rsidRPr="00E018E1" w:rsidRDefault="00F6224E" w:rsidP="00FF2600">
      <w:pPr>
        <w:pStyle w:val="SingleTxtG"/>
        <w:rPr>
          <w:highlight w:val="yellow"/>
          <w:lang w:eastAsia="en-US"/>
        </w:rPr>
      </w:pPr>
      <w:r>
        <w:rPr>
          <w:lang w:eastAsia="en-US"/>
        </w:rPr>
        <w:t>10</w:t>
      </w:r>
      <w:r w:rsidRPr="00E018E1">
        <w:rPr>
          <w:lang w:eastAsia="en-US"/>
        </w:rPr>
        <w:t>.</w:t>
      </w:r>
      <w:r w:rsidRPr="00E018E1">
        <w:rPr>
          <w:lang w:eastAsia="en-US"/>
        </w:rPr>
        <w:tab/>
        <w:t>The tests showed that only for untreated samples and only under the above extreme conditions there is a small risk of formation of explosive atmospheres. In all other cases, no ignitions were detected.</w:t>
      </w:r>
    </w:p>
    <w:p w14:paraId="6E5D3F21" w14:textId="77777777" w:rsidR="00F6224E" w:rsidRPr="00E018E1" w:rsidRDefault="00F6224E" w:rsidP="00FF2600">
      <w:pPr>
        <w:pStyle w:val="SingleTxtG"/>
        <w:rPr>
          <w:lang w:eastAsia="en-US"/>
        </w:rPr>
      </w:pPr>
      <w:r>
        <w:rPr>
          <w:lang w:eastAsia="en-US"/>
        </w:rPr>
        <w:t>11</w:t>
      </w:r>
      <w:r w:rsidRPr="00E018E1">
        <w:rPr>
          <w:lang w:eastAsia="en-US"/>
        </w:rPr>
        <w:t>.</w:t>
      </w:r>
      <w:r w:rsidRPr="00E018E1">
        <w:rPr>
          <w:lang w:eastAsia="en-US"/>
        </w:rPr>
        <w:tab/>
        <w:t>The safety assessment was performed based on the provisions for Class 4.3 “Substances which in contact with water emit flammable gases”. For assigning substances to Class 4.3, the provisions contain a limit value for the gas evolution rate of 1 L (flammable gas) / kg (substance) in one hour. Against this background, a limit value for the physically dissolved hydrogen content of 0.5 L / kg (LOHC) is considered appropriate to ensure safe transport of hydrogen in liquid organic hydrogen carriers (LOHC).</w:t>
      </w:r>
    </w:p>
    <w:p w14:paraId="0A4BCAA1" w14:textId="79DF115B" w:rsidR="00F6224E" w:rsidRPr="00E018E1" w:rsidRDefault="00F6224E" w:rsidP="00FF2600">
      <w:pPr>
        <w:pStyle w:val="SingleTxtG"/>
        <w:rPr>
          <w:lang w:eastAsia="en-US"/>
        </w:rPr>
      </w:pPr>
      <w:r w:rsidRPr="00E018E1">
        <w:rPr>
          <w:lang w:eastAsia="en-US"/>
        </w:rPr>
        <w:t>1</w:t>
      </w:r>
      <w:r>
        <w:rPr>
          <w:lang w:eastAsia="en-US"/>
        </w:rPr>
        <w:t>2</w:t>
      </w:r>
      <w:r w:rsidRPr="00E018E1">
        <w:rPr>
          <w:lang w:eastAsia="en-US"/>
        </w:rPr>
        <w:t>.</w:t>
      </w:r>
      <w:r w:rsidRPr="00E018E1">
        <w:rPr>
          <w:lang w:eastAsia="en-US"/>
        </w:rPr>
        <w:tab/>
        <w:t xml:space="preserve">Germany would like to explicitly point out again that within the context of these comparative assessments different processes with systematically different limit values were considered. On one hand, there is a chemical reaction (formation of flammable gases in contact with water) that can go on </w:t>
      </w:r>
      <w:proofErr w:type="gramStart"/>
      <w:r w:rsidRPr="00E018E1">
        <w:rPr>
          <w:lang w:eastAsia="en-US"/>
        </w:rPr>
        <w:t>more or less continuously</w:t>
      </w:r>
      <w:proofErr w:type="gramEnd"/>
      <w:r w:rsidRPr="00E018E1">
        <w:rPr>
          <w:lang w:eastAsia="en-US"/>
        </w:rPr>
        <w:t xml:space="preserve"> during the entire transport operation. On the other hand, there is a gas release process that is completed when the amount of the dissolved gas has escaped from the liquid hydrogen carrier.</w:t>
      </w:r>
    </w:p>
    <w:p w14:paraId="18A93CDC" w14:textId="75575E27" w:rsidR="00F6224E" w:rsidRPr="00E018E1" w:rsidRDefault="00F6224E" w:rsidP="00FF2600">
      <w:pPr>
        <w:pStyle w:val="SingleTxtG"/>
        <w:rPr>
          <w:lang w:eastAsia="en-US"/>
        </w:rPr>
      </w:pPr>
      <w:r w:rsidRPr="00E018E1">
        <w:rPr>
          <w:lang w:eastAsia="en-US"/>
        </w:rPr>
        <w:lastRenderedPageBreak/>
        <w:t>1</w:t>
      </w:r>
      <w:r>
        <w:rPr>
          <w:lang w:eastAsia="en-US"/>
        </w:rPr>
        <w:t>3</w:t>
      </w:r>
      <w:r w:rsidRPr="00E018E1">
        <w:rPr>
          <w:lang w:eastAsia="en-US"/>
        </w:rPr>
        <w:t>.</w:t>
      </w:r>
      <w:r w:rsidRPr="00E018E1">
        <w:rPr>
          <w:lang w:eastAsia="en-US"/>
        </w:rPr>
        <w:tab/>
        <w:t>The restrictive limit value for the physically dissolved hydrogen content of 0.5 L / kg (LOHC) can be achieved with reasonable effort</w:t>
      </w:r>
      <w:r w:rsidR="00D82773">
        <w:rPr>
          <w:lang w:eastAsia="en-US"/>
        </w:rPr>
        <w:t>s</w:t>
      </w:r>
      <w:r w:rsidRPr="00E018E1">
        <w:rPr>
          <w:lang w:eastAsia="en-US"/>
        </w:rPr>
        <w:t xml:space="preserve"> by means of measures such as targeted degassing or </w:t>
      </w:r>
      <w:r w:rsidRPr="00E018E1">
        <w:rPr>
          <w:color w:val="333333"/>
          <w:lang w:eastAsia="en-US"/>
        </w:rPr>
        <w:t>optimization of the process parameters</w:t>
      </w:r>
      <w:r w:rsidRPr="00E018E1">
        <w:rPr>
          <w:lang w:eastAsia="en-US"/>
        </w:rPr>
        <w:t>. It is also possible to monitor the limit value by testing representative samples or by an online gas analysis.</w:t>
      </w:r>
    </w:p>
    <w:p w14:paraId="2F908A81" w14:textId="77777777" w:rsidR="00F6224E" w:rsidRPr="00C112B6" w:rsidRDefault="00F6224E" w:rsidP="00FF2600">
      <w:pPr>
        <w:pStyle w:val="SingleTxtG"/>
        <w:rPr>
          <w:lang w:val="en-US"/>
        </w:rPr>
      </w:pPr>
      <w:r>
        <w:rPr>
          <w:lang w:val="en-US"/>
        </w:rPr>
        <w:t>14</w:t>
      </w:r>
      <w:r>
        <w:t>.</w:t>
      </w:r>
      <w:r>
        <w:tab/>
        <w:t xml:space="preserve">This </w:t>
      </w:r>
      <w:r w:rsidRPr="00FF2600">
        <w:t>document</w:t>
      </w:r>
      <w:r>
        <w:t xml:space="preserve"> supports Sustainable Development Goal 13 – Climate Action of the UN Agenda 2030 by promoting the safe transport of alternative low-carbon fuels</w:t>
      </w:r>
      <w:r w:rsidRPr="00C112B6">
        <w:rPr>
          <w:lang w:val="en-US"/>
        </w:rPr>
        <w:t>.</w:t>
      </w:r>
    </w:p>
    <w:p w14:paraId="571E54BF" w14:textId="77777777" w:rsidR="00F6224E" w:rsidRPr="009A6445" w:rsidRDefault="00F6224E" w:rsidP="00FF2600">
      <w:pPr>
        <w:pStyle w:val="HChG"/>
      </w:pPr>
      <w:r>
        <w:tab/>
        <w:t>IV.</w:t>
      </w:r>
      <w:r>
        <w:tab/>
      </w:r>
      <w:r w:rsidRPr="00FF2600">
        <w:t>Proposal</w:t>
      </w:r>
    </w:p>
    <w:p w14:paraId="41A61414" w14:textId="77777777" w:rsidR="00F6224E" w:rsidRDefault="00F6224E" w:rsidP="00FF2600">
      <w:pPr>
        <w:pStyle w:val="SingleTxtG"/>
      </w:pPr>
      <w:r w:rsidRPr="00860270">
        <w:rPr>
          <w:lang w:val="en-US"/>
        </w:rPr>
        <w:t>1</w:t>
      </w:r>
      <w:r>
        <w:rPr>
          <w:lang w:val="en-US"/>
        </w:rPr>
        <w:t>5</w:t>
      </w:r>
      <w:r w:rsidRPr="00A72613">
        <w:t>.</w:t>
      </w:r>
      <w:r w:rsidRPr="00A72613">
        <w:tab/>
      </w:r>
      <w:r>
        <w:t xml:space="preserve">Amend the </w:t>
      </w:r>
      <w:r w:rsidRPr="00FF2600">
        <w:t>Dangerous</w:t>
      </w:r>
      <w:r>
        <w:t xml:space="preserve"> Goods List in chapter 3.2 as follows (new text is </w:t>
      </w:r>
      <w:r w:rsidRPr="00DC65E2">
        <w:rPr>
          <w:u w:val="single"/>
        </w:rPr>
        <w:t>underlined</w:t>
      </w:r>
      <w:r>
        <w:t>):</w:t>
      </w:r>
    </w:p>
    <w:tbl>
      <w:tblPr>
        <w:tblW w:w="9555" w:type="dxa"/>
        <w:jc w:val="center"/>
        <w:tblLayout w:type="fixed"/>
        <w:tblCellMar>
          <w:left w:w="0" w:type="dxa"/>
          <w:right w:w="0" w:type="dxa"/>
        </w:tblCellMar>
        <w:tblLook w:val="04A0" w:firstRow="1" w:lastRow="0" w:firstColumn="1" w:lastColumn="0" w:noHBand="0" w:noVBand="1"/>
      </w:tblPr>
      <w:tblGrid>
        <w:gridCol w:w="561"/>
        <w:gridCol w:w="2277"/>
        <w:gridCol w:w="623"/>
        <w:gridCol w:w="545"/>
        <w:gridCol w:w="689"/>
        <w:gridCol w:w="540"/>
        <w:gridCol w:w="535"/>
        <w:gridCol w:w="567"/>
        <w:gridCol w:w="851"/>
        <w:gridCol w:w="783"/>
        <w:gridCol w:w="831"/>
        <w:gridCol w:w="753"/>
      </w:tblGrid>
      <w:tr w:rsidR="00F6224E" w14:paraId="5DB3407F" w14:textId="77777777" w:rsidTr="000526F1">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5D244D" w14:textId="77777777" w:rsidR="00F6224E" w:rsidRDefault="00F6224E" w:rsidP="000526F1">
            <w:pPr>
              <w:pStyle w:val="DGLbodybold"/>
              <w:spacing w:line="240" w:lineRule="atLeast"/>
            </w:pPr>
            <w:r>
              <w:t>UN No.</w:t>
            </w:r>
          </w:p>
        </w:tc>
        <w:tc>
          <w:tcPr>
            <w:tcW w:w="2277"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F465A10" w14:textId="77777777" w:rsidR="00F6224E" w:rsidRDefault="00F6224E" w:rsidP="000526F1">
            <w:pPr>
              <w:pStyle w:val="DGLbodybold"/>
              <w:spacing w:line="240" w:lineRule="atLeast"/>
            </w:pPr>
            <w:r>
              <w:t>Name and description</w:t>
            </w:r>
          </w:p>
        </w:tc>
        <w:tc>
          <w:tcPr>
            <w:tcW w:w="623"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8FA0B94" w14:textId="77777777" w:rsidR="00F6224E" w:rsidRDefault="00F6224E" w:rsidP="000526F1">
            <w:pPr>
              <w:pStyle w:val="DGLbodybold"/>
              <w:spacing w:line="240" w:lineRule="atLeast"/>
            </w:pPr>
            <w:r>
              <w:t xml:space="preserve">Class </w:t>
            </w:r>
            <w:r>
              <w:br/>
              <w:t xml:space="preserve">or </w:t>
            </w:r>
            <w:r>
              <w:br/>
              <w:t>division</w:t>
            </w:r>
          </w:p>
        </w:tc>
        <w:tc>
          <w:tcPr>
            <w:tcW w:w="54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B9AF898" w14:textId="77777777" w:rsidR="00F6224E" w:rsidRDefault="00F6224E" w:rsidP="000526F1">
            <w:pPr>
              <w:pStyle w:val="DGLbodybold"/>
              <w:spacing w:line="240" w:lineRule="atLeast"/>
            </w:pPr>
            <w:proofErr w:type="spellStart"/>
            <w:r>
              <w:t>Subsi</w:t>
            </w:r>
            <w:proofErr w:type="spellEnd"/>
            <w:r>
              <w:t>-diary hazard</w:t>
            </w:r>
          </w:p>
        </w:tc>
        <w:tc>
          <w:tcPr>
            <w:tcW w:w="68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33FB22B" w14:textId="77777777" w:rsidR="00F6224E" w:rsidRDefault="00F6224E" w:rsidP="000526F1">
            <w:pPr>
              <w:pStyle w:val="DGLbodybold"/>
              <w:spacing w:line="240" w:lineRule="atLeast"/>
            </w:pPr>
            <w:r>
              <w:t>UN packing group</w:t>
            </w:r>
          </w:p>
        </w:tc>
        <w:tc>
          <w:tcPr>
            <w:tcW w:w="54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A2D204" w14:textId="77777777" w:rsidR="00F6224E" w:rsidRDefault="00F6224E" w:rsidP="000526F1">
            <w:pPr>
              <w:pStyle w:val="DGLbodybold"/>
              <w:spacing w:line="240" w:lineRule="atLeast"/>
            </w:pPr>
            <w:r>
              <w:t xml:space="preserve">Special </w:t>
            </w:r>
            <w:proofErr w:type="spellStart"/>
            <w:r>
              <w:t>provi-sions</w:t>
            </w:r>
            <w:proofErr w:type="spellEnd"/>
          </w:p>
        </w:tc>
        <w:tc>
          <w:tcPr>
            <w:tcW w:w="1102" w:type="dxa"/>
            <w:gridSpan w:val="2"/>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A5FDEB6" w14:textId="77777777" w:rsidR="00F6224E" w:rsidRDefault="00F6224E" w:rsidP="000526F1">
            <w:pPr>
              <w:pStyle w:val="DGLbodybold"/>
              <w:spacing w:line="240" w:lineRule="atLeast"/>
            </w:pPr>
            <w:r>
              <w:t>Limited and excepted quantities</w:t>
            </w:r>
          </w:p>
        </w:tc>
        <w:tc>
          <w:tcPr>
            <w:tcW w:w="163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AEFBE3D" w14:textId="77777777" w:rsidR="00F6224E" w:rsidRDefault="00F6224E" w:rsidP="000526F1">
            <w:pPr>
              <w:pStyle w:val="DGLbodybold"/>
              <w:spacing w:line="240" w:lineRule="atLeast"/>
            </w:pPr>
            <w:r>
              <w:t>Packagings and IBCs</w:t>
            </w:r>
          </w:p>
        </w:tc>
        <w:tc>
          <w:tcPr>
            <w:tcW w:w="158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A6206FF" w14:textId="77777777" w:rsidR="00F6224E" w:rsidRDefault="00F6224E" w:rsidP="000526F1">
            <w:pPr>
              <w:pStyle w:val="DGLbodybold"/>
              <w:spacing w:line="240" w:lineRule="atLeast"/>
            </w:pPr>
            <w:r>
              <w:t>Portable tanks and bulk containers</w:t>
            </w:r>
          </w:p>
        </w:tc>
      </w:tr>
      <w:tr w:rsidR="00F6224E" w14:paraId="36A75CF4" w14:textId="77777777" w:rsidTr="000526F1">
        <w:trPr>
          <w:cantSplit/>
          <w:trHeight w:val="2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40BE3C80" w14:textId="77777777" w:rsidR="00F6224E" w:rsidRDefault="00F6224E" w:rsidP="000526F1">
            <w:pPr>
              <w:rPr>
                <w:rFonts w:eastAsia="Times New Roman"/>
                <w:b/>
                <w:bCs/>
                <w:sz w:val="16"/>
                <w:lang w:val="en-US" w:eastAsia="en-US"/>
              </w:rPr>
            </w:pPr>
          </w:p>
        </w:tc>
        <w:tc>
          <w:tcPr>
            <w:tcW w:w="2277" w:type="dxa"/>
            <w:vMerge/>
            <w:tcBorders>
              <w:top w:val="single" w:sz="4" w:space="0" w:color="auto"/>
              <w:left w:val="nil"/>
              <w:bottom w:val="single" w:sz="4" w:space="0" w:color="auto"/>
              <w:right w:val="single" w:sz="4" w:space="0" w:color="auto"/>
            </w:tcBorders>
            <w:vAlign w:val="center"/>
            <w:hideMark/>
          </w:tcPr>
          <w:p w14:paraId="5D23D7B6" w14:textId="77777777" w:rsidR="00F6224E" w:rsidRDefault="00F6224E" w:rsidP="000526F1">
            <w:pPr>
              <w:rPr>
                <w:rFonts w:eastAsia="Times New Roman"/>
                <w:b/>
                <w:bCs/>
                <w:sz w:val="16"/>
                <w:lang w:val="en-US" w:eastAsia="en-US"/>
              </w:rPr>
            </w:pPr>
          </w:p>
        </w:tc>
        <w:tc>
          <w:tcPr>
            <w:tcW w:w="623" w:type="dxa"/>
            <w:vMerge/>
            <w:tcBorders>
              <w:top w:val="single" w:sz="4" w:space="0" w:color="auto"/>
              <w:left w:val="nil"/>
              <w:bottom w:val="single" w:sz="4" w:space="0" w:color="auto"/>
              <w:right w:val="single" w:sz="4" w:space="0" w:color="auto"/>
            </w:tcBorders>
            <w:vAlign w:val="center"/>
            <w:hideMark/>
          </w:tcPr>
          <w:p w14:paraId="43173975" w14:textId="77777777" w:rsidR="00F6224E" w:rsidRDefault="00F6224E" w:rsidP="000526F1">
            <w:pPr>
              <w:rPr>
                <w:rFonts w:eastAsia="Times New Roman"/>
                <w:b/>
                <w:bCs/>
                <w:sz w:val="16"/>
                <w:lang w:val="en-US" w:eastAsia="en-US"/>
              </w:rPr>
            </w:pPr>
          </w:p>
        </w:tc>
        <w:tc>
          <w:tcPr>
            <w:tcW w:w="545" w:type="dxa"/>
            <w:vMerge/>
            <w:tcBorders>
              <w:top w:val="single" w:sz="4" w:space="0" w:color="auto"/>
              <w:left w:val="nil"/>
              <w:bottom w:val="single" w:sz="4" w:space="0" w:color="auto"/>
              <w:right w:val="single" w:sz="4" w:space="0" w:color="auto"/>
            </w:tcBorders>
            <w:vAlign w:val="center"/>
            <w:hideMark/>
          </w:tcPr>
          <w:p w14:paraId="6D041D43" w14:textId="77777777" w:rsidR="00F6224E" w:rsidRDefault="00F6224E" w:rsidP="000526F1">
            <w:pPr>
              <w:rPr>
                <w:rFonts w:eastAsia="Times New Roman"/>
                <w:b/>
                <w:bCs/>
                <w:sz w:val="16"/>
                <w:lang w:val="en-US" w:eastAsia="en-US"/>
              </w:rPr>
            </w:pPr>
          </w:p>
        </w:tc>
        <w:tc>
          <w:tcPr>
            <w:tcW w:w="689" w:type="dxa"/>
            <w:vMerge/>
            <w:tcBorders>
              <w:top w:val="single" w:sz="4" w:space="0" w:color="auto"/>
              <w:left w:val="nil"/>
              <w:bottom w:val="single" w:sz="4" w:space="0" w:color="auto"/>
              <w:right w:val="single" w:sz="4" w:space="0" w:color="auto"/>
            </w:tcBorders>
            <w:vAlign w:val="center"/>
            <w:hideMark/>
          </w:tcPr>
          <w:p w14:paraId="51E3726C" w14:textId="77777777" w:rsidR="00F6224E" w:rsidRDefault="00F6224E" w:rsidP="000526F1">
            <w:pPr>
              <w:rPr>
                <w:rFonts w:eastAsia="Times New Roman"/>
                <w:b/>
                <w:bCs/>
                <w:sz w:val="16"/>
                <w:lang w:val="en-US" w:eastAsia="en-US"/>
              </w:rPr>
            </w:pPr>
          </w:p>
        </w:tc>
        <w:tc>
          <w:tcPr>
            <w:tcW w:w="540" w:type="dxa"/>
            <w:vMerge/>
            <w:tcBorders>
              <w:top w:val="single" w:sz="4" w:space="0" w:color="auto"/>
              <w:left w:val="nil"/>
              <w:bottom w:val="single" w:sz="4" w:space="0" w:color="auto"/>
              <w:right w:val="single" w:sz="4" w:space="0" w:color="auto"/>
            </w:tcBorders>
            <w:vAlign w:val="center"/>
            <w:hideMark/>
          </w:tcPr>
          <w:p w14:paraId="1DA98668" w14:textId="77777777" w:rsidR="00F6224E" w:rsidRDefault="00F6224E" w:rsidP="000526F1">
            <w:pPr>
              <w:rPr>
                <w:rFonts w:eastAsia="Times New Roman"/>
                <w:b/>
                <w:bCs/>
                <w:sz w:val="16"/>
                <w:lang w:val="en-US" w:eastAsia="en-US"/>
              </w:rPr>
            </w:pPr>
          </w:p>
        </w:tc>
        <w:tc>
          <w:tcPr>
            <w:tcW w:w="1102" w:type="dxa"/>
            <w:gridSpan w:val="2"/>
            <w:vMerge/>
            <w:tcBorders>
              <w:top w:val="single" w:sz="4" w:space="0" w:color="auto"/>
              <w:left w:val="nil"/>
              <w:bottom w:val="single" w:sz="4" w:space="0" w:color="auto"/>
              <w:right w:val="single" w:sz="4" w:space="0" w:color="auto"/>
            </w:tcBorders>
            <w:vAlign w:val="center"/>
            <w:hideMark/>
          </w:tcPr>
          <w:p w14:paraId="0B961036" w14:textId="77777777" w:rsidR="00F6224E" w:rsidRDefault="00F6224E" w:rsidP="000526F1">
            <w:pPr>
              <w:rPr>
                <w:rFonts w:eastAsia="Times New Roman"/>
                <w:b/>
                <w:bCs/>
                <w:sz w:val="16"/>
                <w:lang w:val="en-US" w:eastAsia="en-US"/>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6F8A596" w14:textId="77777777" w:rsidR="00F6224E" w:rsidRDefault="00F6224E" w:rsidP="000526F1">
            <w:pPr>
              <w:pStyle w:val="DGLbodybold"/>
              <w:spacing w:line="240" w:lineRule="atLeast"/>
            </w:pPr>
            <w:r>
              <w:t>Packing instruction</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BF52749" w14:textId="77777777" w:rsidR="00F6224E" w:rsidRDefault="00F6224E" w:rsidP="000526F1">
            <w:pPr>
              <w:pStyle w:val="DGLbodybold"/>
              <w:spacing w:line="240" w:lineRule="atLeast"/>
            </w:pPr>
            <w:r>
              <w:t xml:space="preserve">Special </w:t>
            </w:r>
            <w:r>
              <w:br/>
              <w:t>packing provisions</w:t>
            </w: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6F0F369" w14:textId="77777777" w:rsidR="00F6224E" w:rsidRDefault="00F6224E" w:rsidP="000526F1">
            <w:pPr>
              <w:pStyle w:val="DGLbodybold"/>
              <w:spacing w:line="240" w:lineRule="atLeast"/>
            </w:pPr>
            <w:proofErr w:type="spellStart"/>
            <w:r>
              <w:t>Instruc-tions</w:t>
            </w:r>
            <w:proofErr w:type="spellEnd"/>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4B6DF75" w14:textId="77777777" w:rsidR="00F6224E" w:rsidRDefault="00F6224E" w:rsidP="000526F1">
            <w:pPr>
              <w:pStyle w:val="DGLbodybold"/>
              <w:spacing w:line="240" w:lineRule="atLeast"/>
            </w:pPr>
            <w:r>
              <w:t>Special provisions</w:t>
            </w:r>
          </w:p>
        </w:tc>
      </w:tr>
      <w:tr w:rsidR="00F6224E" w14:paraId="4BC5DB27" w14:textId="77777777" w:rsidTr="000526F1">
        <w:trPr>
          <w:trHeight w:val="20"/>
          <w:tblHeader/>
          <w:jc w:val="center"/>
        </w:trPr>
        <w:tc>
          <w:tcPr>
            <w:tcW w:w="5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DA5C120" w14:textId="77777777" w:rsidR="00F6224E" w:rsidRDefault="00F6224E" w:rsidP="000526F1">
            <w:pPr>
              <w:pStyle w:val="DGLbodybold"/>
              <w:spacing w:line="240" w:lineRule="atLeast"/>
            </w:pPr>
            <w:r>
              <w:t>(1)</w:t>
            </w:r>
          </w:p>
        </w:tc>
        <w:tc>
          <w:tcPr>
            <w:tcW w:w="2277"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6AEEC336" w14:textId="77777777" w:rsidR="00F6224E" w:rsidRDefault="00F6224E" w:rsidP="000526F1">
            <w:pPr>
              <w:pStyle w:val="DGLbodybold"/>
              <w:spacing w:line="240" w:lineRule="atLeast"/>
            </w:pPr>
            <w:r>
              <w:t>(2)</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64C3DF9B" w14:textId="77777777" w:rsidR="00F6224E" w:rsidRDefault="00F6224E" w:rsidP="000526F1">
            <w:pPr>
              <w:pStyle w:val="DGLbodybold"/>
              <w:spacing w:line="240" w:lineRule="atLeast"/>
            </w:pPr>
            <w:r>
              <w:t>(3)</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49663A37" w14:textId="77777777" w:rsidR="00F6224E" w:rsidRDefault="00F6224E" w:rsidP="000526F1">
            <w:pPr>
              <w:pStyle w:val="DGLbodybold"/>
              <w:spacing w:line="240" w:lineRule="atLeast"/>
            </w:pPr>
            <w:r>
              <w:t>(4)</w:t>
            </w: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1D421F3" w14:textId="77777777" w:rsidR="00F6224E" w:rsidRDefault="00F6224E" w:rsidP="000526F1">
            <w:pPr>
              <w:pStyle w:val="DGLbodybold"/>
              <w:spacing w:line="240" w:lineRule="atLeast"/>
            </w:pPr>
            <w:r>
              <w:t>(5)</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2275C8A" w14:textId="77777777" w:rsidR="00F6224E" w:rsidRDefault="00F6224E" w:rsidP="000526F1">
            <w:pPr>
              <w:pStyle w:val="DGLbodybold"/>
              <w:spacing w:line="240" w:lineRule="atLeast"/>
            </w:pPr>
            <w:r>
              <w:t>(6)</w:t>
            </w:r>
          </w:p>
        </w:tc>
        <w:tc>
          <w:tcPr>
            <w:tcW w:w="535"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6B15FE4F" w14:textId="77777777" w:rsidR="00F6224E" w:rsidRDefault="00F6224E" w:rsidP="000526F1">
            <w:pPr>
              <w:pStyle w:val="DGLbodybold"/>
              <w:spacing w:line="240" w:lineRule="atLeast"/>
            </w:pPr>
            <w:r>
              <w:t>(7a)</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45CA175B" w14:textId="77777777" w:rsidR="00F6224E" w:rsidRDefault="00F6224E" w:rsidP="000526F1">
            <w:pPr>
              <w:pStyle w:val="DGLbodybold"/>
              <w:spacing w:line="240" w:lineRule="atLeast"/>
            </w:pPr>
            <w:r>
              <w:t>(7b)</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4EEE53B" w14:textId="77777777" w:rsidR="00F6224E" w:rsidRDefault="00F6224E" w:rsidP="000526F1">
            <w:pPr>
              <w:pStyle w:val="DGLbodybold"/>
              <w:spacing w:line="240" w:lineRule="atLeast"/>
            </w:pPr>
            <w:r>
              <w:t>(8)</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0BDD0D36" w14:textId="77777777" w:rsidR="00F6224E" w:rsidRDefault="00F6224E" w:rsidP="000526F1">
            <w:pPr>
              <w:pStyle w:val="DGLbodybold"/>
              <w:spacing w:line="240" w:lineRule="atLeast"/>
            </w:pPr>
            <w:r>
              <w:t>(9)</w:t>
            </w: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A507F00" w14:textId="77777777" w:rsidR="00F6224E" w:rsidRDefault="00F6224E" w:rsidP="000526F1">
            <w:pPr>
              <w:pStyle w:val="DGLbodybold"/>
              <w:spacing w:line="240" w:lineRule="atLeast"/>
            </w:pPr>
            <w:r>
              <w:t>(10)</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D24E72F" w14:textId="77777777" w:rsidR="00F6224E" w:rsidRDefault="00F6224E" w:rsidP="000526F1">
            <w:pPr>
              <w:pStyle w:val="DGLbodybold"/>
              <w:spacing w:line="240" w:lineRule="atLeast"/>
            </w:pPr>
            <w:r>
              <w:t>(11)</w:t>
            </w:r>
          </w:p>
        </w:tc>
      </w:tr>
      <w:tr w:rsidR="00F6224E" w14:paraId="1AF94650" w14:textId="77777777" w:rsidTr="000526F1">
        <w:trPr>
          <w:cantSplit/>
          <w:trHeight w:val="20"/>
          <w:jc w:val="center"/>
        </w:trPr>
        <w:tc>
          <w:tcPr>
            <w:tcW w:w="5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0754249" w14:textId="77777777" w:rsidR="00F6224E" w:rsidRPr="009000D5" w:rsidRDefault="00F6224E" w:rsidP="000526F1">
            <w:pPr>
              <w:pStyle w:val="DGLbody"/>
              <w:spacing w:line="240" w:lineRule="atLeast"/>
              <w:jc w:val="center"/>
              <w:rPr>
                <w:szCs w:val="16"/>
              </w:rPr>
            </w:pPr>
            <w:r w:rsidRPr="009000D5">
              <w:rPr>
                <w:szCs w:val="16"/>
              </w:rPr>
              <w:t>3082</w:t>
            </w:r>
          </w:p>
        </w:tc>
        <w:tc>
          <w:tcPr>
            <w:tcW w:w="2277"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2D7C9934" w14:textId="77777777" w:rsidR="00F6224E" w:rsidRPr="009000D5" w:rsidRDefault="00F6224E" w:rsidP="000526F1">
            <w:pPr>
              <w:pStyle w:val="DGLbodyleft"/>
              <w:spacing w:line="240" w:lineRule="atLeast"/>
              <w:rPr>
                <w:szCs w:val="16"/>
              </w:rPr>
            </w:pPr>
            <w:r w:rsidRPr="009000D5">
              <w:rPr>
                <w:szCs w:val="16"/>
              </w:rPr>
              <w:t>ENVIRONMENTALLY HAZARDOUS SUBSTANCE, LIQUID, N.O.S</w:t>
            </w:r>
            <w:r w:rsidRPr="009000D5">
              <w:rPr>
                <w:i/>
                <w:szCs w:val="16"/>
                <w:u w:val="single"/>
              </w:rPr>
              <w:t xml:space="preserve"> </w:t>
            </w:r>
          </w:p>
        </w:tc>
        <w:tc>
          <w:tcPr>
            <w:tcW w:w="62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200E1997" w14:textId="77777777" w:rsidR="00F6224E" w:rsidRPr="009000D5" w:rsidRDefault="00F6224E" w:rsidP="000526F1">
            <w:pPr>
              <w:pStyle w:val="DGLbody"/>
              <w:spacing w:line="240" w:lineRule="atLeast"/>
              <w:jc w:val="center"/>
              <w:rPr>
                <w:szCs w:val="16"/>
              </w:rPr>
            </w:pPr>
            <w:r w:rsidRPr="009000D5">
              <w:rPr>
                <w:szCs w:val="16"/>
              </w:rPr>
              <w:t>9</w:t>
            </w:r>
          </w:p>
        </w:tc>
        <w:tc>
          <w:tcPr>
            <w:tcW w:w="5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F86F96" w14:textId="77777777" w:rsidR="00F6224E" w:rsidRPr="009000D5" w:rsidRDefault="00F6224E" w:rsidP="000526F1">
            <w:pPr>
              <w:pStyle w:val="DGLbody"/>
              <w:spacing w:line="240" w:lineRule="atLeast"/>
              <w:jc w:val="center"/>
              <w:rPr>
                <w:szCs w:val="16"/>
              </w:rPr>
            </w:pP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DDB8C0" w14:textId="77777777" w:rsidR="00F6224E" w:rsidRPr="009000D5" w:rsidRDefault="00F6224E" w:rsidP="000526F1">
            <w:pPr>
              <w:pStyle w:val="DGLbody"/>
              <w:spacing w:line="240" w:lineRule="atLeast"/>
              <w:jc w:val="center"/>
              <w:rPr>
                <w:szCs w:val="16"/>
              </w:rPr>
            </w:pPr>
            <w:r w:rsidRPr="009000D5">
              <w:rPr>
                <w:szCs w:val="16"/>
              </w:rPr>
              <w:t>III</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5058B73" w14:textId="77777777" w:rsidR="00F6224E" w:rsidRPr="009000D5" w:rsidRDefault="00F6224E" w:rsidP="000526F1">
            <w:pPr>
              <w:ind w:right="17"/>
              <w:jc w:val="center"/>
              <w:rPr>
                <w:sz w:val="16"/>
                <w:szCs w:val="16"/>
              </w:rPr>
            </w:pPr>
            <w:r w:rsidRPr="009000D5">
              <w:rPr>
                <w:sz w:val="16"/>
                <w:szCs w:val="16"/>
              </w:rPr>
              <w:t>274</w:t>
            </w:r>
          </w:p>
          <w:p w14:paraId="40C36B42" w14:textId="77777777" w:rsidR="00F6224E" w:rsidRPr="009000D5" w:rsidRDefault="00F6224E" w:rsidP="000526F1">
            <w:pPr>
              <w:ind w:right="17"/>
              <w:jc w:val="center"/>
              <w:rPr>
                <w:sz w:val="16"/>
                <w:szCs w:val="16"/>
              </w:rPr>
            </w:pPr>
            <w:r w:rsidRPr="009000D5">
              <w:rPr>
                <w:sz w:val="16"/>
                <w:szCs w:val="16"/>
              </w:rPr>
              <w:t>331</w:t>
            </w:r>
          </w:p>
          <w:p w14:paraId="23F68A76" w14:textId="77777777" w:rsidR="00F6224E" w:rsidRPr="009000D5" w:rsidRDefault="00F6224E" w:rsidP="000526F1">
            <w:pPr>
              <w:ind w:right="17"/>
              <w:jc w:val="center"/>
              <w:rPr>
                <w:sz w:val="16"/>
                <w:szCs w:val="16"/>
              </w:rPr>
            </w:pPr>
            <w:r w:rsidRPr="009000D5">
              <w:rPr>
                <w:sz w:val="16"/>
                <w:szCs w:val="16"/>
              </w:rPr>
              <w:t>335</w:t>
            </w:r>
          </w:p>
          <w:p w14:paraId="442A8F48" w14:textId="77777777" w:rsidR="00F6224E" w:rsidRPr="009000D5" w:rsidRDefault="00F6224E" w:rsidP="000526F1">
            <w:pPr>
              <w:ind w:right="17"/>
              <w:jc w:val="center"/>
              <w:rPr>
                <w:sz w:val="16"/>
                <w:szCs w:val="16"/>
              </w:rPr>
            </w:pPr>
            <w:r w:rsidRPr="009000D5">
              <w:rPr>
                <w:sz w:val="16"/>
                <w:szCs w:val="16"/>
              </w:rPr>
              <w:t xml:space="preserve">375 </w:t>
            </w:r>
          </w:p>
          <w:p w14:paraId="2FC7A2C3" w14:textId="77777777" w:rsidR="00F6224E" w:rsidRPr="009000D5" w:rsidRDefault="00F6224E" w:rsidP="000526F1">
            <w:pPr>
              <w:ind w:right="17"/>
              <w:jc w:val="center"/>
              <w:rPr>
                <w:sz w:val="16"/>
                <w:szCs w:val="16"/>
                <w:u w:val="single"/>
              </w:rPr>
            </w:pPr>
            <w:r w:rsidRPr="009000D5">
              <w:rPr>
                <w:sz w:val="16"/>
                <w:szCs w:val="16"/>
                <w:u w:val="single"/>
              </w:rPr>
              <w:t>XXX</w:t>
            </w:r>
          </w:p>
          <w:p w14:paraId="18BBD202" w14:textId="77777777" w:rsidR="00F6224E" w:rsidRPr="009000D5" w:rsidRDefault="00F6224E" w:rsidP="000526F1">
            <w:pPr>
              <w:pStyle w:val="DGLbody"/>
              <w:spacing w:line="240" w:lineRule="atLeast"/>
              <w:jc w:val="center"/>
              <w:rPr>
                <w:szCs w:val="16"/>
              </w:rPr>
            </w:pPr>
          </w:p>
        </w:tc>
        <w:tc>
          <w:tcPr>
            <w:tcW w:w="535"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8744EEB" w14:textId="77777777" w:rsidR="00F6224E" w:rsidRPr="009000D5" w:rsidRDefault="00F6224E" w:rsidP="000526F1">
            <w:pPr>
              <w:pStyle w:val="DGLbody"/>
              <w:spacing w:line="240" w:lineRule="atLeast"/>
              <w:jc w:val="center"/>
              <w:rPr>
                <w:szCs w:val="16"/>
              </w:rPr>
            </w:pPr>
            <w:r w:rsidRPr="009000D5">
              <w:rPr>
                <w:szCs w:val="16"/>
              </w:rPr>
              <w:t>5 L</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2104966B" w14:textId="77777777" w:rsidR="00F6224E" w:rsidRPr="009000D5" w:rsidRDefault="00F6224E" w:rsidP="000526F1">
            <w:pPr>
              <w:pStyle w:val="DGLbody"/>
              <w:spacing w:line="240" w:lineRule="atLeast"/>
              <w:jc w:val="center"/>
              <w:rPr>
                <w:szCs w:val="16"/>
              </w:rPr>
            </w:pPr>
            <w:r w:rsidRPr="009000D5">
              <w:rPr>
                <w:szCs w:val="16"/>
              </w:rPr>
              <w:t>E1</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480B42E3" w14:textId="77777777" w:rsidR="00F6224E" w:rsidRPr="009000D5" w:rsidRDefault="00F6224E" w:rsidP="000526F1">
            <w:pPr>
              <w:ind w:right="17"/>
              <w:jc w:val="center"/>
              <w:rPr>
                <w:sz w:val="16"/>
                <w:szCs w:val="16"/>
              </w:rPr>
            </w:pPr>
            <w:r w:rsidRPr="009000D5">
              <w:rPr>
                <w:sz w:val="16"/>
                <w:szCs w:val="16"/>
              </w:rPr>
              <w:t>P001</w:t>
            </w:r>
          </w:p>
          <w:p w14:paraId="7311EB42" w14:textId="77777777" w:rsidR="00F6224E" w:rsidRPr="009000D5" w:rsidRDefault="00F6224E" w:rsidP="000526F1">
            <w:pPr>
              <w:ind w:right="17"/>
              <w:jc w:val="center"/>
              <w:rPr>
                <w:sz w:val="16"/>
                <w:szCs w:val="16"/>
              </w:rPr>
            </w:pPr>
            <w:r w:rsidRPr="009000D5">
              <w:rPr>
                <w:sz w:val="16"/>
                <w:szCs w:val="16"/>
              </w:rPr>
              <w:t>IBC03</w:t>
            </w:r>
          </w:p>
          <w:p w14:paraId="117B394B" w14:textId="77777777" w:rsidR="00F6224E" w:rsidRPr="009000D5" w:rsidRDefault="00F6224E" w:rsidP="000526F1">
            <w:pPr>
              <w:pStyle w:val="DGLbody"/>
              <w:spacing w:line="240" w:lineRule="atLeast"/>
              <w:jc w:val="center"/>
              <w:rPr>
                <w:szCs w:val="16"/>
              </w:rPr>
            </w:pPr>
            <w:r w:rsidRPr="009000D5">
              <w:rPr>
                <w:szCs w:val="16"/>
              </w:rPr>
              <w:t>LP01</w:t>
            </w:r>
          </w:p>
        </w:tc>
        <w:tc>
          <w:tcPr>
            <w:tcW w:w="783"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F519E87" w14:textId="77777777" w:rsidR="00F6224E" w:rsidRPr="009000D5" w:rsidRDefault="00F6224E" w:rsidP="000526F1">
            <w:pPr>
              <w:pStyle w:val="DGLbody"/>
              <w:spacing w:line="240" w:lineRule="atLeast"/>
              <w:jc w:val="center"/>
              <w:rPr>
                <w:szCs w:val="16"/>
              </w:rPr>
            </w:pPr>
            <w:r w:rsidRPr="009000D5">
              <w:rPr>
                <w:szCs w:val="16"/>
              </w:rPr>
              <w:t>PP1</w:t>
            </w:r>
          </w:p>
        </w:tc>
        <w:tc>
          <w:tcPr>
            <w:tcW w:w="83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93B884B" w14:textId="77777777" w:rsidR="00F6224E" w:rsidRPr="009000D5" w:rsidRDefault="00F6224E" w:rsidP="000526F1">
            <w:pPr>
              <w:pStyle w:val="DGLbody"/>
              <w:spacing w:line="240" w:lineRule="atLeast"/>
              <w:jc w:val="center"/>
              <w:rPr>
                <w:szCs w:val="16"/>
              </w:rPr>
            </w:pPr>
            <w:r w:rsidRPr="009000D5">
              <w:rPr>
                <w:szCs w:val="16"/>
              </w:rPr>
              <w:t>T4</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E88AA0" w14:textId="77777777" w:rsidR="00F6224E" w:rsidRPr="009000D5" w:rsidRDefault="00F6224E" w:rsidP="000526F1">
            <w:pPr>
              <w:ind w:right="17"/>
              <w:jc w:val="center"/>
              <w:rPr>
                <w:sz w:val="16"/>
                <w:szCs w:val="16"/>
              </w:rPr>
            </w:pPr>
            <w:r w:rsidRPr="009000D5">
              <w:rPr>
                <w:sz w:val="16"/>
                <w:szCs w:val="16"/>
              </w:rPr>
              <w:t>TP1</w:t>
            </w:r>
          </w:p>
          <w:p w14:paraId="631AECBF" w14:textId="77777777" w:rsidR="00F6224E" w:rsidRPr="009000D5" w:rsidRDefault="00F6224E" w:rsidP="000526F1">
            <w:pPr>
              <w:pStyle w:val="DGLbody"/>
              <w:spacing w:line="240" w:lineRule="atLeast"/>
              <w:jc w:val="center"/>
              <w:rPr>
                <w:szCs w:val="16"/>
              </w:rPr>
            </w:pPr>
            <w:r w:rsidRPr="009000D5">
              <w:rPr>
                <w:szCs w:val="16"/>
              </w:rPr>
              <w:t>TP29</w:t>
            </w:r>
          </w:p>
        </w:tc>
      </w:tr>
    </w:tbl>
    <w:p w14:paraId="680B2641" w14:textId="77777777" w:rsidR="00F6224E" w:rsidRDefault="00F6224E" w:rsidP="00F6224E">
      <w:pPr>
        <w:pStyle w:val="SingleTxtG"/>
        <w:ind w:left="0"/>
      </w:pPr>
    </w:p>
    <w:p w14:paraId="0EC7787D" w14:textId="7D1DDA00" w:rsidR="00F6224E" w:rsidRDefault="00F6224E" w:rsidP="00FF2600">
      <w:pPr>
        <w:pStyle w:val="SingleTxtG"/>
      </w:pPr>
      <w:r>
        <w:rPr>
          <w:lang w:val="fr-CH"/>
        </w:rPr>
        <w:t>16.</w:t>
      </w:r>
      <w:r>
        <w:rPr>
          <w:lang w:val="fr-CH"/>
        </w:rPr>
        <w:tab/>
      </w:r>
      <w:r>
        <w:t xml:space="preserve">Amend chapter 3.3 by introducing the </w:t>
      </w:r>
      <w:r w:rsidRPr="00D6051B">
        <w:t>following</w:t>
      </w:r>
      <w:r>
        <w:t xml:space="preserve"> </w:t>
      </w:r>
      <w:r w:rsidR="002D7454">
        <w:t xml:space="preserve">new </w:t>
      </w:r>
      <w:r>
        <w:t xml:space="preserve">special provision </w:t>
      </w:r>
      <w:proofErr w:type="gramStart"/>
      <w:r>
        <w:t>XXX:</w:t>
      </w:r>
      <w:proofErr w:type="gramEnd"/>
    </w:p>
    <w:p w14:paraId="21B169DF" w14:textId="156603F7" w:rsidR="005B4321" w:rsidRDefault="00F6224E" w:rsidP="00FF2600">
      <w:pPr>
        <w:pStyle w:val="SingleTxtG"/>
      </w:pPr>
      <w:r>
        <w:t>“XXX</w:t>
      </w:r>
      <w:r>
        <w:tab/>
      </w:r>
      <w:r>
        <w:tab/>
        <w:t xml:space="preserve">Liquid organic hydrogen carriers (LOHC) based on </w:t>
      </w:r>
      <w:proofErr w:type="spellStart"/>
      <w:r>
        <w:t>benzyltoluene</w:t>
      </w:r>
      <w:proofErr w:type="spellEnd"/>
      <w:r>
        <w:t xml:space="preserve"> with physically dissolved hydrogen can be transported under this entry when the limit of physically dissolved hydrogen of 0.5 L (H</w:t>
      </w:r>
      <w:r w:rsidRPr="0090185D">
        <w:rPr>
          <w:vertAlign w:val="subscript"/>
        </w:rPr>
        <w:t>2</w:t>
      </w:r>
      <w:r>
        <w:t>)/kg (LOHC) is not exceeded.”</w:t>
      </w:r>
    </w:p>
    <w:p w14:paraId="197FD051" w14:textId="57676F38" w:rsidR="00F6224E" w:rsidRPr="00F6224E" w:rsidRDefault="00F6224E" w:rsidP="00F6224E">
      <w:pPr>
        <w:spacing w:before="240"/>
        <w:jc w:val="center"/>
        <w:rPr>
          <w:u w:val="single"/>
        </w:rPr>
      </w:pPr>
      <w:r>
        <w:rPr>
          <w:u w:val="single"/>
        </w:rPr>
        <w:tab/>
      </w:r>
      <w:r>
        <w:rPr>
          <w:u w:val="single"/>
        </w:rPr>
        <w:tab/>
      </w:r>
      <w:r>
        <w:rPr>
          <w:u w:val="single"/>
        </w:rPr>
        <w:tab/>
      </w:r>
    </w:p>
    <w:sectPr w:rsidR="00F6224E" w:rsidRPr="00F6224E" w:rsidSect="00A77CCF">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6962" w14:textId="77777777" w:rsidR="00815FCF" w:rsidRPr="00C47B2E" w:rsidRDefault="00815FCF" w:rsidP="00C47B2E">
      <w:pPr>
        <w:pStyle w:val="Footer"/>
      </w:pPr>
    </w:p>
  </w:endnote>
  <w:endnote w:type="continuationSeparator" w:id="0">
    <w:p w14:paraId="6AB85816" w14:textId="77777777" w:rsidR="00815FCF" w:rsidRPr="00C47B2E" w:rsidRDefault="00815FCF" w:rsidP="00C47B2E">
      <w:pPr>
        <w:pStyle w:val="Footer"/>
      </w:pPr>
    </w:p>
  </w:endnote>
  <w:endnote w:type="continuationNotice" w:id="1">
    <w:p w14:paraId="6548177E" w14:textId="77777777" w:rsidR="00815FCF" w:rsidRPr="00C47B2E" w:rsidRDefault="00815FC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6883" w14:textId="09A50BC7" w:rsidR="00D94B05" w:rsidRPr="00A77CCF" w:rsidRDefault="00A77CCF" w:rsidP="00D85308">
    <w:pPr>
      <w:pStyle w:val="Footer"/>
      <w:tabs>
        <w:tab w:val="right" w:pos="9639"/>
      </w:tabs>
      <w:rPr>
        <w:sz w:val="18"/>
      </w:rPr>
    </w:pPr>
    <w:r w:rsidRPr="00A77CCF">
      <w:rPr>
        <w:b/>
        <w:sz w:val="18"/>
      </w:rPr>
      <w:fldChar w:fldCharType="begin"/>
    </w:r>
    <w:r w:rsidRPr="00A77CCF">
      <w:rPr>
        <w:b/>
        <w:sz w:val="18"/>
      </w:rPr>
      <w:instrText xml:space="preserve"> PAGE  \* MERGEFORMAT </w:instrText>
    </w:r>
    <w:r w:rsidRPr="00A77CCF">
      <w:rPr>
        <w:b/>
        <w:sz w:val="18"/>
      </w:rPr>
      <w:fldChar w:fldCharType="separate"/>
    </w:r>
    <w:r w:rsidRPr="00A77CCF">
      <w:rPr>
        <w:b/>
        <w:noProof/>
        <w:sz w:val="18"/>
      </w:rPr>
      <w:t>2</w:t>
    </w:r>
    <w:r w:rsidRPr="00A77CC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C8D8" w14:textId="04A37B22" w:rsidR="00D94B05" w:rsidRPr="00A77CCF" w:rsidRDefault="00A77CCF" w:rsidP="00D85308">
    <w:pPr>
      <w:pStyle w:val="Footer"/>
      <w:tabs>
        <w:tab w:val="right" w:pos="9639"/>
      </w:tabs>
      <w:rPr>
        <w:b/>
        <w:bCs/>
        <w:sz w:val="18"/>
      </w:rPr>
    </w:pPr>
    <w:r>
      <w:rPr>
        <w:bCs/>
        <w:sz w:val="18"/>
      </w:rPr>
      <w:tab/>
    </w:r>
    <w:r w:rsidRPr="00A77CCF">
      <w:rPr>
        <w:b/>
        <w:bCs/>
        <w:sz w:val="18"/>
      </w:rPr>
      <w:fldChar w:fldCharType="begin"/>
    </w:r>
    <w:r w:rsidRPr="00A77CCF">
      <w:rPr>
        <w:b/>
        <w:bCs/>
        <w:sz w:val="18"/>
      </w:rPr>
      <w:instrText xml:space="preserve"> PAGE  \* MERGEFORMAT </w:instrText>
    </w:r>
    <w:r w:rsidRPr="00A77CCF">
      <w:rPr>
        <w:b/>
        <w:bCs/>
        <w:sz w:val="18"/>
      </w:rPr>
      <w:fldChar w:fldCharType="separate"/>
    </w:r>
    <w:r w:rsidRPr="00A77CCF">
      <w:rPr>
        <w:b/>
        <w:bCs/>
        <w:noProof/>
        <w:sz w:val="18"/>
      </w:rPr>
      <w:t>3</w:t>
    </w:r>
    <w:r w:rsidRPr="00A77CC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0A84" w14:textId="5EFDF59D" w:rsidR="005E0686" w:rsidRDefault="005E0686" w:rsidP="005E0686">
    <w:pPr>
      <w:pStyle w:val="Footer"/>
    </w:pPr>
    <w:r w:rsidRPr="0027112F">
      <w:rPr>
        <w:noProof/>
        <w:lang w:val="en-US"/>
      </w:rPr>
      <w:drawing>
        <wp:anchor distT="0" distB="0" distL="114300" distR="114300" simplePos="0" relativeHeight="251659264" behindDoc="0" locked="1" layoutInCell="1" allowOverlap="1" wp14:anchorId="4FC4835E" wp14:editId="40F0863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5A2F9D" w14:textId="2FC78AD9" w:rsidR="005E0686" w:rsidRPr="005E0686" w:rsidRDefault="005E0686" w:rsidP="005E0686">
    <w:pPr>
      <w:pStyle w:val="Footer"/>
      <w:ind w:right="1134"/>
      <w:rPr>
        <w:sz w:val="20"/>
      </w:rPr>
    </w:pPr>
    <w:r>
      <w:rPr>
        <w:sz w:val="20"/>
      </w:rPr>
      <w:t>GE.24-</w:t>
    </w:r>
    <w:proofErr w:type="gramStart"/>
    <w:r>
      <w:rPr>
        <w:sz w:val="20"/>
      </w:rPr>
      <w:t>06423  (</w:t>
    </w:r>
    <w:proofErr w:type="gramEnd"/>
    <w:r>
      <w:rPr>
        <w:sz w:val="20"/>
      </w:rPr>
      <w:t>E)</w:t>
    </w:r>
    <w:r>
      <w:rPr>
        <w:noProof/>
        <w:sz w:val="20"/>
      </w:rPr>
      <w:drawing>
        <wp:anchor distT="0" distB="0" distL="114300" distR="114300" simplePos="0" relativeHeight="251660288" behindDoc="0" locked="0" layoutInCell="1" allowOverlap="1" wp14:anchorId="12FA23FF" wp14:editId="4F878DDF">
          <wp:simplePos x="0" y="0"/>
          <wp:positionH relativeFrom="margin">
            <wp:posOffset>5615940</wp:posOffset>
          </wp:positionH>
          <wp:positionV relativeFrom="margin">
            <wp:posOffset>8905875</wp:posOffset>
          </wp:positionV>
          <wp:extent cx="571500" cy="571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796A" w14:textId="77777777" w:rsidR="00815FCF" w:rsidRPr="00C47B2E" w:rsidRDefault="00815FCF" w:rsidP="00C47B2E">
      <w:pPr>
        <w:tabs>
          <w:tab w:val="right" w:pos="2155"/>
        </w:tabs>
        <w:spacing w:after="80" w:line="240" w:lineRule="auto"/>
        <w:ind w:left="680"/>
      </w:pPr>
      <w:r>
        <w:rPr>
          <w:u w:val="single"/>
        </w:rPr>
        <w:tab/>
      </w:r>
    </w:p>
  </w:footnote>
  <w:footnote w:type="continuationSeparator" w:id="0">
    <w:p w14:paraId="25EC816C" w14:textId="77777777" w:rsidR="00815FCF" w:rsidRPr="00C47B2E" w:rsidRDefault="00815FCF" w:rsidP="005E716E">
      <w:pPr>
        <w:tabs>
          <w:tab w:val="right" w:pos="2155"/>
        </w:tabs>
        <w:spacing w:after="80" w:line="240" w:lineRule="auto"/>
        <w:ind w:left="680"/>
      </w:pPr>
      <w:r>
        <w:rPr>
          <w:u w:val="single"/>
        </w:rPr>
        <w:tab/>
      </w:r>
    </w:p>
  </w:footnote>
  <w:footnote w:type="continuationNotice" w:id="1">
    <w:p w14:paraId="60DB26DF" w14:textId="77777777" w:rsidR="00815FCF" w:rsidRPr="00C47B2E" w:rsidRDefault="00815FCF" w:rsidP="00C47B2E">
      <w:pPr>
        <w:pStyle w:val="Footer"/>
      </w:pPr>
    </w:p>
  </w:footnote>
  <w:footnote w:id="2">
    <w:p w14:paraId="6D236661" w14:textId="5B52DF83" w:rsidR="004E5B35" w:rsidRPr="004E5B35" w:rsidRDefault="004E5B35">
      <w:pPr>
        <w:pStyle w:val="FootnoteText"/>
        <w:rPr>
          <w:lang w:val="fr-CH"/>
        </w:rPr>
      </w:pPr>
      <w:r>
        <w:rPr>
          <w:rStyle w:val="FootnoteReference"/>
        </w:rPr>
        <w:tab/>
      </w:r>
      <w:r w:rsidRPr="004E5B35">
        <w:rPr>
          <w:rStyle w:val="FootnoteReference"/>
          <w:sz w:val="20"/>
          <w:vertAlign w:val="baseline"/>
        </w:rPr>
        <w:t>*</w:t>
      </w:r>
      <w:r>
        <w:rPr>
          <w:rStyle w:val="FootnoteReference"/>
          <w:sz w:val="20"/>
          <w:vertAlign w:val="baseline"/>
        </w:rPr>
        <w:tab/>
      </w:r>
      <w:r w:rsidR="00884854" w:rsidRPr="0082113E">
        <w:t>A/78/6 (Sect. 20), table 20.5</w:t>
      </w:r>
      <w:r w:rsidR="008848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1FF" w14:textId="067F64A6" w:rsidR="00A77CCF" w:rsidRPr="00A77CCF" w:rsidRDefault="005E0686">
    <w:pPr>
      <w:pStyle w:val="Header"/>
    </w:pPr>
    <w:r>
      <w:fldChar w:fldCharType="begin"/>
    </w:r>
    <w:r>
      <w:instrText xml:space="preserve"> TITLE  \* MERGEFORMAT </w:instrText>
    </w:r>
    <w:r>
      <w:fldChar w:fldCharType="separate"/>
    </w:r>
    <w:r w:rsidR="00A77CCF">
      <w:t>ST/SG/AC.10/C.3/2024/17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014F" w14:textId="7B867CAB" w:rsidR="00D94B05" w:rsidRPr="00A77CCF" w:rsidRDefault="005E0686" w:rsidP="00A77CCF">
    <w:pPr>
      <w:pStyle w:val="Header"/>
      <w:jc w:val="right"/>
    </w:pPr>
    <w:r>
      <w:fldChar w:fldCharType="begin"/>
    </w:r>
    <w:r>
      <w:instrText xml:space="preserve"> TITLE  \* MERGEFORMAT </w:instrText>
    </w:r>
    <w:r>
      <w:fldChar w:fldCharType="separate"/>
    </w:r>
    <w:r w:rsidR="00A77CCF">
      <w:t>ST/SG/AC.10/C.3/2024/17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CF"/>
    <w:rsid w:val="00046E92"/>
    <w:rsid w:val="00063C90"/>
    <w:rsid w:val="00070000"/>
    <w:rsid w:val="00101B98"/>
    <w:rsid w:val="001514D1"/>
    <w:rsid w:val="00247E2C"/>
    <w:rsid w:val="002A32CB"/>
    <w:rsid w:val="002C2884"/>
    <w:rsid w:val="002D5B2C"/>
    <w:rsid w:val="002D6C53"/>
    <w:rsid w:val="002D7454"/>
    <w:rsid w:val="002F5595"/>
    <w:rsid w:val="00334F6A"/>
    <w:rsid w:val="00342AC8"/>
    <w:rsid w:val="00343302"/>
    <w:rsid w:val="003979DE"/>
    <w:rsid w:val="003B1248"/>
    <w:rsid w:val="003B4550"/>
    <w:rsid w:val="003D2A18"/>
    <w:rsid w:val="00413386"/>
    <w:rsid w:val="00461253"/>
    <w:rsid w:val="00484196"/>
    <w:rsid w:val="004858F5"/>
    <w:rsid w:val="004A2814"/>
    <w:rsid w:val="004B37CC"/>
    <w:rsid w:val="004C0622"/>
    <w:rsid w:val="004E5B35"/>
    <w:rsid w:val="004F6EC3"/>
    <w:rsid w:val="004F73D0"/>
    <w:rsid w:val="005042C2"/>
    <w:rsid w:val="005B4321"/>
    <w:rsid w:val="005E0686"/>
    <w:rsid w:val="005E716E"/>
    <w:rsid w:val="006476E1"/>
    <w:rsid w:val="006604DF"/>
    <w:rsid w:val="00671529"/>
    <w:rsid w:val="00674E1B"/>
    <w:rsid w:val="006F1EF5"/>
    <w:rsid w:val="0070489D"/>
    <w:rsid w:val="007200A1"/>
    <w:rsid w:val="007268F9"/>
    <w:rsid w:val="00750282"/>
    <w:rsid w:val="00764440"/>
    <w:rsid w:val="0077101B"/>
    <w:rsid w:val="007C52B0"/>
    <w:rsid w:val="007C6033"/>
    <w:rsid w:val="007F6FF8"/>
    <w:rsid w:val="008147C8"/>
    <w:rsid w:val="00815FCF"/>
    <w:rsid w:val="0081753A"/>
    <w:rsid w:val="00857D23"/>
    <w:rsid w:val="00884854"/>
    <w:rsid w:val="009411B4"/>
    <w:rsid w:val="00946F1D"/>
    <w:rsid w:val="00997B85"/>
    <w:rsid w:val="009A0A7F"/>
    <w:rsid w:val="009D0139"/>
    <w:rsid w:val="009D717D"/>
    <w:rsid w:val="009F5CDC"/>
    <w:rsid w:val="00A072D7"/>
    <w:rsid w:val="00A775CF"/>
    <w:rsid w:val="00A77CCF"/>
    <w:rsid w:val="00AD1A9C"/>
    <w:rsid w:val="00AF5DE1"/>
    <w:rsid w:val="00B06045"/>
    <w:rsid w:val="00B206DD"/>
    <w:rsid w:val="00B52EF4"/>
    <w:rsid w:val="00B777AD"/>
    <w:rsid w:val="00C03015"/>
    <w:rsid w:val="00C0358D"/>
    <w:rsid w:val="00C35A27"/>
    <w:rsid w:val="00C47B2E"/>
    <w:rsid w:val="00D63CD2"/>
    <w:rsid w:val="00D82773"/>
    <w:rsid w:val="00D85308"/>
    <w:rsid w:val="00D87DC2"/>
    <w:rsid w:val="00D93887"/>
    <w:rsid w:val="00D94B05"/>
    <w:rsid w:val="00DC7379"/>
    <w:rsid w:val="00E02C2B"/>
    <w:rsid w:val="00E21C27"/>
    <w:rsid w:val="00E26BCF"/>
    <w:rsid w:val="00E32A53"/>
    <w:rsid w:val="00E3490E"/>
    <w:rsid w:val="00E36CFE"/>
    <w:rsid w:val="00E52109"/>
    <w:rsid w:val="00E75317"/>
    <w:rsid w:val="00EC0CE6"/>
    <w:rsid w:val="00EC7C1D"/>
    <w:rsid w:val="00ED6C48"/>
    <w:rsid w:val="00EE3045"/>
    <w:rsid w:val="00F26186"/>
    <w:rsid w:val="00F6224E"/>
    <w:rsid w:val="00F65F5D"/>
    <w:rsid w:val="00F86A3A"/>
    <w:rsid w:val="00FA103C"/>
    <w:rsid w:val="00FA42DA"/>
    <w:rsid w:val="00FE2AC5"/>
    <w:rsid w:val="00FF260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89F1"/>
  <w15:docId w15:val="{45586AA1-1F57-4837-AFEF-110537E4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F6224E"/>
    <w:rPr>
      <w:b/>
      <w:sz w:val="28"/>
    </w:rPr>
  </w:style>
  <w:style w:type="character" w:customStyle="1" w:styleId="SingleTxtGChar">
    <w:name w:val="_ Single Txt_G Char"/>
    <w:link w:val="SingleTxtG"/>
    <w:qFormat/>
    <w:locked/>
    <w:rsid w:val="00F6224E"/>
  </w:style>
  <w:style w:type="character" w:customStyle="1" w:styleId="DGLbodyChar">
    <w:name w:val="DGL_body Char"/>
    <w:basedOn w:val="DefaultParagraphFont"/>
    <w:link w:val="DGLbody"/>
    <w:locked/>
    <w:rsid w:val="00F6224E"/>
    <w:rPr>
      <w:rFonts w:eastAsia="Times New Roman"/>
      <w:sz w:val="16"/>
      <w:lang w:val="en-US" w:eastAsia="en-US"/>
    </w:rPr>
  </w:style>
  <w:style w:type="paragraph" w:customStyle="1" w:styleId="DGLbody">
    <w:name w:val="DGL_body"/>
    <w:basedOn w:val="Normal"/>
    <w:link w:val="DGLbodyChar"/>
    <w:qFormat/>
    <w:rsid w:val="00F6224E"/>
    <w:pPr>
      <w:tabs>
        <w:tab w:val="left" w:pos="1418"/>
        <w:tab w:val="left" w:pos="1985"/>
        <w:tab w:val="left" w:pos="2552"/>
        <w:tab w:val="left" w:pos="3119"/>
      </w:tabs>
      <w:snapToGrid w:val="0"/>
      <w:spacing w:after="60" w:line="240" w:lineRule="auto"/>
      <w:jc w:val="both"/>
    </w:pPr>
    <w:rPr>
      <w:rFonts w:eastAsia="Times New Roman"/>
      <w:sz w:val="16"/>
      <w:lang w:val="en-US" w:eastAsia="en-US"/>
    </w:rPr>
  </w:style>
  <w:style w:type="character" w:customStyle="1" w:styleId="DGLbodyleftChar">
    <w:name w:val="DGL_body_left Char"/>
    <w:basedOn w:val="DGLbodyChar"/>
    <w:link w:val="DGLbodyleft"/>
    <w:locked/>
    <w:rsid w:val="00F6224E"/>
    <w:rPr>
      <w:rFonts w:eastAsia="Times New Roman"/>
      <w:sz w:val="16"/>
      <w:lang w:val="en-US" w:eastAsia="en-US"/>
    </w:rPr>
  </w:style>
  <w:style w:type="paragraph" w:customStyle="1" w:styleId="DGLbodyleft">
    <w:name w:val="DGL_body_left"/>
    <w:basedOn w:val="DGLbody"/>
    <w:link w:val="DGLbodyleftChar"/>
    <w:qFormat/>
    <w:rsid w:val="00F6224E"/>
    <w:pPr>
      <w:jc w:val="left"/>
    </w:pPr>
  </w:style>
  <w:style w:type="character" w:customStyle="1" w:styleId="DGLbodyboldChar">
    <w:name w:val="DGL_body_bold Char"/>
    <w:basedOn w:val="DGLbodyChar"/>
    <w:link w:val="DGLbodybold"/>
    <w:locked/>
    <w:rsid w:val="00F6224E"/>
    <w:rPr>
      <w:rFonts w:eastAsia="Times New Roman"/>
      <w:b/>
      <w:bCs/>
      <w:sz w:val="16"/>
      <w:lang w:val="en-US" w:eastAsia="en-US"/>
    </w:rPr>
  </w:style>
  <w:style w:type="paragraph" w:customStyle="1" w:styleId="DGLbodybold">
    <w:name w:val="DGL_body_bold"/>
    <w:basedOn w:val="DGLbody"/>
    <w:link w:val="DGLbodyboldChar"/>
    <w:qFormat/>
    <w:rsid w:val="00F6224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UserInfo>
        <DisplayName>Rosa Garcia Couto</DisplayName>
        <AccountId>33</AccountId>
        <AccountType/>
      </UserInfo>
      <UserInfo>
        <DisplayName>Armando Serrano Lombillo</DisplayName>
        <AccountId>69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BDFB8-F5D0-4B62-9446-2CD7C185700A}"/>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1010</Words>
  <Characters>5546</Characters>
  <Application>Microsoft Office Word</Application>
  <DocSecurity>0</DocSecurity>
  <Lines>167</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ST/SG/AC.10/C.3/2024/17</dc:title>
  <dc:subject>2406423</dc:subject>
  <dc:creator>Alicia DORCA-GARCIA</dc:creator>
  <cp:keywords/>
  <dc:description/>
  <cp:lastModifiedBy>Pauline Anne Escalante</cp:lastModifiedBy>
  <cp:revision>2</cp:revision>
  <dcterms:created xsi:type="dcterms:W3CDTF">2024-04-09T09:21:00Z</dcterms:created>
  <dcterms:modified xsi:type="dcterms:W3CDTF">2024-04-09T09:21:00Z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