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983FBF" w14:paraId="56C26F1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E2F7171" w14:textId="77777777" w:rsidR="00132EA9" w:rsidRPr="00DB58B5" w:rsidRDefault="00132EA9" w:rsidP="00983FB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1FE79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C03BEFB" w14:textId="5DE3429F" w:rsidR="00983FBF" w:rsidRPr="00983FBF" w:rsidRDefault="00983FBF" w:rsidP="00983FBF">
            <w:pPr>
              <w:jc w:val="right"/>
              <w:rPr>
                <w:lang w:val="en-US"/>
              </w:rPr>
            </w:pPr>
            <w:r w:rsidRPr="00983FBF">
              <w:rPr>
                <w:sz w:val="40"/>
                <w:lang w:val="en-US"/>
              </w:rPr>
              <w:t>ST</w:t>
            </w:r>
            <w:r w:rsidRPr="00983FBF">
              <w:rPr>
                <w:lang w:val="en-US"/>
              </w:rPr>
              <w:t>/SG/AC.10/C.3/2024/25−</w:t>
            </w:r>
            <w:r w:rsidRPr="00983FBF">
              <w:rPr>
                <w:sz w:val="40"/>
                <w:lang w:val="en-US"/>
              </w:rPr>
              <w:t>ST</w:t>
            </w:r>
            <w:r w:rsidRPr="00983FBF">
              <w:rPr>
                <w:lang w:val="en-US"/>
              </w:rPr>
              <w:t>/SG/AC.10/C.4/2024/6</w:t>
            </w:r>
          </w:p>
        </w:tc>
      </w:tr>
      <w:tr w:rsidR="00132EA9" w:rsidRPr="00DB58B5" w14:paraId="18502FD6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2C78E7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CBCD14D" wp14:editId="72B67C9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2734EC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4246E2" w14:textId="77777777" w:rsidR="00132EA9" w:rsidRDefault="00983FBF" w:rsidP="00F01738">
            <w:pPr>
              <w:spacing w:before="240"/>
            </w:pPr>
            <w:r>
              <w:t>Distr. générale</w:t>
            </w:r>
          </w:p>
          <w:p w14:paraId="58215DCC" w14:textId="77777777" w:rsidR="00983FBF" w:rsidRDefault="00983FBF" w:rsidP="00983FBF">
            <w:pPr>
              <w:spacing w:line="240" w:lineRule="exact"/>
            </w:pPr>
            <w:r>
              <w:t>5 avril 2024</w:t>
            </w:r>
          </w:p>
          <w:p w14:paraId="23DED23A" w14:textId="77777777" w:rsidR="00983FBF" w:rsidRDefault="00983FBF" w:rsidP="00983FBF">
            <w:pPr>
              <w:spacing w:line="240" w:lineRule="exact"/>
            </w:pPr>
            <w:r>
              <w:t>Français</w:t>
            </w:r>
          </w:p>
          <w:p w14:paraId="68261713" w14:textId="7C2E4F51" w:rsidR="00983FBF" w:rsidRPr="00DB58B5" w:rsidRDefault="00983FBF" w:rsidP="00983FBF">
            <w:pPr>
              <w:spacing w:line="240" w:lineRule="exact"/>
            </w:pPr>
            <w:r>
              <w:t>Original : anglais</w:t>
            </w:r>
          </w:p>
        </w:tc>
      </w:tr>
    </w:tbl>
    <w:p w14:paraId="1E41312D" w14:textId="0395EE11" w:rsidR="00983FBF" w:rsidRPr="00CA0680" w:rsidRDefault="00983FB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3D54F8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3D54F8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983FBF" w14:paraId="2E02FFFB" w14:textId="77777777" w:rsidTr="009C3129">
        <w:tc>
          <w:tcPr>
            <w:tcW w:w="4820" w:type="dxa"/>
          </w:tcPr>
          <w:p w14:paraId="46083E86" w14:textId="4447128F" w:rsidR="00983FBF" w:rsidRDefault="00983FBF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3D54F8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455376D7" w14:textId="72DCADB9" w:rsidR="00983FBF" w:rsidRDefault="00983FBF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3D54F8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3D54F8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983FBF" w14:paraId="65F206B7" w14:textId="77777777" w:rsidTr="009C3129">
        <w:tc>
          <w:tcPr>
            <w:tcW w:w="4820" w:type="dxa"/>
          </w:tcPr>
          <w:p w14:paraId="44230CE9" w14:textId="119BD48D" w:rsidR="00983FBF" w:rsidRPr="00CA0680" w:rsidRDefault="00983FBF" w:rsidP="009C3129">
            <w:pPr>
              <w:spacing w:before="120"/>
              <w:rPr>
                <w:b/>
              </w:rPr>
            </w:pPr>
            <w:r w:rsidRPr="00836BCD">
              <w:rPr>
                <w:b/>
                <w:bCs/>
                <w:lang w:val="fr-FR"/>
              </w:rPr>
              <w:t>Soixante-quatrième session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0FB3207D" w14:textId="67E182FD" w:rsidR="00983FBF" w:rsidRDefault="00983FBF" w:rsidP="009C3129">
            <w:pPr>
              <w:spacing w:before="120"/>
              <w:rPr>
                <w:b/>
              </w:rPr>
            </w:pPr>
            <w:r w:rsidRPr="00836BCD">
              <w:rPr>
                <w:b/>
                <w:bCs/>
                <w:lang w:val="fr-FR"/>
              </w:rPr>
              <w:t xml:space="preserve">Quarante-sixième </w:t>
            </w:r>
            <w:r>
              <w:rPr>
                <w:b/>
              </w:rPr>
              <w:t>session</w:t>
            </w:r>
          </w:p>
        </w:tc>
      </w:tr>
      <w:tr w:rsidR="00983FBF" w14:paraId="1CC3BD45" w14:textId="77777777" w:rsidTr="009C3129">
        <w:tc>
          <w:tcPr>
            <w:tcW w:w="4820" w:type="dxa"/>
          </w:tcPr>
          <w:p w14:paraId="10F89A3D" w14:textId="680C5C1C" w:rsidR="00983FBF" w:rsidRDefault="00983FBF" w:rsidP="009C3129">
            <w:r w:rsidRPr="00836BCD">
              <w:rPr>
                <w:lang w:val="fr-FR"/>
              </w:rPr>
              <w:t>Genève, 24 juin-3 juillet 2024</w:t>
            </w:r>
          </w:p>
          <w:p w14:paraId="44600DF6" w14:textId="45F57206" w:rsidR="00983FBF" w:rsidRPr="00836BCD" w:rsidRDefault="00983FBF" w:rsidP="00983FBF">
            <w:pPr>
              <w:rPr>
                <w:lang w:val="fr-FR"/>
              </w:rPr>
            </w:pPr>
            <w:r w:rsidRPr="00836BCD">
              <w:rPr>
                <w:lang w:val="fr-FR"/>
              </w:rPr>
              <w:t xml:space="preserve">Point 10 </w:t>
            </w:r>
            <w:r w:rsidR="0064486A">
              <w:rPr>
                <w:lang w:val="fr-FR"/>
              </w:rPr>
              <w:t xml:space="preserve">c) </w:t>
            </w:r>
            <w:r w:rsidRPr="00836BCD">
              <w:rPr>
                <w:lang w:val="fr-FR"/>
              </w:rPr>
              <w:t>de l</w:t>
            </w:r>
            <w:r w:rsidR="003D54F8">
              <w:rPr>
                <w:lang w:val="fr-FR"/>
              </w:rPr>
              <w:t>’</w:t>
            </w:r>
            <w:r w:rsidRPr="00836BCD">
              <w:rPr>
                <w:lang w:val="fr-FR"/>
              </w:rPr>
              <w:t>ordre du jour provisoire</w:t>
            </w:r>
          </w:p>
          <w:p w14:paraId="7123B7EE" w14:textId="1A711B50" w:rsidR="00983FBF" w:rsidRPr="003B79D9" w:rsidRDefault="00983FBF" w:rsidP="00983FBF">
            <w:pPr>
              <w:rPr>
                <w:b/>
              </w:rPr>
            </w:pPr>
            <w:r w:rsidRPr="00836BCD">
              <w:rPr>
                <w:b/>
                <w:bCs/>
                <w:lang w:val="fr-FR"/>
              </w:rPr>
              <w:t xml:space="preserve">Questions relatives au Système général harmonisé </w:t>
            </w:r>
            <w:r>
              <w:rPr>
                <w:b/>
                <w:bCs/>
                <w:lang w:val="fr-FR"/>
              </w:rPr>
              <w:br/>
            </w:r>
            <w:r w:rsidRPr="00836BCD">
              <w:rPr>
                <w:b/>
                <w:bCs/>
                <w:lang w:val="fr-FR"/>
              </w:rPr>
              <w:t>de classification et d</w:t>
            </w:r>
            <w:r w:rsidR="003D54F8">
              <w:rPr>
                <w:b/>
                <w:bCs/>
                <w:lang w:val="fr-FR"/>
              </w:rPr>
              <w:t>’</w:t>
            </w:r>
            <w:r w:rsidRPr="00836BCD">
              <w:rPr>
                <w:b/>
                <w:bCs/>
                <w:lang w:val="fr-FR"/>
              </w:rPr>
              <w:t xml:space="preserve">étiquetage des produits </w:t>
            </w:r>
            <w:r>
              <w:rPr>
                <w:b/>
                <w:bCs/>
                <w:lang w:val="fr-FR"/>
              </w:rPr>
              <w:br/>
            </w:r>
            <w:r w:rsidRPr="00836BCD">
              <w:rPr>
                <w:b/>
                <w:bCs/>
                <w:lang w:val="fr-FR"/>
              </w:rPr>
              <w:t xml:space="preserve">chimiques : </w:t>
            </w:r>
            <w:r>
              <w:rPr>
                <w:b/>
                <w:bCs/>
                <w:lang w:val="fr-FR"/>
              </w:rPr>
              <w:t>Q</w:t>
            </w:r>
            <w:r w:rsidRPr="00836BCD">
              <w:rPr>
                <w:b/>
                <w:bCs/>
                <w:lang w:val="fr-FR"/>
              </w:rPr>
              <w:t>uestions diverses</w:t>
            </w:r>
            <w:r w:rsidRPr="003B79D9">
              <w:rPr>
                <w:b/>
              </w:rPr>
              <w:t xml:space="preserve"> </w:t>
            </w:r>
          </w:p>
        </w:tc>
        <w:tc>
          <w:tcPr>
            <w:tcW w:w="4820" w:type="dxa"/>
          </w:tcPr>
          <w:p w14:paraId="025417CE" w14:textId="439B95CB" w:rsidR="00983FBF" w:rsidRDefault="00983FBF" w:rsidP="009C3129">
            <w:r w:rsidRPr="00836BCD">
              <w:rPr>
                <w:lang w:val="fr-FR"/>
              </w:rPr>
              <w:t>Genève, 3-5 juillet 2024</w:t>
            </w:r>
          </w:p>
          <w:p w14:paraId="17DFD726" w14:textId="0940DCEA" w:rsidR="00983FBF" w:rsidRPr="00836BCD" w:rsidRDefault="00983FBF" w:rsidP="00983FBF">
            <w:pPr>
              <w:rPr>
                <w:lang w:val="fr-FR"/>
              </w:rPr>
            </w:pPr>
            <w:r w:rsidRPr="00836BCD">
              <w:rPr>
                <w:lang w:val="fr-FR"/>
              </w:rPr>
              <w:t>Point 2 j) de l</w:t>
            </w:r>
            <w:r w:rsidR="003D54F8">
              <w:rPr>
                <w:lang w:val="fr-FR"/>
              </w:rPr>
              <w:t>’</w:t>
            </w:r>
            <w:r w:rsidRPr="00836BCD">
              <w:rPr>
                <w:lang w:val="fr-FR"/>
              </w:rPr>
              <w:t>ordre du jour provisoire</w:t>
            </w:r>
          </w:p>
          <w:p w14:paraId="04ADDB53" w14:textId="5FDE6315" w:rsidR="00983FBF" w:rsidRPr="003B79D9" w:rsidRDefault="00983FBF" w:rsidP="00983FBF">
            <w:pPr>
              <w:rPr>
                <w:b/>
              </w:rPr>
            </w:pPr>
            <w:r w:rsidRPr="00836BCD">
              <w:rPr>
                <w:b/>
                <w:bCs/>
                <w:lang w:val="fr-FR"/>
              </w:rPr>
              <w:t xml:space="preserve">Travaux relatifs au Système général harmonisé </w:t>
            </w:r>
            <w:r>
              <w:rPr>
                <w:b/>
                <w:bCs/>
                <w:lang w:val="fr-FR"/>
              </w:rPr>
              <w:br/>
            </w:r>
            <w:r w:rsidRPr="00836BCD">
              <w:rPr>
                <w:b/>
                <w:bCs/>
                <w:lang w:val="fr-FR"/>
              </w:rPr>
              <w:t>de classification et d</w:t>
            </w:r>
            <w:r w:rsidR="003D54F8">
              <w:rPr>
                <w:b/>
                <w:bCs/>
                <w:lang w:val="fr-FR"/>
              </w:rPr>
              <w:t>’</w:t>
            </w:r>
            <w:r w:rsidRPr="00836BCD">
              <w:rPr>
                <w:b/>
                <w:bCs/>
                <w:lang w:val="fr-FR"/>
              </w:rPr>
              <w:t xml:space="preserve">étiquetage des produits </w:t>
            </w:r>
            <w:r>
              <w:rPr>
                <w:b/>
                <w:bCs/>
                <w:lang w:val="fr-FR"/>
              </w:rPr>
              <w:br/>
            </w:r>
            <w:r w:rsidRPr="00836BCD">
              <w:rPr>
                <w:b/>
                <w:bCs/>
                <w:lang w:val="fr-FR"/>
              </w:rPr>
              <w:t>chimiques :</w:t>
            </w:r>
            <w:r w:rsidRPr="00836BCD">
              <w:rPr>
                <w:lang w:val="fr-FR"/>
              </w:rPr>
              <w:t xml:space="preserve"> </w:t>
            </w:r>
            <w:r w:rsidRPr="00836BCD">
              <w:rPr>
                <w:b/>
                <w:bCs/>
                <w:lang w:val="fr-FR"/>
              </w:rPr>
              <w:t>Autres questions</w:t>
            </w:r>
          </w:p>
        </w:tc>
      </w:tr>
    </w:tbl>
    <w:p w14:paraId="60B7596E" w14:textId="22B5ED25" w:rsidR="003D54F8" w:rsidRPr="00836BCD" w:rsidRDefault="003D54F8" w:rsidP="003D54F8">
      <w:pPr>
        <w:pStyle w:val="HChG"/>
        <w:rPr>
          <w:lang w:val="fr-FR"/>
        </w:rPr>
      </w:pPr>
      <w:r w:rsidRPr="00836BCD">
        <w:rPr>
          <w:lang w:val="fr-FR"/>
        </w:rPr>
        <w:tab/>
      </w:r>
      <w:r w:rsidRPr="00836BCD">
        <w:rPr>
          <w:lang w:val="fr-FR"/>
        </w:rPr>
        <w:tab/>
        <w:t xml:space="preserve">Réflexion concernant les modifications apportées </w:t>
      </w:r>
      <w:r>
        <w:rPr>
          <w:lang w:val="fr-FR"/>
        </w:rPr>
        <w:br/>
      </w:r>
      <w:r w:rsidRPr="00836BCD">
        <w:rPr>
          <w:lang w:val="fr-FR"/>
        </w:rPr>
        <w:t>au chapitre</w:t>
      </w:r>
      <w:r>
        <w:rPr>
          <w:lang w:val="fr-FR"/>
        </w:rPr>
        <w:t> </w:t>
      </w:r>
      <w:r w:rsidRPr="00836BCD">
        <w:rPr>
          <w:lang w:val="fr-FR"/>
        </w:rPr>
        <w:t xml:space="preserve">2.17 (Matières explosibles désensibilisées) </w:t>
      </w:r>
      <w:r>
        <w:rPr>
          <w:lang w:val="fr-FR"/>
        </w:rPr>
        <w:br/>
      </w:r>
      <w:r w:rsidRPr="00836BCD">
        <w:rPr>
          <w:lang w:val="fr-FR"/>
        </w:rPr>
        <w:t xml:space="preserve">du Système général harmonisé et à la section 51 </w:t>
      </w:r>
      <w:r>
        <w:rPr>
          <w:lang w:val="fr-FR"/>
        </w:rPr>
        <w:br/>
      </w:r>
      <w:r w:rsidRPr="00836BCD">
        <w:rPr>
          <w:lang w:val="fr-FR"/>
        </w:rPr>
        <w:t>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</w:t>
      </w:r>
    </w:p>
    <w:p w14:paraId="74EEB523" w14:textId="0BAC0ED6" w:rsidR="003D54F8" w:rsidRPr="00836BCD" w:rsidRDefault="003D54F8" w:rsidP="003D54F8">
      <w:pPr>
        <w:pStyle w:val="H1G"/>
        <w:rPr>
          <w:lang w:val="fr-FR"/>
        </w:rPr>
      </w:pPr>
      <w:r w:rsidRPr="00836BCD">
        <w:rPr>
          <w:lang w:val="fr-FR"/>
        </w:rPr>
        <w:tab/>
      </w:r>
      <w:r w:rsidRPr="00836BCD">
        <w:rPr>
          <w:lang w:val="fr-FR"/>
        </w:rPr>
        <w:tab/>
      </w:r>
      <w:r w:rsidRPr="003D54F8">
        <w:rPr>
          <w:lang w:val="en-US"/>
        </w:rPr>
        <w:t>Communication de l</w:t>
      </w:r>
      <w:r>
        <w:rPr>
          <w:lang w:val="en-US"/>
        </w:rPr>
        <w:t>’</w:t>
      </w:r>
      <w:r w:rsidRPr="003D54F8">
        <w:rPr>
          <w:lang w:val="en-US"/>
        </w:rPr>
        <w:t xml:space="preserve">Australasian Explosives Industry Safety </w:t>
      </w:r>
      <w:r>
        <w:rPr>
          <w:lang w:val="en-US"/>
        </w:rPr>
        <w:br/>
      </w:r>
      <w:r w:rsidRPr="003D54F8">
        <w:rPr>
          <w:lang w:val="en-US"/>
        </w:rPr>
        <w:t xml:space="preserve">Group Inc. </w:t>
      </w:r>
      <w:r w:rsidRPr="00836BCD">
        <w:rPr>
          <w:lang w:val="fr-FR"/>
        </w:rPr>
        <w:t>(AEISG)</w:t>
      </w:r>
      <w:r w:rsidRPr="003D54F8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04A7FA4D" w14:textId="7975893F" w:rsidR="003D54F8" w:rsidRPr="003D54F8" w:rsidRDefault="003D54F8" w:rsidP="003D54F8">
      <w:pPr>
        <w:pStyle w:val="HChG"/>
      </w:pPr>
      <w:r>
        <w:rPr>
          <w:lang w:val="fr-FR"/>
        </w:rPr>
        <w:tab/>
      </w:r>
      <w:r w:rsidRPr="00836BCD">
        <w:rPr>
          <w:lang w:val="fr-FR"/>
        </w:rPr>
        <w:t>I.</w:t>
      </w:r>
      <w:r w:rsidRPr="00836BCD">
        <w:rPr>
          <w:lang w:val="fr-FR"/>
        </w:rPr>
        <w:tab/>
        <w:t>Contexte</w:t>
      </w:r>
    </w:p>
    <w:p w14:paraId="3B3A15BE" w14:textId="53AA6AFC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1.</w:t>
      </w:r>
      <w:r w:rsidRPr="00836BCD">
        <w:rPr>
          <w:lang w:val="fr-FR"/>
        </w:rPr>
        <w:tab/>
        <w:t>À sa quarante-troisième session, le Sous-Comité d</w:t>
      </w:r>
      <w:r>
        <w:rPr>
          <w:lang w:val="fr-FR"/>
        </w:rPr>
        <w:t>’</w:t>
      </w:r>
      <w:r w:rsidRPr="00836BCD">
        <w:rPr>
          <w:lang w:val="fr-FR"/>
        </w:rPr>
        <w:t>experts du Système général harmonisé de classification et d</w:t>
      </w:r>
      <w:r>
        <w:rPr>
          <w:lang w:val="fr-FR"/>
        </w:rPr>
        <w:t>’</w:t>
      </w:r>
      <w:r w:rsidRPr="00836BCD">
        <w:rPr>
          <w:lang w:val="fr-FR"/>
        </w:rPr>
        <w:t>étiquetage des produits chimiques (Sous-Comité SGH) a adopté des modifications au chapitre 2.17 du SGH (Matières explosibles désensibilisées), comme proposé dans le document ST/SG/AC.10/C.4/2022/10 soumis par l</w:t>
      </w:r>
      <w:r>
        <w:rPr>
          <w:lang w:val="fr-FR"/>
        </w:rPr>
        <w:t>’</w:t>
      </w:r>
      <w:r w:rsidRPr="00836BCD">
        <w:rPr>
          <w:lang w:val="fr-FR"/>
        </w:rPr>
        <w:t>Allemagne et les États-Unis d</w:t>
      </w:r>
      <w:r>
        <w:rPr>
          <w:lang w:val="fr-FR"/>
        </w:rPr>
        <w:t>’</w:t>
      </w:r>
      <w:r w:rsidRPr="00836BCD">
        <w:rPr>
          <w:lang w:val="fr-FR"/>
        </w:rPr>
        <w:t>Amérique, tel que modifié par le document informel INF.35 présenté par l</w:t>
      </w:r>
      <w:r>
        <w:rPr>
          <w:lang w:val="fr-FR"/>
        </w:rPr>
        <w:t>’</w:t>
      </w:r>
      <w:r w:rsidRPr="00836BCD">
        <w:rPr>
          <w:lang w:val="fr-FR"/>
        </w:rPr>
        <w:t>Allemagne, les États-Unis d</w:t>
      </w:r>
      <w:r>
        <w:rPr>
          <w:lang w:val="fr-FR"/>
        </w:rPr>
        <w:t>’</w:t>
      </w:r>
      <w:r w:rsidRPr="00836BCD">
        <w:rPr>
          <w:lang w:val="fr-FR"/>
        </w:rPr>
        <w:t>Amérique et le Royaume-Uni. Le Sous-Comité SGH a également adopté quelques corrections rédactionnelles de conséquence, figurant dans l</w:t>
      </w:r>
      <w:r>
        <w:rPr>
          <w:lang w:val="fr-FR"/>
        </w:rPr>
        <w:t>’</w:t>
      </w:r>
      <w:r w:rsidRPr="00836BCD">
        <w:rPr>
          <w:lang w:val="fr-FR"/>
        </w:rPr>
        <w:t>annexe I du rapport sur sa quarante-troisième session (ST/SG/AC.10/C.4/86). Le Sous</w:t>
      </w:r>
      <w:r>
        <w:rPr>
          <w:lang w:val="fr-FR"/>
        </w:rPr>
        <w:noBreakHyphen/>
      </w:r>
      <w:r w:rsidRPr="00836BCD">
        <w:rPr>
          <w:lang w:val="fr-FR"/>
        </w:rPr>
        <w:t>Comité SGH a en outre pris note des débats du Sous-Comité d</w:t>
      </w:r>
      <w:r>
        <w:rPr>
          <w:lang w:val="fr-FR"/>
        </w:rPr>
        <w:t>’</w:t>
      </w:r>
      <w:r w:rsidRPr="00836BCD">
        <w:rPr>
          <w:lang w:val="fr-FR"/>
        </w:rPr>
        <w:t>experts du transport des marchandises dangereuses (Sous-Comité TMD) sur cette question, y compris l</w:t>
      </w:r>
      <w:r>
        <w:rPr>
          <w:lang w:val="fr-FR"/>
        </w:rPr>
        <w:t>’</w:t>
      </w:r>
      <w:r w:rsidRPr="00836BCD">
        <w:rPr>
          <w:lang w:val="fr-FR"/>
        </w:rPr>
        <w:t>adoption d</w:t>
      </w:r>
      <w:r>
        <w:rPr>
          <w:lang w:val="fr-FR"/>
        </w:rPr>
        <w:t>’</w:t>
      </w:r>
      <w:r w:rsidRPr="00836BCD">
        <w:rPr>
          <w:lang w:val="fr-FR"/>
        </w:rPr>
        <w:t>amendements à la section 51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(voir le rapport du Sous</w:t>
      </w:r>
      <w:r>
        <w:rPr>
          <w:lang w:val="fr-FR"/>
        </w:rPr>
        <w:noBreakHyphen/>
      </w:r>
      <w:r w:rsidRPr="00836BCD">
        <w:rPr>
          <w:lang w:val="fr-FR"/>
        </w:rPr>
        <w:t>Comité TMD sur sa soixante et unième session, document ST/SG/AC.10/C.3/122, par.</w:t>
      </w:r>
      <w:r>
        <w:rPr>
          <w:lang w:val="fr-FR"/>
        </w:rPr>
        <w:t> </w:t>
      </w:r>
      <w:r w:rsidRPr="00836BCD">
        <w:rPr>
          <w:lang w:val="fr-FR"/>
        </w:rPr>
        <w:t>70 et annexe II).</w:t>
      </w:r>
    </w:p>
    <w:p w14:paraId="3E60F596" w14:textId="75DE40D6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2.</w:t>
      </w:r>
      <w:r w:rsidRPr="00836BCD">
        <w:rPr>
          <w:lang w:val="fr-FR"/>
        </w:rPr>
        <w:tab/>
        <w:t>Bien que l</w:t>
      </w:r>
      <w:r>
        <w:rPr>
          <w:lang w:val="fr-FR"/>
        </w:rPr>
        <w:t>’</w:t>
      </w:r>
      <w:r w:rsidRPr="00836BCD">
        <w:rPr>
          <w:lang w:val="fr-FR"/>
        </w:rPr>
        <w:t>AEISG ait appuyé les modifications proposées, il a fait observer qu</w:t>
      </w:r>
      <w:r>
        <w:rPr>
          <w:lang w:val="fr-FR"/>
        </w:rPr>
        <w:t>’</w:t>
      </w:r>
      <w:r w:rsidRPr="00836BCD">
        <w:rPr>
          <w:lang w:val="fr-FR"/>
        </w:rPr>
        <w:t xml:space="preserve">elles pouvaient dans certains cas être source de confusion ou avoir des conséquences involontaires (comme indiqué dans le document informel INF.12 (Sous-Comité SGH, quarante-troisième session) </w:t>
      </w:r>
      <w:r w:rsidR="0052215A">
        <w:rPr>
          <w:lang w:val="fr-FR"/>
        </w:rPr>
        <w:t>−</w:t>
      </w:r>
      <w:r w:rsidRPr="00836BCD">
        <w:rPr>
          <w:lang w:val="fr-FR"/>
        </w:rPr>
        <w:t xml:space="preserve"> INF.20 (Sous-Comité TMD, soixante et unième session). L</w:t>
      </w:r>
      <w:r>
        <w:rPr>
          <w:lang w:val="fr-FR"/>
        </w:rPr>
        <w:t>’</w:t>
      </w:r>
      <w:r w:rsidRPr="00836BCD">
        <w:rPr>
          <w:lang w:val="fr-FR"/>
        </w:rPr>
        <w:t>AEISG a pris note de l</w:t>
      </w:r>
      <w:r>
        <w:rPr>
          <w:lang w:val="fr-FR"/>
        </w:rPr>
        <w:t>’</w:t>
      </w:r>
      <w:r w:rsidRPr="00836BCD">
        <w:rPr>
          <w:lang w:val="fr-FR"/>
        </w:rPr>
        <w:t xml:space="preserve">invitation du Président du Groupe de travail des explosifs de soumettre une proposition </w:t>
      </w:r>
      <w:r w:rsidRPr="00836BCD">
        <w:rPr>
          <w:lang w:val="fr-FR"/>
        </w:rPr>
        <w:lastRenderedPageBreak/>
        <w:t>traitant des questions qu</w:t>
      </w:r>
      <w:r>
        <w:rPr>
          <w:lang w:val="fr-FR"/>
        </w:rPr>
        <w:t>’</w:t>
      </w:r>
      <w:r w:rsidRPr="00836BCD">
        <w:rPr>
          <w:lang w:val="fr-FR"/>
        </w:rPr>
        <w:t>il avait soulevées, pour examen au cours de la période biennale suivante (actuelle) (voir le rapport ST/SG/AC.10/C.4/86, par. 28 et 29).</w:t>
      </w:r>
    </w:p>
    <w:p w14:paraId="28BA53FC" w14:textId="54C1EAED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3.</w:t>
      </w:r>
      <w:r w:rsidRPr="00836BCD">
        <w:rPr>
          <w:lang w:val="fr-FR"/>
        </w:rPr>
        <w:tab/>
        <w:t>À la soixante-deuxième session du Sous-Comité TMD et à la quarante-quatrième session du Sous-Comité SGH, l</w:t>
      </w:r>
      <w:r>
        <w:rPr>
          <w:lang w:val="fr-FR"/>
        </w:rPr>
        <w:t>’</w:t>
      </w:r>
      <w:r w:rsidRPr="00836BCD">
        <w:rPr>
          <w:lang w:val="fr-FR"/>
        </w:rPr>
        <w:t>AEISG a abordé ces questions dans le document ST/SG/AC.10/C.3/2023/17-ST/SG/AC.10/C.4/2023/3, qui contenait trois propositions.</w:t>
      </w:r>
    </w:p>
    <w:p w14:paraId="0F34B1E2" w14:textId="336975C4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4.</w:t>
      </w:r>
      <w:r w:rsidRPr="00836BCD">
        <w:rPr>
          <w:lang w:val="fr-FR"/>
        </w:rPr>
        <w:tab/>
        <w:t>Les propositions de l</w:t>
      </w:r>
      <w:r>
        <w:rPr>
          <w:lang w:val="fr-FR"/>
        </w:rPr>
        <w:t>’</w:t>
      </w:r>
      <w:r w:rsidRPr="00836BCD">
        <w:rPr>
          <w:lang w:val="fr-FR"/>
        </w:rPr>
        <w:t>AEISG ont été examinées par le Groupe de travail sur les explosifs à la soixante-deuxième session du Sous-Comité TMD. Comme indiqué dans son rapport, le Groupe de travail a recommandé que deux des propositions de l</w:t>
      </w:r>
      <w:r>
        <w:rPr>
          <w:lang w:val="fr-FR"/>
        </w:rPr>
        <w:t>’</w:t>
      </w:r>
      <w:r w:rsidRPr="00836BCD">
        <w:rPr>
          <w:lang w:val="fr-FR"/>
        </w:rPr>
        <w:t>AEISG soient acceptées (voir le document informel INF.47 de ladite session, section 11 et amendement 3 dans l</w:t>
      </w:r>
      <w:r>
        <w:rPr>
          <w:lang w:val="fr-FR"/>
        </w:rPr>
        <w:t>’</w:t>
      </w:r>
      <w:r w:rsidRPr="00836BCD">
        <w:rPr>
          <w:lang w:val="fr-FR"/>
        </w:rPr>
        <w:t>annexe 2 de ce document), mais n</w:t>
      </w:r>
      <w:r>
        <w:rPr>
          <w:lang w:val="fr-FR"/>
        </w:rPr>
        <w:t>’</w:t>
      </w:r>
      <w:r w:rsidRPr="00836BCD">
        <w:rPr>
          <w:lang w:val="fr-FR"/>
        </w:rPr>
        <w:t>a pas pu parvenir à un consensus sur la troisième proposition concernant les incohérences supposées dans le classement des matières explosibles. La recommandation du Groupe a ensuite été soumise au Sous-Comité SGH à sa quarante-quatrième session (voir le document informel INF.22, point 3). Le Sous-Comité SGH a pris note des résultats des débats du Sous-Comité TMD sur cette question et a souscrit à ses décisions (voir le rapport ST/SG/AC.10/C.4/88, paragraphes 10 et 11). L</w:t>
      </w:r>
      <w:r>
        <w:rPr>
          <w:lang w:val="fr-FR"/>
        </w:rPr>
        <w:t>’</w:t>
      </w:r>
      <w:r w:rsidRPr="00836BCD">
        <w:rPr>
          <w:lang w:val="fr-FR"/>
        </w:rPr>
        <w:t>AEISG s</w:t>
      </w:r>
      <w:r>
        <w:rPr>
          <w:lang w:val="fr-FR"/>
        </w:rPr>
        <w:t>’</w:t>
      </w:r>
      <w:r w:rsidRPr="00836BCD">
        <w:rPr>
          <w:lang w:val="fr-FR"/>
        </w:rPr>
        <w:t>est porté volontaire pour revoir sa proposition pour la session suivante, en tenant compte des commentaires reçus.</w:t>
      </w:r>
    </w:p>
    <w:p w14:paraId="7398DB94" w14:textId="7ADBCA00" w:rsidR="003D54F8" w:rsidRPr="00836BCD" w:rsidRDefault="003D54F8" w:rsidP="003D54F8">
      <w:pPr>
        <w:pStyle w:val="HChG"/>
        <w:rPr>
          <w:lang w:val="fr-FR"/>
        </w:rPr>
      </w:pPr>
      <w:r>
        <w:rPr>
          <w:lang w:val="fr-FR"/>
        </w:rPr>
        <w:tab/>
      </w:r>
      <w:r w:rsidRPr="00836BCD">
        <w:rPr>
          <w:lang w:val="fr-FR"/>
        </w:rPr>
        <w:t>II.</w:t>
      </w:r>
      <w:r w:rsidRPr="00836BCD">
        <w:rPr>
          <w:lang w:val="fr-FR"/>
        </w:rPr>
        <w:tab/>
      </w:r>
      <w:r w:rsidRPr="003D54F8">
        <w:t>Manque</w:t>
      </w:r>
      <w:r w:rsidRPr="00836BCD">
        <w:rPr>
          <w:lang w:val="fr-FR"/>
        </w:rPr>
        <w:t xml:space="preserve"> de cohérence dans le classement des matières explosibles</w:t>
      </w:r>
    </w:p>
    <w:p w14:paraId="4A2CAA9C" w14:textId="09B73B2F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5.</w:t>
      </w:r>
      <w:r w:rsidRPr="00836BCD">
        <w:rPr>
          <w:lang w:val="fr-FR"/>
        </w:rPr>
        <w:tab/>
        <w:t>Le chapitre 2.17 du SGH et la section 51 correspondante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visent à établir des critères permettant de déterminer que des produits relèvent de la classe des matières explosibles désensibilisées au sens du SGH, puis de les placer dans l</w:t>
      </w:r>
      <w:r>
        <w:rPr>
          <w:lang w:val="fr-FR"/>
        </w:rPr>
        <w:t>’</w:t>
      </w:r>
      <w:r w:rsidRPr="00836BCD">
        <w:rPr>
          <w:lang w:val="fr-FR"/>
        </w:rPr>
        <w:t>une des quatre catégories existantes sur la base de l</w:t>
      </w:r>
      <w:r>
        <w:rPr>
          <w:lang w:val="fr-FR"/>
        </w:rPr>
        <w:t>’</w:t>
      </w:r>
      <w:r w:rsidRPr="00836BCD">
        <w:rPr>
          <w:lang w:val="fr-FR"/>
        </w:rPr>
        <w:t>épreuve de vitesse de combustion (feu</w:t>
      </w:r>
      <w:r w:rsidR="0052215A">
        <w:rPr>
          <w:lang w:val="fr-FR"/>
        </w:rPr>
        <w:t> </w:t>
      </w:r>
      <w:r w:rsidRPr="00836BCD">
        <w:rPr>
          <w:lang w:val="fr-FR"/>
        </w:rPr>
        <w:t>extérieur).</w:t>
      </w:r>
    </w:p>
    <w:p w14:paraId="2E9A079A" w14:textId="02768AF9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6.</w:t>
      </w:r>
      <w:r w:rsidRPr="00836BCD">
        <w:rPr>
          <w:lang w:val="fr-FR"/>
        </w:rPr>
        <w:tab/>
        <w:t>Toutefois, dans le chapitre 2.17 du SGH (voir le Nota du 2.17.2.2), tout comme dans la section 51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(voir les 51.4.4.3 et 51.4.4.5), il est actuellement indiqué que certains produits font partie de la classe des matières explosibles, alors que les critères permettant de l</w:t>
      </w:r>
      <w:r>
        <w:rPr>
          <w:lang w:val="fr-FR"/>
        </w:rPr>
        <w:t>’</w:t>
      </w:r>
      <w:r w:rsidRPr="00836BCD">
        <w:rPr>
          <w:lang w:val="fr-FR"/>
        </w:rPr>
        <w:t>établir (dont l</w:t>
      </w:r>
      <w:r>
        <w:rPr>
          <w:lang w:val="fr-FR"/>
        </w:rPr>
        <w:t>’</w:t>
      </w:r>
      <w:r w:rsidRPr="00836BCD">
        <w:rPr>
          <w:lang w:val="fr-FR"/>
        </w:rPr>
        <w:t>épreuve de vitesse de combustion) ne figurent pas dans le processus de classement et ne sont même pas mentionnés dans la première partie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critères, relative au classement des matières explosibles.</w:t>
      </w:r>
    </w:p>
    <w:p w14:paraId="66226C1F" w14:textId="2A896A1A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7.</w:t>
      </w:r>
      <w:r w:rsidRPr="00836BCD">
        <w:rPr>
          <w:lang w:val="fr-FR"/>
        </w:rPr>
        <w:tab/>
        <w:t>L</w:t>
      </w:r>
      <w:r>
        <w:rPr>
          <w:lang w:val="fr-FR"/>
        </w:rPr>
        <w:t>’</w:t>
      </w:r>
      <w:r w:rsidRPr="00836BCD">
        <w:rPr>
          <w:lang w:val="fr-FR"/>
        </w:rPr>
        <w:t>AEISG estime que cela crée une confusion quant à la méthode de classement qu</w:t>
      </w:r>
      <w:r>
        <w:rPr>
          <w:lang w:val="fr-FR"/>
        </w:rPr>
        <w:t>’</w:t>
      </w:r>
      <w:r w:rsidRPr="00836BCD">
        <w:rPr>
          <w:lang w:val="fr-FR"/>
        </w:rPr>
        <w:t>il convient d</w:t>
      </w:r>
      <w:r>
        <w:rPr>
          <w:lang w:val="fr-FR"/>
        </w:rPr>
        <w:t>’</w:t>
      </w:r>
      <w:r w:rsidRPr="00836BCD">
        <w:rPr>
          <w:lang w:val="fr-FR"/>
        </w:rPr>
        <w:t>employer pour les matières explosibles, du fait de l</w:t>
      </w:r>
      <w:r>
        <w:rPr>
          <w:lang w:val="fr-FR"/>
        </w:rPr>
        <w:t>’</w:t>
      </w:r>
      <w:r w:rsidRPr="00836BCD">
        <w:rPr>
          <w:lang w:val="fr-FR"/>
        </w:rPr>
        <w:t>incohérence entre le chapitre</w:t>
      </w:r>
      <w:r w:rsidR="0052215A">
        <w:rPr>
          <w:lang w:val="fr-FR"/>
        </w:rPr>
        <w:t> </w:t>
      </w:r>
      <w:r w:rsidRPr="00836BCD">
        <w:rPr>
          <w:lang w:val="fr-FR"/>
        </w:rPr>
        <w:t>2.1 du SGH (la matière est exclue de la classe des matières et objets explosibles si elle réussit la série 2 d</w:t>
      </w:r>
      <w:r>
        <w:rPr>
          <w:lang w:val="fr-FR"/>
        </w:rPr>
        <w:t>’</w:t>
      </w:r>
      <w:r w:rsidRPr="00836BCD">
        <w:rPr>
          <w:lang w:val="fr-FR"/>
        </w:rPr>
        <w:t xml:space="preserve">épreuves </w:t>
      </w:r>
      <w:r>
        <w:rPr>
          <w:lang w:val="fr-FR"/>
        </w:rPr>
        <w:t>−</w:t>
      </w:r>
      <w:r w:rsidRPr="00836BCD">
        <w:rPr>
          <w:lang w:val="fr-FR"/>
        </w:rPr>
        <w:t xml:space="preserve"> voir 2.1.1.2.2 c) iv)) et le chapitre 2.17 du SGH (la matière relève de la classe des matières et objets explosibles même si elle réussit la série 2 d</w:t>
      </w:r>
      <w:r>
        <w:rPr>
          <w:lang w:val="fr-FR"/>
        </w:rPr>
        <w:t>’</w:t>
      </w:r>
      <w:r w:rsidRPr="00836BCD">
        <w:rPr>
          <w:lang w:val="fr-FR"/>
        </w:rPr>
        <w:t>épreuves et qu</w:t>
      </w:r>
      <w:r>
        <w:rPr>
          <w:lang w:val="fr-FR"/>
        </w:rPr>
        <w:t>’</w:t>
      </w:r>
      <w:r w:rsidRPr="00836BCD">
        <w:rPr>
          <w:lang w:val="fr-FR"/>
        </w:rPr>
        <w:t>elle présente une vitesse de combustion corrigée supérieure à 1</w:t>
      </w:r>
      <w:r w:rsidR="0052215A">
        <w:rPr>
          <w:lang w:val="fr-FR"/>
        </w:rPr>
        <w:t> </w:t>
      </w:r>
      <w:r w:rsidRPr="00836BCD">
        <w:rPr>
          <w:lang w:val="fr-FR"/>
        </w:rPr>
        <w:t xml:space="preserve">200 kg/min </w:t>
      </w:r>
      <w:r w:rsidR="0052215A">
        <w:rPr>
          <w:lang w:val="fr-FR"/>
        </w:rPr>
        <w:t>−</w:t>
      </w:r>
      <w:r w:rsidRPr="00836BCD">
        <w:rPr>
          <w:lang w:val="fr-FR"/>
        </w:rPr>
        <w:t xml:space="preserve"> voir 2.17.2.2 b) iii), 2.17.2.2 c) et le nota).</w:t>
      </w:r>
    </w:p>
    <w:p w14:paraId="519ABE8C" w14:textId="5909DD95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8.</w:t>
      </w:r>
      <w:r w:rsidRPr="00836BCD">
        <w:rPr>
          <w:lang w:val="fr-FR"/>
        </w:rPr>
        <w:tab/>
        <w:t>En outre, l</w:t>
      </w:r>
      <w:r>
        <w:rPr>
          <w:lang w:val="fr-FR"/>
        </w:rPr>
        <w:t>’</w:t>
      </w:r>
      <w:r w:rsidRPr="00836BCD">
        <w:rPr>
          <w:lang w:val="fr-FR"/>
        </w:rPr>
        <w:t>AEISG estime qu</w:t>
      </w:r>
      <w:r>
        <w:rPr>
          <w:lang w:val="fr-FR"/>
        </w:rPr>
        <w:t>’</w:t>
      </w:r>
      <w:r w:rsidRPr="00836BCD">
        <w:rPr>
          <w:lang w:val="fr-FR"/>
        </w:rPr>
        <w:t>il existe désormais une incohérence entre la section 51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(matières classées comme matières explosibles sur la base des résultats de l</w:t>
      </w:r>
      <w:r>
        <w:rPr>
          <w:lang w:val="fr-FR"/>
        </w:rPr>
        <w:t>’</w:t>
      </w:r>
      <w:r w:rsidRPr="00836BCD">
        <w:rPr>
          <w:lang w:val="fr-FR"/>
        </w:rPr>
        <w:t xml:space="preserve">épreuve de vitesse de combustion </w:t>
      </w:r>
      <w:r w:rsidR="0052215A">
        <w:rPr>
          <w:lang w:val="fr-FR"/>
        </w:rPr>
        <w:t>−</w:t>
      </w:r>
      <w:r w:rsidRPr="00836BCD">
        <w:rPr>
          <w:lang w:val="fr-FR"/>
        </w:rPr>
        <w:t xml:space="preserve"> voir 51.4.4.3 et 51.4.4.5) et la partie 1 du Manuel, qui classe les matières explosibles sans faire référence à leur vitesse de combustion.</w:t>
      </w:r>
    </w:p>
    <w:p w14:paraId="388CE02B" w14:textId="0DD7A1A4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9.</w:t>
      </w:r>
      <w:r w:rsidRPr="00836BCD">
        <w:rPr>
          <w:lang w:val="fr-FR"/>
        </w:rPr>
        <w:tab/>
        <w:t>Il pourrait y être remédié moyennant une légère reformulation du nota du 2.17.2 du chapitre 2.17 du SGH et des sections 51.4.4.3 et 51.4.4.5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afin d</w:t>
      </w:r>
      <w:r>
        <w:rPr>
          <w:lang w:val="fr-FR"/>
        </w:rPr>
        <w:t>’</w:t>
      </w:r>
      <w:r w:rsidRPr="00836BCD">
        <w:rPr>
          <w:lang w:val="fr-FR"/>
        </w:rPr>
        <w:t>aligner leur libellé sur la procédure de décision pour les matières explosibles désensibilisées décrite au 2.17.4.1 du SGH.</w:t>
      </w:r>
    </w:p>
    <w:p w14:paraId="0F80AD43" w14:textId="4212EF02" w:rsidR="003D54F8" w:rsidRPr="00836BCD" w:rsidRDefault="003D54F8" w:rsidP="00886996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836BCD">
        <w:rPr>
          <w:lang w:val="fr-FR"/>
        </w:rPr>
        <w:t>III.</w:t>
      </w:r>
      <w:r w:rsidRPr="00836BCD">
        <w:rPr>
          <w:lang w:val="fr-FR"/>
        </w:rPr>
        <w:tab/>
        <w:t>Propositions</w:t>
      </w:r>
    </w:p>
    <w:p w14:paraId="56839C6F" w14:textId="31F4803D" w:rsidR="003D54F8" w:rsidRPr="00836BCD" w:rsidRDefault="003D54F8" w:rsidP="00886996">
      <w:pPr>
        <w:pStyle w:val="SingleTxtG"/>
        <w:keepNext/>
        <w:rPr>
          <w:lang w:val="fr-FR"/>
        </w:rPr>
      </w:pPr>
      <w:r w:rsidRPr="00836BCD">
        <w:rPr>
          <w:lang w:val="fr-FR"/>
        </w:rPr>
        <w:t>10.</w:t>
      </w:r>
      <w:r w:rsidRPr="00836BCD">
        <w:rPr>
          <w:lang w:val="fr-FR"/>
        </w:rPr>
        <w:tab/>
        <w:t>Propositions d</w:t>
      </w:r>
      <w:r>
        <w:rPr>
          <w:lang w:val="fr-FR"/>
        </w:rPr>
        <w:t>’</w:t>
      </w:r>
      <w:r w:rsidRPr="00836BCD">
        <w:rPr>
          <w:lang w:val="fr-FR"/>
        </w:rPr>
        <w:t>amendements au chapitre 2.17 du SGH</w:t>
      </w:r>
    </w:p>
    <w:p w14:paraId="121537E7" w14:textId="77777777" w:rsidR="003D54F8" w:rsidRPr="00836BCD" w:rsidRDefault="003D54F8" w:rsidP="003D54F8">
      <w:pPr>
        <w:pStyle w:val="SingleTxtG"/>
        <w:tabs>
          <w:tab w:val="clear" w:pos="1701"/>
          <w:tab w:val="clear" w:pos="2268"/>
          <w:tab w:val="clear" w:pos="2835"/>
        </w:tabs>
        <w:ind w:left="1701"/>
        <w:rPr>
          <w:lang w:val="fr-FR"/>
        </w:rPr>
      </w:pPr>
      <w:r w:rsidRPr="00836BCD">
        <w:rPr>
          <w:lang w:val="fr-FR"/>
        </w:rPr>
        <w:t>2.17.2.2</w:t>
      </w:r>
      <w:r w:rsidRPr="00836BCD">
        <w:rPr>
          <w:lang w:val="fr-FR"/>
        </w:rPr>
        <w:tab/>
        <w:t xml:space="preserve">Modifier le nota comme suit (les ajouts figurent en caractères </w:t>
      </w:r>
      <w:r w:rsidRPr="00836BCD">
        <w:rPr>
          <w:u w:val="single"/>
          <w:lang w:val="fr-FR"/>
        </w:rPr>
        <w:t>soulignés</w:t>
      </w:r>
      <w:r w:rsidRPr="00836BCD">
        <w:rPr>
          <w:lang w:val="fr-FR"/>
        </w:rPr>
        <w:t xml:space="preserve">, les suppressions en caractères </w:t>
      </w:r>
      <w:r w:rsidRPr="00836BCD">
        <w:rPr>
          <w:strike/>
          <w:lang w:val="fr-FR"/>
        </w:rPr>
        <w:t>biffés</w:t>
      </w:r>
      <w:r w:rsidRPr="00836BCD">
        <w:rPr>
          <w:lang w:val="fr-FR"/>
        </w:rPr>
        <w:t>) :</w:t>
      </w:r>
    </w:p>
    <w:p w14:paraId="530E49C5" w14:textId="1167CF6C" w:rsidR="003D54F8" w:rsidRPr="00836BCD" w:rsidRDefault="003D54F8" w:rsidP="003D54F8">
      <w:pPr>
        <w:pStyle w:val="GHStext"/>
        <w:tabs>
          <w:tab w:val="left" w:pos="1418"/>
        </w:tabs>
        <w:ind w:left="1701" w:right="1134"/>
        <w:rPr>
          <w:i/>
          <w:iCs/>
          <w:color w:val="auto"/>
          <w:lang w:val="fr-FR"/>
        </w:rPr>
      </w:pPr>
      <w:r>
        <w:rPr>
          <w:lang w:val="fr-FR"/>
        </w:rPr>
        <w:t>« </w:t>
      </w:r>
      <w:r w:rsidRPr="00836BCD">
        <w:rPr>
          <w:b/>
          <w:bCs/>
          <w:i/>
          <w:iCs/>
          <w:lang w:val="fr-FR"/>
        </w:rPr>
        <w:t>NOTA</w:t>
      </w:r>
      <w:r w:rsidRPr="003D54F8">
        <w:rPr>
          <w:i/>
          <w:iCs/>
          <w:lang w:val="fr-FR"/>
        </w:rPr>
        <w:t xml:space="preserve"> </w:t>
      </w:r>
      <w:r w:rsidRPr="00836BCD">
        <w:rPr>
          <w:i/>
          <w:iCs/>
          <w:lang w:val="fr-FR"/>
        </w:rPr>
        <w:t xml:space="preserve">: Toute matière explosible désensibilisée qui ne satisfait pas aux critères du 2.17.2.2 </w:t>
      </w:r>
      <w:r w:rsidRPr="00836BCD">
        <w:rPr>
          <w:i/>
          <w:iCs/>
          <w:u w:val="single"/>
          <w:lang w:val="fr-FR"/>
        </w:rPr>
        <w:t xml:space="preserve">ne relève pas de la classe des matières explosibles désensibilisées et </w:t>
      </w:r>
      <w:r w:rsidRPr="00836BCD">
        <w:rPr>
          <w:i/>
          <w:iCs/>
          <w:lang w:val="fr-FR"/>
        </w:rPr>
        <w:t xml:space="preserve">devrait être </w:t>
      </w:r>
      <w:r w:rsidRPr="00836BCD">
        <w:rPr>
          <w:i/>
          <w:iCs/>
          <w:strike/>
          <w:lang w:val="fr-FR"/>
        </w:rPr>
        <w:t>considérée comme relevant de la classe des matières explosibles (voir</w:t>
      </w:r>
      <w:r>
        <w:rPr>
          <w:i/>
          <w:iCs/>
          <w:strike/>
          <w:lang w:val="fr-FR"/>
        </w:rPr>
        <w:t xml:space="preserve"> </w:t>
      </w:r>
      <w:r w:rsidRPr="00836BCD">
        <w:rPr>
          <w:i/>
          <w:iCs/>
          <w:u w:val="single"/>
          <w:lang w:val="fr-FR"/>
        </w:rPr>
        <w:t xml:space="preserve">classée conformément </w:t>
      </w:r>
      <w:r w:rsidRPr="003D54F8">
        <w:rPr>
          <w:i/>
          <w:iCs/>
          <w:u w:val="single"/>
          <w:lang w:val="fr-FR"/>
        </w:rPr>
        <w:t>au chapitre 2.1</w:t>
      </w:r>
      <w:r w:rsidRPr="00836BCD">
        <w:rPr>
          <w:i/>
          <w:iCs/>
          <w:strike/>
          <w:lang w:val="fr-FR"/>
        </w:rPr>
        <w:t>)</w:t>
      </w:r>
      <w:r w:rsidRPr="00836BCD">
        <w:rPr>
          <w:i/>
          <w:iCs/>
          <w:lang w:val="fr-FR"/>
        </w:rPr>
        <w:t>.</w:t>
      </w:r>
      <w:r>
        <w:rPr>
          <w:lang w:val="fr-FR"/>
        </w:rPr>
        <w:t> »</w:t>
      </w:r>
      <w:r w:rsidRPr="00836BCD">
        <w:rPr>
          <w:lang w:val="fr-FR"/>
        </w:rPr>
        <w:t>.</w:t>
      </w:r>
    </w:p>
    <w:p w14:paraId="6630F4E3" w14:textId="44E7CA3F" w:rsidR="003D54F8" w:rsidRPr="00836BCD" w:rsidRDefault="003D54F8" w:rsidP="003D54F8">
      <w:pPr>
        <w:pStyle w:val="SingleTxtG"/>
        <w:keepNext/>
        <w:keepLines/>
        <w:rPr>
          <w:lang w:val="fr-FR"/>
        </w:rPr>
      </w:pPr>
      <w:r w:rsidRPr="00836BCD">
        <w:rPr>
          <w:lang w:val="fr-FR"/>
        </w:rPr>
        <w:t>11.</w:t>
      </w:r>
      <w:r w:rsidRPr="00836BCD">
        <w:rPr>
          <w:lang w:val="fr-FR"/>
        </w:rPr>
        <w:tab/>
        <w:t>Propositions d</w:t>
      </w:r>
      <w:r>
        <w:rPr>
          <w:lang w:val="fr-FR"/>
        </w:rPr>
        <w:t>’</w:t>
      </w:r>
      <w:r w:rsidRPr="00836BCD">
        <w:rPr>
          <w:lang w:val="fr-FR"/>
        </w:rPr>
        <w:t>amendements à la section 51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(les</w:t>
      </w:r>
      <w:r w:rsidR="0052215A">
        <w:rPr>
          <w:lang w:val="fr-FR"/>
        </w:rPr>
        <w:t> </w:t>
      </w:r>
      <w:r w:rsidRPr="00836BCD">
        <w:rPr>
          <w:lang w:val="fr-FR"/>
        </w:rPr>
        <w:t xml:space="preserve">ajouts figurent en caractères </w:t>
      </w:r>
      <w:r w:rsidRPr="00836BCD">
        <w:rPr>
          <w:u w:val="single"/>
          <w:lang w:val="fr-FR"/>
        </w:rPr>
        <w:t>soulignés</w:t>
      </w:r>
      <w:r w:rsidRPr="00836BCD">
        <w:rPr>
          <w:lang w:val="fr-FR"/>
        </w:rPr>
        <w:t xml:space="preserve">, les suppressions en caractères </w:t>
      </w:r>
      <w:r w:rsidRPr="00836BCD">
        <w:rPr>
          <w:strike/>
          <w:lang w:val="fr-FR"/>
        </w:rPr>
        <w:t>biffés</w:t>
      </w:r>
      <w:r w:rsidRPr="00836BCD">
        <w:rPr>
          <w:lang w:val="fr-FR"/>
        </w:rPr>
        <w:t>)</w:t>
      </w:r>
    </w:p>
    <w:p w14:paraId="7F2F9EFF" w14:textId="77777777" w:rsidR="003D54F8" w:rsidRPr="00836BCD" w:rsidRDefault="003D54F8" w:rsidP="003D54F8">
      <w:pPr>
        <w:pStyle w:val="SingleTxtG"/>
        <w:keepNext/>
        <w:keepLines/>
        <w:tabs>
          <w:tab w:val="clear" w:pos="2268"/>
        </w:tabs>
        <w:ind w:left="2250" w:hanging="549"/>
        <w:rPr>
          <w:lang w:val="fr-FR"/>
        </w:rPr>
      </w:pPr>
      <w:r w:rsidRPr="00836BCD">
        <w:rPr>
          <w:lang w:val="fr-FR"/>
        </w:rPr>
        <w:t>51.4.4.3</w:t>
      </w:r>
      <w:r w:rsidRPr="00836BCD">
        <w:rPr>
          <w:lang w:val="fr-FR"/>
        </w:rPr>
        <w:tab/>
        <w:t>Modifier comme suit :</w:t>
      </w:r>
    </w:p>
    <w:p w14:paraId="60F3AA79" w14:textId="1021B715" w:rsidR="003D54F8" w:rsidRPr="00836BCD" w:rsidRDefault="003D54F8" w:rsidP="003D54F8">
      <w:pPr>
        <w:pStyle w:val="SingleTxtG"/>
        <w:tabs>
          <w:tab w:val="clear" w:pos="2268"/>
          <w:tab w:val="clear" w:pos="2835"/>
        </w:tabs>
        <w:ind w:left="1701"/>
        <w:rPr>
          <w:lang w:val="fr-FR"/>
        </w:rPr>
      </w:pPr>
      <w:r>
        <w:rPr>
          <w:lang w:val="fr-FR"/>
        </w:rPr>
        <w:t>« </w:t>
      </w:r>
      <w:r w:rsidRPr="00836BCD">
        <w:rPr>
          <w:lang w:val="fr-FR"/>
        </w:rPr>
        <w:t>51.4.4.3</w:t>
      </w:r>
      <w:r w:rsidRPr="00836BCD">
        <w:rPr>
          <w:lang w:val="fr-FR"/>
        </w:rPr>
        <w:tab/>
        <w:t>S</w:t>
      </w:r>
      <w:r>
        <w:rPr>
          <w:lang w:val="fr-FR"/>
        </w:rPr>
        <w:t>’</w:t>
      </w:r>
      <w:r w:rsidRPr="00836BCD">
        <w:rPr>
          <w:lang w:val="fr-FR"/>
        </w:rPr>
        <w:t xml:space="preserve">il se produit une explosion en masse, des explosions isolées ou des projections de fragments métalliques, la matière </w:t>
      </w:r>
      <w:r w:rsidRPr="00836BCD">
        <w:rPr>
          <w:u w:val="single"/>
          <w:lang w:val="fr-FR"/>
        </w:rPr>
        <w:t>n</w:t>
      </w:r>
      <w:r>
        <w:rPr>
          <w:u w:val="single"/>
          <w:lang w:val="fr-FR"/>
        </w:rPr>
        <w:t>’</w:t>
      </w:r>
      <w:r w:rsidRPr="00836BCD">
        <w:rPr>
          <w:u w:val="single"/>
          <w:lang w:val="fr-FR"/>
        </w:rPr>
        <w:t xml:space="preserve">est pas classée comme matière explosible désensibilisée et devrait être classée conformément au chapitre 2.1 du SGH </w:t>
      </w:r>
      <w:r w:rsidRPr="00836BCD">
        <w:rPr>
          <w:strike/>
          <w:lang w:val="fr-FR"/>
        </w:rPr>
        <w:t>est classée comme matière explosible</w:t>
      </w:r>
      <w:r w:rsidRPr="00836BCD">
        <w:rPr>
          <w:lang w:val="fr-FR"/>
        </w:rPr>
        <w:t>.</w:t>
      </w:r>
      <w:r>
        <w:rPr>
          <w:lang w:val="fr-FR"/>
        </w:rPr>
        <w:t> »</w:t>
      </w:r>
      <w:r w:rsidRPr="00836BCD">
        <w:rPr>
          <w:lang w:val="fr-FR"/>
        </w:rPr>
        <w:t>.</w:t>
      </w:r>
    </w:p>
    <w:p w14:paraId="7EDFDE50" w14:textId="77777777" w:rsidR="003D54F8" w:rsidRPr="00836BCD" w:rsidRDefault="003D54F8" w:rsidP="003D54F8">
      <w:pPr>
        <w:pStyle w:val="SingleTxtG"/>
        <w:tabs>
          <w:tab w:val="clear" w:pos="2268"/>
          <w:tab w:val="clear" w:pos="2835"/>
        </w:tabs>
        <w:ind w:left="2250" w:hanging="549"/>
        <w:rPr>
          <w:lang w:val="fr-FR"/>
        </w:rPr>
      </w:pPr>
      <w:r w:rsidRPr="00836BCD">
        <w:rPr>
          <w:lang w:val="fr-FR"/>
        </w:rPr>
        <w:t>51.4.4.5</w:t>
      </w:r>
      <w:r w:rsidRPr="00836BCD">
        <w:rPr>
          <w:lang w:val="fr-FR"/>
        </w:rPr>
        <w:tab/>
        <w:t>Modifier la dernière phrase comme suit :</w:t>
      </w:r>
    </w:p>
    <w:p w14:paraId="5747E8DA" w14:textId="1E096ECF" w:rsidR="00983FBF" w:rsidRDefault="003D54F8" w:rsidP="003D54F8">
      <w:pPr>
        <w:pStyle w:val="SingleTxtG"/>
        <w:tabs>
          <w:tab w:val="clear" w:pos="2268"/>
          <w:tab w:val="clear" w:pos="2835"/>
        </w:tabs>
        <w:ind w:left="1701"/>
      </w:pPr>
      <w:r>
        <w:rPr>
          <w:lang w:val="fr-FR"/>
        </w:rPr>
        <w:t>« </w:t>
      </w:r>
      <w:r w:rsidRPr="00836BCD">
        <w:rPr>
          <w:lang w:val="fr-FR"/>
        </w:rPr>
        <w:t>Toute matière dont la vitesse de combustion corrigée A</w:t>
      </w:r>
      <w:r w:rsidRPr="00886996">
        <w:rPr>
          <w:vertAlign w:val="subscript"/>
          <w:lang w:val="fr-FR"/>
        </w:rPr>
        <w:t>c</w:t>
      </w:r>
      <w:r w:rsidRPr="00836BCD">
        <w:rPr>
          <w:lang w:val="fr-FR"/>
        </w:rPr>
        <w:t xml:space="preserve"> est supérieure à 1</w:t>
      </w:r>
      <w:r>
        <w:rPr>
          <w:lang w:val="fr-FR"/>
        </w:rPr>
        <w:t> </w:t>
      </w:r>
      <w:r w:rsidRPr="00836BCD">
        <w:rPr>
          <w:lang w:val="fr-FR"/>
        </w:rPr>
        <w:t>200</w:t>
      </w:r>
      <w:r>
        <w:rPr>
          <w:lang w:val="fr-FR"/>
        </w:rPr>
        <w:t> </w:t>
      </w:r>
      <w:r w:rsidRPr="00836BCD">
        <w:rPr>
          <w:lang w:val="fr-FR"/>
        </w:rPr>
        <w:t xml:space="preserve">kg/min </w:t>
      </w:r>
      <w:r w:rsidRPr="00836BCD">
        <w:rPr>
          <w:strike/>
          <w:lang w:val="fr-FR"/>
        </w:rPr>
        <w:t xml:space="preserve">est </w:t>
      </w:r>
      <w:r w:rsidRPr="00836BCD">
        <w:rPr>
          <w:u w:val="single"/>
          <w:lang w:val="fr-FR"/>
        </w:rPr>
        <w:t>n</w:t>
      </w:r>
      <w:r>
        <w:rPr>
          <w:u w:val="single"/>
          <w:lang w:val="fr-FR"/>
        </w:rPr>
        <w:t>’</w:t>
      </w:r>
      <w:r w:rsidRPr="00836BCD">
        <w:rPr>
          <w:u w:val="single"/>
          <w:lang w:val="fr-FR"/>
        </w:rPr>
        <w:t>est pas</w:t>
      </w:r>
      <w:r w:rsidRPr="00B4742F">
        <w:rPr>
          <w:lang w:val="fr-FR"/>
        </w:rPr>
        <w:t xml:space="preserve"> </w:t>
      </w:r>
      <w:r w:rsidRPr="00836BCD">
        <w:rPr>
          <w:lang w:val="fr-FR"/>
        </w:rPr>
        <w:t xml:space="preserve">classée comme matière explosible </w:t>
      </w:r>
      <w:r w:rsidRPr="00836BCD">
        <w:rPr>
          <w:u w:val="single"/>
          <w:lang w:val="fr-FR"/>
        </w:rPr>
        <w:t xml:space="preserve">désensibilisée et devrait être classée </w:t>
      </w:r>
      <w:r w:rsidRPr="003D54F8">
        <w:rPr>
          <w:lang w:val="fr-FR"/>
        </w:rPr>
        <w:t>conformément</w:t>
      </w:r>
      <w:r w:rsidRPr="00836BCD">
        <w:rPr>
          <w:u w:val="single"/>
          <w:lang w:val="fr-FR"/>
        </w:rPr>
        <w:t xml:space="preserve"> au </w:t>
      </w:r>
      <w:r w:rsidRPr="00836BCD">
        <w:rPr>
          <w:strike/>
          <w:lang w:val="fr-FR"/>
        </w:rPr>
        <w:t xml:space="preserve">(voir le </w:t>
      </w:r>
      <w:r w:rsidRPr="00836BCD">
        <w:rPr>
          <w:lang w:val="fr-FR"/>
        </w:rPr>
        <w:t>chapitre 2.1 du SGH</w:t>
      </w:r>
      <w:r w:rsidRPr="00836BCD">
        <w:rPr>
          <w:strike/>
          <w:lang w:val="fr-FR"/>
        </w:rPr>
        <w:t>)</w:t>
      </w:r>
      <w:r w:rsidRPr="00836BCD">
        <w:rPr>
          <w:lang w:val="fr-FR"/>
        </w:rPr>
        <w:t>.</w:t>
      </w:r>
      <w:r>
        <w:rPr>
          <w:lang w:val="fr-FR"/>
        </w:rPr>
        <w:t> ».</w:t>
      </w:r>
    </w:p>
    <w:p w14:paraId="2B579041" w14:textId="0E59FAB2" w:rsidR="00446FE5" w:rsidRPr="003D54F8" w:rsidRDefault="003D54F8" w:rsidP="003D54F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3D54F8" w:rsidSect="00983FB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6CFD" w14:textId="77777777" w:rsidR="003606E2" w:rsidRDefault="003606E2" w:rsidP="00F95C08">
      <w:pPr>
        <w:spacing w:line="240" w:lineRule="auto"/>
      </w:pPr>
    </w:p>
  </w:endnote>
  <w:endnote w:type="continuationSeparator" w:id="0">
    <w:p w14:paraId="43251E51" w14:textId="77777777" w:rsidR="003606E2" w:rsidRPr="00AC3823" w:rsidRDefault="003606E2" w:rsidP="00AC3823">
      <w:pPr>
        <w:pStyle w:val="Footer"/>
      </w:pPr>
    </w:p>
  </w:endnote>
  <w:endnote w:type="continuationNotice" w:id="1">
    <w:p w14:paraId="2C39BFE6" w14:textId="77777777" w:rsidR="003606E2" w:rsidRDefault="003606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6857" w14:textId="0643E36D" w:rsidR="00983FBF" w:rsidRPr="00983FBF" w:rsidRDefault="00983FBF" w:rsidP="00983FBF">
    <w:pPr>
      <w:pStyle w:val="Footer"/>
      <w:tabs>
        <w:tab w:val="right" w:pos="9638"/>
      </w:tabs>
    </w:pPr>
    <w:r w:rsidRPr="00983FBF">
      <w:rPr>
        <w:b/>
        <w:sz w:val="18"/>
      </w:rPr>
      <w:fldChar w:fldCharType="begin"/>
    </w:r>
    <w:r w:rsidRPr="00983FBF">
      <w:rPr>
        <w:b/>
        <w:sz w:val="18"/>
      </w:rPr>
      <w:instrText xml:space="preserve"> PAGE  \* MERGEFORMAT </w:instrText>
    </w:r>
    <w:r w:rsidRPr="00983FBF">
      <w:rPr>
        <w:b/>
        <w:sz w:val="18"/>
      </w:rPr>
      <w:fldChar w:fldCharType="separate"/>
    </w:r>
    <w:r w:rsidRPr="00983FBF">
      <w:rPr>
        <w:b/>
        <w:noProof/>
        <w:sz w:val="18"/>
      </w:rPr>
      <w:t>2</w:t>
    </w:r>
    <w:r w:rsidRPr="00983FBF">
      <w:rPr>
        <w:b/>
        <w:sz w:val="18"/>
      </w:rPr>
      <w:fldChar w:fldCharType="end"/>
    </w:r>
    <w:r>
      <w:rPr>
        <w:b/>
        <w:sz w:val="18"/>
      </w:rPr>
      <w:tab/>
    </w:r>
    <w:r>
      <w:t>GE.24-06253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1BAD" w14:textId="6B200205" w:rsidR="00983FBF" w:rsidRPr="00983FBF" w:rsidRDefault="00983FBF" w:rsidP="00983FBF">
    <w:pPr>
      <w:pStyle w:val="Footer"/>
      <w:tabs>
        <w:tab w:val="right" w:pos="9638"/>
      </w:tabs>
      <w:rPr>
        <w:b/>
        <w:sz w:val="18"/>
      </w:rPr>
    </w:pPr>
    <w:r>
      <w:t>GE.24-06253</w:t>
    </w:r>
    <w:r>
      <w:tab/>
    </w:r>
    <w:r w:rsidRPr="00983FBF">
      <w:rPr>
        <w:b/>
        <w:sz w:val="18"/>
      </w:rPr>
      <w:fldChar w:fldCharType="begin"/>
    </w:r>
    <w:r w:rsidRPr="00983FBF">
      <w:rPr>
        <w:b/>
        <w:sz w:val="18"/>
      </w:rPr>
      <w:instrText xml:space="preserve"> PAGE  \* MERGEFORMAT </w:instrText>
    </w:r>
    <w:r w:rsidRPr="00983FBF">
      <w:rPr>
        <w:b/>
        <w:sz w:val="18"/>
      </w:rPr>
      <w:fldChar w:fldCharType="separate"/>
    </w:r>
    <w:r w:rsidRPr="00983FBF">
      <w:rPr>
        <w:b/>
        <w:noProof/>
        <w:sz w:val="18"/>
      </w:rPr>
      <w:t>3</w:t>
    </w:r>
    <w:r w:rsidRPr="00983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9AE0" w14:textId="4E3F4C96" w:rsidR="0068456F" w:rsidRPr="00983FBF" w:rsidRDefault="00983FBF" w:rsidP="00983FB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5288691" wp14:editId="735B08F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24-06253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D68255C" wp14:editId="430217F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21294810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4F8">
      <w:rPr>
        <w:sz w:val="20"/>
      </w:rPr>
      <w:t xml:space="preserve">    190424    190424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0047" w14:textId="77777777" w:rsidR="003606E2" w:rsidRPr="00AC3823" w:rsidRDefault="003606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2E0240" w14:textId="77777777" w:rsidR="003606E2" w:rsidRPr="00AC3823" w:rsidRDefault="003606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4434D2" w14:textId="77777777" w:rsidR="003606E2" w:rsidRPr="00AC3823" w:rsidRDefault="003606E2">
      <w:pPr>
        <w:spacing w:line="240" w:lineRule="auto"/>
        <w:rPr>
          <w:sz w:val="2"/>
          <w:szCs w:val="2"/>
        </w:rPr>
      </w:pPr>
    </w:p>
  </w:footnote>
  <w:footnote w:id="2">
    <w:p w14:paraId="2D33B298" w14:textId="77777777" w:rsidR="003D54F8" w:rsidRPr="00B32098" w:rsidRDefault="003D54F8" w:rsidP="003D54F8">
      <w:pPr>
        <w:pStyle w:val="FootnoteText"/>
      </w:pPr>
      <w:r>
        <w:rPr>
          <w:lang w:val="fr-FR"/>
        </w:rPr>
        <w:tab/>
      </w:r>
      <w:r w:rsidRPr="003D54F8">
        <w:rPr>
          <w:sz w:val="20"/>
          <w:lang w:val="fr-FR"/>
        </w:rPr>
        <w:t>*</w:t>
      </w:r>
      <w:r>
        <w:rPr>
          <w:lang w:val="fr-FR"/>
        </w:rPr>
        <w:tab/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31F6" w14:textId="275A0C92" w:rsidR="00983FBF" w:rsidRPr="00983FBF" w:rsidRDefault="00983FBF">
    <w:pPr>
      <w:pStyle w:val="Header"/>
      <w:rPr>
        <w:lang w:val="en-US"/>
      </w:rPr>
    </w:pPr>
    <w:r>
      <w:fldChar w:fldCharType="begin"/>
    </w:r>
    <w:r w:rsidRPr="00983FBF">
      <w:rPr>
        <w:lang w:val="en-US"/>
      </w:rPr>
      <w:instrText xml:space="preserve"> TITLE  \* MERGEFORMAT </w:instrText>
    </w:r>
    <w:r>
      <w:fldChar w:fldCharType="separate"/>
    </w:r>
    <w:r w:rsidRPr="00983FBF">
      <w:rPr>
        <w:lang w:val="en-US"/>
      </w:rPr>
      <w:t>ST/SG/AC.10/C.3/2024/25</w:t>
    </w:r>
    <w:r>
      <w:fldChar w:fldCharType="end"/>
    </w:r>
    <w:r w:rsidRPr="00983FBF">
      <w:rPr>
        <w:lang w:val="en-US"/>
      </w:rPr>
      <w:br/>
    </w:r>
    <w:r>
      <w:fldChar w:fldCharType="begin"/>
    </w:r>
    <w:r w:rsidRPr="00983FBF">
      <w:rPr>
        <w:lang w:val="en-US"/>
      </w:rPr>
      <w:instrText xml:space="preserve"> KEYWORDS  \* MERGEFORMAT </w:instrText>
    </w:r>
    <w:r>
      <w:fldChar w:fldCharType="separate"/>
    </w:r>
    <w:r w:rsidRPr="00983FBF">
      <w:rPr>
        <w:lang w:val="en-US"/>
      </w:rPr>
      <w:t>ST/SG/AC.10/C.4/2024/6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8A86" w14:textId="474724BB" w:rsidR="00983FBF" w:rsidRPr="00983FBF" w:rsidRDefault="00983FBF" w:rsidP="00983FBF">
    <w:pPr>
      <w:pStyle w:val="Header"/>
      <w:jc w:val="right"/>
      <w:rPr>
        <w:lang w:val="en-US"/>
      </w:rPr>
    </w:pPr>
    <w:r>
      <w:fldChar w:fldCharType="begin"/>
    </w:r>
    <w:r w:rsidRPr="00983FBF">
      <w:rPr>
        <w:lang w:val="en-US"/>
      </w:rPr>
      <w:instrText xml:space="preserve"> TITLE  \* MERGEFORMAT </w:instrText>
    </w:r>
    <w:r>
      <w:fldChar w:fldCharType="separate"/>
    </w:r>
    <w:r w:rsidRPr="00983FBF">
      <w:rPr>
        <w:lang w:val="en-US"/>
      </w:rPr>
      <w:t>ST/SG/AC.10/C.3/2024/25</w:t>
    </w:r>
    <w:r>
      <w:fldChar w:fldCharType="end"/>
    </w:r>
    <w:r w:rsidRPr="00983FBF">
      <w:rPr>
        <w:lang w:val="en-US"/>
      </w:rPr>
      <w:br/>
    </w:r>
    <w:r>
      <w:fldChar w:fldCharType="begin"/>
    </w:r>
    <w:r w:rsidRPr="00983FBF">
      <w:rPr>
        <w:lang w:val="en-US"/>
      </w:rPr>
      <w:instrText xml:space="preserve"> KEYWORDS  \* MERGEFORMAT </w:instrText>
    </w:r>
    <w:r>
      <w:fldChar w:fldCharType="separate"/>
    </w:r>
    <w:r w:rsidRPr="00983FBF">
      <w:rPr>
        <w:lang w:val="en-US"/>
      </w:rPr>
      <w:t>ST/SG/AC.10/C.4/2024/6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91459934">
    <w:abstractNumId w:val="12"/>
  </w:num>
  <w:num w:numId="2" w16cid:durableId="556555451">
    <w:abstractNumId w:val="11"/>
  </w:num>
  <w:num w:numId="3" w16cid:durableId="1029841140">
    <w:abstractNumId w:val="10"/>
  </w:num>
  <w:num w:numId="4" w16cid:durableId="1828787827">
    <w:abstractNumId w:val="8"/>
  </w:num>
  <w:num w:numId="5" w16cid:durableId="694773634">
    <w:abstractNumId w:val="3"/>
  </w:num>
  <w:num w:numId="6" w16cid:durableId="115487163">
    <w:abstractNumId w:val="2"/>
  </w:num>
  <w:num w:numId="7" w16cid:durableId="92366417">
    <w:abstractNumId w:val="1"/>
  </w:num>
  <w:num w:numId="8" w16cid:durableId="1538658176">
    <w:abstractNumId w:val="0"/>
  </w:num>
  <w:num w:numId="9" w16cid:durableId="1861816236">
    <w:abstractNumId w:val="9"/>
  </w:num>
  <w:num w:numId="10" w16cid:durableId="635648807">
    <w:abstractNumId w:val="7"/>
  </w:num>
  <w:num w:numId="11" w16cid:durableId="2031373209">
    <w:abstractNumId w:val="6"/>
  </w:num>
  <w:num w:numId="12" w16cid:durableId="487988039">
    <w:abstractNumId w:val="5"/>
  </w:num>
  <w:num w:numId="13" w16cid:durableId="789396463">
    <w:abstractNumId w:val="4"/>
  </w:num>
  <w:num w:numId="14" w16cid:durableId="1890415321">
    <w:abstractNumId w:val="12"/>
  </w:num>
  <w:num w:numId="15" w16cid:durableId="498036223">
    <w:abstractNumId w:val="11"/>
  </w:num>
  <w:num w:numId="16" w16cid:durableId="572398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E2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606E2"/>
    <w:rsid w:val="003D54F8"/>
    <w:rsid w:val="00441C3B"/>
    <w:rsid w:val="00446FE5"/>
    <w:rsid w:val="00452396"/>
    <w:rsid w:val="004E468C"/>
    <w:rsid w:val="0052215A"/>
    <w:rsid w:val="005505B7"/>
    <w:rsid w:val="00573BE5"/>
    <w:rsid w:val="00584DC4"/>
    <w:rsid w:val="00586ED3"/>
    <w:rsid w:val="00596AA9"/>
    <w:rsid w:val="0064486A"/>
    <w:rsid w:val="0068456F"/>
    <w:rsid w:val="0071601D"/>
    <w:rsid w:val="007A62E6"/>
    <w:rsid w:val="0080684C"/>
    <w:rsid w:val="008123E0"/>
    <w:rsid w:val="008364E7"/>
    <w:rsid w:val="00871C75"/>
    <w:rsid w:val="008776DC"/>
    <w:rsid w:val="00886996"/>
    <w:rsid w:val="008B40CD"/>
    <w:rsid w:val="009705C8"/>
    <w:rsid w:val="00983FBF"/>
    <w:rsid w:val="009C1CF4"/>
    <w:rsid w:val="009D00CE"/>
    <w:rsid w:val="00A30353"/>
    <w:rsid w:val="00A81281"/>
    <w:rsid w:val="00AC3823"/>
    <w:rsid w:val="00AE323C"/>
    <w:rsid w:val="00B00181"/>
    <w:rsid w:val="00B00B0D"/>
    <w:rsid w:val="00B4742F"/>
    <w:rsid w:val="00B765F7"/>
    <w:rsid w:val="00BA0CA9"/>
    <w:rsid w:val="00C02897"/>
    <w:rsid w:val="00D3439C"/>
    <w:rsid w:val="00DB1831"/>
    <w:rsid w:val="00DD3BFD"/>
    <w:rsid w:val="00DE4D6E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EDFD7"/>
  <w15:docId w15:val="{BCF6D364-A2B8-4EE0-9A92-004CEA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3D54F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3D54F8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GHStext">
    <w:name w:val="GHS_text"/>
    <w:basedOn w:val="Normal"/>
    <w:link w:val="GHStextChar"/>
    <w:qFormat/>
    <w:rsid w:val="003D54F8"/>
    <w:pPr>
      <w:suppressAutoHyphens w:val="0"/>
      <w:kinsoku/>
      <w:overflowPunct/>
      <w:autoSpaceDE/>
      <w:autoSpaceDN/>
      <w:adjustRightInd/>
      <w:snapToGrid/>
      <w:spacing w:after="240" w:line="240" w:lineRule="auto"/>
      <w:jc w:val="both"/>
    </w:pPr>
    <w:rPr>
      <w:rFonts w:eastAsia="SimSun"/>
      <w:snapToGrid w:val="0"/>
      <w:color w:val="000000"/>
      <w:szCs w:val="22"/>
      <w:lang w:val="es-ES"/>
    </w:rPr>
  </w:style>
  <w:style w:type="character" w:customStyle="1" w:styleId="GHStextChar">
    <w:name w:val="GHS_text Char"/>
    <w:link w:val="GHStext"/>
    <w:rsid w:val="003D54F8"/>
    <w:rPr>
      <w:rFonts w:ascii="Times New Roman" w:eastAsia="SimSun" w:hAnsi="Times New Roman" w:cs="Times New Roman"/>
      <w:snapToGrid w:val="0"/>
      <w:color w:val="000000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A75591D-3F24-45B4-84E7-56CD41B8A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C567-BEB1-4CCB-A60A-24D4935EA205}"/>
</file>

<file path=customXml/itemProps3.xml><?xml version="1.0" encoding="utf-8"?>
<ds:datastoreItem xmlns:ds="http://schemas.openxmlformats.org/officeDocument/2006/customXml" ds:itemID="{5E555932-DC91-40D0-A4B3-20EBAE5F493F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0</TotalTime>
  <Pages>3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ST/SG/AC.10/C.3/2024/25</vt:lpstr>
    </vt:vector>
  </TitlesOfParts>
  <Company>DCM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ST/SG/AC.10/C.3/2024/25</dc:title>
  <dc:subject/>
  <dc:creator>Corinne ROBERT</dc:creator>
  <cp:keywords>ST/SG/AC.10/C.4/2024/6</cp:keywords>
  <cp:lastModifiedBy>Alicia Dorca Garcia</cp:lastModifiedBy>
  <cp:revision>3</cp:revision>
  <cp:lastPrinted>2014-05-14T10:59:00Z</cp:lastPrinted>
  <dcterms:created xsi:type="dcterms:W3CDTF">2024-04-19T13:22:00Z</dcterms:created>
  <dcterms:modified xsi:type="dcterms:W3CDTF">2024-04-22T07:06:00Z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