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4986D636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69880B1" w14:textId="77777777" w:rsidR="00132EA9" w:rsidRPr="00DB58B5" w:rsidRDefault="00132EA9" w:rsidP="00C160F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38DD054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27E1209" w14:textId="6DF3B40A" w:rsidR="00132EA9" w:rsidRPr="00DB58B5" w:rsidRDefault="00C160F9" w:rsidP="00C160F9">
            <w:pPr>
              <w:jc w:val="right"/>
            </w:pPr>
            <w:r w:rsidRPr="00C160F9">
              <w:rPr>
                <w:sz w:val="40"/>
              </w:rPr>
              <w:t>ST</w:t>
            </w:r>
            <w:r>
              <w:t>/SG/AC.10/C.3/2024/12</w:t>
            </w:r>
          </w:p>
        </w:tc>
      </w:tr>
      <w:tr w:rsidR="00132EA9" w:rsidRPr="00DB58B5" w14:paraId="5B64CB3F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4D4A185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19C1D9D" wp14:editId="3D28EE2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45453A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FAC9323" w14:textId="77777777" w:rsidR="00132EA9" w:rsidRDefault="00C160F9" w:rsidP="00F01738">
            <w:pPr>
              <w:spacing w:before="240"/>
            </w:pPr>
            <w:r>
              <w:t>Distr. générale</w:t>
            </w:r>
          </w:p>
          <w:p w14:paraId="1ED34247" w14:textId="77777777" w:rsidR="00C160F9" w:rsidRDefault="00C160F9" w:rsidP="00C160F9">
            <w:pPr>
              <w:spacing w:line="240" w:lineRule="exact"/>
            </w:pPr>
            <w:r>
              <w:t>5 avril 2024</w:t>
            </w:r>
          </w:p>
          <w:p w14:paraId="6F4EAC74" w14:textId="77777777" w:rsidR="00C160F9" w:rsidRDefault="00C160F9" w:rsidP="00C160F9">
            <w:pPr>
              <w:spacing w:line="240" w:lineRule="exact"/>
            </w:pPr>
            <w:r>
              <w:t>Français</w:t>
            </w:r>
          </w:p>
          <w:p w14:paraId="087DC114" w14:textId="460EC0AD" w:rsidR="00C160F9" w:rsidRPr="00DB58B5" w:rsidRDefault="00C160F9" w:rsidP="00C160F9">
            <w:pPr>
              <w:spacing w:line="240" w:lineRule="exact"/>
            </w:pPr>
            <w:r>
              <w:t>Original : anglais</w:t>
            </w:r>
          </w:p>
        </w:tc>
      </w:tr>
    </w:tbl>
    <w:p w14:paraId="5553FB95" w14:textId="13FAF628" w:rsidR="00C160F9" w:rsidRPr="006F143C" w:rsidRDefault="00C160F9" w:rsidP="00C160F9">
      <w:pPr>
        <w:spacing w:before="120"/>
        <w:rPr>
          <w:b/>
          <w:sz w:val="24"/>
          <w:szCs w:val="24"/>
        </w:rPr>
      </w:pPr>
      <w:r w:rsidRPr="006F143C">
        <w:rPr>
          <w:b/>
          <w:bCs/>
          <w:sz w:val="24"/>
          <w:szCs w:val="24"/>
          <w:lang w:val="fr-FR"/>
        </w:rPr>
        <w:t>Comité d</w:t>
      </w:r>
      <w:r w:rsidR="006F143C" w:rsidRPr="006F143C">
        <w:rPr>
          <w:b/>
          <w:bCs/>
          <w:sz w:val="24"/>
          <w:szCs w:val="24"/>
          <w:lang w:val="fr-FR"/>
        </w:rPr>
        <w:t>’</w:t>
      </w:r>
      <w:r w:rsidRPr="006F143C">
        <w:rPr>
          <w:b/>
          <w:bCs/>
          <w:sz w:val="24"/>
          <w:szCs w:val="24"/>
          <w:lang w:val="fr-FR"/>
        </w:rPr>
        <w:t xml:space="preserve">experts du transport des marchandises dangereuses </w:t>
      </w:r>
      <w:r w:rsidR="006F143C">
        <w:rPr>
          <w:b/>
          <w:bCs/>
          <w:sz w:val="24"/>
          <w:szCs w:val="24"/>
          <w:lang w:val="fr-FR"/>
        </w:rPr>
        <w:br/>
      </w:r>
      <w:r w:rsidRPr="006F143C">
        <w:rPr>
          <w:b/>
          <w:bCs/>
          <w:sz w:val="24"/>
          <w:szCs w:val="24"/>
          <w:lang w:val="fr-FR"/>
        </w:rPr>
        <w:t xml:space="preserve">et du Système général harmonisé de classification </w:t>
      </w:r>
      <w:r w:rsidR="006F143C">
        <w:rPr>
          <w:b/>
          <w:bCs/>
          <w:sz w:val="24"/>
          <w:szCs w:val="24"/>
          <w:lang w:val="fr-FR"/>
        </w:rPr>
        <w:br/>
      </w:r>
      <w:r w:rsidRPr="006F143C">
        <w:rPr>
          <w:b/>
          <w:bCs/>
          <w:sz w:val="24"/>
          <w:szCs w:val="24"/>
          <w:lang w:val="fr-FR"/>
        </w:rPr>
        <w:t>et d</w:t>
      </w:r>
      <w:r w:rsidR="006F143C" w:rsidRPr="006F143C">
        <w:rPr>
          <w:b/>
          <w:bCs/>
          <w:sz w:val="24"/>
          <w:szCs w:val="24"/>
          <w:lang w:val="fr-FR"/>
        </w:rPr>
        <w:t>’</w:t>
      </w:r>
      <w:r w:rsidRPr="006F143C">
        <w:rPr>
          <w:b/>
          <w:bCs/>
          <w:sz w:val="24"/>
          <w:szCs w:val="24"/>
          <w:lang w:val="fr-FR"/>
        </w:rPr>
        <w:t>étiquetage des produits chimiques</w:t>
      </w:r>
    </w:p>
    <w:p w14:paraId="11E755C7" w14:textId="21157272" w:rsidR="00C160F9" w:rsidRPr="006F143C" w:rsidRDefault="00C160F9" w:rsidP="00C160F9">
      <w:pPr>
        <w:spacing w:before="120"/>
        <w:rPr>
          <w:rFonts w:ascii="Helv" w:hAnsi="Helv" w:cs="Helv"/>
          <w:b/>
          <w:color w:val="000000"/>
        </w:rPr>
      </w:pPr>
      <w:r w:rsidRPr="006F143C">
        <w:rPr>
          <w:b/>
          <w:bCs/>
          <w:lang w:val="fr-FR"/>
        </w:rPr>
        <w:t>Sous-Comité d</w:t>
      </w:r>
      <w:r w:rsidR="006F143C" w:rsidRPr="006F143C">
        <w:rPr>
          <w:b/>
          <w:bCs/>
          <w:lang w:val="fr-FR"/>
        </w:rPr>
        <w:t>’</w:t>
      </w:r>
      <w:r w:rsidRPr="006F143C">
        <w:rPr>
          <w:b/>
          <w:bCs/>
          <w:lang w:val="fr-FR"/>
        </w:rPr>
        <w:t>experts du transport des marchandises dangereuses</w:t>
      </w:r>
    </w:p>
    <w:p w14:paraId="72D2742E" w14:textId="77777777" w:rsidR="00C160F9" w:rsidRPr="006F143C" w:rsidRDefault="00C160F9" w:rsidP="00C160F9">
      <w:pPr>
        <w:spacing w:before="120"/>
        <w:rPr>
          <w:b/>
        </w:rPr>
      </w:pPr>
      <w:r w:rsidRPr="006F143C">
        <w:rPr>
          <w:b/>
          <w:bCs/>
          <w:lang w:val="fr-FR"/>
        </w:rPr>
        <w:t>Soixante-quatrième session</w:t>
      </w:r>
    </w:p>
    <w:p w14:paraId="0EBFEE18" w14:textId="77777777" w:rsidR="00C160F9" w:rsidRPr="006F143C" w:rsidRDefault="00C160F9" w:rsidP="00C160F9">
      <w:r w:rsidRPr="006F143C">
        <w:rPr>
          <w:lang w:val="fr-FR"/>
        </w:rPr>
        <w:t>Genève, 24 juin-3 juillet 2024</w:t>
      </w:r>
    </w:p>
    <w:p w14:paraId="741DB90D" w14:textId="3E469FC7" w:rsidR="00C160F9" w:rsidRPr="006F143C" w:rsidRDefault="00C160F9" w:rsidP="00C160F9">
      <w:r w:rsidRPr="006F143C">
        <w:rPr>
          <w:lang w:val="fr-FR"/>
        </w:rPr>
        <w:t>Point 6 b) de l</w:t>
      </w:r>
      <w:r w:rsidR="006F143C" w:rsidRPr="006F143C">
        <w:rPr>
          <w:lang w:val="fr-FR"/>
        </w:rPr>
        <w:t>’</w:t>
      </w:r>
      <w:r w:rsidRPr="006F143C">
        <w:rPr>
          <w:lang w:val="fr-FR"/>
        </w:rPr>
        <w:t>ordre du jour provisoire</w:t>
      </w:r>
    </w:p>
    <w:p w14:paraId="2F50DDD7" w14:textId="25EF3C1C" w:rsidR="00C160F9" w:rsidRPr="006F143C" w:rsidRDefault="00C160F9" w:rsidP="00C160F9">
      <w:pPr>
        <w:rPr>
          <w:b/>
          <w:bCs/>
        </w:rPr>
      </w:pPr>
      <w:r w:rsidRPr="006F143C">
        <w:rPr>
          <w:b/>
          <w:bCs/>
          <w:lang w:val="fr-FR"/>
        </w:rPr>
        <w:t>Propositions diverses d</w:t>
      </w:r>
      <w:r w:rsidR="006F143C" w:rsidRPr="006F143C">
        <w:rPr>
          <w:b/>
          <w:bCs/>
          <w:lang w:val="fr-FR"/>
        </w:rPr>
        <w:t>’</w:t>
      </w:r>
      <w:r w:rsidRPr="006F143C">
        <w:rPr>
          <w:b/>
          <w:bCs/>
          <w:lang w:val="fr-FR"/>
        </w:rPr>
        <w:t xml:space="preserve">amendements au Règlement type </w:t>
      </w:r>
      <w:r w:rsidR="006F143C">
        <w:rPr>
          <w:b/>
          <w:bCs/>
          <w:lang w:val="fr-FR"/>
        </w:rPr>
        <w:br/>
      </w:r>
      <w:r w:rsidRPr="006F143C">
        <w:rPr>
          <w:b/>
          <w:bCs/>
          <w:lang w:val="fr-FR"/>
        </w:rPr>
        <w:t>pour</w:t>
      </w:r>
      <w:r w:rsidR="006F143C">
        <w:rPr>
          <w:b/>
          <w:bCs/>
          <w:lang w:val="fr-FR"/>
        </w:rPr>
        <w:t xml:space="preserve"> </w:t>
      </w:r>
      <w:r w:rsidRPr="006F143C">
        <w:rPr>
          <w:b/>
          <w:bCs/>
          <w:lang w:val="fr-FR"/>
        </w:rPr>
        <w:t>le transport des marchandises dangereuses :</w:t>
      </w:r>
      <w:r w:rsidR="006F143C">
        <w:rPr>
          <w:b/>
          <w:bCs/>
          <w:lang w:val="fr-FR"/>
        </w:rPr>
        <w:t xml:space="preserve"> </w:t>
      </w:r>
      <w:r w:rsidR="006F143C">
        <w:rPr>
          <w:b/>
          <w:bCs/>
          <w:lang w:val="fr-FR"/>
        </w:rPr>
        <w:br/>
      </w:r>
      <w:r w:rsidRPr="006F143C">
        <w:rPr>
          <w:b/>
          <w:bCs/>
          <w:lang w:val="fr-FR"/>
        </w:rPr>
        <w:t>Emballages, y compris l</w:t>
      </w:r>
      <w:r w:rsidR="006F143C" w:rsidRPr="006F143C">
        <w:rPr>
          <w:b/>
          <w:bCs/>
          <w:lang w:val="fr-FR"/>
        </w:rPr>
        <w:t>’</w:t>
      </w:r>
      <w:r w:rsidRPr="006F143C">
        <w:rPr>
          <w:b/>
          <w:bCs/>
          <w:lang w:val="fr-FR"/>
        </w:rPr>
        <w:t>utilisation des matières plastiques recyclées</w:t>
      </w:r>
    </w:p>
    <w:p w14:paraId="4C5B5480" w14:textId="77777777" w:rsidR="00C160F9" w:rsidRPr="002C0D22" w:rsidRDefault="00C160F9" w:rsidP="006F143C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Exécution et répétition des épreuves</w:t>
      </w:r>
    </w:p>
    <w:p w14:paraId="66C592B5" w14:textId="1804EE19" w:rsidR="00C160F9" w:rsidRPr="002C0D22" w:rsidRDefault="00C160F9" w:rsidP="006F143C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 w:rsidR="006F143C">
        <w:rPr>
          <w:lang w:val="fr-FR"/>
        </w:rPr>
        <w:t>’</w:t>
      </w:r>
      <w:r>
        <w:rPr>
          <w:lang w:val="fr-FR"/>
        </w:rPr>
        <w:t>expert de l</w:t>
      </w:r>
      <w:r w:rsidR="006F143C">
        <w:rPr>
          <w:lang w:val="fr-FR"/>
        </w:rPr>
        <w:t>’</w:t>
      </w:r>
      <w:r>
        <w:rPr>
          <w:lang w:val="fr-FR"/>
        </w:rPr>
        <w:t>Allemagne</w:t>
      </w:r>
      <w:r w:rsidRPr="006F143C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449A0C49" w14:textId="6DAD5658" w:rsidR="00C160F9" w:rsidRPr="002C0D22" w:rsidRDefault="006F143C" w:rsidP="006F143C">
      <w:pPr>
        <w:pStyle w:val="HChG"/>
      </w:pPr>
      <w:r>
        <w:rPr>
          <w:lang w:val="fr-FR"/>
        </w:rPr>
        <w:tab/>
      </w:r>
      <w:r w:rsidR="00C160F9">
        <w:rPr>
          <w:lang w:val="fr-FR"/>
        </w:rPr>
        <w:t>I.</w:t>
      </w:r>
      <w:r w:rsidR="00C160F9">
        <w:rPr>
          <w:lang w:val="fr-FR"/>
        </w:rPr>
        <w:tab/>
        <w:t>Introduction</w:t>
      </w:r>
    </w:p>
    <w:p w14:paraId="64D620E3" w14:textId="7B27A3FB" w:rsidR="00C160F9" w:rsidRPr="002C0D22" w:rsidRDefault="00C160F9" w:rsidP="00C160F9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À la soixante-troisième session du Sous-Comité d</w:t>
      </w:r>
      <w:r w:rsidR="006F143C">
        <w:rPr>
          <w:lang w:val="fr-FR"/>
        </w:rPr>
        <w:t>’</w:t>
      </w:r>
      <w:r>
        <w:rPr>
          <w:lang w:val="fr-FR"/>
        </w:rPr>
        <w:t>experts du transport des marchandises dangereuses, l</w:t>
      </w:r>
      <w:r w:rsidR="006F143C">
        <w:rPr>
          <w:lang w:val="fr-FR"/>
        </w:rPr>
        <w:t>’</w:t>
      </w:r>
      <w:r>
        <w:rPr>
          <w:lang w:val="fr-FR"/>
        </w:rPr>
        <w:t>expert de l</w:t>
      </w:r>
      <w:r w:rsidR="006F143C">
        <w:rPr>
          <w:lang w:val="fr-FR"/>
        </w:rPr>
        <w:t>’</w:t>
      </w:r>
      <w:r>
        <w:rPr>
          <w:lang w:val="fr-FR"/>
        </w:rPr>
        <w:t>Allemagne a présenté le document informel INF.6, dans lequel il était proposé que le champ d</w:t>
      </w:r>
      <w:r w:rsidR="006F143C">
        <w:rPr>
          <w:lang w:val="fr-FR"/>
        </w:rPr>
        <w:t>’</w:t>
      </w:r>
      <w:r>
        <w:rPr>
          <w:lang w:val="fr-FR"/>
        </w:rPr>
        <w:t>application des épreuves à mener sur des échantillons de production soit précisé aux 6.1.5.1.3, 6.3.5.1.3 et 6.6.5.1.3.</w:t>
      </w:r>
    </w:p>
    <w:p w14:paraId="05B8928A" w14:textId="1E7E7774" w:rsidR="00C160F9" w:rsidRPr="002C0D22" w:rsidRDefault="00C160F9" w:rsidP="00C160F9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Comme il est indiqué dans le rapport sur la soixante-troisième session (voir ST/SG/AC.10/C.3/126</w:t>
      </w:r>
      <w:r w:rsidRPr="009C0197">
        <w:rPr>
          <w:rStyle w:val="Appelnotedebasdep"/>
        </w:rPr>
        <w:footnoteReference w:id="3"/>
      </w:r>
      <w:r>
        <w:rPr>
          <w:lang w:val="fr-FR"/>
        </w:rPr>
        <w:t>), la plupart des délégations qui se sont exprimées étaient d</w:t>
      </w:r>
      <w:r w:rsidR="006F143C">
        <w:rPr>
          <w:lang w:val="fr-FR"/>
        </w:rPr>
        <w:t>’</w:t>
      </w:r>
      <w:r>
        <w:rPr>
          <w:lang w:val="fr-FR"/>
        </w:rPr>
        <w:t>avis que, telle qu</w:t>
      </w:r>
      <w:r w:rsidR="006F143C">
        <w:rPr>
          <w:lang w:val="fr-FR"/>
        </w:rPr>
        <w:t>’</w:t>
      </w:r>
      <w:r>
        <w:rPr>
          <w:lang w:val="fr-FR"/>
        </w:rPr>
        <w:t>elle est actuellement rédigée, la première phrase du 6.1.5.1.3 permet aux autorités compétentes de décider quelles épreuves (c</w:t>
      </w:r>
      <w:r w:rsidR="006F143C">
        <w:rPr>
          <w:lang w:val="fr-FR"/>
        </w:rPr>
        <w:t>’</w:t>
      </w:r>
      <w:r>
        <w:rPr>
          <w:lang w:val="fr-FR"/>
        </w:rPr>
        <w:t>est-à-dire toutes, certaines ou même aucune) doivent être répétées sur les échantillons de production et à quels intervalles. Le Sous-Comité a décidé de poursuivre l</w:t>
      </w:r>
      <w:r w:rsidR="006F143C">
        <w:rPr>
          <w:lang w:val="fr-FR"/>
        </w:rPr>
        <w:t>’</w:t>
      </w:r>
      <w:r>
        <w:rPr>
          <w:lang w:val="fr-FR"/>
        </w:rPr>
        <w:t>examen de cette question.</w:t>
      </w:r>
    </w:p>
    <w:p w14:paraId="14DA6518" w14:textId="71CDF0B0" w:rsidR="00C160F9" w:rsidRPr="002C0D22" w:rsidRDefault="00384905" w:rsidP="00384905">
      <w:pPr>
        <w:pStyle w:val="HChG"/>
      </w:pPr>
      <w:r>
        <w:rPr>
          <w:lang w:val="fr-FR"/>
        </w:rPr>
        <w:tab/>
      </w:r>
      <w:r w:rsidR="00C160F9">
        <w:rPr>
          <w:lang w:val="fr-FR"/>
        </w:rPr>
        <w:t>II.</w:t>
      </w:r>
      <w:r w:rsidR="00C160F9">
        <w:rPr>
          <w:lang w:val="fr-FR"/>
        </w:rPr>
        <w:tab/>
        <w:t>Examen</w:t>
      </w:r>
    </w:p>
    <w:p w14:paraId="1964FC99" w14:textId="272FE267" w:rsidR="00C160F9" w:rsidRPr="002C0D22" w:rsidRDefault="00C160F9" w:rsidP="00C160F9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À la soixante-troisième session du Sous-Comité, il est ressorti de l</w:t>
      </w:r>
      <w:r w:rsidR="006F143C">
        <w:rPr>
          <w:lang w:val="fr-FR"/>
        </w:rPr>
        <w:t>’</w:t>
      </w:r>
      <w:r>
        <w:rPr>
          <w:lang w:val="fr-FR"/>
        </w:rPr>
        <w:t xml:space="preserve">examen de cette question que la version anglaise actuelle pouvait être interprétée de diverses manières </w:t>
      </w:r>
      <w:r w:rsidR="00384905">
        <w:rPr>
          <w:lang w:val="fr-FR"/>
        </w:rPr>
        <w:t>–</w:t>
      </w:r>
      <w:r>
        <w:rPr>
          <w:lang w:val="fr-FR"/>
        </w:rPr>
        <w:t xml:space="preserve"> de</w:t>
      </w:r>
      <w:r w:rsidR="00384905">
        <w:rPr>
          <w:lang w:val="fr-FR"/>
        </w:rPr>
        <w:t> </w:t>
      </w:r>
      <w:r>
        <w:rPr>
          <w:lang w:val="fr-FR"/>
        </w:rPr>
        <w:t xml:space="preserve">« répéter toutes les épreuves » à « ne répéter aucune épreuve » </w:t>
      </w:r>
      <w:r w:rsidR="00384905">
        <w:rPr>
          <w:lang w:val="fr-FR"/>
        </w:rPr>
        <w:t>−</w:t>
      </w:r>
      <w:r>
        <w:rPr>
          <w:lang w:val="fr-FR"/>
        </w:rPr>
        <w:t xml:space="preserve"> tandis que les autres versions linguistiques laissaient moins de place à l</w:t>
      </w:r>
      <w:r w:rsidR="006F143C">
        <w:rPr>
          <w:lang w:val="fr-FR"/>
        </w:rPr>
        <w:t>’</w:t>
      </w:r>
      <w:r>
        <w:rPr>
          <w:lang w:val="fr-FR"/>
        </w:rPr>
        <w:t>interprétation, voire aucune, notamment la version espagnole du Règlement type ou la version allemande de l</w:t>
      </w:r>
      <w:r w:rsidR="006F143C">
        <w:rPr>
          <w:lang w:val="fr-FR"/>
        </w:rPr>
        <w:t>’</w:t>
      </w:r>
      <w:r>
        <w:rPr>
          <w:lang w:val="fr-FR"/>
        </w:rPr>
        <w:t>Accord relatif au transport international des marchandises dangereuses par route (ADR). L</w:t>
      </w:r>
      <w:r w:rsidR="006F143C">
        <w:rPr>
          <w:lang w:val="fr-FR"/>
        </w:rPr>
        <w:t>’</w:t>
      </w:r>
      <w:r>
        <w:rPr>
          <w:lang w:val="fr-FR"/>
        </w:rPr>
        <w:t>Allemagne estime donc qu</w:t>
      </w:r>
      <w:r w:rsidR="006F143C">
        <w:rPr>
          <w:lang w:val="fr-FR"/>
        </w:rPr>
        <w:t>’</w:t>
      </w:r>
      <w:r>
        <w:rPr>
          <w:lang w:val="fr-FR"/>
        </w:rPr>
        <w:t>un amendement pourrait être utile.</w:t>
      </w:r>
    </w:p>
    <w:p w14:paraId="523B39DF" w14:textId="7B2C5E61" w:rsidR="00C160F9" w:rsidRPr="002C0D22" w:rsidRDefault="00C160F9" w:rsidP="00384905">
      <w:pPr>
        <w:pStyle w:val="SingleTxtG"/>
      </w:pPr>
      <w:r>
        <w:rPr>
          <w:lang w:val="fr-FR"/>
        </w:rPr>
        <w:lastRenderedPageBreak/>
        <w:t>4.</w:t>
      </w:r>
      <w:r>
        <w:rPr>
          <w:lang w:val="fr-FR"/>
        </w:rPr>
        <w:tab/>
        <w:t>Vu qu</w:t>
      </w:r>
      <w:r w:rsidR="006F143C">
        <w:rPr>
          <w:lang w:val="fr-FR"/>
        </w:rPr>
        <w:t>’</w:t>
      </w:r>
      <w:r>
        <w:rPr>
          <w:lang w:val="fr-FR"/>
        </w:rPr>
        <w:t>il semble assez difficile d</w:t>
      </w:r>
      <w:r w:rsidR="006F143C">
        <w:rPr>
          <w:lang w:val="fr-FR"/>
        </w:rPr>
        <w:t>’</w:t>
      </w:r>
      <w:r>
        <w:rPr>
          <w:lang w:val="fr-FR"/>
        </w:rPr>
        <w:t>élaborer un amendement bref mais sans ambiguïté, l</w:t>
      </w:r>
      <w:r w:rsidR="006F143C">
        <w:rPr>
          <w:lang w:val="fr-FR"/>
        </w:rPr>
        <w:t>’</w:t>
      </w:r>
      <w:r>
        <w:rPr>
          <w:lang w:val="fr-FR"/>
        </w:rPr>
        <w:t>Allemagne propose d</w:t>
      </w:r>
      <w:r w:rsidR="006F143C">
        <w:rPr>
          <w:lang w:val="fr-FR"/>
        </w:rPr>
        <w:t>’</w:t>
      </w:r>
      <w:r>
        <w:rPr>
          <w:lang w:val="fr-FR"/>
        </w:rPr>
        <w:t>apporter une modification plutôt simple au texte actuel, comme il est indiqué aux paragraphes</w:t>
      </w:r>
      <w:r w:rsidR="00384905">
        <w:rPr>
          <w:lang w:val="fr-FR"/>
        </w:rPr>
        <w:t> </w:t>
      </w:r>
      <w:r>
        <w:rPr>
          <w:lang w:val="fr-FR"/>
        </w:rPr>
        <w:t>7 à 9 ci-après, et d</w:t>
      </w:r>
      <w:r w:rsidR="006F143C">
        <w:rPr>
          <w:lang w:val="fr-FR"/>
        </w:rPr>
        <w:t>’</w:t>
      </w:r>
      <w:r>
        <w:rPr>
          <w:lang w:val="fr-FR"/>
        </w:rPr>
        <w:t>ajouter une interprétation uniforme dans le rapport sur la soixante-quatrième session, comme il est indiqué au paragraphe</w:t>
      </w:r>
      <w:r w:rsidR="00384905">
        <w:rPr>
          <w:lang w:val="fr-FR"/>
        </w:rPr>
        <w:t> </w:t>
      </w:r>
      <w:r>
        <w:rPr>
          <w:lang w:val="fr-FR"/>
        </w:rPr>
        <w:t>10. Les modifications de la version anglaise présentées aux paragraphes</w:t>
      </w:r>
      <w:r w:rsidR="00384905">
        <w:rPr>
          <w:lang w:val="fr-FR"/>
        </w:rPr>
        <w:t> </w:t>
      </w:r>
      <w:r>
        <w:rPr>
          <w:lang w:val="fr-FR"/>
        </w:rPr>
        <w:t>7 à 9 conduiraient à des modifications dans les autres versions linguistiques, ce qui aiderait peut-être à éliminer les incohérences entre les différentes versions. L</w:t>
      </w:r>
      <w:r w:rsidR="006F143C">
        <w:rPr>
          <w:lang w:val="fr-FR"/>
        </w:rPr>
        <w:t>’</w:t>
      </w:r>
      <w:r>
        <w:rPr>
          <w:lang w:val="fr-FR"/>
        </w:rPr>
        <w:t>interprétation uniforme donnée au paragraphe</w:t>
      </w:r>
      <w:r w:rsidR="00384905">
        <w:rPr>
          <w:lang w:val="fr-FR"/>
        </w:rPr>
        <w:t> </w:t>
      </w:r>
      <w:r>
        <w:rPr>
          <w:lang w:val="fr-FR"/>
        </w:rPr>
        <w:t>10 aiderait à préciser le champ d</w:t>
      </w:r>
      <w:r w:rsidR="006F143C">
        <w:rPr>
          <w:lang w:val="fr-FR"/>
        </w:rPr>
        <w:t>’</w:t>
      </w:r>
      <w:r>
        <w:rPr>
          <w:lang w:val="fr-FR"/>
        </w:rPr>
        <w:t>application.</w:t>
      </w:r>
    </w:p>
    <w:p w14:paraId="4527F402" w14:textId="1964E101" w:rsidR="00C160F9" w:rsidRPr="002C0D22" w:rsidRDefault="00C160F9" w:rsidP="00C160F9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  <w:t>L</w:t>
      </w:r>
      <w:r w:rsidR="006F143C">
        <w:rPr>
          <w:lang w:val="fr-FR"/>
        </w:rPr>
        <w:t>’</w:t>
      </w:r>
      <w:r>
        <w:rPr>
          <w:lang w:val="fr-FR"/>
        </w:rPr>
        <w:t>Allemagne aimerait en outre préciser que la formule « </w:t>
      </w:r>
      <w:r>
        <w:rPr>
          <w:i/>
          <w:iCs/>
          <w:lang w:val="fr-FR"/>
        </w:rPr>
        <w:t>exécution des épreuves mécaniques appropriées</w:t>
      </w:r>
      <w:r>
        <w:rPr>
          <w:lang w:val="fr-FR"/>
        </w:rPr>
        <w:t> » de la proposition initiale, qui figure dans le document informel INF.6 de la soixante-troisième session du Sous-Comité, a été choisie pour deux raisons. Premièrement, l</w:t>
      </w:r>
      <w:r w:rsidR="006F143C">
        <w:rPr>
          <w:lang w:val="fr-FR"/>
        </w:rPr>
        <w:t>’</w:t>
      </w:r>
      <w:r>
        <w:rPr>
          <w:lang w:val="fr-FR"/>
        </w:rPr>
        <w:t>idée était de reprendre le texte existant, cette formule figurant déjà dans la définition de « matières plastiques recyclées », au 1.2.1. Deuxièmement, l</w:t>
      </w:r>
      <w:r w:rsidR="006F143C">
        <w:rPr>
          <w:lang w:val="fr-FR"/>
        </w:rPr>
        <w:t>’</w:t>
      </w:r>
      <w:r>
        <w:rPr>
          <w:lang w:val="fr-FR"/>
        </w:rPr>
        <w:t>objectif initial était de limiter le champ d</w:t>
      </w:r>
      <w:r w:rsidR="006F143C">
        <w:rPr>
          <w:lang w:val="fr-FR"/>
        </w:rPr>
        <w:t>’</w:t>
      </w:r>
      <w:r>
        <w:rPr>
          <w:lang w:val="fr-FR"/>
        </w:rPr>
        <w:t>application aux épreuves mécaniques, c</w:t>
      </w:r>
      <w:r w:rsidR="006F143C">
        <w:rPr>
          <w:lang w:val="fr-FR"/>
        </w:rPr>
        <w:t>’</w:t>
      </w:r>
      <w:r>
        <w:rPr>
          <w:lang w:val="fr-FR"/>
        </w:rPr>
        <w:t>est-à-dire que les épreuves de compatibilité chimique (6.1.5.2.5 et 6.1.5.2.6 de l</w:t>
      </w:r>
      <w:r w:rsidR="006F143C">
        <w:rPr>
          <w:lang w:val="fr-FR"/>
        </w:rPr>
        <w:t>’</w:t>
      </w:r>
      <w:r>
        <w:rPr>
          <w:lang w:val="fr-FR"/>
        </w:rPr>
        <w:t>ADR, par exemple) et les épreuves de perméation (6.1.5.7 de l</w:t>
      </w:r>
      <w:r w:rsidR="006F143C">
        <w:rPr>
          <w:lang w:val="fr-FR"/>
        </w:rPr>
        <w:t>’</w:t>
      </w:r>
      <w:r>
        <w:rPr>
          <w:lang w:val="fr-FR"/>
        </w:rPr>
        <w:t>ADR, par exemple) seraient expressément exclues. Lorsque cette question a été examinée à la soixante-troisième session du Sous-Comité, il est apparu clairement que la formule simplifiée « </w:t>
      </w:r>
      <w:r>
        <w:rPr>
          <w:i/>
          <w:iCs/>
          <w:lang w:val="fr-FR"/>
        </w:rPr>
        <w:t>épreuves appropriées »</w:t>
      </w:r>
      <w:r>
        <w:rPr>
          <w:lang w:val="fr-FR"/>
        </w:rPr>
        <w:t xml:space="preserve"> suffirait pour écarter les épreuves de compatibilité chimique et de perméation.</w:t>
      </w:r>
    </w:p>
    <w:p w14:paraId="28C8BBF5" w14:textId="22CA5E25" w:rsidR="00C160F9" w:rsidRPr="002C0D22" w:rsidRDefault="00C160F9" w:rsidP="00C160F9">
      <w:pPr>
        <w:pStyle w:val="SingleTxtG"/>
      </w:pPr>
      <w:r>
        <w:rPr>
          <w:lang w:val="fr-FR"/>
        </w:rPr>
        <w:t>6.</w:t>
      </w:r>
      <w:r>
        <w:rPr>
          <w:lang w:val="fr-FR"/>
        </w:rPr>
        <w:tab/>
        <w:t>Le présent document concourt à la réalisation de la cible n</w:t>
      </w:r>
      <w:r w:rsidRPr="002C0D22">
        <w:rPr>
          <w:vertAlign w:val="superscript"/>
          <w:lang w:val="fr-FR"/>
        </w:rPr>
        <w:t>o</w:t>
      </w:r>
      <w:r w:rsidR="00384905">
        <w:rPr>
          <w:lang w:val="fr-FR"/>
        </w:rPr>
        <w:t> </w:t>
      </w:r>
      <w:r>
        <w:rPr>
          <w:lang w:val="fr-FR"/>
        </w:rPr>
        <w:t>16.6 des objectifs de développement durable (Mettre en place des institutions efficaces, responsables et transparentes à tous les niveaux) du Programme de développement durable à l</w:t>
      </w:r>
      <w:r w:rsidR="006F143C">
        <w:rPr>
          <w:lang w:val="fr-FR"/>
        </w:rPr>
        <w:t>’</w:t>
      </w:r>
      <w:r>
        <w:rPr>
          <w:lang w:val="fr-FR"/>
        </w:rPr>
        <w:t>horizon 2030 en permettant d</w:t>
      </w:r>
      <w:r w:rsidR="006F143C">
        <w:rPr>
          <w:lang w:val="fr-FR"/>
        </w:rPr>
        <w:t>’</w:t>
      </w:r>
      <w:r>
        <w:rPr>
          <w:lang w:val="fr-FR"/>
        </w:rPr>
        <w:t>éviter des divergences dans le Règlement type et entre ses différentes versions linguistiques.</w:t>
      </w:r>
    </w:p>
    <w:p w14:paraId="37DF6791" w14:textId="636DFFE2" w:rsidR="00C160F9" w:rsidRPr="002C0D22" w:rsidRDefault="00384905" w:rsidP="00384905">
      <w:pPr>
        <w:pStyle w:val="HChG"/>
        <w:rPr>
          <w:sz w:val="24"/>
          <w:szCs w:val="24"/>
        </w:rPr>
      </w:pPr>
      <w:r>
        <w:rPr>
          <w:lang w:val="fr-FR"/>
        </w:rPr>
        <w:tab/>
      </w:r>
      <w:r w:rsidR="00C160F9">
        <w:rPr>
          <w:lang w:val="fr-FR"/>
        </w:rPr>
        <w:t>III.</w:t>
      </w:r>
      <w:r w:rsidR="00C160F9">
        <w:rPr>
          <w:lang w:val="fr-FR"/>
        </w:rPr>
        <w:tab/>
        <w:t>Proposition</w:t>
      </w:r>
    </w:p>
    <w:p w14:paraId="1094FD0C" w14:textId="51895AA8" w:rsidR="00C160F9" w:rsidRPr="002C0D22" w:rsidRDefault="00C160F9" w:rsidP="00384905">
      <w:pPr>
        <w:pStyle w:val="SingleTxtG"/>
        <w:keepNext/>
      </w:pPr>
      <w:r>
        <w:rPr>
          <w:lang w:val="fr-FR"/>
        </w:rPr>
        <w:t>7.</w:t>
      </w:r>
      <w:r>
        <w:rPr>
          <w:lang w:val="fr-FR"/>
        </w:rPr>
        <w:tab/>
        <w:t>Modifier la première phrase du 6.1.5.1.3 comme suit (les modifications figurent en caractères soulignés pour les ajouts)</w:t>
      </w:r>
      <w:r w:rsidR="00384905">
        <w:rPr>
          <w:lang w:val="fr-FR"/>
        </w:rPr>
        <w:t> </w:t>
      </w:r>
      <w:r>
        <w:rPr>
          <w:lang w:val="fr-FR"/>
        </w:rPr>
        <w:t>:</w:t>
      </w:r>
    </w:p>
    <w:p w14:paraId="3EBC60E5" w14:textId="1D67B55A" w:rsidR="00C160F9" w:rsidRPr="002C0D22" w:rsidRDefault="00C160F9" w:rsidP="00C160F9">
      <w:pPr>
        <w:spacing w:after="120" w:line="240" w:lineRule="exact"/>
        <w:ind w:left="1701" w:right="1134"/>
        <w:jc w:val="both"/>
        <w:rPr>
          <w:rFonts w:eastAsia="Times New Roman"/>
        </w:rPr>
      </w:pPr>
      <w:r>
        <w:rPr>
          <w:lang w:val="fr-FR"/>
        </w:rPr>
        <w:t>« Les épreuves</w:t>
      </w:r>
      <w:r>
        <w:rPr>
          <w:u w:val="single"/>
          <w:lang w:val="fr-FR"/>
        </w:rPr>
        <w:t xml:space="preserve"> appropriées</w:t>
      </w:r>
      <w:r>
        <w:rPr>
          <w:lang w:val="fr-FR"/>
        </w:rPr>
        <w:t xml:space="preserve"> doivent être répétées sur des échantillons de production à des intervalles fixés par l</w:t>
      </w:r>
      <w:r w:rsidR="006F143C">
        <w:rPr>
          <w:lang w:val="fr-FR"/>
        </w:rPr>
        <w:t>’</w:t>
      </w:r>
      <w:r>
        <w:rPr>
          <w:lang w:val="fr-FR"/>
        </w:rPr>
        <w:t>autorité compétente. »</w:t>
      </w:r>
      <w:r w:rsidR="00384905">
        <w:rPr>
          <w:lang w:val="fr-FR"/>
        </w:rPr>
        <w:t>.</w:t>
      </w:r>
    </w:p>
    <w:p w14:paraId="5BDDF91F" w14:textId="0A34E61B" w:rsidR="00C160F9" w:rsidRPr="002C0D22" w:rsidRDefault="00C160F9" w:rsidP="00384905">
      <w:pPr>
        <w:keepNext/>
        <w:spacing w:after="120"/>
        <w:ind w:left="1134" w:right="1134"/>
        <w:jc w:val="both"/>
      </w:pPr>
      <w:r>
        <w:rPr>
          <w:lang w:val="fr-FR"/>
        </w:rPr>
        <w:t>8.</w:t>
      </w:r>
      <w:r>
        <w:rPr>
          <w:lang w:val="fr-FR"/>
        </w:rPr>
        <w:tab/>
        <w:t>Modifier le 6.3.5.1.3 comme suit</w:t>
      </w:r>
      <w:r w:rsidR="00384905">
        <w:rPr>
          <w:lang w:val="fr-FR"/>
        </w:rPr>
        <w:t> </w:t>
      </w:r>
      <w:r>
        <w:rPr>
          <w:lang w:val="fr-FR"/>
        </w:rPr>
        <w:t>:</w:t>
      </w:r>
    </w:p>
    <w:p w14:paraId="6DAB027C" w14:textId="2A6C566D" w:rsidR="00C160F9" w:rsidRPr="002C0D22" w:rsidRDefault="00C160F9" w:rsidP="00C160F9">
      <w:pPr>
        <w:spacing w:after="120" w:line="240" w:lineRule="exact"/>
        <w:ind w:left="1701" w:right="1134"/>
        <w:jc w:val="both"/>
        <w:rPr>
          <w:rFonts w:eastAsia="Times New Roman"/>
        </w:rPr>
      </w:pPr>
      <w:r>
        <w:rPr>
          <w:lang w:val="fr-FR"/>
        </w:rPr>
        <w:t xml:space="preserve">« Les épreuves </w:t>
      </w:r>
      <w:r>
        <w:rPr>
          <w:u w:val="single"/>
          <w:lang w:val="fr-FR"/>
        </w:rPr>
        <w:t xml:space="preserve">appropriées </w:t>
      </w:r>
      <w:r>
        <w:rPr>
          <w:lang w:val="fr-FR"/>
        </w:rPr>
        <w:t>doivent être répétées sur des échantillons de production à des intervalles fixés par l</w:t>
      </w:r>
      <w:r w:rsidR="006F143C">
        <w:rPr>
          <w:lang w:val="fr-FR"/>
        </w:rPr>
        <w:t>’</w:t>
      </w:r>
      <w:r>
        <w:rPr>
          <w:lang w:val="fr-FR"/>
        </w:rPr>
        <w:t>autorité compétente. »</w:t>
      </w:r>
      <w:r w:rsidR="00384905">
        <w:rPr>
          <w:lang w:val="fr-FR"/>
        </w:rPr>
        <w:t>.</w:t>
      </w:r>
    </w:p>
    <w:p w14:paraId="548B4249" w14:textId="0D1CF051" w:rsidR="00C160F9" w:rsidRPr="002C0D22" w:rsidRDefault="00C160F9" w:rsidP="00384905">
      <w:pPr>
        <w:keepNext/>
        <w:spacing w:after="120"/>
        <w:ind w:left="1134" w:right="1134"/>
        <w:jc w:val="both"/>
      </w:pPr>
      <w:r>
        <w:rPr>
          <w:lang w:val="fr-FR"/>
        </w:rPr>
        <w:t>9.</w:t>
      </w:r>
      <w:r>
        <w:rPr>
          <w:lang w:val="fr-FR"/>
        </w:rPr>
        <w:tab/>
        <w:t>Modifier la première phrase du 6.6.5.1.3 comme suit</w:t>
      </w:r>
      <w:r w:rsidR="00384905">
        <w:rPr>
          <w:lang w:val="fr-FR"/>
        </w:rPr>
        <w:t> </w:t>
      </w:r>
      <w:r>
        <w:rPr>
          <w:lang w:val="fr-FR"/>
        </w:rPr>
        <w:t>:</w:t>
      </w:r>
    </w:p>
    <w:p w14:paraId="7D7AD271" w14:textId="2A3BFFB6" w:rsidR="00C160F9" w:rsidRPr="002C0D22" w:rsidRDefault="00C160F9" w:rsidP="00C160F9">
      <w:pPr>
        <w:spacing w:after="120" w:line="240" w:lineRule="exact"/>
        <w:ind w:left="1701" w:right="1134"/>
        <w:jc w:val="both"/>
      </w:pPr>
      <w:r>
        <w:t>« </w:t>
      </w:r>
      <w:r>
        <w:rPr>
          <w:lang w:val="fr-FR"/>
        </w:rPr>
        <w:t xml:space="preserve">Les épreuves </w:t>
      </w:r>
      <w:r>
        <w:rPr>
          <w:u w:val="single"/>
          <w:lang w:val="fr-FR"/>
        </w:rPr>
        <w:t xml:space="preserve">appropriées </w:t>
      </w:r>
      <w:r>
        <w:rPr>
          <w:lang w:val="fr-FR"/>
        </w:rPr>
        <w:t>doivent être répétées sur des échantillons de production à des intervalles fixés par l</w:t>
      </w:r>
      <w:r w:rsidR="006F143C">
        <w:rPr>
          <w:lang w:val="fr-FR"/>
        </w:rPr>
        <w:t>’</w:t>
      </w:r>
      <w:r>
        <w:rPr>
          <w:lang w:val="fr-FR"/>
        </w:rPr>
        <w:t>autorité compétente. »</w:t>
      </w:r>
      <w:r w:rsidR="00384905">
        <w:rPr>
          <w:lang w:val="fr-FR"/>
        </w:rPr>
        <w:t>.</w:t>
      </w:r>
    </w:p>
    <w:p w14:paraId="6BE836C7" w14:textId="7B86979A" w:rsidR="00C160F9" w:rsidRDefault="00C160F9" w:rsidP="00C160F9">
      <w:pPr>
        <w:pStyle w:val="SingleTxtG"/>
        <w:rPr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  <w:t>Ajouter une « interprétation unifiée » (au titre du point 11 de l</w:t>
      </w:r>
      <w:r w:rsidR="006F143C">
        <w:rPr>
          <w:lang w:val="fr-FR"/>
        </w:rPr>
        <w:t>’</w:t>
      </w:r>
      <w:r>
        <w:rPr>
          <w:lang w:val="fr-FR"/>
        </w:rPr>
        <w:t>ordre du jour) sur la signification de l</w:t>
      </w:r>
      <w:r w:rsidR="006F143C">
        <w:rPr>
          <w:lang w:val="fr-FR"/>
        </w:rPr>
        <w:t>’</w:t>
      </w:r>
      <w:r>
        <w:rPr>
          <w:lang w:val="fr-FR"/>
        </w:rPr>
        <w:t>expression « épreuves appropriées », à savoir que « </w:t>
      </w:r>
      <w:r>
        <w:rPr>
          <w:i/>
          <w:iCs/>
          <w:lang w:val="fr-FR"/>
        </w:rPr>
        <w:t xml:space="preserve">le mot </w:t>
      </w:r>
      <w:r w:rsidR="00384905" w:rsidRPr="00384905">
        <w:rPr>
          <w:i/>
          <w:iCs/>
        </w:rPr>
        <w:t>“</w:t>
      </w:r>
      <w:r>
        <w:rPr>
          <w:i/>
          <w:iCs/>
          <w:lang w:val="fr-FR"/>
        </w:rPr>
        <w:t>approprié</w:t>
      </w:r>
      <w:r w:rsidR="00384905" w:rsidRPr="00384905">
        <w:rPr>
          <w:i/>
          <w:iCs/>
        </w:rPr>
        <w:t>”</w:t>
      </w:r>
      <w:r>
        <w:rPr>
          <w:i/>
          <w:iCs/>
          <w:lang w:val="fr-FR"/>
        </w:rPr>
        <w:t xml:space="preserve"> signifie dans ce contexte que seules les épreuves réalisées sur des échantillons de production conformément au 6.1.5.1.3, au 6.3.5.1.3 et au 6.6.5.1.3 sont à omettre lorsque l</w:t>
      </w:r>
      <w:r w:rsidR="006F143C">
        <w:rPr>
          <w:i/>
          <w:iCs/>
          <w:lang w:val="fr-FR"/>
        </w:rPr>
        <w:t>’</w:t>
      </w:r>
      <w:r>
        <w:rPr>
          <w:i/>
          <w:iCs/>
          <w:lang w:val="fr-FR"/>
        </w:rPr>
        <w:t>expérience a démontré qu</w:t>
      </w:r>
      <w:r w:rsidR="006F143C">
        <w:rPr>
          <w:i/>
          <w:iCs/>
          <w:lang w:val="fr-FR"/>
        </w:rPr>
        <w:t>’</w:t>
      </w:r>
      <w:r>
        <w:rPr>
          <w:i/>
          <w:iCs/>
          <w:lang w:val="fr-FR"/>
        </w:rPr>
        <w:t>il était très peu probable que l</w:t>
      </w:r>
      <w:r w:rsidR="006F143C">
        <w:rPr>
          <w:i/>
          <w:iCs/>
          <w:lang w:val="fr-FR"/>
        </w:rPr>
        <w:t>’</w:t>
      </w:r>
      <w:r>
        <w:rPr>
          <w:i/>
          <w:iCs/>
          <w:lang w:val="fr-FR"/>
        </w:rPr>
        <w:t>épreuve n</w:t>
      </w:r>
      <w:r w:rsidR="006F143C">
        <w:rPr>
          <w:i/>
          <w:iCs/>
          <w:lang w:val="fr-FR"/>
        </w:rPr>
        <w:t>’</w:t>
      </w:r>
      <w:r>
        <w:rPr>
          <w:i/>
          <w:iCs/>
          <w:lang w:val="fr-FR"/>
        </w:rPr>
        <w:t>aboutisse pas à un résultat favorable pendant une épreuve sur modèle type, par exemple l</w:t>
      </w:r>
      <w:r w:rsidR="006F143C">
        <w:rPr>
          <w:i/>
          <w:iCs/>
          <w:lang w:val="fr-FR"/>
        </w:rPr>
        <w:t>’</w:t>
      </w:r>
      <w:r>
        <w:rPr>
          <w:i/>
          <w:iCs/>
          <w:lang w:val="fr-FR"/>
        </w:rPr>
        <w:t>épreuve de gerbage sur les grands emballages métalliques que l</w:t>
      </w:r>
      <w:r w:rsidR="006F143C">
        <w:rPr>
          <w:i/>
          <w:iCs/>
          <w:lang w:val="fr-FR"/>
        </w:rPr>
        <w:t>’</w:t>
      </w:r>
      <w:r>
        <w:rPr>
          <w:i/>
          <w:iCs/>
          <w:lang w:val="fr-FR"/>
        </w:rPr>
        <w:t>on utilise couramment aujourd</w:t>
      </w:r>
      <w:r w:rsidR="006F143C">
        <w:rPr>
          <w:i/>
          <w:iCs/>
          <w:lang w:val="fr-FR"/>
        </w:rPr>
        <w:t>’</w:t>
      </w:r>
      <w:r>
        <w:rPr>
          <w:i/>
          <w:iCs/>
          <w:lang w:val="fr-FR"/>
        </w:rPr>
        <w:t>hui</w:t>
      </w:r>
      <w:r>
        <w:rPr>
          <w:lang w:val="fr-FR"/>
        </w:rPr>
        <w:t> », pour ne donner qu</w:t>
      </w:r>
      <w:r w:rsidR="006F143C">
        <w:rPr>
          <w:lang w:val="fr-FR"/>
        </w:rPr>
        <w:t>’</w:t>
      </w:r>
      <w:r>
        <w:rPr>
          <w:lang w:val="fr-FR"/>
        </w:rPr>
        <w:t>un seul exemple.</w:t>
      </w:r>
    </w:p>
    <w:p w14:paraId="2BC7C112" w14:textId="2946A004" w:rsidR="00384905" w:rsidRPr="00384905" w:rsidRDefault="00384905" w:rsidP="0038490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4905" w:rsidRPr="00384905" w:rsidSect="00C160F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972C59" w14:textId="77777777" w:rsidR="00D50C94" w:rsidRDefault="00D50C94" w:rsidP="00F95C08">
      <w:pPr>
        <w:spacing w:line="240" w:lineRule="auto"/>
      </w:pPr>
    </w:p>
  </w:endnote>
  <w:endnote w:type="continuationSeparator" w:id="0">
    <w:p w14:paraId="435A6BDD" w14:textId="77777777" w:rsidR="00D50C94" w:rsidRPr="00AC3823" w:rsidRDefault="00D50C94" w:rsidP="00AC3823">
      <w:pPr>
        <w:pStyle w:val="Pieddepage"/>
      </w:pPr>
    </w:p>
  </w:endnote>
  <w:endnote w:type="continuationNotice" w:id="1">
    <w:p w14:paraId="466C2E78" w14:textId="77777777" w:rsidR="00D50C94" w:rsidRDefault="00D50C9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8235E" w14:textId="442302D8" w:rsidR="00C160F9" w:rsidRPr="00C160F9" w:rsidRDefault="00C160F9" w:rsidP="00C160F9">
    <w:pPr>
      <w:pStyle w:val="Pieddepage"/>
      <w:tabs>
        <w:tab w:val="right" w:pos="9638"/>
      </w:tabs>
    </w:pPr>
    <w:r w:rsidRPr="00C160F9">
      <w:rPr>
        <w:b/>
        <w:sz w:val="18"/>
      </w:rPr>
      <w:fldChar w:fldCharType="begin"/>
    </w:r>
    <w:r w:rsidRPr="00C160F9">
      <w:rPr>
        <w:b/>
        <w:sz w:val="18"/>
      </w:rPr>
      <w:instrText xml:space="preserve"> PAGE  \* MERGEFORMAT </w:instrText>
    </w:r>
    <w:r w:rsidRPr="00C160F9">
      <w:rPr>
        <w:b/>
        <w:sz w:val="18"/>
      </w:rPr>
      <w:fldChar w:fldCharType="separate"/>
    </w:r>
    <w:r w:rsidRPr="00C160F9">
      <w:rPr>
        <w:b/>
        <w:noProof/>
        <w:sz w:val="18"/>
      </w:rPr>
      <w:t>2</w:t>
    </w:r>
    <w:r w:rsidRPr="00C160F9">
      <w:rPr>
        <w:b/>
        <w:sz w:val="18"/>
      </w:rPr>
      <w:fldChar w:fldCharType="end"/>
    </w:r>
    <w:r>
      <w:rPr>
        <w:b/>
        <w:sz w:val="18"/>
      </w:rPr>
      <w:tab/>
    </w:r>
    <w:r>
      <w:t>GE.24-06242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90BCF" w14:textId="5079028B" w:rsidR="00C160F9" w:rsidRPr="00C160F9" w:rsidRDefault="00C160F9" w:rsidP="00C160F9">
    <w:pPr>
      <w:pStyle w:val="Pieddepage"/>
      <w:tabs>
        <w:tab w:val="right" w:pos="9638"/>
      </w:tabs>
      <w:rPr>
        <w:b/>
        <w:sz w:val="18"/>
      </w:rPr>
    </w:pPr>
    <w:r>
      <w:t>GE.24-06242</w:t>
    </w:r>
    <w:r>
      <w:tab/>
    </w:r>
    <w:r w:rsidRPr="00C160F9">
      <w:rPr>
        <w:b/>
        <w:sz w:val="18"/>
      </w:rPr>
      <w:fldChar w:fldCharType="begin"/>
    </w:r>
    <w:r w:rsidRPr="00C160F9">
      <w:rPr>
        <w:b/>
        <w:sz w:val="18"/>
      </w:rPr>
      <w:instrText xml:space="preserve"> PAGE  \* MERGEFORMAT </w:instrText>
    </w:r>
    <w:r w:rsidRPr="00C160F9">
      <w:rPr>
        <w:b/>
        <w:sz w:val="18"/>
      </w:rPr>
      <w:fldChar w:fldCharType="separate"/>
    </w:r>
    <w:r w:rsidRPr="00C160F9">
      <w:rPr>
        <w:b/>
        <w:noProof/>
        <w:sz w:val="18"/>
      </w:rPr>
      <w:t>3</w:t>
    </w:r>
    <w:r w:rsidRPr="00C160F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7FE61" w14:textId="33C0952F" w:rsidR="0068456F" w:rsidRPr="00C160F9" w:rsidRDefault="00C160F9" w:rsidP="00C160F9">
    <w:pPr>
      <w:pStyle w:val="Pieddepage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A64DBDA" wp14:editId="44ED833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24-06242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FD9771F" wp14:editId="4DAA60B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171694143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905">
      <w:rPr>
        <w:sz w:val="20"/>
      </w:rPr>
      <w:t xml:space="preserve">    180424    180424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C2183" w14:textId="77777777" w:rsidR="00D50C94" w:rsidRPr="00AC3823" w:rsidRDefault="00D50C9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A452AF" w14:textId="77777777" w:rsidR="00D50C94" w:rsidRPr="00AC3823" w:rsidRDefault="00D50C9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A1FF1B0" w14:textId="77777777" w:rsidR="00D50C94" w:rsidRPr="00AC3823" w:rsidRDefault="00D50C94">
      <w:pPr>
        <w:spacing w:line="240" w:lineRule="auto"/>
        <w:rPr>
          <w:sz w:val="2"/>
          <w:szCs w:val="2"/>
        </w:rPr>
      </w:pPr>
    </w:p>
  </w:footnote>
  <w:footnote w:id="2">
    <w:p w14:paraId="46DF9755" w14:textId="77777777" w:rsidR="00C160F9" w:rsidRPr="002C0D22" w:rsidRDefault="00C160F9" w:rsidP="00C160F9">
      <w:pPr>
        <w:pStyle w:val="Notedebasdepage"/>
      </w:pPr>
      <w:r>
        <w:rPr>
          <w:lang w:val="fr-FR"/>
        </w:rPr>
        <w:tab/>
        <w:t>*</w:t>
      </w:r>
      <w:r>
        <w:rPr>
          <w:lang w:val="fr-FR"/>
        </w:rPr>
        <w:tab/>
        <w:t>A/78/6 (Sect. 20), tableau 20.5.</w:t>
      </w:r>
    </w:p>
  </w:footnote>
  <w:footnote w:id="3">
    <w:p w14:paraId="0ABD7ED5" w14:textId="345D48F2" w:rsidR="00C160F9" w:rsidRPr="002C0D22" w:rsidRDefault="00C160F9" w:rsidP="00C160F9">
      <w:pPr>
        <w:pStyle w:val="Notedebasdepage"/>
      </w:pPr>
      <w:r>
        <w:rPr>
          <w:lang w:val="fr-FR"/>
        </w:rPr>
        <w:tab/>
      </w:r>
      <w:r w:rsidRPr="009C0197">
        <w:rPr>
          <w:rStyle w:val="Appelnotedebasdep"/>
        </w:rPr>
        <w:footnoteRef/>
      </w:r>
      <w:r>
        <w:rPr>
          <w:lang w:val="fr-FR"/>
        </w:rPr>
        <w:tab/>
      </w:r>
      <w:hyperlink r:id="rId1" w:history="1">
        <w:r w:rsidRPr="00384905">
          <w:rPr>
            <w:rStyle w:val="Lienhypertexte"/>
            <w:lang w:val="fr-FR"/>
          </w:rPr>
          <w:t>Rapport du S</w:t>
        </w:r>
        <w:r w:rsidRPr="00384905">
          <w:rPr>
            <w:rStyle w:val="Lienhypertexte"/>
            <w:lang w:val="fr-FR"/>
          </w:rPr>
          <w:t>o</w:t>
        </w:r>
        <w:r w:rsidRPr="00384905">
          <w:rPr>
            <w:rStyle w:val="Lienhypertexte"/>
            <w:lang w:val="fr-FR"/>
          </w:rPr>
          <w:t>us-Comité d’experts du transport des marchandises dangereuses sur sa soixante</w:t>
        </w:r>
        <w:r w:rsidR="00384905" w:rsidRPr="00384905">
          <w:rPr>
            <w:rStyle w:val="Lienhypertexte"/>
            <w:lang w:val="fr-FR"/>
          </w:rPr>
          <w:noBreakHyphen/>
        </w:r>
        <w:r w:rsidRPr="00384905">
          <w:rPr>
            <w:rStyle w:val="Lienhypertexte"/>
            <w:lang w:val="fr-FR"/>
          </w:rPr>
          <w:t>troisième session</w:t>
        </w:r>
      </w:hyperlink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C6E02" w14:textId="2E5B06AD" w:rsidR="00C160F9" w:rsidRPr="00C160F9" w:rsidRDefault="00C160F9">
    <w:pPr>
      <w:pStyle w:val="En-tte"/>
    </w:pPr>
    <w:fldSimple w:instr=" TITLE  \* MERGEFORMAT ">
      <w:r>
        <w:t>ST/SG/AC.10/C.3/2024/12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DA969" w14:textId="7E9EE2CE" w:rsidR="00C160F9" w:rsidRPr="00C160F9" w:rsidRDefault="00C160F9" w:rsidP="00C160F9">
    <w:pPr>
      <w:pStyle w:val="En-tte"/>
      <w:jc w:val="right"/>
    </w:pPr>
    <w:fldSimple w:instr=" TITLE  \* MERGEFORMAT ">
      <w:r>
        <w:t>ST/SG/AC.10/C.3/2024/12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360595575">
    <w:abstractNumId w:val="12"/>
  </w:num>
  <w:num w:numId="2" w16cid:durableId="72364891">
    <w:abstractNumId w:val="11"/>
  </w:num>
  <w:num w:numId="3" w16cid:durableId="1825470531">
    <w:abstractNumId w:val="10"/>
  </w:num>
  <w:num w:numId="4" w16cid:durableId="1982802323">
    <w:abstractNumId w:val="8"/>
  </w:num>
  <w:num w:numId="5" w16cid:durableId="122356505">
    <w:abstractNumId w:val="3"/>
  </w:num>
  <w:num w:numId="6" w16cid:durableId="381907019">
    <w:abstractNumId w:val="2"/>
  </w:num>
  <w:num w:numId="7" w16cid:durableId="443111903">
    <w:abstractNumId w:val="1"/>
  </w:num>
  <w:num w:numId="8" w16cid:durableId="488667494">
    <w:abstractNumId w:val="0"/>
  </w:num>
  <w:num w:numId="9" w16cid:durableId="203372825">
    <w:abstractNumId w:val="9"/>
  </w:num>
  <w:num w:numId="10" w16cid:durableId="194192794">
    <w:abstractNumId w:val="7"/>
  </w:num>
  <w:num w:numId="11" w16cid:durableId="1850833546">
    <w:abstractNumId w:val="6"/>
  </w:num>
  <w:num w:numId="12" w16cid:durableId="529345863">
    <w:abstractNumId w:val="5"/>
  </w:num>
  <w:num w:numId="13" w16cid:durableId="682978580">
    <w:abstractNumId w:val="4"/>
  </w:num>
  <w:num w:numId="14" w16cid:durableId="8145320">
    <w:abstractNumId w:val="12"/>
  </w:num>
  <w:num w:numId="15" w16cid:durableId="1196038604">
    <w:abstractNumId w:val="11"/>
  </w:num>
  <w:num w:numId="16" w16cid:durableId="9786515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94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384905"/>
    <w:rsid w:val="00441C3B"/>
    <w:rsid w:val="00446FE5"/>
    <w:rsid w:val="00452396"/>
    <w:rsid w:val="004E468C"/>
    <w:rsid w:val="00530177"/>
    <w:rsid w:val="005505B7"/>
    <w:rsid w:val="00573BE5"/>
    <w:rsid w:val="00584DC4"/>
    <w:rsid w:val="00584EBD"/>
    <w:rsid w:val="00586ED3"/>
    <w:rsid w:val="00596AA9"/>
    <w:rsid w:val="0068456F"/>
    <w:rsid w:val="006F143C"/>
    <w:rsid w:val="0071601D"/>
    <w:rsid w:val="007A62E6"/>
    <w:rsid w:val="0080684C"/>
    <w:rsid w:val="008123E0"/>
    <w:rsid w:val="00871C75"/>
    <w:rsid w:val="008776DC"/>
    <w:rsid w:val="008B40CD"/>
    <w:rsid w:val="009705C8"/>
    <w:rsid w:val="009C1CF4"/>
    <w:rsid w:val="00A30353"/>
    <w:rsid w:val="00A81281"/>
    <w:rsid w:val="00AC3823"/>
    <w:rsid w:val="00AE323C"/>
    <w:rsid w:val="00B00181"/>
    <w:rsid w:val="00B00B0D"/>
    <w:rsid w:val="00B765F7"/>
    <w:rsid w:val="00BA0CA9"/>
    <w:rsid w:val="00C02897"/>
    <w:rsid w:val="00C160F9"/>
    <w:rsid w:val="00D3439C"/>
    <w:rsid w:val="00D50C94"/>
    <w:rsid w:val="00DB1831"/>
    <w:rsid w:val="00DD3BFD"/>
    <w:rsid w:val="00DF6678"/>
    <w:rsid w:val="00EF2E22"/>
    <w:rsid w:val="00F01738"/>
    <w:rsid w:val="00F660DF"/>
    <w:rsid w:val="00F730C8"/>
    <w:rsid w:val="00F95C08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E9B87"/>
  <w15:docId w15:val="{37456EBE-13DF-4B24-8AC4-A58C510B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584DC4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584DC4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584DC4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uiPriority w:val="99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uiPriority w:val="99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584DC4"/>
  </w:style>
  <w:style w:type="character" w:customStyle="1" w:styleId="NotedefinCar">
    <w:name w:val="Note de fin Car"/>
    <w:aliases w:val="2_G Car"/>
    <w:basedOn w:val="Policepardfaut"/>
    <w:link w:val="Notedefin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160F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C160F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C160F9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84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documents/2023/12/reports/report-sub-committee-experts-transport-dangerous-goods-i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0F71A-9DC4-4B39-9BB6-CFC6E261B74D}"/>
</file>

<file path=customXml/itemProps2.xml><?xml version="1.0" encoding="utf-8"?>
<ds:datastoreItem xmlns:ds="http://schemas.openxmlformats.org/officeDocument/2006/customXml" ds:itemID="{0B8DBA71-06B6-4F51-B372-8979605497E2}"/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0</TotalTime>
  <Pages>2</Pages>
  <Words>781</Words>
  <Characters>4623</Characters>
  <Application>Microsoft Office Word</Application>
  <DocSecurity>0</DocSecurity>
  <Lines>84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ST/SG/AC.10/C.3/2024/12</vt:lpstr>
    </vt:vector>
  </TitlesOfParts>
  <Company>DCM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ST/SG/AC.10/C.3/2024/12</dc:title>
  <dc:subject/>
  <dc:creator>Christine CHAUTAGNAT</dc:creator>
  <cp:keywords/>
  <cp:lastModifiedBy>Christine Chautagnat</cp:lastModifiedBy>
  <cp:revision>2</cp:revision>
  <cp:lastPrinted>2014-05-14T10:59:00Z</cp:lastPrinted>
  <dcterms:created xsi:type="dcterms:W3CDTF">2024-04-18T09:12:00Z</dcterms:created>
  <dcterms:modified xsi:type="dcterms:W3CDTF">2024-04-18T09:12:00Z</dcterms:modified>
</cp:coreProperties>
</file>