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D8910DC" w14:textId="77777777" w:rsidTr="006476E1">
        <w:trPr>
          <w:trHeight w:val="851"/>
        </w:trPr>
        <w:tc>
          <w:tcPr>
            <w:tcW w:w="1259" w:type="dxa"/>
            <w:tcBorders>
              <w:top w:val="nil"/>
              <w:left w:val="nil"/>
              <w:bottom w:val="single" w:sz="4" w:space="0" w:color="auto"/>
              <w:right w:val="nil"/>
            </w:tcBorders>
          </w:tcPr>
          <w:p w14:paraId="450D6B0E" w14:textId="77777777" w:rsidR="00E52109" w:rsidRPr="002A32CB" w:rsidRDefault="00E52109" w:rsidP="004858F5"/>
        </w:tc>
        <w:tc>
          <w:tcPr>
            <w:tcW w:w="2236" w:type="dxa"/>
            <w:tcBorders>
              <w:top w:val="nil"/>
              <w:left w:val="nil"/>
              <w:bottom w:val="single" w:sz="4" w:space="0" w:color="auto"/>
              <w:right w:val="nil"/>
            </w:tcBorders>
            <w:vAlign w:val="bottom"/>
          </w:tcPr>
          <w:p w14:paraId="2ED0C44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A071A4F" w14:textId="30A5797F" w:rsidR="00E52109" w:rsidRDefault="003B4054" w:rsidP="003B4054">
            <w:pPr>
              <w:jc w:val="right"/>
            </w:pPr>
            <w:r w:rsidRPr="003B4054">
              <w:rPr>
                <w:sz w:val="40"/>
              </w:rPr>
              <w:t>ST</w:t>
            </w:r>
            <w:r>
              <w:t>/SG/AC.10/C.3/2024/33</w:t>
            </w:r>
          </w:p>
        </w:tc>
      </w:tr>
      <w:tr w:rsidR="00E52109" w14:paraId="54287C47" w14:textId="77777777" w:rsidTr="006476E1">
        <w:trPr>
          <w:trHeight w:val="2835"/>
        </w:trPr>
        <w:tc>
          <w:tcPr>
            <w:tcW w:w="1259" w:type="dxa"/>
            <w:tcBorders>
              <w:top w:val="single" w:sz="4" w:space="0" w:color="auto"/>
              <w:left w:val="nil"/>
              <w:bottom w:val="single" w:sz="12" w:space="0" w:color="auto"/>
              <w:right w:val="nil"/>
            </w:tcBorders>
          </w:tcPr>
          <w:p w14:paraId="2E587854" w14:textId="77777777" w:rsidR="00E52109" w:rsidRDefault="00E52109" w:rsidP="006476E1">
            <w:pPr>
              <w:spacing w:before="120"/>
              <w:jc w:val="center"/>
            </w:pPr>
            <w:r>
              <w:rPr>
                <w:noProof/>
                <w:lang w:val="fr-CH" w:eastAsia="fr-CH"/>
              </w:rPr>
              <w:drawing>
                <wp:inline distT="0" distB="0" distL="0" distR="0" wp14:anchorId="6CDB4323" wp14:editId="32AB98C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30CEF08"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0BDDB4C1" w14:textId="77777777" w:rsidR="00D94B05" w:rsidRDefault="003B4054" w:rsidP="003B4054">
            <w:pPr>
              <w:spacing w:before="240" w:line="240" w:lineRule="exact"/>
            </w:pPr>
            <w:r>
              <w:t>Distr.: General</w:t>
            </w:r>
          </w:p>
          <w:p w14:paraId="52731F3F" w14:textId="292B26F4" w:rsidR="003B4054" w:rsidRDefault="00D908A3" w:rsidP="003B4054">
            <w:pPr>
              <w:spacing w:line="240" w:lineRule="exact"/>
            </w:pPr>
            <w:r>
              <w:t>1</w:t>
            </w:r>
            <w:r w:rsidR="00073A34">
              <w:t>2</w:t>
            </w:r>
            <w:r w:rsidR="003B4054" w:rsidRPr="00D908A3">
              <w:t xml:space="preserve"> April 2024</w:t>
            </w:r>
          </w:p>
          <w:p w14:paraId="1BE8B13A" w14:textId="77777777" w:rsidR="003B4054" w:rsidRDefault="003B4054" w:rsidP="003B4054">
            <w:pPr>
              <w:spacing w:line="240" w:lineRule="exact"/>
            </w:pPr>
          </w:p>
          <w:p w14:paraId="723AC871" w14:textId="48E3CFD1" w:rsidR="003B4054" w:rsidRDefault="003B4054" w:rsidP="003B4054">
            <w:pPr>
              <w:spacing w:line="240" w:lineRule="exact"/>
            </w:pPr>
            <w:r>
              <w:t>Original: English</w:t>
            </w:r>
          </w:p>
        </w:tc>
      </w:tr>
    </w:tbl>
    <w:p w14:paraId="1C57D619" w14:textId="77777777" w:rsidR="003B4054" w:rsidRPr="006500BA" w:rsidRDefault="003B4054"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70BD4516" w14:textId="77777777" w:rsidR="003B4054" w:rsidRPr="006500BA" w:rsidRDefault="003B4054" w:rsidP="004858F5">
      <w:pPr>
        <w:spacing w:before="120"/>
        <w:rPr>
          <w:rFonts w:ascii="Helv" w:hAnsi="Helv" w:cs="Helv"/>
          <w:b/>
          <w:color w:val="000000"/>
        </w:rPr>
      </w:pPr>
      <w:r w:rsidRPr="006500BA">
        <w:rPr>
          <w:b/>
        </w:rPr>
        <w:t xml:space="preserve">Sub-Committee of Experts on the </w:t>
      </w:r>
      <w:r>
        <w:rPr>
          <w:b/>
        </w:rPr>
        <w:t>Transport of Dangerous Goods</w:t>
      </w:r>
    </w:p>
    <w:p w14:paraId="28104C30" w14:textId="57981441" w:rsidR="003B4054" w:rsidRPr="006500BA" w:rsidRDefault="00607F75" w:rsidP="004858F5">
      <w:pPr>
        <w:spacing w:before="120"/>
        <w:rPr>
          <w:b/>
        </w:rPr>
      </w:pPr>
      <w:r>
        <w:rPr>
          <w:b/>
        </w:rPr>
        <w:t>Sixty</w:t>
      </w:r>
      <w:r w:rsidR="0033433B">
        <w:rPr>
          <w:b/>
        </w:rPr>
        <w:t>-fourth</w:t>
      </w:r>
      <w:r w:rsidR="003B4054">
        <w:rPr>
          <w:b/>
        </w:rPr>
        <w:t xml:space="preserve"> </w:t>
      </w:r>
      <w:r w:rsidR="003B4054" w:rsidRPr="006500BA">
        <w:rPr>
          <w:b/>
        </w:rPr>
        <w:t>session</w:t>
      </w:r>
    </w:p>
    <w:p w14:paraId="14479632" w14:textId="7169715F" w:rsidR="003B4054" w:rsidRPr="006500BA" w:rsidRDefault="003B4054" w:rsidP="004858F5">
      <w:r w:rsidRPr="006500BA">
        <w:t xml:space="preserve">Geneva, </w:t>
      </w:r>
      <w:r w:rsidR="0033433B">
        <w:t>24 June-3 July 2024</w:t>
      </w:r>
    </w:p>
    <w:p w14:paraId="590ADA2C" w14:textId="77777777" w:rsidR="00607F75" w:rsidRPr="007D50A1" w:rsidRDefault="00607F75" w:rsidP="00607F75">
      <w:pPr>
        <w:ind w:right="4320"/>
        <w:rPr>
          <w:rFonts w:eastAsia="Times New Roman"/>
          <w:color w:val="000000" w:themeColor="text1"/>
        </w:rPr>
      </w:pPr>
      <w:r w:rsidRPr="007D50A1">
        <w:rPr>
          <w:rFonts w:eastAsia="Times New Roman"/>
          <w:color w:val="000000" w:themeColor="text1"/>
        </w:rPr>
        <w:t>Item 3 of the provisional agenda</w:t>
      </w:r>
    </w:p>
    <w:p w14:paraId="1060AB65" w14:textId="77777777" w:rsidR="00607F75" w:rsidRDefault="00607F75" w:rsidP="00607F75">
      <w:pPr>
        <w:ind w:right="4320"/>
        <w:rPr>
          <w:rFonts w:eastAsia="Times New Roman"/>
          <w:b/>
          <w:bCs/>
          <w:color w:val="000000" w:themeColor="text1"/>
        </w:rPr>
      </w:pPr>
      <w:r w:rsidRPr="007D50A1">
        <w:rPr>
          <w:rFonts w:eastAsia="Times New Roman"/>
          <w:b/>
          <w:bCs/>
          <w:color w:val="000000" w:themeColor="text1"/>
        </w:rPr>
        <w:t xml:space="preserve">Listing, </w:t>
      </w:r>
      <w:bookmarkStart w:id="0" w:name="_Int_L6ekVt0x"/>
      <w:proofErr w:type="gramStart"/>
      <w:r w:rsidRPr="007D50A1">
        <w:rPr>
          <w:rFonts w:eastAsia="Times New Roman"/>
          <w:b/>
          <w:bCs/>
          <w:color w:val="000000" w:themeColor="text1"/>
        </w:rPr>
        <w:t>classification</w:t>
      </w:r>
      <w:bookmarkEnd w:id="0"/>
      <w:proofErr w:type="gramEnd"/>
      <w:r w:rsidRPr="007D50A1">
        <w:rPr>
          <w:rFonts w:eastAsia="Times New Roman"/>
          <w:b/>
          <w:bCs/>
          <w:color w:val="000000" w:themeColor="text1"/>
        </w:rPr>
        <w:t xml:space="preserve"> and packing</w:t>
      </w:r>
    </w:p>
    <w:p w14:paraId="2896D39F" w14:textId="27E80E9A" w:rsidR="0033433B" w:rsidRDefault="0033433B" w:rsidP="0033433B">
      <w:pPr>
        <w:pStyle w:val="HChG"/>
      </w:pPr>
      <w:r>
        <w:tab/>
      </w:r>
      <w:r>
        <w:tab/>
      </w:r>
      <w:r w:rsidR="00607F75">
        <w:t xml:space="preserve">Facilitation of the shipment of </w:t>
      </w:r>
      <w:r>
        <w:t>e</w:t>
      </w:r>
      <w:r w:rsidR="00607F75">
        <w:t xml:space="preserve">xternal </w:t>
      </w:r>
      <w:r>
        <w:t>q</w:t>
      </w:r>
      <w:r w:rsidR="00607F75">
        <w:t xml:space="preserve">uality </w:t>
      </w:r>
      <w:r>
        <w:t>a</w:t>
      </w:r>
      <w:r w:rsidR="00607F75">
        <w:t xml:space="preserve">ssessment, </w:t>
      </w:r>
      <w:proofErr w:type="gramStart"/>
      <w:r>
        <w:t>p</w:t>
      </w:r>
      <w:r w:rsidR="00607F75">
        <w:t>roficiency</w:t>
      </w:r>
      <w:proofErr w:type="gramEnd"/>
      <w:r w:rsidR="00607F75">
        <w:t xml:space="preserve"> and </w:t>
      </w:r>
      <w:r>
        <w:t>r</w:t>
      </w:r>
      <w:r w:rsidR="00607F75">
        <w:t>e-</w:t>
      </w:r>
      <w:r>
        <w:t>t</w:t>
      </w:r>
      <w:r w:rsidR="00607F75">
        <w:t>esting samples</w:t>
      </w:r>
    </w:p>
    <w:p w14:paraId="2A78EB3B" w14:textId="5A1EAF49" w:rsidR="00607F75" w:rsidRDefault="00FE00C1" w:rsidP="00FE00C1">
      <w:pPr>
        <w:pStyle w:val="H1G"/>
      </w:pPr>
      <w:r>
        <w:tab/>
      </w:r>
      <w:r>
        <w:tab/>
      </w:r>
      <w:r w:rsidR="00607F75" w:rsidRPr="16653AFB">
        <w:t>Transmitted by the World Health Organization (WHO)</w:t>
      </w:r>
      <w:r w:rsidR="00F910F7" w:rsidRPr="00F910F7">
        <w:rPr>
          <w:rStyle w:val="FootnoteReference"/>
          <w:rFonts w:eastAsia="Times New Roman"/>
          <w:bCs/>
          <w:color w:val="000000" w:themeColor="text1"/>
          <w:sz w:val="20"/>
          <w:szCs w:val="24"/>
          <w:vertAlign w:val="baseline"/>
        </w:rPr>
        <w:footnoteReference w:customMarkFollows="1" w:id="2"/>
        <w:t>*</w:t>
      </w:r>
    </w:p>
    <w:p w14:paraId="7BE4F8E4" w14:textId="54C56927" w:rsidR="00607F75" w:rsidRPr="00796D42" w:rsidRDefault="00607F75" w:rsidP="0054402B">
      <w:pPr>
        <w:pStyle w:val="HChG"/>
      </w:pPr>
      <w:r>
        <w:tab/>
      </w:r>
      <w:r w:rsidR="00FB429D">
        <w:t>I.</w:t>
      </w:r>
      <w:r w:rsidR="00FB429D">
        <w:tab/>
      </w:r>
      <w:r w:rsidRPr="00796D42">
        <w:t>Introduction</w:t>
      </w:r>
    </w:p>
    <w:p w14:paraId="1A2D4774" w14:textId="36D366BA" w:rsidR="00607F75" w:rsidRPr="00165268" w:rsidRDefault="0033433B" w:rsidP="0027271C">
      <w:pPr>
        <w:pStyle w:val="SingleTxtG"/>
      </w:pPr>
      <w:r w:rsidRPr="00165268">
        <w:t>1.</w:t>
      </w:r>
      <w:r w:rsidRPr="00165268">
        <w:tab/>
      </w:r>
      <w:r w:rsidR="00607F75" w:rsidRPr="00165268">
        <w:t>The objective of this proposal is to streamline the process of shipping External Quality Assessment (EQA)</w:t>
      </w:r>
      <w:r w:rsidR="00607F75">
        <w:t xml:space="preserve">, </w:t>
      </w:r>
      <w:r w:rsidR="00607F75" w:rsidRPr="00165268">
        <w:t xml:space="preserve">Proficiency Testing (PT) and </w:t>
      </w:r>
      <w:r w:rsidR="00B623CE">
        <w:t>r</w:t>
      </w:r>
      <w:r w:rsidR="00607F75" w:rsidRPr="00165268">
        <w:t>e</w:t>
      </w:r>
      <w:r w:rsidR="00607F75">
        <w:t>-</w:t>
      </w:r>
      <w:r w:rsidR="00B623CE">
        <w:t>t</w:t>
      </w:r>
      <w:r w:rsidR="00607F75" w:rsidRPr="00165268">
        <w:t>esting samples across international borders. EQA</w:t>
      </w:r>
      <w:r w:rsidR="00607F75">
        <w:t>/</w:t>
      </w:r>
      <w:r w:rsidR="00607F75" w:rsidRPr="00165268">
        <w:t xml:space="preserve">PT samples are critical for ensuring the accuracy and reliability of laboratory tests conducted worldwide, serving as a benchmark for laboratory performance and competency. Similarly, </w:t>
      </w:r>
      <w:r w:rsidR="00B623CE">
        <w:t>r</w:t>
      </w:r>
      <w:r w:rsidR="00607F75" w:rsidRPr="00165268">
        <w:t>e-</w:t>
      </w:r>
      <w:r w:rsidR="00B623CE">
        <w:t>t</w:t>
      </w:r>
      <w:r w:rsidR="00607F75" w:rsidRPr="00165268">
        <w:t>esting samples play an essential role in verifying test results, thereby guaranteeing the integrity and trustworthiness of laboratory data.</w:t>
      </w:r>
    </w:p>
    <w:p w14:paraId="63133D72" w14:textId="62E25EFC" w:rsidR="00607F75" w:rsidRPr="00165268" w:rsidRDefault="0033433B" w:rsidP="0054402B">
      <w:pPr>
        <w:pStyle w:val="SingleTxtG"/>
      </w:pPr>
      <w:r w:rsidRPr="00165268">
        <w:t>2.</w:t>
      </w:r>
      <w:r w:rsidRPr="00165268">
        <w:tab/>
      </w:r>
      <w:r w:rsidR="00607F75" w:rsidRPr="00165268">
        <w:t xml:space="preserve">Global health initiatives and diagnostic services are increasingly dependent on the timely and efficient exchange of these samples. However, complexities in customs </w:t>
      </w:r>
      <w:r w:rsidR="00607F75">
        <w:t>clearance</w:t>
      </w:r>
      <w:r w:rsidR="00607F75" w:rsidRPr="00165268">
        <w:t xml:space="preserve">, transportation logistics, and biosecurity measures pose significant challenges to their swift and </w:t>
      </w:r>
      <w:r w:rsidR="00607F75">
        <w:t>efficient</w:t>
      </w:r>
      <w:r w:rsidR="00607F75" w:rsidRPr="00165268">
        <w:t xml:space="preserve"> transfer. These obstacles not only impede the global health response efforts but also </w:t>
      </w:r>
      <w:r w:rsidR="00607F75">
        <w:t>e</w:t>
      </w:r>
      <w:r w:rsidR="00607F75" w:rsidRPr="00165268">
        <w:t>ffect the overall quality and reliability of healthcare services.</w:t>
      </w:r>
    </w:p>
    <w:p w14:paraId="2271E2F4" w14:textId="47684D51" w:rsidR="00607F75" w:rsidRDefault="0033433B" w:rsidP="0054402B">
      <w:pPr>
        <w:pStyle w:val="SingleTxtG"/>
        <w:rPr>
          <w:rFonts w:eastAsia="Times New Roman"/>
          <w:color w:val="000000" w:themeColor="text1"/>
        </w:rPr>
      </w:pPr>
      <w:r>
        <w:rPr>
          <w:rFonts w:eastAsia="Times New Roman"/>
          <w:color w:val="000000" w:themeColor="text1"/>
        </w:rPr>
        <w:t>3.</w:t>
      </w:r>
      <w:r>
        <w:rPr>
          <w:rFonts w:eastAsia="Times New Roman"/>
          <w:color w:val="000000" w:themeColor="text1"/>
        </w:rPr>
        <w:tab/>
      </w:r>
      <w:r w:rsidR="00607F75" w:rsidRPr="00796D42">
        <w:rPr>
          <w:rFonts w:eastAsia="Times New Roman"/>
          <w:color w:val="000000" w:themeColor="text1"/>
        </w:rPr>
        <w:t>By implementing the</w:t>
      </w:r>
      <w:r w:rsidR="00607F75">
        <w:rPr>
          <w:rFonts w:eastAsia="Times New Roman"/>
          <w:color w:val="000000" w:themeColor="text1"/>
        </w:rPr>
        <w:t xml:space="preserve"> proposed </w:t>
      </w:r>
      <w:r w:rsidR="00607F75" w:rsidRPr="00796D42">
        <w:rPr>
          <w:rFonts w:eastAsia="Times New Roman"/>
          <w:color w:val="000000" w:themeColor="text1"/>
        </w:rPr>
        <w:t xml:space="preserve">changes, </w:t>
      </w:r>
      <w:r w:rsidR="001054AC">
        <w:rPr>
          <w:rFonts w:eastAsia="Times New Roman"/>
          <w:color w:val="000000" w:themeColor="text1"/>
        </w:rPr>
        <w:t>WHO</w:t>
      </w:r>
      <w:r w:rsidR="00607F75" w:rsidRPr="00796D42">
        <w:rPr>
          <w:rFonts w:eastAsia="Times New Roman"/>
          <w:color w:val="000000" w:themeColor="text1"/>
        </w:rPr>
        <w:t xml:space="preserve"> aim</w:t>
      </w:r>
      <w:r w:rsidR="00E135C7">
        <w:rPr>
          <w:rFonts w:eastAsia="Times New Roman"/>
          <w:color w:val="000000" w:themeColor="text1"/>
        </w:rPr>
        <w:t>s</w:t>
      </w:r>
      <w:r w:rsidR="00607F75" w:rsidRPr="00796D42">
        <w:rPr>
          <w:rFonts w:eastAsia="Times New Roman"/>
          <w:color w:val="000000" w:themeColor="text1"/>
        </w:rPr>
        <w:t xml:space="preserve"> to enhance the efficiency</w:t>
      </w:r>
      <w:r w:rsidR="00607F75">
        <w:rPr>
          <w:rFonts w:eastAsia="Times New Roman"/>
          <w:color w:val="000000" w:themeColor="text1"/>
        </w:rPr>
        <w:t xml:space="preserve"> </w:t>
      </w:r>
      <w:r w:rsidR="00607F75" w:rsidRPr="00796D42">
        <w:rPr>
          <w:rFonts w:eastAsia="Times New Roman"/>
          <w:color w:val="000000" w:themeColor="text1"/>
        </w:rPr>
        <w:t xml:space="preserve">and reliability of the shipment processes for EQA/PT samples, thereby supporting global health </w:t>
      </w:r>
      <w:r w:rsidR="00607F75">
        <w:rPr>
          <w:rFonts w:eastAsia="Times New Roman"/>
          <w:color w:val="000000" w:themeColor="text1"/>
        </w:rPr>
        <w:t>security</w:t>
      </w:r>
      <w:r w:rsidR="00607F75" w:rsidRPr="00796D42">
        <w:rPr>
          <w:rFonts w:eastAsia="Times New Roman"/>
          <w:color w:val="000000" w:themeColor="text1"/>
        </w:rPr>
        <w:t xml:space="preserve"> and ensuring the integrity of international health standards.</w:t>
      </w:r>
    </w:p>
    <w:p w14:paraId="0E60FC61" w14:textId="5C02EC2F" w:rsidR="00607F75" w:rsidRPr="000806E2" w:rsidRDefault="0033433B" w:rsidP="0054402B">
      <w:pPr>
        <w:pStyle w:val="SingleTxtG"/>
        <w:rPr>
          <w:rFonts w:eastAsia="Times New Roman"/>
          <w:color w:val="000000" w:themeColor="text1"/>
        </w:rPr>
      </w:pPr>
      <w:r w:rsidRPr="000806E2">
        <w:rPr>
          <w:rFonts w:eastAsia="Times New Roman"/>
          <w:color w:val="000000" w:themeColor="text1"/>
        </w:rPr>
        <w:t>4.</w:t>
      </w:r>
      <w:r w:rsidRPr="000806E2">
        <w:rPr>
          <w:rFonts w:eastAsia="Times New Roman"/>
          <w:color w:val="000000" w:themeColor="text1"/>
        </w:rPr>
        <w:tab/>
      </w:r>
      <w:r w:rsidR="00607F75" w:rsidRPr="16653AFB">
        <w:rPr>
          <w:rFonts w:eastAsia="Times New Roman"/>
          <w:color w:val="000000" w:themeColor="text1"/>
        </w:rPr>
        <w:t xml:space="preserve">This is evidenced by the number of requests received by the WHO during emerging health situations for guidance on the transport of </w:t>
      </w:r>
      <w:r w:rsidR="00607F75">
        <w:rPr>
          <w:rFonts w:eastAsia="Times New Roman"/>
          <w:color w:val="000000" w:themeColor="text1"/>
        </w:rPr>
        <w:t>this samples including its</w:t>
      </w:r>
      <w:r w:rsidR="00607F75" w:rsidRPr="16653AFB">
        <w:rPr>
          <w:rFonts w:eastAsia="Times New Roman"/>
          <w:color w:val="000000" w:themeColor="text1"/>
        </w:rPr>
        <w:t xml:space="preserve"> classification.</w:t>
      </w:r>
    </w:p>
    <w:p w14:paraId="65217D6E" w14:textId="251821D0" w:rsidR="00607F75" w:rsidRPr="00165268" w:rsidRDefault="0033433B" w:rsidP="0054402B">
      <w:pPr>
        <w:pStyle w:val="SingleTxtG"/>
        <w:rPr>
          <w:rFonts w:eastAsia="Times New Roman"/>
          <w:color w:val="000000" w:themeColor="text1"/>
        </w:rPr>
      </w:pPr>
      <w:r w:rsidRPr="00165268">
        <w:rPr>
          <w:rFonts w:eastAsia="Times New Roman"/>
          <w:color w:val="000000" w:themeColor="text1"/>
        </w:rPr>
        <w:t>5.</w:t>
      </w:r>
      <w:r w:rsidRPr="00165268">
        <w:rPr>
          <w:rFonts w:eastAsia="Times New Roman"/>
          <w:color w:val="000000" w:themeColor="text1"/>
        </w:rPr>
        <w:tab/>
      </w:r>
      <w:r w:rsidR="00607F75" w:rsidRPr="00796D42">
        <w:rPr>
          <w:rFonts w:eastAsia="Times New Roman"/>
          <w:color w:val="000000" w:themeColor="text1"/>
        </w:rPr>
        <w:t xml:space="preserve">This initiative aligns with Sustainable Development Goal 6, “peace, justice, and strong institutions,” </w:t>
      </w:r>
      <w:proofErr w:type="gramStart"/>
      <w:r w:rsidR="00904A5D">
        <w:rPr>
          <w:rFonts w:eastAsia="Times New Roman"/>
          <w:color w:val="000000" w:themeColor="text1"/>
        </w:rPr>
        <w:t xml:space="preserve">in </w:t>
      </w:r>
      <w:r w:rsidR="00607F75" w:rsidRPr="00796D42">
        <w:rPr>
          <w:rFonts w:eastAsia="Times New Roman"/>
          <w:color w:val="000000" w:themeColor="text1"/>
        </w:rPr>
        <w:t>particular targeting</w:t>
      </w:r>
      <w:proofErr w:type="gramEnd"/>
      <w:r w:rsidR="00607F75" w:rsidRPr="00796D42">
        <w:rPr>
          <w:rFonts w:eastAsia="Times New Roman"/>
          <w:color w:val="000000" w:themeColor="text1"/>
        </w:rPr>
        <w:t xml:space="preserve"> the advancement of effective, accountable, and transparent institutions at all levels.</w:t>
      </w:r>
    </w:p>
    <w:p w14:paraId="34E2BAAD" w14:textId="251B25E6" w:rsidR="00607F75" w:rsidRPr="0054402B" w:rsidRDefault="005F33BE" w:rsidP="0054402B">
      <w:pPr>
        <w:pStyle w:val="HChG"/>
      </w:pPr>
      <w:r>
        <w:lastRenderedPageBreak/>
        <w:tab/>
      </w:r>
      <w:r w:rsidR="00FB429D">
        <w:t>II.</w:t>
      </w:r>
      <w:r w:rsidR="00FB429D">
        <w:tab/>
      </w:r>
      <w:r w:rsidR="00607F75" w:rsidRPr="0054402B">
        <w:t>Explanation</w:t>
      </w:r>
    </w:p>
    <w:p w14:paraId="79205EAE" w14:textId="6D4D5D0D" w:rsidR="00607F75" w:rsidRPr="00F74CF1" w:rsidRDefault="0033433B" w:rsidP="005F33BE">
      <w:pPr>
        <w:pStyle w:val="SingleTxtG"/>
      </w:pPr>
      <w:r w:rsidRPr="00F74CF1">
        <w:t>6.</w:t>
      </w:r>
      <w:r w:rsidRPr="00F74CF1">
        <w:tab/>
      </w:r>
      <w:r w:rsidR="00607F75" w:rsidRPr="00A02667">
        <w:t>Delays in customs are often caused b</w:t>
      </w:r>
      <w:r w:rsidR="00607F75">
        <w:t>ecause of</w:t>
      </w:r>
      <w:r w:rsidR="00607F75" w:rsidRPr="00A02667">
        <w:t xml:space="preserve"> misunderstandings </w:t>
      </w:r>
      <w:r w:rsidR="00607F75">
        <w:t>with the</w:t>
      </w:r>
      <w:r w:rsidR="00607F75" w:rsidRPr="00A02667">
        <w:t xml:space="preserve"> </w:t>
      </w:r>
      <w:r w:rsidR="00607F75">
        <w:t xml:space="preserve">name on the packaging and the </w:t>
      </w:r>
      <w:r w:rsidR="00607F75" w:rsidRPr="00A02667">
        <w:t xml:space="preserve">accompanying </w:t>
      </w:r>
      <w:r w:rsidR="00D43099">
        <w:t>s</w:t>
      </w:r>
      <w:r w:rsidR="00607F75" w:rsidRPr="00A02667">
        <w:t xml:space="preserve">hipping </w:t>
      </w:r>
      <w:r w:rsidR="00D43099">
        <w:t>d</w:t>
      </w:r>
      <w:r w:rsidR="00607F75" w:rsidRPr="00A02667">
        <w:t>eclaration</w:t>
      </w:r>
      <w:r w:rsidR="00607F75">
        <w:t xml:space="preserve"> </w:t>
      </w:r>
      <w:r w:rsidR="00607F75" w:rsidRPr="00A02667">
        <w:t xml:space="preserve">for </w:t>
      </w:r>
      <w:r w:rsidR="00607F75">
        <w:t xml:space="preserve">EQA/PT and </w:t>
      </w:r>
      <w:r w:rsidR="00D43099">
        <w:t>r</w:t>
      </w:r>
      <w:r w:rsidR="00607F75">
        <w:t>e-</w:t>
      </w:r>
      <w:r w:rsidR="00D43099">
        <w:t>t</w:t>
      </w:r>
      <w:r w:rsidR="00607F75">
        <w:t>esting</w:t>
      </w:r>
      <w:r w:rsidR="00607F75" w:rsidRPr="00A02667">
        <w:t xml:space="preserve"> samples</w:t>
      </w:r>
      <w:r w:rsidR="00607F75">
        <w:t xml:space="preserve"> (</w:t>
      </w:r>
      <w:proofErr w:type="gramStart"/>
      <w:r w:rsidR="00607F75">
        <w:t>e.g.</w:t>
      </w:r>
      <w:proofErr w:type="gramEnd"/>
      <w:r w:rsidR="00607F75" w:rsidRPr="0070589C">
        <w:t xml:space="preserve"> SARS-CoV-2 EQA kits</w:t>
      </w:r>
      <w:r w:rsidR="00607F75">
        <w:t xml:space="preserve">, </w:t>
      </w:r>
      <w:r w:rsidR="00607F75" w:rsidRPr="0070589C">
        <w:t>Influenza Virus Proficiency Testing Panels</w:t>
      </w:r>
      <w:r w:rsidR="00607F75">
        <w:t xml:space="preserve">, Influenza PT kits, EQA kits for Monkeypox, EQA </w:t>
      </w:r>
      <w:proofErr w:type="spellStart"/>
      <w:r w:rsidR="00607F75">
        <w:t>Mpox</w:t>
      </w:r>
      <w:proofErr w:type="spellEnd"/>
      <w:r w:rsidR="00607F75">
        <w:t xml:space="preserve">, Ebola re-test sample) and the perceived risk associated with this shipment. </w:t>
      </w:r>
      <w:r w:rsidR="00607F75" w:rsidRPr="00F74CF1">
        <w:t xml:space="preserve">Although these materials may be non-infectious or inactivated and pose no health risk, </w:t>
      </w:r>
      <w:r w:rsidR="00607F75" w:rsidRPr="004B64C5">
        <w:t>due to their naming,</w:t>
      </w:r>
      <w:r w:rsidR="00607F75">
        <w:t xml:space="preserve"> </w:t>
      </w:r>
      <w:r w:rsidR="00607F75" w:rsidRPr="00F74CF1">
        <w:t>they are mistakenly perceived as infectious substances, leading to significant transportation delays.</w:t>
      </w:r>
    </w:p>
    <w:p w14:paraId="69DD1F43" w14:textId="44857B4D" w:rsidR="00607F75" w:rsidRPr="005F33BE" w:rsidRDefault="005F33BE" w:rsidP="005F33BE">
      <w:pPr>
        <w:pStyle w:val="HChG"/>
      </w:pPr>
      <w:r>
        <w:tab/>
      </w:r>
      <w:r w:rsidR="00FB429D">
        <w:t>III.</w:t>
      </w:r>
      <w:r w:rsidR="00FB429D">
        <w:tab/>
      </w:r>
      <w:r w:rsidR="00607F75" w:rsidRPr="005F33BE">
        <w:t>Proposal</w:t>
      </w:r>
    </w:p>
    <w:p w14:paraId="63053676" w14:textId="0D925D6E" w:rsidR="00607F75" w:rsidRDefault="0033433B" w:rsidP="00B56F8C">
      <w:pPr>
        <w:pStyle w:val="SingleTxtG"/>
      </w:pPr>
      <w:r>
        <w:t>7.</w:t>
      </w:r>
      <w:r>
        <w:tab/>
      </w:r>
      <w:r w:rsidR="00607F75" w:rsidRPr="0070589C">
        <w:t xml:space="preserve">The following changes </w:t>
      </w:r>
      <w:r w:rsidR="0044586C">
        <w:t>to paragraph 2.6.3.2.3</w:t>
      </w:r>
      <w:r w:rsidR="0033770E">
        <w:t>.3</w:t>
      </w:r>
      <w:r w:rsidR="0044586C">
        <w:t xml:space="preserve"> in the </w:t>
      </w:r>
      <w:r w:rsidR="0044586C" w:rsidRPr="0033765B">
        <w:rPr>
          <w:i/>
          <w:iCs/>
        </w:rPr>
        <w:t>Model Regulations</w:t>
      </w:r>
      <w:r w:rsidR="0044586C">
        <w:t xml:space="preserve"> </w:t>
      </w:r>
      <w:r w:rsidR="00607F75" w:rsidRPr="0070589C">
        <w:t>are proposed</w:t>
      </w:r>
      <w:r w:rsidR="0044586C">
        <w:t xml:space="preserve"> (</w:t>
      </w:r>
      <w:r w:rsidR="00607F75" w:rsidRPr="0070589C">
        <w:t xml:space="preserve">new text </w:t>
      </w:r>
      <w:r w:rsidR="0033765B">
        <w:t xml:space="preserve">is </w:t>
      </w:r>
      <w:r w:rsidR="00607F75" w:rsidRPr="0070589C">
        <w:t xml:space="preserve">in </w:t>
      </w:r>
      <w:r w:rsidR="00607F75" w:rsidRPr="00683666">
        <w:rPr>
          <w:b/>
          <w:bCs/>
          <w:u w:val="single"/>
        </w:rPr>
        <w:t>bold underline</w:t>
      </w:r>
      <w:r w:rsidR="0044586C">
        <w:rPr>
          <w:b/>
          <w:bCs/>
          <w:u w:val="single"/>
        </w:rPr>
        <w:t>)</w:t>
      </w:r>
      <w:r w:rsidR="00607F75" w:rsidRPr="0070589C">
        <w:t>:</w:t>
      </w:r>
    </w:p>
    <w:p w14:paraId="643BA7AF" w14:textId="4316EC99" w:rsidR="00607F75" w:rsidRPr="00D51C96" w:rsidRDefault="00B56F8C" w:rsidP="002245BE">
      <w:pPr>
        <w:pStyle w:val="ListParagraph"/>
        <w:snapToGrid w:val="0"/>
        <w:spacing w:before="120" w:after="120" w:line="240" w:lineRule="auto"/>
        <w:ind w:left="1690" w:right="1162"/>
        <w:contextualSpacing w:val="0"/>
        <w:jc w:val="both"/>
        <w:rPr>
          <w:rFonts w:ascii="Times New Roman" w:eastAsia="Times New Roman" w:hAnsi="Times New Roman" w:cs="Times New Roman"/>
          <w:b/>
          <w:bCs/>
          <w:color w:val="000000" w:themeColor="text1"/>
          <w:sz w:val="20"/>
          <w:szCs w:val="20"/>
          <w:u w:val="single"/>
        </w:rPr>
      </w:pPr>
      <w:r>
        <w:rPr>
          <w:rFonts w:ascii="Times New Roman" w:eastAsia="Times New Roman" w:hAnsi="Times New Roman" w:cs="Times New Roman"/>
          <w:color w:val="000000" w:themeColor="text1"/>
          <w:sz w:val="20"/>
          <w:szCs w:val="20"/>
        </w:rPr>
        <w:t>“</w:t>
      </w:r>
      <w:r w:rsidR="00607F75" w:rsidRPr="00B54593">
        <w:rPr>
          <w:rFonts w:ascii="Times New Roman" w:eastAsia="Times New Roman" w:hAnsi="Times New Roman" w:cs="Times New Roman"/>
          <w:color w:val="000000" w:themeColor="text1"/>
          <w:sz w:val="20"/>
          <w:szCs w:val="20"/>
        </w:rPr>
        <w:t>2.6.3.2.3.3</w:t>
      </w:r>
      <w:r w:rsidR="005F33BE">
        <w:rPr>
          <w:rFonts w:ascii="Times New Roman" w:eastAsia="Times New Roman" w:hAnsi="Times New Roman" w:cs="Times New Roman"/>
          <w:color w:val="000000" w:themeColor="text1"/>
          <w:sz w:val="20"/>
          <w:szCs w:val="20"/>
        </w:rPr>
        <w:tab/>
      </w:r>
      <w:r w:rsidR="00607F75" w:rsidRPr="00B54593">
        <w:rPr>
          <w:rFonts w:ascii="Times New Roman" w:eastAsia="Times New Roman" w:hAnsi="Times New Roman" w:cs="Times New Roman"/>
          <w:color w:val="000000" w:themeColor="text1"/>
          <w:sz w:val="20"/>
          <w:szCs w:val="20"/>
        </w:rPr>
        <w:t>Substances in a form that any present pathogens have been neutralized or inactivated such that they no longer pose a health risk are not subject to these Regulations unless they meet the criteria for inclusion in another class.</w:t>
      </w:r>
    </w:p>
    <w:p w14:paraId="2F218780" w14:textId="77777777" w:rsidR="002245BE" w:rsidRDefault="00607F75" w:rsidP="002245BE">
      <w:pPr>
        <w:pStyle w:val="ListParagraph"/>
        <w:snapToGrid w:val="0"/>
        <w:spacing w:before="120" w:after="120" w:line="240" w:lineRule="auto"/>
        <w:ind w:left="1690" w:right="1162"/>
        <w:contextualSpacing w:val="0"/>
        <w:jc w:val="both"/>
        <w:rPr>
          <w:rFonts w:ascii="Times New Roman" w:eastAsia="Times New Roman" w:hAnsi="Times New Roman" w:cs="Times New Roman"/>
          <w:i/>
          <w:iCs/>
          <w:color w:val="000000" w:themeColor="text1"/>
          <w:sz w:val="20"/>
          <w:szCs w:val="20"/>
        </w:rPr>
      </w:pPr>
      <w:r w:rsidRPr="005F33BE">
        <w:rPr>
          <w:rFonts w:ascii="Times New Roman" w:eastAsia="Times New Roman" w:hAnsi="Times New Roman" w:cs="Times New Roman"/>
          <w:b/>
          <w:bCs/>
          <w:i/>
          <w:iCs/>
          <w:color w:val="000000" w:themeColor="text1"/>
          <w:sz w:val="20"/>
          <w:szCs w:val="20"/>
        </w:rPr>
        <w:t>NOTE</w:t>
      </w:r>
      <w:r w:rsidR="005F33BE">
        <w:rPr>
          <w:rFonts w:ascii="Times New Roman" w:eastAsia="Times New Roman" w:hAnsi="Times New Roman" w:cs="Times New Roman"/>
          <w:b/>
          <w:bCs/>
          <w:i/>
          <w:iCs/>
          <w:color w:val="000000" w:themeColor="text1"/>
          <w:sz w:val="20"/>
          <w:szCs w:val="20"/>
        </w:rPr>
        <w:t xml:space="preserve"> </w:t>
      </w:r>
      <w:r w:rsidR="005F33BE" w:rsidRPr="005F33BE">
        <w:rPr>
          <w:rFonts w:ascii="Times New Roman" w:eastAsia="Times New Roman" w:hAnsi="Times New Roman" w:cs="Times New Roman"/>
          <w:b/>
          <w:bCs/>
          <w:i/>
          <w:iCs/>
          <w:color w:val="000000" w:themeColor="text1"/>
          <w:sz w:val="20"/>
          <w:szCs w:val="20"/>
          <w:u w:val="single"/>
        </w:rPr>
        <w:t>1</w:t>
      </w:r>
      <w:r w:rsidRPr="005F33BE">
        <w:rPr>
          <w:rFonts w:ascii="Times New Roman" w:eastAsia="Times New Roman" w:hAnsi="Times New Roman" w:cs="Times New Roman"/>
          <w:b/>
          <w:bCs/>
          <w:i/>
          <w:iCs/>
          <w:color w:val="000000" w:themeColor="text1"/>
          <w:sz w:val="20"/>
          <w:szCs w:val="20"/>
        </w:rPr>
        <w:t>:</w:t>
      </w:r>
      <w:r w:rsidRPr="00B54593">
        <w:rPr>
          <w:rFonts w:ascii="Times New Roman" w:eastAsia="Times New Roman" w:hAnsi="Times New Roman" w:cs="Times New Roman"/>
          <w:color w:val="000000" w:themeColor="text1"/>
          <w:sz w:val="20"/>
          <w:szCs w:val="20"/>
        </w:rPr>
        <w:t xml:space="preserve"> </w:t>
      </w:r>
      <w:r w:rsidR="00B56F8C">
        <w:rPr>
          <w:rFonts w:ascii="Times New Roman" w:eastAsia="Times New Roman" w:hAnsi="Times New Roman" w:cs="Times New Roman"/>
          <w:color w:val="000000" w:themeColor="text1"/>
          <w:sz w:val="20"/>
          <w:szCs w:val="20"/>
        </w:rPr>
        <w:tab/>
      </w:r>
      <w:r w:rsidRPr="005F33BE">
        <w:rPr>
          <w:rFonts w:ascii="Times New Roman" w:eastAsia="Times New Roman" w:hAnsi="Times New Roman" w:cs="Times New Roman"/>
          <w:i/>
          <w:iCs/>
          <w:color w:val="000000" w:themeColor="text1"/>
          <w:sz w:val="20"/>
          <w:szCs w:val="20"/>
        </w:rPr>
        <w:t>Medical equipment which has been drained of free liquid is deemed to meet the requirements of this paragraph and is not subject to these Regulations.</w:t>
      </w:r>
    </w:p>
    <w:p w14:paraId="5F9CD8DC" w14:textId="34580999" w:rsidR="00607F75" w:rsidRPr="00D51C96" w:rsidRDefault="00607F75" w:rsidP="002245BE">
      <w:pPr>
        <w:pStyle w:val="ListParagraph"/>
        <w:snapToGrid w:val="0"/>
        <w:spacing w:before="120" w:after="120" w:line="240" w:lineRule="auto"/>
        <w:ind w:left="1690" w:right="1162"/>
        <w:contextualSpacing w:val="0"/>
        <w:jc w:val="both"/>
        <w:rPr>
          <w:rFonts w:ascii="Times New Roman" w:eastAsia="Times New Roman" w:hAnsi="Times New Roman" w:cs="Times New Roman"/>
          <w:b/>
          <w:bCs/>
          <w:color w:val="000000" w:themeColor="text1"/>
          <w:sz w:val="20"/>
          <w:szCs w:val="20"/>
          <w:u w:val="single"/>
        </w:rPr>
      </w:pPr>
      <w:r w:rsidRPr="00B56F8C">
        <w:rPr>
          <w:rFonts w:ascii="Times New Roman" w:eastAsia="Times New Roman" w:hAnsi="Times New Roman" w:cs="Times New Roman"/>
          <w:b/>
          <w:bCs/>
          <w:i/>
          <w:iCs/>
          <w:color w:val="000000" w:themeColor="text1"/>
          <w:sz w:val="20"/>
          <w:szCs w:val="20"/>
          <w:u w:val="single"/>
        </w:rPr>
        <w:t xml:space="preserve">NOTE 2: </w:t>
      </w:r>
      <w:r w:rsidR="005F33BE" w:rsidRPr="00B56F8C">
        <w:rPr>
          <w:rFonts w:ascii="Times New Roman" w:eastAsia="Times New Roman" w:hAnsi="Times New Roman" w:cs="Times New Roman"/>
          <w:b/>
          <w:bCs/>
          <w:i/>
          <w:iCs/>
          <w:color w:val="000000" w:themeColor="text1"/>
          <w:sz w:val="20"/>
          <w:szCs w:val="20"/>
          <w:u w:val="single"/>
        </w:rPr>
        <w:tab/>
      </w:r>
      <w:r w:rsidRPr="005F33BE">
        <w:rPr>
          <w:rFonts w:ascii="Times New Roman" w:eastAsia="Times New Roman" w:hAnsi="Times New Roman" w:cs="Times New Roman"/>
          <w:b/>
          <w:bCs/>
          <w:i/>
          <w:iCs/>
          <w:color w:val="000000" w:themeColor="text1"/>
          <w:sz w:val="20"/>
          <w:szCs w:val="20"/>
          <w:u w:val="single"/>
        </w:rPr>
        <w:t xml:space="preserve">External </w:t>
      </w:r>
      <w:r w:rsidR="005F33BE">
        <w:rPr>
          <w:rFonts w:ascii="Times New Roman" w:eastAsia="Times New Roman" w:hAnsi="Times New Roman" w:cs="Times New Roman"/>
          <w:b/>
          <w:bCs/>
          <w:i/>
          <w:iCs/>
          <w:color w:val="000000" w:themeColor="text1"/>
          <w:sz w:val="20"/>
          <w:szCs w:val="20"/>
          <w:u w:val="single"/>
        </w:rPr>
        <w:t>q</w:t>
      </w:r>
      <w:r w:rsidRPr="005F33BE">
        <w:rPr>
          <w:rFonts w:ascii="Times New Roman" w:eastAsia="Times New Roman" w:hAnsi="Times New Roman" w:cs="Times New Roman"/>
          <w:b/>
          <w:bCs/>
          <w:i/>
          <w:iCs/>
          <w:color w:val="000000" w:themeColor="text1"/>
          <w:sz w:val="20"/>
          <w:szCs w:val="20"/>
          <w:u w:val="single"/>
        </w:rPr>
        <w:t xml:space="preserve">uality </w:t>
      </w:r>
      <w:r w:rsidR="005F33BE">
        <w:rPr>
          <w:rFonts w:ascii="Times New Roman" w:eastAsia="Times New Roman" w:hAnsi="Times New Roman" w:cs="Times New Roman"/>
          <w:b/>
          <w:bCs/>
          <w:i/>
          <w:iCs/>
          <w:color w:val="000000" w:themeColor="text1"/>
          <w:sz w:val="20"/>
          <w:szCs w:val="20"/>
          <w:u w:val="single"/>
        </w:rPr>
        <w:t>a</w:t>
      </w:r>
      <w:r w:rsidRPr="005F33BE">
        <w:rPr>
          <w:rFonts w:ascii="Times New Roman" w:eastAsia="Times New Roman" w:hAnsi="Times New Roman" w:cs="Times New Roman"/>
          <w:b/>
          <w:bCs/>
          <w:i/>
          <w:iCs/>
          <w:color w:val="000000" w:themeColor="text1"/>
          <w:sz w:val="20"/>
          <w:szCs w:val="20"/>
          <w:u w:val="single"/>
        </w:rPr>
        <w:t xml:space="preserve">ssessment, </w:t>
      </w:r>
      <w:r w:rsidR="005F33BE">
        <w:rPr>
          <w:rFonts w:ascii="Times New Roman" w:eastAsia="Times New Roman" w:hAnsi="Times New Roman" w:cs="Times New Roman"/>
          <w:b/>
          <w:bCs/>
          <w:i/>
          <w:iCs/>
          <w:color w:val="000000" w:themeColor="text1"/>
          <w:sz w:val="20"/>
          <w:szCs w:val="20"/>
          <w:u w:val="single"/>
        </w:rPr>
        <w:t>p</w:t>
      </w:r>
      <w:r w:rsidRPr="005F33BE">
        <w:rPr>
          <w:rFonts w:ascii="Times New Roman" w:eastAsia="Times New Roman" w:hAnsi="Times New Roman" w:cs="Times New Roman"/>
          <w:b/>
          <w:bCs/>
          <w:i/>
          <w:iCs/>
          <w:color w:val="000000" w:themeColor="text1"/>
          <w:sz w:val="20"/>
          <w:szCs w:val="20"/>
          <w:u w:val="single"/>
        </w:rPr>
        <w:t xml:space="preserve">roficiency- and </w:t>
      </w:r>
      <w:r w:rsidR="005F33BE">
        <w:rPr>
          <w:rFonts w:ascii="Times New Roman" w:eastAsia="Times New Roman" w:hAnsi="Times New Roman" w:cs="Times New Roman"/>
          <w:b/>
          <w:bCs/>
          <w:i/>
          <w:iCs/>
          <w:color w:val="000000" w:themeColor="text1"/>
          <w:sz w:val="20"/>
          <w:szCs w:val="20"/>
          <w:u w:val="single"/>
        </w:rPr>
        <w:t>r</w:t>
      </w:r>
      <w:r w:rsidRPr="005F33BE">
        <w:rPr>
          <w:rFonts w:ascii="Times New Roman" w:eastAsia="Times New Roman" w:hAnsi="Times New Roman" w:cs="Times New Roman"/>
          <w:b/>
          <w:bCs/>
          <w:i/>
          <w:iCs/>
          <w:color w:val="000000" w:themeColor="text1"/>
          <w:sz w:val="20"/>
          <w:szCs w:val="20"/>
          <w:u w:val="single"/>
        </w:rPr>
        <w:t>e-</w:t>
      </w:r>
      <w:r w:rsidR="005F33BE">
        <w:rPr>
          <w:rFonts w:ascii="Times New Roman" w:eastAsia="Times New Roman" w:hAnsi="Times New Roman" w:cs="Times New Roman"/>
          <w:b/>
          <w:bCs/>
          <w:i/>
          <w:iCs/>
          <w:color w:val="000000" w:themeColor="text1"/>
          <w:sz w:val="20"/>
          <w:szCs w:val="20"/>
          <w:u w:val="single"/>
        </w:rPr>
        <w:t>t</w:t>
      </w:r>
      <w:r w:rsidRPr="005F33BE">
        <w:rPr>
          <w:rFonts w:ascii="Times New Roman" w:eastAsia="Times New Roman" w:hAnsi="Times New Roman" w:cs="Times New Roman"/>
          <w:b/>
          <w:bCs/>
          <w:i/>
          <w:iCs/>
          <w:color w:val="000000" w:themeColor="text1"/>
          <w:sz w:val="20"/>
          <w:szCs w:val="20"/>
          <w:u w:val="single"/>
        </w:rPr>
        <w:t xml:space="preserve">esting samples are frequently subject to neutralization or inactivation processes or are inherently non-infectious. Therefore, notwithstanding containing names of infectious substances on the package or </w:t>
      </w:r>
      <w:r w:rsidR="005F33BE">
        <w:rPr>
          <w:rFonts w:ascii="Times New Roman" w:eastAsia="Times New Roman" w:hAnsi="Times New Roman" w:cs="Times New Roman"/>
          <w:b/>
          <w:bCs/>
          <w:i/>
          <w:iCs/>
          <w:color w:val="000000" w:themeColor="text1"/>
          <w:sz w:val="20"/>
          <w:szCs w:val="20"/>
          <w:u w:val="single"/>
        </w:rPr>
        <w:t>s</w:t>
      </w:r>
      <w:r w:rsidRPr="005F33BE">
        <w:rPr>
          <w:rFonts w:ascii="Times New Roman" w:eastAsia="Times New Roman" w:hAnsi="Times New Roman" w:cs="Times New Roman"/>
          <w:b/>
          <w:bCs/>
          <w:i/>
          <w:iCs/>
          <w:color w:val="000000" w:themeColor="text1"/>
          <w:sz w:val="20"/>
          <w:szCs w:val="20"/>
          <w:u w:val="single"/>
        </w:rPr>
        <w:t xml:space="preserve">hipper’s </w:t>
      </w:r>
      <w:r w:rsidR="005F33BE">
        <w:rPr>
          <w:rFonts w:ascii="Times New Roman" w:eastAsia="Times New Roman" w:hAnsi="Times New Roman" w:cs="Times New Roman"/>
          <w:b/>
          <w:bCs/>
          <w:i/>
          <w:iCs/>
          <w:color w:val="000000" w:themeColor="text1"/>
          <w:sz w:val="20"/>
          <w:szCs w:val="20"/>
          <w:u w:val="single"/>
        </w:rPr>
        <w:t>d</w:t>
      </w:r>
      <w:r w:rsidRPr="005F33BE">
        <w:rPr>
          <w:rFonts w:ascii="Times New Roman" w:eastAsia="Times New Roman" w:hAnsi="Times New Roman" w:cs="Times New Roman"/>
          <w:b/>
          <w:bCs/>
          <w:i/>
          <w:iCs/>
          <w:color w:val="000000" w:themeColor="text1"/>
          <w:sz w:val="20"/>
          <w:szCs w:val="20"/>
          <w:u w:val="single"/>
        </w:rPr>
        <w:t xml:space="preserve">eclaration, non-infectious, </w:t>
      </w:r>
      <w:proofErr w:type="gramStart"/>
      <w:r w:rsidRPr="005F33BE">
        <w:rPr>
          <w:rFonts w:ascii="Times New Roman" w:eastAsia="Times New Roman" w:hAnsi="Times New Roman" w:cs="Times New Roman"/>
          <w:b/>
          <w:bCs/>
          <w:i/>
          <w:iCs/>
          <w:color w:val="000000" w:themeColor="text1"/>
          <w:sz w:val="20"/>
          <w:szCs w:val="20"/>
          <w:u w:val="single"/>
        </w:rPr>
        <w:t>inactivated</w:t>
      </w:r>
      <w:proofErr w:type="gramEnd"/>
      <w:r w:rsidRPr="005F33BE">
        <w:rPr>
          <w:rFonts w:ascii="Times New Roman" w:eastAsia="Times New Roman" w:hAnsi="Times New Roman" w:cs="Times New Roman"/>
          <w:b/>
          <w:bCs/>
          <w:i/>
          <w:iCs/>
          <w:color w:val="000000" w:themeColor="text1"/>
          <w:sz w:val="20"/>
          <w:szCs w:val="20"/>
          <w:u w:val="single"/>
        </w:rPr>
        <w:t xml:space="preserve"> or neutralized </w:t>
      </w:r>
      <w:r w:rsidR="005F33BE">
        <w:rPr>
          <w:rFonts w:ascii="Times New Roman" w:eastAsia="Times New Roman" w:hAnsi="Times New Roman" w:cs="Times New Roman"/>
          <w:b/>
          <w:bCs/>
          <w:i/>
          <w:iCs/>
          <w:color w:val="000000" w:themeColor="text1"/>
          <w:sz w:val="20"/>
          <w:szCs w:val="20"/>
          <w:u w:val="single"/>
        </w:rPr>
        <w:t>e</w:t>
      </w:r>
      <w:r w:rsidRPr="005F33BE">
        <w:rPr>
          <w:rFonts w:ascii="Times New Roman" w:eastAsia="Times New Roman" w:hAnsi="Times New Roman" w:cs="Times New Roman"/>
          <w:b/>
          <w:bCs/>
          <w:i/>
          <w:iCs/>
          <w:color w:val="000000" w:themeColor="text1"/>
          <w:sz w:val="20"/>
          <w:szCs w:val="20"/>
          <w:u w:val="single"/>
        </w:rPr>
        <w:t xml:space="preserve">xternal </w:t>
      </w:r>
      <w:r w:rsidR="005F33BE">
        <w:rPr>
          <w:rFonts w:ascii="Times New Roman" w:eastAsia="Times New Roman" w:hAnsi="Times New Roman" w:cs="Times New Roman"/>
          <w:b/>
          <w:bCs/>
          <w:i/>
          <w:iCs/>
          <w:color w:val="000000" w:themeColor="text1"/>
          <w:sz w:val="20"/>
          <w:szCs w:val="20"/>
          <w:u w:val="single"/>
        </w:rPr>
        <w:t>q</w:t>
      </w:r>
      <w:r w:rsidRPr="005F33BE">
        <w:rPr>
          <w:rFonts w:ascii="Times New Roman" w:eastAsia="Times New Roman" w:hAnsi="Times New Roman" w:cs="Times New Roman"/>
          <w:b/>
          <w:bCs/>
          <w:i/>
          <w:iCs/>
          <w:color w:val="000000" w:themeColor="text1"/>
          <w:sz w:val="20"/>
          <w:szCs w:val="20"/>
          <w:u w:val="single"/>
        </w:rPr>
        <w:t xml:space="preserve">uality </w:t>
      </w:r>
      <w:r w:rsidR="005F33BE">
        <w:rPr>
          <w:rFonts w:ascii="Times New Roman" w:eastAsia="Times New Roman" w:hAnsi="Times New Roman" w:cs="Times New Roman"/>
          <w:b/>
          <w:bCs/>
          <w:i/>
          <w:iCs/>
          <w:color w:val="000000" w:themeColor="text1"/>
          <w:sz w:val="20"/>
          <w:szCs w:val="20"/>
          <w:u w:val="single"/>
        </w:rPr>
        <w:t>a</w:t>
      </w:r>
      <w:r w:rsidRPr="005F33BE">
        <w:rPr>
          <w:rFonts w:ascii="Times New Roman" w:eastAsia="Times New Roman" w:hAnsi="Times New Roman" w:cs="Times New Roman"/>
          <w:b/>
          <w:bCs/>
          <w:i/>
          <w:iCs/>
          <w:color w:val="000000" w:themeColor="text1"/>
          <w:sz w:val="20"/>
          <w:szCs w:val="20"/>
          <w:u w:val="single"/>
        </w:rPr>
        <w:t xml:space="preserve">ssessment, </w:t>
      </w:r>
      <w:r w:rsidR="005F33BE">
        <w:rPr>
          <w:rFonts w:ascii="Times New Roman" w:eastAsia="Times New Roman" w:hAnsi="Times New Roman" w:cs="Times New Roman"/>
          <w:b/>
          <w:bCs/>
          <w:i/>
          <w:iCs/>
          <w:color w:val="000000" w:themeColor="text1"/>
          <w:sz w:val="20"/>
          <w:szCs w:val="20"/>
          <w:u w:val="single"/>
        </w:rPr>
        <w:t>p</w:t>
      </w:r>
      <w:r w:rsidRPr="005F33BE">
        <w:rPr>
          <w:rFonts w:ascii="Times New Roman" w:eastAsia="Times New Roman" w:hAnsi="Times New Roman" w:cs="Times New Roman"/>
          <w:b/>
          <w:bCs/>
          <w:i/>
          <w:iCs/>
          <w:color w:val="000000" w:themeColor="text1"/>
          <w:sz w:val="20"/>
          <w:szCs w:val="20"/>
          <w:u w:val="single"/>
        </w:rPr>
        <w:t xml:space="preserve">roficiency and </w:t>
      </w:r>
      <w:r w:rsidR="005F33BE">
        <w:rPr>
          <w:rFonts w:ascii="Times New Roman" w:eastAsia="Times New Roman" w:hAnsi="Times New Roman" w:cs="Times New Roman"/>
          <w:b/>
          <w:bCs/>
          <w:i/>
          <w:iCs/>
          <w:color w:val="000000" w:themeColor="text1"/>
          <w:sz w:val="20"/>
          <w:szCs w:val="20"/>
          <w:u w:val="single"/>
        </w:rPr>
        <w:t>r</w:t>
      </w:r>
      <w:r w:rsidRPr="005F33BE">
        <w:rPr>
          <w:rFonts w:ascii="Times New Roman" w:eastAsia="Times New Roman" w:hAnsi="Times New Roman" w:cs="Times New Roman"/>
          <w:b/>
          <w:bCs/>
          <w:i/>
          <w:iCs/>
          <w:color w:val="000000" w:themeColor="text1"/>
          <w:sz w:val="20"/>
          <w:szCs w:val="20"/>
          <w:u w:val="single"/>
        </w:rPr>
        <w:t>e-</w:t>
      </w:r>
      <w:r w:rsidR="005F33BE">
        <w:rPr>
          <w:rFonts w:ascii="Times New Roman" w:eastAsia="Times New Roman" w:hAnsi="Times New Roman" w:cs="Times New Roman"/>
          <w:b/>
          <w:bCs/>
          <w:i/>
          <w:iCs/>
          <w:color w:val="000000" w:themeColor="text1"/>
          <w:sz w:val="20"/>
          <w:szCs w:val="20"/>
          <w:u w:val="single"/>
        </w:rPr>
        <w:t>t</w:t>
      </w:r>
      <w:r w:rsidRPr="005F33BE">
        <w:rPr>
          <w:rFonts w:ascii="Times New Roman" w:eastAsia="Times New Roman" w:hAnsi="Times New Roman" w:cs="Times New Roman"/>
          <w:b/>
          <w:bCs/>
          <w:i/>
          <w:iCs/>
          <w:color w:val="000000" w:themeColor="text1"/>
          <w:sz w:val="20"/>
          <w:szCs w:val="20"/>
          <w:u w:val="single"/>
        </w:rPr>
        <w:t>esting samples, are not subject to these Regulations.</w:t>
      </w:r>
      <w:r w:rsidR="00B56F8C" w:rsidRPr="00B56F8C">
        <w:rPr>
          <w:rFonts w:ascii="Times New Roman" w:eastAsia="Times New Roman" w:hAnsi="Times New Roman" w:cs="Times New Roman"/>
          <w:b/>
          <w:bCs/>
          <w:color w:val="000000" w:themeColor="text1"/>
          <w:sz w:val="20"/>
          <w:szCs w:val="20"/>
        </w:rPr>
        <w:t>”</w:t>
      </w:r>
    </w:p>
    <w:p w14:paraId="1F386C88" w14:textId="73E9CF85" w:rsidR="00607F75" w:rsidRPr="00E15DBF" w:rsidRDefault="00E15DBF" w:rsidP="00B56F8C">
      <w:pPr>
        <w:pStyle w:val="HChG"/>
        <w:spacing w:before="240"/>
      </w:pPr>
      <w:r>
        <w:tab/>
      </w:r>
      <w:r w:rsidR="00FB429D">
        <w:t>IV.</w:t>
      </w:r>
      <w:r w:rsidR="00FB429D">
        <w:tab/>
      </w:r>
      <w:r w:rsidR="00607F75" w:rsidRPr="00E15DBF">
        <w:t>Background information</w:t>
      </w:r>
    </w:p>
    <w:p w14:paraId="52A85381" w14:textId="166A3166" w:rsidR="00607F75" w:rsidRDefault="002245BE" w:rsidP="00E15DBF">
      <w:pPr>
        <w:pStyle w:val="SingleTxtG"/>
      </w:pPr>
      <w:r>
        <w:t>8</w:t>
      </w:r>
      <w:r w:rsidR="0033433B">
        <w:t>.</w:t>
      </w:r>
      <w:r w:rsidR="0033433B">
        <w:tab/>
      </w:r>
      <w:r w:rsidR="00607F75" w:rsidRPr="00B54593">
        <w:t>The recommendations and actions outlined in this document are the result of comprehensive analysis and consultations conducted by WHO experts in collaboration with international stakeholders, including governmental bodies and regulatory agencies. Through collective effort and international cooperation, we aim to establish a more accessible, efficient, and secure system for the shipment of these vital samples, thereby ensuring that laboratories around the world can maintain high standards of quality and accuracy in their diagnostic services.</w:t>
      </w:r>
    </w:p>
    <w:p w14:paraId="1E985B40" w14:textId="19F82DF4" w:rsidR="00607F75" w:rsidRPr="00E15DBF" w:rsidRDefault="00E15DBF" w:rsidP="00B56F8C">
      <w:pPr>
        <w:pStyle w:val="HChG"/>
        <w:spacing w:before="240"/>
      </w:pPr>
      <w:r>
        <w:tab/>
      </w:r>
      <w:r w:rsidR="00FB429D">
        <w:t>V.</w:t>
      </w:r>
      <w:r w:rsidR="00FB429D">
        <w:tab/>
      </w:r>
      <w:r w:rsidR="00607F75" w:rsidRPr="00E15DBF">
        <w:t>Definitions</w:t>
      </w:r>
    </w:p>
    <w:p w14:paraId="55F1627E" w14:textId="794DC6B6" w:rsidR="00607F75" w:rsidRDefault="002245BE" w:rsidP="00E15DBF">
      <w:pPr>
        <w:pStyle w:val="SingleTxtG"/>
      </w:pPr>
      <w:r>
        <w:t>9</w:t>
      </w:r>
      <w:r w:rsidR="0033433B">
        <w:t>.</w:t>
      </w:r>
      <w:r w:rsidR="0033433B">
        <w:tab/>
      </w:r>
      <w:r w:rsidR="00607F75" w:rsidRPr="00553C63">
        <w:rPr>
          <w:b/>
          <w:bCs/>
        </w:rPr>
        <w:t xml:space="preserve">External </w:t>
      </w:r>
      <w:r w:rsidR="00E15DBF">
        <w:rPr>
          <w:b/>
          <w:bCs/>
        </w:rPr>
        <w:t>q</w:t>
      </w:r>
      <w:r w:rsidR="00607F75" w:rsidRPr="00553C63">
        <w:rPr>
          <w:b/>
          <w:bCs/>
        </w:rPr>
        <w:t xml:space="preserve">uality </w:t>
      </w:r>
      <w:r w:rsidR="00E15DBF">
        <w:rPr>
          <w:b/>
          <w:bCs/>
        </w:rPr>
        <w:t>a</w:t>
      </w:r>
      <w:r w:rsidR="00607F75" w:rsidRPr="00553C63">
        <w:rPr>
          <w:b/>
          <w:bCs/>
        </w:rPr>
        <w:t>ssessment (EQA):</w:t>
      </w:r>
      <w:r w:rsidR="00607F75" w:rsidRPr="00553C63">
        <w:t xml:space="preserve"> This is often used specifically in the context of laboratory medicine and refers to the process by which a set of samples are sent to different laboratories for testing. The results are then compared to assess the accuracy, reliability, and comparability of the laboratories' test results.</w:t>
      </w:r>
    </w:p>
    <w:p w14:paraId="285C571D" w14:textId="531E44FC" w:rsidR="00607F75" w:rsidRDefault="0033433B" w:rsidP="00E15DBF">
      <w:pPr>
        <w:pStyle w:val="SingleTxtG"/>
      </w:pPr>
      <w:r>
        <w:t>1</w:t>
      </w:r>
      <w:r w:rsidR="002245BE">
        <w:t>0</w:t>
      </w:r>
      <w:r>
        <w:t>.</w:t>
      </w:r>
      <w:r>
        <w:tab/>
      </w:r>
      <w:r w:rsidR="00607F75">
        <w:rPr>
          <w:b/>
          <w:bCs/>
        </w:rPr>
        <w:t xml:space="preserve">Proficiency </w:t>
      </w:r>
      <w:r w:rsidR="00E15DBF">
        <w:rPr>
          <w:b/>
          <w:bCs/>
        </w:rPr>
        <w:t>t</w:t>
      </w:r>
      <w:r w:rsidR="00607F75">
        <w:rPr>
          <w:b/>
          <w:bCs/>
        </w:rPr>
        <w:t>esting:</w:t>
      </w:r>
      <w:r w:rsidR="00607F75">
        <w:t xml:space="preserve"> </w:t>
      </w:r>
      <w:r w:rsidR="00607F75" w:rsidRPr="00553C63">
        <w:t>Proficiency testing is a quality evaluation process where laboratories are given samples to test. Their results are then compared against established standards or the results from other labs to ensure accuracy and reliability in their testing procedures.</w:t>
      </w:r>
    </w:p>
    <w:p w14:paraId="7986B71E" w14:textId="590B9A62" w:rsidR="00607F75" w:rsidRDefault="0033433B" w:rsidP="00E15DBF">
      <w:pPr>
        <w:pStyle w:val="SingleTxtG"/>
      </w:pPr>
      <w:r w:rsidRPr="00D51C96">
        <w:t>1</w:t>
      </w:r>
      <w:r w:rsidR="002245BE">
        <w:t>1</w:t>
      </w:r>
      <w:r w:rsidRPr="00D51C96">
        <w:t>.</w:t>
      </w:r>
      <w:r w:rsidRPr="00D51C96">
        <w:tab/>
      </w:r>
      <w:r w:rsidR="00607F75" w:rsidRPr="00553C63">
        <w:rPr>
          <w:b/>
          <w:bCs/>
        </w:rPr>
        <w:t>Re-</w:t>
      </w:r>
      <w:r w:rsidR="00895614">
        <w:rPr>
          <w:b/>
          <w:bCs/>
        </w:rPr>
        <w:t>t</w:t>
      </w:r>
      <w:r w:rsidR="00607F75" w:rsidRPr="00553C63">
        <w:rPr>
          <w:b/>
          <w:bCs/>
        </w:rPr>
        <w:t xml:space="preserve">esting: </w:t>
      </w:r>
      <w:r w:rsidR="00607F75" w:rsidRPr="00553C63">
        <w:t>Re</w:t>
      </w:r>
      <w:r w:rsidR="00607F75">
        <w:t>-</w:t>
      </w:r>
      <w:r w:rsidR="00E15DBF">
        <w:t>t</w:t>
      </w:r>
      <w:r w:rsidR="00607F75" w:rsidRPr="00553C63">
        <w:t>esting in laboratories refers to the process of conducting a second test or series of tests on a sample to verify the accuracy and reliability of the initial results. This is often done when the original results are unexpected, fall outside normal ranges, are critical for clinical decisions, or when there is a suspicion of error. Re</w:t>
      </w:r>
      <w:r w:rsidR="00607F75">
        <w:t>-</w:t>
      </w:r>
      <w:r w:rsidR="00895614">
        <w:t>t</w:t>
      </w:r>
      <w:r w:rsidR="00607F75" w:rsidRPr="00553C63">
        <w:t>esting helps ensure the validity of the lab findings and is an important part of quality control and assurance practices in laboratory settings.</w:t>
      </w:r>
    </w:p>
    <w:p w14:paraId="52A80945" w14:textId="10C1C7FF" w:rsidR="00AF5DE1" w:rsidRPr="003B4054" w:rsidRDefault="00F910F7" w:rsidP="00B56F8C">
      <w:pPr>
        <w:spacing w:before="240"/>
        <w:jc w:val="center"/>
      </w:pPr>
      <w:r>
        <w:rPr>
          <w:u w:val="single"/>
        </w:rPr>
        <w:tab/>
      </w:r>
      <w:r>
        <w:rPr>
          <w:u w:val="single"/>
        </w:rPr>
        <w:tab/>
      </w:r>
      <w:r>
        <w:rPr>
          <w:u w:val="single"/>
        </w:rPr>
        <w:tab/>
      </w:r>
    </w:p>
    <w:sectPr w:rsidR="00AF5DE1" w:rsidRPr="003B4054" w:rsidSect="003B4054">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273B" w14:textId="77777777" w:rsidR="00407D3B" w:rsidRPr="00C47B2E" w:rsidRDefault="00407D3B" w:rsidP="00C47B2E">
      <w:pPr>
        <w:pStyle w:val="Footer"/>
      </w:pPr>
    </w:p>
  </w:endnote>
  <w:endnote w:type="continuationSeparator" w:id="0">
    <w:p w14:paraId="69A54564" w14:textId="77777777" w:rsidR="00407D3B" w:rsidRPr="00C47B2E" w:rsidRDefault="00407D3B" w:rsidP="00C47B2E">
      <w:pPr>
        <w:pStyle w:val="Footer"/>
      </w:pPr>
    </w:p>
  </w:endnote>
  <w:endnote w:type="continuationNotice" w:id="1">
    <w:p w14:paraId="0851C6AB" w14:textId="77777777" w:rsidR="00407D3B" w:rsidRPr="00C47B2E" w:rsidRDefault="00407D3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796B" w14:textId="538F44D9" w:rsidR="00D94B05" w:rsidRPr="003B4054" w:rsidRDefault="003B4054" w:rsidP="003B4054">
    <w:pPr>
      <w:pStyle w:val="Footer"/>
      <w:tabs>
        <w:tab w:val="right" w:pos="9598"/>
        <w:tab w:val="right" w:pos="9638"/>
      </w:tabs>
      <w:rPr>
        <w:sz w:val="18"/>
      </w:rPr>
    </w:pPr>
    <w:r w:rsidRPr="003B4054">
      <w:rPr>
        <w:b/>
        <w:sz w:val="18"/>
      </w:rPr>
      <w:fldChar w:fldCharType="begin"/>
    </w:r>
    <w:r w:rsidRPr="003B4054">
      <w:rPr>
        <w:b/>
        <w:sz w:val="18"/>
      </w:rPr>
      <w:instrText xml:space="preserve"> PAGE  \* MERGEFORMAT </w:instrText>
    </w:r>
    <w:r w:rsidRPr="003B4054">
      <w:rPr>
        <w:b/>
        <w:sz w:val="18"/>
      </w:rPr>
      <w:fldChar w:fldCharType="separate"/>
    </w:r>
    <w:r w:rsidRPr="003B4054">
      <w:rPr>
        <w:b/>
        <w:noProof/>
        <w:sz w:val="18"/>
      </w:rPr>
      <w:t>2</w:t>
    </w:r>
    <w:r w:rsidRPr="003B405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ED3E" w14:textId="5E43738D" w:rsidR="00D94B05" w:rsidRPr="003B4054" w:rsidRDefault="003B4054" w:rsidP="003B4054">
    <w:pPr>
      <w:pStyle w:val="Footer"/>
      <w:tabs>
        <w:tab w:val="left" w:pos="5775"/>
        <w:tab w:val="right" w:pos="9598"/>
        <w:tab w:val="right" w:pos="9638"/>
      </w:tabs>
      <w:rPr>
        <w:sz w:val="18"/>
      </w:rPr>
    </w:pPr>
    <w:r>
      <w:rPr>
        <w:b/>
        <w:sz w:val="18"/>
      </w:rPr>
      <w:tab/>
    </w:r>
    <w:r w:rsidRPr="003B4054">
      <w:rPr>
        <w:sz w:val="18"/>
      </w:rPr>
      <w:fldChar w:fldCharType="begin"/>
    </w:r>
    <w:r w:rsidRPr="003B4054">
      <w:rPr>
        <w:sz w:val="18"/>
      </w:rPr>
      <w:instrText xml:space="preserve"> PAGE  \* MERGEFORMAT </w:instrText>
    </w:r>
    <w:r w:rsidRPr="003B4054">
      <w:rPr>
        <w:sz w:val="18"/>
      </w:rPr>
      <w:fldChar w:fldCharType="separate"/>
    </w:r>
    <w:r w:rsidRPr="003B4054">
      <w:rPr>
        <w:noProof/>
        <w:sz w:val="18"/>
      </w:rPr>
      <w:t>3</w:t>
    </w:r>
    <w:r w:rsidRPr="003B4054">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6C65" w14:textId="457B4259" w:rsidR="0061561E" w:rsidRDefault="0061561E" w:rsidP="0061561E">
    <w:pPr>
      <w:pStyle w:val="Footer"/>
    </w:pPr>
    <w:r w:rsidRPr="0027112F">
      <w:rPr>
        <w:noProof/>
        <w:lang w:val="en-US"/>
      </w:rPr>
      <w:drawing>
        <wp:anchor distT="0" distB="0" distL="114300" distR="114300" simplePos="0" relativeHeight="251659264" behindDoc="0" locked="1" layoutInCell="1" allowOverlap="1" wp14:anchorId="24AD236E" wp14:editId="2134F74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FF13C35" w14:textId="53499AC8" w:rsidR="0061561E" w:rsidRPr="0061561E" w:rsidRDefault="0061561E" w:rsidP="0061561E">
    <w:pPr>
      <w:pStyle w:val="Footer"/>
      <w:ind w:right="1134"/>
      <w:rPr>
        <w:sz w:val="20"/>
      </w:rPr>
    </w:pPr>
    <w:r>
      <w:rPr>
        <w:sz w:val="20"/>
      </w:rPr>
      <w:t>GE.24-</w:t>
    </w:r>
    <w:proofErr w:type="gramStart"/>
    <w:r>
      <w:rPr>
        <w:sz w:val="20"/>
      </w:rPr>
      <w:t>06670  (</w:t>
    </w:r>
    <w:proofErr w:type="gramEnd"/>
    <w:r>
      <w:rPr>
        <w:sz w:val="20"/>
      </w:rPr>
      <w:t>E)</w:t>
    </w:r>
    <w:r>
      <w:rPr>
        <w:noProof/>
        <w:sz w:val="20"/>
      </w:rPr>
      <w:drawing>
        <wp:anchor distT="0" distB="0" distL="114300" distR="114300" simplePos="0" relativeHeight="251660288" behindDoc="0" locked="0" layoutInCell="1" allowOverlap="1" wp14:anchorId="0FF500E5" wp14:editId="76F06F6D">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10C7" w14:textId="77777777" w:rsidR="00407D3B" w:rsidRPr="00C47B2E" w:rsidRDefault="00407D3B" w:rsidP="00C47B2E">
      <w:pPr>
        <w:tabs>
          <w:tab w:val="right" w:pos="2155"/>
        </w:tabs>
        <w:spacing w:after="80" w:line="240" w:lineRule="auto"/>
        <w:ind w:left="680"/>
      </w:pPr>
      <w:r>
        <w:rPr>
          <w:u w:val="single"/>
        </w:rPr>
        <w:tab/>
      </w:r>
    </w:p>
  </w:footnote>
  <w:footnote w:type="continuationSeparator" w:id="0">
    <w:p w14:paraId="6DFC9FEC" w14:textId="77777777" w:rsidR="00407D3B" w:rsidRPr="00C47B2E" w:rsidRDefault="00407D3B" w:rsidP="005E716E">
      <w:pPr>
        <w:tabs>
          <w:tab w:val="right" w:pos="2155"/>
        </w:tabs>
        <w:spacing w:after="80" w:line="240" w:lineRule="auto"/>
        <w:ind w:left="680"/>
      </w:pPr>
      <w:r>
        <w:rPr>
          <w:u w:val="single"/>
        </w:rPr>
        <w:tab/>
      </w:r>
    </w:p>
  </w:footnote>
  <w:footnote w:type="continuationNotice" w:id="1">
    <w:p w14:paraId="261BCD93" w14:textId="77777777" w:rsidR="00407D3B" w:rsidRPr="00C47B2E" w:rsidRDefault="00407D3B" w:rsidP="00C47B2E">
      <w:pPr>
        <w:pStyle w:val="Footer"/>
      </w:pPr>
    </w:p>
  </w:footnote>
  <w:footnote w:id="2">
    <w:p w14:paraId="77A2E5D4" w14:textId="5FE638EC" w:rsidR="00F910F7" w:rsidRPr="00F910F7" w:rsidRDefault="00F910F7" w:rsidP="00C8084D">
      <w:pPr>
        <w:pStyle w:val="FootnoteText"/>
        <w:rPr>
          <w:lang w:val="fr-CH"/>
        </w:rPr>
      </w:pPr>
      <w:r>
        <w:rPr>
          <w:rStyle w:val="FootnoteReference"/>
        </w:rPr>
        <w:tab/>
      </w:r>
      <w:r w:rsidRPr="00F910F7">
        <w:rPr>
          <w:rStyle w:val="FootnoteReference"/>
          <w:sz w:val="20"/>
          <w:vertAlign w:val="baseline"/>
        </w:rPr>
        <w:t>*</w:t>
      </w:r>
      <w:r>
        <w:rPr>
          <w:rStyle w:val="FootnoteReference"/>
          <w:sz w:val="20"/>
          <w:vertAlign w:val="baseline"/>
        </w:rPr>
        <w:tab/>
      </w:r>
      <w:r w:rsidR="009D7240" w:rsidRPr="009D7240">
        <w:t xml:space="preserve">A/78/6 (Sect. 20), </w:t>
      </w:r>
      <w:r w:rsidR="009D7240" w:rsidRPr="00C8084D">
        <w:t>table</w:t>
      </w:r>
      <w:r w:rsidR="009D7240" w:rsidRPr="009D7240">
        <w:t xml:space="preserv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B13F" w14:textId="1FA854CF" w:rsidR="003B4054" w:rsidRPr="003B4054" w:rsidRDefault="0061561E">
    <w:pPr>
      <w:pStyle w:val="Header"/>
    </w:pPr>
    <w:r>
      <w:fldChar w:fldCharType="begin"/>
    </w:r>
    <w:r>
      <w:instrText xml:space="preserve"> TITLE  \* MERGEFORMAT </w:instrText>
    </w:r>
    <w:r>
      <w:fldChar w:fldCharType="separate"/>
    </w:r>
    <w:r w:rsidR="003B4054">
      <w:t>ST/SG/AC.10/C.3/2024/33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D387" w14:textId="5AB5180B" w:rsidR="00D94B05" w:rsidRPr="003B4054" w:rsidRDefault="0061561E" w:rsidP="003B4054">
    <w:pPr>
      <w:pStyle w:val="Header"/>
      <w:jc w:val="right"/>
    </w:pPr>
    <w:r>
      <w:fldChar w:fldCharType="begin"/>
    </w:r>
    <w:r>
      <w:instrText xml:space="preserve"> TITLE  \* MERGEFORMAT </w:instrText>
    </w:r>
    <w:r>
      <w:fldChar w:fldCharType="separate"/>
    </w:r>
    <w:r w:rsidR="003B4054">
      <w:t>ST/SG/AC.10/C.3/2024/33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4144A2"/>
    <w:multiLevelType w:val="hybridMultilevel"/>
    <w:tmpl w:val="F0988264"/>
    <w:lvl w:ilvl="0" w:tplc="A8AECF7C">
      <w:start w:val="1"/>
      <w:numFmt w:val="decimal"/>
      <w:lvlText w:val="%1."/>
      <w:lvlJc w:val="left"/>
      <w:pPr>
        <w:ind w:left="1690" w:hanging="555"/>
      </w:pPr>
      <w:rPr>
        <w:b w:val="0"/>
        <w:bCs w:val="0"/>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93887060">
    <w:abstractNumId w:val="5"/>
  </w:num>
  <w:num w:numId="2" w16cid:durableId="774864835">
    <w:abstractNumId w:val="4"/>
  </w:num>
  <w:num w:numId="3" w16cid:durableId="284309216">
    <w:abstractNumId w:val="0"/>
  </w:num>
  <w:num w:numId="4" w16cid:durableId="1965229929">
    <w:abstractNumId w:val="7"/>
  </w:num>
  <w:num w:numId="5" w16cid:durableId="1120147447">
    <w:abstractNumId w:val="8"/>
  </w:num>
  <w:num w:numId="6" w16cid:durableId="13769550">
    <w:abstractNumId w:val="10"/>
  </w:num>
  <w:num w:numId="7" w16cid:durableId="1649286173">
    <w:abstractNumId w:val="3"/>
  </w:num>
  <w:num w:numId="8" w16cid:durableId="289363880">
    <w:abstractNumId w:val="1"/>
  </w:num>
  <w:num w:numId="9" w16cid:durableId="47193606">
    <w:abstractNumId w:val="9"/>
  </w:num>
  <w:num w:numId="10" w16cid:durableId="946429337">
    <w:abstractNumId w:val="1"/>
  </w:num>
  <w:num w:numId="11" w16cid:durableId="1317956398">
    <w:abstractNumId w:val="9"/>
  </w:num>
  <w:num w:numId="12" w16cid:durableId="1040940473">
    <w:abstractNumId w:val="2"/>
  </w:num>
  <w:num w:numId="13" w16cid:durableId="1263143641">
    <w:abstractNumId w:val="2"/>
  </w:num>
  <w:num w:numId="14" w16cid:durableId="5181288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54"/>
    <w:rsid w:val="00046E92"/>
    <w:rsid w:val="00063C90"/>
    <w:rsid w:val="00070000"/>
    <w:rsid w:val="00073A34"/>
    <w:rsid w:val="00101B98"/>
    <w:rsid w:val="001054AC"/>
    <w:rsid w:val="001514D1"/>
    <w:rsid w:val="002245BE"/>
    <w:rsid w:val="00247E2C"/>
    <w:rsid w:val="0027271C"/>
    <w:rsid w:val="002A32CB"/>
    <w:rsid w:val="002D5B2C"/>
    <w:rsid w:val="002D6C53"/>
    <w:rsid w:val="002F5595"/>
    <w:rsid w:val="0033433B"/>
    <w:rsid w:val="00334F6A"/>
    <w:rsid w:val="0033765B"/>
    <w:rsid w:val="0033770E"/>
    <w:rsid w:val="00342AC8"/>
    <w:rsid w:val="00343302"/>
    <w:rsid w:val="003979DE"/>
    <w:rsid w:val="003A0377"/>
    <w:rsid w:val="003B1724"/>
    <w:rsid w:val="003B4054"/>
    <w:rsid w:val="003B4550"/>
    <w:rsid w:val="003D2A18"/>
    <w:rsid w:val="00407D3B"/>
    <w:rsid w:val="00413386"/>
    <w:rsid w:val="0044586C"/>
    <w:rsid w:val="00461253"/>
    <w:rsid w:val="004858F5"/>
    <w:rsid w:val="004A2814"/>
    <w:rsid w:val="004C0622"/>
    <w:rsid w:val="004F73D0"/>
    <w:rsid w:val="005042C2"/>
    <w:rsid w:val="0054402B"/>
    <w:rsid w:val="005C6025"/>
    <w:rsid w:val="005E716E"/>
    <w:rsid w:val="005F33BE"/>
    <w:rsid w:val="00607F75"/>
    <w:rsid w:val="0061561E"/>
    <w:rsid w:val="0063346E"/>
    <w:rsid w:val="006476E1"/>
    <w:rsid w:val="006604DF"/>
    <w:rsid w:val="00671529"/>
    <w:rsid w:val="00695ED2"/>
    <w:rsid w:val="006B32E3"/>
    <w:rsid w:val="006F0595"/>
    <w:rsid w:val="006F1EF5"/>
    <w:rsid w:val="0070489D"/>
    <w:rsid w:val="007200A1"/>
    <w:rsid w:val="007268F9"/>
    <w:rsid w:val="00750282"/>
    <w:rsid w:val="007605A6"/>
    <w:rsid w:val="00764440"/>
    <w:rsid w:val="0077101B"/>
    <w:rsid w:val="007C52B0"/>
    <w:rsid w:val="007C6033"/>
    <w:rsid w:val="007D50A1"/>
    <w:rsid w:val="008147C8"/>
    <w:rsid w:val="0081753A"/>
    <w:rsid w:val="00857D23"/>
    <w:rsid w:val="00895614"/>
    <w:rsid w:val="008A7BFE"/>
    <w:rsid w:val="00904A5D"/>
    <w:rsid w:val="009411B4"/>
    <w:rsid w:val="00946F1D"/>
    <w:rsid w:val="00971DE2"/>
    <w:rsid w:val="009D0139"/>
    <w:rsid w:val="009D717D"/>
    <w:rsid w:val="009D7240"/>
    <w:rsid w:val="009F1022"/>
    <w:rsid w:val="009F5CDC"/>
    <w:rsid w:val="00A00CE4"/>
    <w:rsid w:val="00A072D7"/>
    <w:rsid w:val="00A636BE"/>
    <w:rsid w:val="00A775CF"/>
    <w:rsid w:val="00AD1A9C"/>
    <w:rsid w:val="00AF5DE1"/>
    <w:rsid w:val="00B06045"/>
    <w:rsid w:val="00B206DD"/>
    <w:rsid w:val="00B52EF4"/>
    <w:rsid w:val="00B56F8C"/>
    <w:rsid w:val="00B623CE"/>
    <w:rsid w:val="00B777AD"/>
    <w:rsid w:val="00C03015"/>
    <w:rsid w:val="00C0358D"/>
    <w:rsid w:val="00C35A27"/>
    <w:rsid w:val="00C4645E"/>
    <w:rsid w:val="00C47B2E"/>
    <w:rsid w:val="00C8084D"/>
    <w:rsid w:val="00CE67D3"/>
    <w:rsid w:val="00D11CC0"/>
    <w:rsid w:val="00D43099"/>
    <w:rsid w:val="00D63CD2"/>
    <w:rsid w:val="00D87DC2"/>
    <w:rsid w:val="00D908A3"/>
    <w:rsid w:val="00D90F17"/>
    <w:rsid w:val="00D93887"/>
    <w:rsid w:val="00D94B05"/>
    <w:rsid w:val="00DC7379"/>
    <w:rsid w:val="00E02C2B"/>
    <w:rsid w:val="00E135C7"/>
    <w:rsid w:val="00E15DBF"/>
    <w:rsid w:val="00E21C27"/>
    <w:rsid w:val="00E26BCF"/>
    <w:rsid w:val="00E52109"/>
    <w:rsid w:val="00E75317"/>
    <w:rsid w:val="00EC0CE6"/>
    <w:rsid w:val="00EC7C1D"/>
    <w:rsid w:val="00ED6C48"/>
    <w:rsid w:val="00EE3045"/>
    <w:rsid w:val="00F458D8"/>
    <w:rsid w:val="00F65F5D"/>
    <w:rsid w:val="00F86A3A"/>
    <w:rsid w:val="00F910F7"/>
    <w:rsid w:val="00FA42DA"/>
    <w:rsid w:val="00FB429D"/>
    <w:rsid w:val="00FE00C1"/>
    <w:rsid w:val="00FE2AC5"/>
    <w:rsid w:val="00FE3D84"/>
    <w:rsid w:val="00FF42E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E0EA3"/>
  <w15:docId w15:val="{DB774D25-D445-4CB6-8139-9B254A69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607F75"/>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2.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CFE395AA-998C-471D-834B-8F7F1B633B66}"/>
</file>

<file path=docProps/app.xml><?xml version="1.0" encoding="utf-8"?>
<Properties xmlns="http://schemas.openxmlformats.org/officeDocument/2006/extended-properties" xmlns:vt="http://schemas.openxmlformats.org/officeDocument/2006/docPropsVTypes">
  <Template>SGAC10_E.dotm</Template>
  <TotalTime>0</TotalTime>
  <Pages>2</Pages>
  <Words>774</Words>
  <Characters>4670</Characters>
  <Application>Microsoft Office Word</Application>
  <DocSecurity>0</DocSecurity>
  <Lines>86</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ST/SG/AC.10/C.3/2024/33</dc:title>
  <dc:subject>2406670</dc:subject>
  <dc:creator>Rosa Garcia-Couto</dc:creator>
  <cp:keywords/>
  <dc:description/>
  <cp:lastModifiedBy>Pauline Anne Escalante</cp:lastModifiedBy>
  <cp:revision>2</cp:revision>
  <dcterms:created xsi:type="dcterms:W3CDTF">2024-04-12T08:29:00Z</dcterms:created>
  <dcterms:modified xsi:type="dcterms:W3CDTF">2024-04-12T08:29:00Z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