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87B349C" w14:textId="77777777" w:rsidTr="006476E1">
        <w:trPr>
          <w:trHeight w:val="851"/>
        </w:trPr>
        <w:tc>
          <w:tcPr>
            <w:tcW w:w="1259" w:type="dxa"/>
            <w:tcBorders>
              <w:top w:val="nil"/>
              <w:left w:val="nil"/>
              <w:bottom w:val="single" w:sz="4" w:space="0" w:color="auto"/>
              <w:right w:val="nil"/>
            </w:tcBorders>
          </w:tcPr>
          <w:p w14:paraId="7D53608C" w14:textId="77777777" w:rsidR="00E52109" w:rsidRPr="002A32CB" w:rsidRDefault="00E52109" w:rsidP="004858F5"/>
        </w:tc>
        <w:tc>
          <w:tcPr>
            <w:tcW w:w="2236" w:type="dxa"/>
            <w:tcBorders>
              <w:top w:val="nil"/>
              <w:left w:val="nil"/>
              <w:bottom w:val="single" w:sz="4" w:space="0" w:color="auto"/>
              <w:right w:val="nil"/>
            </w:tcBorders>
            <w:vAlign w:val="bottom"/>
          </w:tcPr>
          <w:p w14:paraId="02ABDEE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92600B" w14:textId="39234842" w:rsidR="00E52109" w:rsidRDefault="00CB1272" w:rsidP="00CB1272">
            <w:pPr>
              <w:jc w:val="right"/>
            </w:pPr>
            <w:r w:rsidRPr="00CB1272">
              <w:rPr>
                <w:sz w:val="40"/>
              </w:rPr>
              <w:t>ST</w:t>
            </w:r>
            <w:r>
              <w:t>/SG/AC.10/C.3/2024/34</w:t>
            </w:r>
          </w:p>
        </w:tc>
      </w:tr>
      <w:tr w:rsidR="00E52109" w14:paraId="2A5E489F" w14:textId="77777777" w:rsidTr="006476E1">
        <w:trPr>
          <w:trHeight w:val="2835"/>
        </w:trPr>
        <w:tc>
          <w:tcPr>
            <w:tcW w:w="1259" w:type="dxa"/>
            <w:tcBorders>
              <w:top w:val="single" w:sz="4" w:space="0" w:color="auto"/>
              <w:left w:val="nil"/>
              <w:bottom w:val="single" w:sz="12" w:space="0" w:color="auto"/>
              <w:right w:val="nil"/>
            </w:tcBorders>
          </w:tcPr>
          <w:p w14:paraId="799DE809" w14:textId="77777777" w:rsidR="00E52109" w:rsidRDefault="00E52109" w:rsidP="006476E1">
            <w:pPr>
              <w:spacing w:before="120"/>
              <w:jc w:val="center"/>
            </w:pPr>
            <w:r>
              <w:rPr>
                <w:noProof/>
                <w:lang w:val="fr-CH" w:eastAsia="fr-CH"/>
              </w:rPr>
              <w:drawing>
                <wp:inline distT="0" distB="0" distL="0" distR="0" wp14:anchorId="7C14B780" wp14:editId="41D09A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9DB974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72C6E3C" w14:textId="77777777" w:rsidR="00D94B05" w:rsidRDefault="00CB1272" w:rsidP="00CB1272">
            <w:pPr>
              <w:spacing w:before="240" w:line="240" w:lineRule="exact"/>
            </w:pPr>
            <w:r>
              <w:t>Distr.: General</w:t>
            </w:r>
          </w:p>
          <w:p w14:paraId="4550C075" w14:textId="49FE9A03" w:rsidR="00CB1272" w:rsidRDefault="00CB1272" w:rsidP="00CB1272">
            <w:pPr>
              <w:spacing w:line="240" w:lineRule="exact"/>
            </w:pPr>
            <w:r>
              <w:t>1</w:t>
            </w:r>
            <w:r w:rsidR="00AA3331">
              <w:t>1</w:t>
            </w:r>
            <w:r>
              <w:t xml:space="preserve"> April 2024</w:t>
            </w:r>
          </w:p>
          <w:p w14:paraId="428E535D" w14:textId="77777777" w:rsidR="00CB1272" w:rsidRDefault="00CB1272" w:rsidP="00CB1272">
            <w:pPr>
              <w:spacing w:line="240" w:lineRule="exact"/>
            </w:pPr>
          </w:p>
          <w:p w14:paraId="3847824B" w14:textId="6920F4F8" w:rsidR="00CB1272" w:rsidRDefault="00CB1272" w:rsidP="00CB1272">
            <w:pPr>
              <w:spacing w:line="240" w:lineRule="exact"/>
            </w:pPr>
            <w:r>
              <w:t>Original: English</w:t>
            </w:r>
          </w:p>
        </w:tc>
      </w:tr>
    </w:tbl>
    <w:p w14:paraId="59749B0E" w14:textId="77777777" w:rsidR="00CB1272" w:rsidRPr="006500BA" w:rsidRDefault="00CB12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96D41D9" w14:textId="77777777" w:rsidR="00CB1272" w:rsidRPr="006500BA" w:rsidRDefault="00CB1272" w:rsidP="004858F5">
      <w:pPr>
        <w:spacing w:before="120"/>
        <w:rPr>
          <w:rFonts w:ascii="Helv" w:hAnsi="Helv" w:cs="Helv"/>
          <w:b/>
          <w:color w:val="000000"/>
        </w:rPr>
      </w:pPr>
      <w:r w:rsidRPr="006500BA">
        <w:rPr>
          <w:b/>
        </w:rPr>
        <w:t xml:space="preserve">Sub-Committee of Experts on the </w:t>
      </w:r>
      <w:r>
        <w:rPr>
          <w:b/>
        </w:rPr>
        <w:t>Transport of Dangerous Goods</w:t>
      </w:r>
    </w:p>
    <w:p w14:paraId="1F8412E7" w14:textId="5C6264FA" w:rsidR="00CB1272" w:rsidRPr="006500BA" w:rsidRDefault="00CB1272" w:rsidP="004858F5">
      <w:pPr>
        <w:spacing w:before="120"/>
        <w:rPr>
          <w:b/>
        </w:rPr>
      </w:pPr>
      <w:r>
        <w:rPr>
          <w:b/>
        </w:rPr>
        <w:t xml:space="preserve">Sixty-fourth </w:t>
      </w:r>
      <w:r w:rsidRPr="006500BA">
        <w:rPr>
          <w:b/>
        </w:rPr>
        <w:t>session</w:t>
      </w:r>
    </w:p>
    <w:p w14:paraId="28D5DF11" w14:textId="26B6C382" w:rsidR="00CB1272" w:rsidRPr="006500BA" w:rsidRDefault="00CB1272" w:rsidP="004858F5">
      <w:r w:rsidRPr="006500BA">
        <w:t xml:space="preserve">Geneva, </w:t>
      </w:r>
      <w:r>
        <w:t xml:space="preserve">24 June-3 July 2024 </w:t>
      </w:r>
    </w:p>
    <w:p w14:paraId="2FDB5D07" w14:textId="064F4BC8" w:rsidR="00CB1272" w:rsidRPr="00A60F92" w:rsidRDefault="00CB1272" w:rsidP="004858F5">
      <w:r w:rsidRPr="00A60F92">
        <w:t xml:space="preserve">Item </w:t>
      </w:r>
      <w:r w:rsidR="00685074" w:rsidRPr="00A60F92">
        <w:t>6</w:t>
      </w:r>
      <w:r w:rsidR="005566A7" w:rsidRPr="00A60F92">
        <w:t xml:space="preserve"> (</w:t>
      </w:r>
      <w:r w:rsidR="00DE7A6F" w:rsidRPr="00A60F92">
        <w:t>a</w:t>
      </w:r>
      <w:r w:rsidR="005566A7" w:rsidRPr="00A60F92">
        <w:t xml:space="preserve">) </w:t>
      </w:r>
      <w:r w:rsidRPr="00A60F92">
        <w:t>of the provisional agenda</w:t>
      </w:r>
    </w:p>
    <w:p w14:paraId="7CFB5F66" w14:textId="77777777" w:rsidR="00CC2924" w:rsidRPr="00A60F92" w:rsidRDefault="00CC2924" w:rsidP="00CC2924">
      <w:pPr>
        <w:pStyle w:val="Body"/>
        <w:rPr>
          <w:b/>
          <w:bCs/>
          <w:sz w:val="22"/>
          <w:szCs w:val="22"/>
        </w:rPr>
      </w:pPr>
      <w:r w:rsidRPr="00A60F92">
        <w:rPr>
          <w:b/>
          <w:bCs/>
          <w:sz w:val="22"/>
          <w:szCs w:val="22"/>
        </w:rPr>
        <w:t>Miscellaneous proposals for amendments to the</w:t>
      </w:r>
    </w:p>
    <w:p w14:paraId="768267EB" w14:textId="0A2F3541" w:rsidR="00AF5DE1" w:rsidRPr="00A60F92" w:rsidRDefault="00CC2924" w:rsidP="00CC2924">
      <w:pPr>
        <w:rPr>
          <w:b/>
          <w:bCs/>
          <w:sz w:val="22"/>
          <w:szCs w:val="22"/>
        </w:rPr>
      </w:pPr>
      <w:r w:rsidRPr="00A60F92">
        <w:rPr>
          <w:b/>
          <w:bCs/>
          <w:sz w:val="22"/>
          <w:szCs w:val="22"/>
        </w:rPr>
        <w:t>Model Regulations on the Transport of Dangerous Goods</w:t>
      </w:r>
      <w:r w:rsidR="00A60F92" w:rsidRPr="00A60F92">
        <w:rPr>
          <w:b/>
          <w:bCs/>
          <w:sz w:val="22"/>
          <w:szCs w:val="22"/>
        </w:rPr>
        <w:t>:</w:t>
      </w:r>
    </w:p>
    <w:p w14:paraId="2D4875D8" w14:textId="7A74E013" w:rsidR="00A60F92" w:rsidRDefault="00A60F92" w:rsidP="00CC2924">
      <w:pPr>
        <w:rPr>
          <w:b/>
          <w:bCs/>
          <w:sz w:val="22"/>
          <w:szCs w:val="22"/>
        </w:rPr>
      </w:pPr>
      <w:r w:rsidRPr="00A60F92">
        <w:rPr>
          <w:b/>
          <w:bCs/>
          <w:sz w:val="22"/>
          <w:szCs w:val="22"/>
        </w:rPr>
        <w:t>Marking and labelling</w:t>
      </w:r>
    </w:p>
    <w:p w14:paraId="26CAC416" w14:textId="7909DBFF" w:rsidR="00874B63" w:rsidRPr="00BC21ED" w:rsidRDefault="00CC2924" w:rsidP="00874B63">
      <w:pPr>
        <w:pStyle w:val="HChG"/>
      </w:pPr>
      <w:r>
        <w:tab/>
      </w:r>
      <w:r>
        <w:tab/>
      </w:r>
      <w:r w:rsidR="00874B63" w:rsidRPr="002B6982">
        <w:t>V</w:t>
      </w:r>
      <w:r w:rsidR="00874B63" w:rsidRPr="00BC21ED">
        <w:rPr>
          <w:rFonts w:eastAsia="Arial Unicode MS" w:cs="Arial Unicode MS"/>
        </w:rPr>
        <w:t xml:space="preserve">ariations of </w:t>
      </w:r>
      <w:r w:rsidR="001225E1">
        <w:rPr>
          <w:rFonts w:eastAsia="Arial Unicode MS" w:cs="Arial Unicode MS"/>
        </w:rPr>
        <w:t>the f</w:t>
      </w:r>
      <w:r w:rsidR="00874B63" w:rsidRPr="00BC21ED">
        <w:rPr>
          <w:rFonts w:eastAsia="Arial Unicode MS" w:cs="Arial Unicode MS"/>
        </w:rPr>
        <w:t xml:space="preserve">lame </w:t>
      </w:r>
      <w:r w:rsidR="001225E1">
        <w:rPr>
          <w:rFonts w:eastAsia="Arial Unicode MS" w:cs="Arial Unicode MS"/>
        </w:rPr>
        <w:t>s</w:t>
      </w:r>
      <w:r w:rsidR="00874B63">
        <w:rPr>
          <w:rFonts w:eastAsia="Arial Unicode MS" w:cs="Arial Unicode MS"/>
        </w:rPr>
        <w:t xml:space="preserve">ymbol </w:t>
      </w:r>
      <w:r w:rsidR="00874B63" w:rsidRPr="00BC21ED">
        <w:rPr>
          <w:rFonts w:eastAsia="Arial Unicode MS" w:cs="Arial Unicode MS"/>
        </w:rPr>
        <w:t>design</w:t>
      </w:r>
    </w:p>
    <w:p w14:paraId="4BD13A36" w14:textId="67C27EAF" w:rsidR="00874B63" w:rsidRDefault="00874B63" w:rsidP="00044D45">
      <w:pPr>
        <w:pStyle w:val="H1G"/>
        <w:rPr>
          <w:lang w:eastAsia="en-GB" w:bidi="en-GB"/>
        </w:rPr>
      </w:pPr>
      <w:r>
        <w:rPr>
          <w:rFonts w:eastAsia="Arial Unicode MS" w:cs="Arial Unicode MS"/>
          <w:sz w:val="22"/>
          <w:szCs w:val="22"/>
        </w:rPr>
        <w:tab/>
      </w:r>
      <w:r w:rsidR="00044D45">
        <w:rPr>
          <w:rFonts w:eastAsia="Arial Unicode MS" w:cs="Arial Unicode MS"/>
          <w:sz w:val="22"/>
          <w:szCs w:val="22"/>
        </w:rPr>
        <w:tab/>
      </w:r>
      <w:r w:rsidR="00044D45">
        <w:rPr>
          <w:rFonts w:eastAsia="Arial Unicode MS" w:cs="Arial Unicode MS"/>
          <w:sz w:val="22"/>
          <w:szCs w:val="22"/>
        </w:rPr>
        <w:tab/>
      </w:r>
      <w:r>
        <w:t xml:space="preserve">Transmitted by the </w:t>
      </w:r>
      <w:r w:rsidRPr="00044D45">
        <w:t>Council</w:t>
      </w:r>
      <w:r>
        <w:t xml:space="preserve"> on the Safe Transportation of Hazardous Articles (COSTHA)</w:t>
      </w:r>
      <w:r w:rsidR="00672261" w:rsidRPr="00F910F7">
        <w:rPr>
          <w:rStyle w:val="FootnoteReference"/>
          <w:rFonts w:eastAsia="Times New Roman"/>
          <w:bCs/>
          <w:color w:val="000000" w:themeColor="text1"/>
          <w:sz w:val="20"/>
          <w:szCs w:val="24"/>
          <w:vertAlign w:val="baseline"/>
        </w:rPr>
        <w:footnoteReference w:customMarkFollows="1" w:id="2"/>
        <w:t>*</w:t>
      </w:r>
    </w:p>
    <w:p w14:paraId="34B31644" w14:textId="3798A43C" w:rsidR="00874B63" w:rsidRDefault="00044D45" w:rsidP="00044D45">
      <w:pPr>
        <w:pStyle w:val="HChG"/>
        <w:rPr>
          <w:sz w:val="22"/>
          <w:szCs w:val="22"/>
        </w:rPr>
      </w:pPr>
      <w:r>
        <w:tab/>
        <w:t>I.</w:t>
      </w:r>
      <w:r>
        <w:tab/>
      </w:r>
      <w:r w:rsidR="00874B63">
        <w:t>Introduction</w:t>
      </w:r>
    </w:p>
    <w:p w14:paraId="5569F0B7" w14:textId="1A665AD6" w:rsidR="00874B63" w:rsidRDefault="00044D45" w:rsidP="00044D45">
      <w:pPr>
        <w:pStyle w:val="SingleTxtG"/>
      </w:pPr>
      <w:r>
        <w:t>1.</w:t>
      </w:r>
      <w:r>
        <w:tab/>
      </w:r>
      <w:r w:rsidR="00874B63">
        <w:t xml:space="preserve">COSTHA has identified variances in the flame symbol depicted on flammable material labels in several regulatory texts. Labels depicting the flame symbol include Division 2.1, Class 3, Division 4.1, 4.2 and 4.3, and Division 5.2 labels. </w:t>
      </w:r>
      <w:r w:rsidR="00151A23">
        <w:t xml:space="preserve">COSTHA </w:t>
      </w:r>
      <w:r w:rsidR="00874B63">
        <w:t>believe</w:t>
      </w:r>
      <w:r w:rsidR="00151A23">
        <w:t>s</w:t>
      </w:r>
      <w:r w:rsidR="00874B63">
        <w:t xml:space="preserve"> that slight variances in the design should not be a consideration for violation and does not impact safety.</w:t>
      </w:r>
    </w:p>
    <w:p w14:paraId="49A157C8" w14:textId="20EFBE2B" w:rsidR="00874B63" w:rsidRDefault="00044D45" w:rsidP="00044D45">
      <w:pPr>
        <w:pStyle w:val="HChG"/>
      </w:pPr>
      <w:r>
        <w:tab/>
        <w:t>II.</w:t>
      </w:r>
      <w:r>
        <w:tab/>
      </w:r>
      <w:r w:rsidR="00874B63">
        <w:t>Background</w:t>
      </w:r>
    </w:p>
    <w:p w14:paraId="4DB15DD6" w14:textId="4C547212" w:rsidR="00874B63" w:rsidRDefault="00044D45" w:rsidP="00044D45">
      <w:pPr>
        <w:pStyle w:val="SingleTxtG"/>
      </w:pPr>
      <w:r>
        <w:t>2.</w:t>
      </w:r>
      <w:r>
        <w:tab/>
      </w:r>
      <w:r w:rsidR="00874B63">
        <w:t xml:space="preserve">Industry has experienced rejected or delayed shipments when transporting dangerous goods multimodally due to differences in both domestic and international regulations. Domestic or regional enforcement agents and transportation operators </w:t>
      </w:r>
      <w:proofErr w:type="gramStart"/>
      <w:r w:rsidR="00874B63">
        <w:t>claim</w:t>
      </w:r>
      <w:proofErr w:type="gramEnd"/>
      <w:r w:rsidR="00874B63">
        <w:t xml:space="preserve"> “the labeling is wrong”, or more precisely the design of the “flame” is incorrect for the mode of transportation being used.</w:t>
      </w:r>
    </w:p>
    <w:p w14:paraId="2869ADD7" w14:textId="251B6E41" w:rsidR="00874B63" w:rsidRDefault="00044D45" w:rsidP="00044D45">
      <w:pPr>
        <w:pStyle w:val="SingleTxtG"/>
      </w:pPr>
      <w:r>
        <w:t>3.</w:t>
      </w:r>
      <w:r>
        <w:tab/>
      </w:r>
      <w:r w:rsidR="00874B63">
        <w:t>Dangerous goods regulations</w:t>
      </w:r>
      <w:r w:rsidR="00B03EB4">
        <w:t xml:space="preserve"> or </w:t>
      </w:r>
      <w:r w:rsidR="00874B63">
        <w:t xml:space="preserve">documents contain specific provisions for size and color, though specification for symbols is absent or vague. The </w:t>
      </w:r>
      <w:r w:rsidR="004D75D6">
        <w:t xml:space="preserve">twenty-third revised edition of the </w:t>
      </w:r>
      <w:r w:rsidR="00874B63" w:rsidRPr="004D75D6">
        <w:rPr>
          <w:i/>
          <w:iCs/>
        </w:rPr>
        <w:t>Model Regulations</w:t>
      </w:r>
      <w:r w:rsidR="00874B63">
        <w:t xml:space="preserve">, </w:t>
      </w:r>
      <w:r w:rsidR="00704B99">
        <w:t>p</w:t>
      </w:r>
      <w:r w:rsidR="00874B63">
        <w:t>ara</w:t>
      </w:r>
      <w:r w:rsidR="00704B99">
        <w:t>graph</w:t>
      </w:r>
      <w:r w:rsidR="00874B63">
        <w:t xml:space="preserve"> 5.2.2.2.1 states:</w:t>
      </w:r>
    </w:p>
    <w:p w14:paraId="793ED570" w14:textId="6216F27D" w:rsidR="00874B63" w:rsidRPr="00044D45" w:rsidRDefault="00874B63" w:rsidP="00044D45">
      <w:pPr>
        <w:pStyle w:val="SingleTxtG"/>
        <w:rPr>
          <w:i/>
          <w:iCs/>
        </w:rPr>
      </w:pPr>
      <w:r w:rsidRPr="00044D45">
        <w:rPr>
          <w:i/>
          <w:iCs/>
        </w:rPr>
        <w:t>“Labels shall satisfy the provisions of this section and conform, in terms of colour, symbols and general format, to the specimen labels shown in 5.2.2.2.”</w:t>
      </w:r>
    </w:p>
    <w:p w14:paraId="7A8F1CB3" w14:textId="2B07AE97" w:rsidR="00874B63" w:rsidRDefault="00044D45" w:rsidP="00044D45">
      <w:pPr>
        <w:pStyle w:val="SingleTxtG"/>
      </w:pPr>
      <w:r>
        <w:t>4.</w:t>
      </w:r>
      <w:r>
        <w:tab/>
      </w:r>
      <w:r w:rsidR="00B4704F">
        <w:t>Its p</w:t>
      </w:r>
      <w:r w:rsidR="00874B63">
        <w:t>ara</w:t>
      </w:r>
      <w:r w:rsidR="00704B99">
        <w:t>graph</w:t>
      </w:r>
      <w:r w:rsidR="00874B63">
        <w:t xml:space="preserve"> 5.2.2.2.2 </w:t>
      </w:r>
      <w:r w:rsidR="00874B63" w:rsidRPr="000A1A18">
        <w:rPr>
          <w:i/>
          <w:iCs/>
        </w:rPr>
        <w:t>Specimen Labels</w:t>
      </w:r>
      <w:r w:rsidR="00874B63">
        <w:t xml:space="preserve"> provides a visual depiction of the “</w:t>
      </w:r>
      <w:r w:rsidR="00A02D39">
        <w:t>f</w:t>
      </w:r>
      <w:r w:rsidR="00874B63">
        <w:t>lame” as the symbol description for Division 2.1, Class 3, and Class 4, with similar text shown in various recognized regulations.</w:t>
      </w:r>
    </w:p>
    <w:tbl>
      <w:tblPr>
        <w:tblW w:w="9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5"/>
        <w:gridCol w:w="1258"/>
        <w:gridCol w:w="1757"/>
        <w:gridCol w:w="1112"/>
        <w:gridCol w:w="1635"/>
        <w:gridCol w:w="1621"/>
        <w:gridCol w:w="1416"/>
      </w:tblGrid>
      <w:tr w:rsidR="00DC65B3" w:rsidRPr="00F31284" w14:paraId="7761C290" w14:textId="77777777" w:rsidTr="005C4D90">
        <w:trPr>
          <w:cantSplit/>
        </w:trPr>
        <w:tc>
          <w:tcPr>
            <w:tcW w:w="699" w:type="dxa"/>
            <w:shd w:val="clear" w:color="auto" w:fill="auto"/>
            <w:vAlign w:val="center"/>
          </w:tcPr>
          <w:p w14:paraId="3569A981" w14:textId="77777777" w:rsidR="00DC65B3" w:rsidRPr="00F31284" w:rsidRDefault="00DC65B3" w:rsidP="00DD0788">
            <w:pPr>
              <w:pageBreakBefore/>
              <w:jc w:val="center"/>
              <w:rPr>
                <w:b/>
                <w:lang w:eastAsia="ru-RU"/>
              </w:rPr>
            </w:pPr>
            <w:r w:rsidRPr="00F31284">
              <w:rPr>
                <w:b/>
                <w:lang w:eastAsia="ru-RU"/>
              </w:rPr>
              <w:lastRenderedPageBreak/>
              <w:t>Label model No.</w:t>
            </w:r>
          </w:p>
        </w:tc>
        <w:tc>
          <w:tcPr>
            <w:tcW w:w="1270" w:type="dxa"/>
            <w:shd w:val="clear" w:color="auto" w:fill="auto"/>
            <w:vAlign w:val="center"/>
          </w:tcPr>
          <w:p w14:paraId="31989A4C" w14:textId="77777777" w:rsidR="00DC65B3" w:rsidRPr="00F31284" w:rsidRDefault="00DC65B3" w:rsidP="00DD0788">
            <w:pPr>
              <w:jc w:val="center"/>
              <w:rPr>
                <w:b/>
                <w:lang w:eastAsia="ru-RU"/>
              </w:rPr>
            </w:pPr>
            <w:r w:rsidRPr="00F31284">
              <w:rPr>
                <w:b/>
                <w:lang w:eastAsia="ru-RU"/>
              </w:rPr>
              <w:t>Division or Category</w:t>
            </w:r>
          </w:p>
        </w:tc>
        <w:tc>
          <w:tcPr>
            <w:tcW w:w="1791" w:type="dxa"/>
            <w:shd w:val="clear" w:color="auto" w:fill="auto"/>
            <w:vAlign w:val="center"/>
          </w:tcPr>
          <w:p w14:paraId="466426AF" w14:textId="77777777" w:rsidR="00DC65B3" w:rsidRPr="00F31284" w:rsidRDefault="00DC65B3" w:rsidP="00DD0788">
            <w:pPr>
              <w:jc w:val="center"/>
              <w:rPr>
                <w:b/>
                <w:lang w:eastAsia="ru-RU"/>
              </w:rPr>
            </w:pPr>
            <w:r w:rsidRPr="00F31284">
              <w:rPr>
                <w:b/>
                <w:lang w:eastAsia="ru-RU"/>
              </w:rPr>
              <w:t>Symbol and symbol colour</w:t>
            </w:r>
          </w:p>
        </w:tc>
        <w:tc>
          <w:tcPr>
            <w:tcW w:w="1112" w:type="dxa"/>
            <w:shd w:val="clear" w:color="auto" w:fill="auto"/>
            <w:vAlign w:val="center"/>
          </w:tcPr>
          <w:p w14:paraId="0B2CCF95" w14:textId="77777777" w:rsidR="00DC65B3" w:rsidRPr="00F31284" w:rsidRDefault="00DC65B3" w:rsidP="00DD0788">
            <w:pPr>
              <w:jc w:val="center"/>
              <w:rPr>
                <w:b/>
                <w:lang w:eastAsia="ru-RU"/>
              </w:rPr>
            </w:pPr>
            <w:r w:rsidRPr="00F31284">
              <w:rPr>
                <w:b/>
                <w:lang w:eastAsia="ru-RU"/>
              </w:rPr>
              <w:t>Background</w:t>
            </w:r>
          </w:p>
        </w:tc>
        <w:tc>
          <w:tcPr>
            <w:tcW w:w="1664" w:type="dxa"/>
            <w:shd w:val="clear" w:color="auto" w:fill="auto"/>
            <w:vAlign w:val="center"/>
          </w:tcPr>
          <w:p w14:paraId="51244FF5" w14:textId="77777777" w:rsidR="00DC65B3" w:rsidRPr="00F31284" w:rsidRDefault="00DC65B3" w:rsidP="00DD0788">
            <w:pPr>
              <w:jc w:val="center"/>
              <w:rPr>
                <w:b/>
                <w:lang w:eastAsia="ru-RU"/>
              </w:rPr>
            </w:pPr>
            <w:r w:rsidRPr="00F31284">
              <w:rPr>
                <w:b/>
                <w:lang w:eastAsia="ru-RU"/>
              </w:rPr>
              <w:t>Figure in bottom corner (and figure colour)</w:t>
            </w:r>
          </w:p>
        </w:tc>
        <w:tc>
          <w:tcPr>
            <w:tcW w:w="2958" w:type="dxa"/>
            <w:gridSpan w:val="2"/>
            <w:shd w:val="clear" w:color="auto" w:fill="auto"/>
            <w:vAlign w:val="center"/>
          </w:tcPr>
          <w:p w14:paraId="4F93E269" w14:textId="5F7221E2" w:rsidR="00DC65B3" w:rsidRPr="00F31284" w:rsidRDefault="00DC65B3" w:rsidP="00DD0788">
            <w:pPr>
              <w:jc w:val="center"/>
              <w:rPr>
                <w:b/>
                <w:lang w:eastAsia="ru-RU"/>
              </w:rPr>
            </w:pPr>
            <w:r w:rsidRPr="00F31284">
              <w:rPr>
                <w:b/>
                <w:lang w:eastAsia="ru-RU"/>
              </w:rPr>
              <w:t>Specimen labels</w:t>
            </w:r>
          </w:p>
        </w:tc>
      </w:tr>
      <w:tr w:rsidR="00913088" w:rsidRPr="00F31284" w14:paraId="3DAF5AC5" w14:textId="77777777" w:rsidTr="005C4D90">
        <w:trPr>
          <w:cantSplit/>
          <w:trHeight w:val="353"/>
          <w:tblHeader/>
        </w:trPr>
        <w:tc>
          <w:tcPr>
            <w:tcW w:w="9494" w:type="dxa"/>
            <w:gridSpan w:val="7"/>
            <w:shd w:val="clear" w:color="auto" w:fill="auto"/>
            <w:vAlign w:val="center"/>
          </w:tcPr>
          <w:p w14:paraId="7C720824" w14:textId="77777777" w:rsidR="00913088" w:rsidRPr="00F31284" w:rsidRDefault="00913088" w:rsidP="00DD0788">
            <w:pPr>
              <w:jc w:val="center"/>
              <w:rPr>
                <w:lang w:eastAsia="ru-RU"/>
              </w:rPr>
            </w:pPr>
            <w:r w:rsidRPr="00F31284">
              <w:rPr>
                <w:b/>
                <w:lang w:eastAsia="ru-RU"/>
              </w:rPr>
              <w:t xml:space="preserve">Class 2: </w:t>
            </w:r>
            <w:r w:rsidRPr="00F31284">
              <w:rPr>
                <w:rFonts w:eastAsia="Calibri"/>
                <w:b/>
              </w:rPr>
              <w:t>Gases</w:t>
            </w:r>
          </w:p>
        </w:tc>
      </w:tr>
      <w:tr w:rsidR="00DC65B3" w:rsidRPr="00F31284" w14:paraId="2D9F6102" w14:textId="77777777" w:rsidTr="005C4D90">
        <w:trPr>
          <w:cantSplit/>
          <w:trHeight w:val="1701"/>
        </w:trPr>
        <w:tc>
          <w:tcPr>
            <w:tcW w:w="699" w:type="dxa"/>
            <w:shd w:val="clear" w:color="auto" w:fill="auto"/>
          </w:tcPr>
          <w:p w14:paraId="0B39FDA1" w14:textId="77777777" w:rsidR="00DC65B3" w:rsidRPr="00F31284" w:rsidRDefault="00DC65B3" w:rsidP="00DD0788">
            <w:pPr>
              <w:keepNext/>
              <w:keepLines/>
              <w:jc w:val="center"/>
              <w:rPr>
                <w:lang w:eastAsia="ru-RU"/>
              </w:rPr>
            </w:pPr>
            <w:r w:rsidRPr="00F31284">
              <w:rPr>
                <w:lang w:eastAsia="ru-RU"/>
              </w:rPr>
              <w:t>2.1</w:t>
            </w:r>
          </w:p>
        </w:tc>
        <w:tc>
          <w:tcPr>
            <w:tcW w:w="1270" w:type="dxa"/>
            <w:shd w:val="clear" w:color="auto" w:fill="auto"/>
          </w:tcPr>
          <w:p w14:paraId="4AC3B698" w14:textId="77777777" w:rsidR="00DC65B3" w:rsidRPr="00F31284" w:rsidRDefault="00DC65B3" w:rsidP="00DD0788">
            <w:pPr>
              <w:keepNext/>
              <w:keepLines/>
              <w:jc w:val="center"/>
              <w:rPr>
                <w:lang w:eastAsia="ru-RU"/>
              </w:rPr>
            </w:pPr>
            <w:r w:rsidRPr="00F31284">
              <w:rPr>
                <w:lang w:eastAsia="ru-RU"/>
              </w:rPr>
              <w:t>Division 2.1:</w:t>
            </w:r>
          </w:p>
          <w:p w14:paraId="5140CC65" w14:textId="77777777" w:rsidR="00DC65B3" w:rsidRPr="00F31284" w:rsidRDefault="00DC65B3" w:rsidP="00DD0788">
            <w:pPr>
              <w:keepNext/>
              <w:keepLines/>
              <w:jc w:val="center"/>
              <w:rPr>
                <w:lang w:eastAsia="ru-RU"/>
              </w:rPr>
            </w:pPr>
            <w:r w:rsidRPr="00F31284">
              <w:rPr>
                <w:lang w:eastAsia="ru-RU"/>
              </w:rPr>
              <w:t>Flammable gases</w:t>
            </w:r>
          </w:p>
        </w:tc>
        <w:tc>
          <w:tcPr>
            <w:tcW w:w="1791" w:type="dxa"/>
            <w:shd w:val="clear" w:color="auto" w:fill="auto"/>
          </w:tcPr>
          <w:p w14:paraId="3DEE1D1A" w14:textId="77777777" w:rsidR="00DC65B3" w:rsidRPr="00F31284" w:rsidRDefault="00DC65B3" w:rsidP="00DD0788">
            <w:pPr>
              <w:keepNext/>
              <w:keepLines/>
              <w:jc w:val="center"/>
              <w:rPr>
                <w:lang w:eastAsia="ru-RU"/>
              </w:rPr>
            </w:pPr>
            <w:r w:rsidRPr="00F31284">
              <w:rPr>
                <w:lang w:eastAsia="ru-RU"/>
              </w:rPr>
              <w:t xml:space="preserve">Flame: </w:t>
            </w:r>
            <w:r w:rsidRPr="00DC65B3">
              <w:rPr>
                <w:highlight w:val="yellow"/>
                <w:lang w:eastAsia="ru-RU"/>
              </w:rPr>
              <w:t>black or white</w:t>
            </w:r>
            <w:r w:rsidRPr="00F31284">
              <w:rPr>
                <w:lang w:eastAsia="ru-RU"/>
              </w:rPr>
              <w:t xml:space="preserve"> (except as provided for in 5.2.2.2.1.6 d))</w:t>
            </w:r>
          </w:p>
        </w:tc>
        <w:tc>
          <w:tcPr>
            <w:tcW w:w="1112" w:type="dxa"/>
            <w:shd w:val="clear" w:color="auto" w:fill="auto"/>
          </w:tcPr>
          <w:p w14:paraId="72DF4330" w14:textId="77777777" w:rsidR="00DC65B3" w:rsidRPr="00F31284" w:rsidRDefault="00DC65B3" w:rsidP="00DD0788">
            <w:pPr>
              <w:keepNext/>
              <w:keepLines/>
              <w:jc w:val="center"/>
              <w:rPr>
                <w:lang w:eastAsia="ru-RU"/>
              </w:rPr>
            </w:pPr>
            <w:r w:rsidRPr="00F31284">
              <w:rPr>
                <w:lang w:eastAsia="ru-RU"/>
              </w:rPr>
              <w:t>Red</w:t>
            </w:r>
          </w:p>
        </w:tc>
        <w:tc>
          <w:tcPr>
            <w:tcW w:w="1664" w:type="dxa"/>
            <w:shd w:val="clear" w:color="auto" w:fill="auto"/>
          </w:tcPr>
          <w:p w14:paraId="7A2172FB" w14:textId="77777777" w:rsidR="00DC65B3" w:rsidRPr="00F31284" w:rsidRDefault="00DC65B3" w:rsidP="00DD0788">
            <w:pPr>
              <w:keepNext/>
              <w:keepLines/>
              <w:jc w:val="center"/>
              <w:rPr>
                <w:lang w:eastAsia="ru-RU"/>
              </w:rPr>
            </w:pPr>
            <w:r w:rsidRPr="00F31284">
              <w:rPr>
                <w:lang w:eastAsia="ru-RU"/>
              </w:rPr>
              <w:t>2</w:t>
            </w:r>
          </w:p>
          <w:p w14:paraId="704512C6" w14:textId="77777777" w:rsidR="00DC65B3" w:rsidRPr="00F31284" w:rsidRDefault="00DC65B3" w:rsidP="00DD0788">
            <w:pPr>
              <w:keepNext/>
              <w:keepLines/>
              <w:jc w:val="center"/>
              <w:rPr>
                <w:lang w:eastAsia="ru-RU"/>
              </w:rPr>
            </w:pPr>
            <w:r w:rsidRPr="00F31284">
              <w:rPr>
                <w:lang w:eastAsia="ru-RU"/>
              </w:rPr>
              <w:t>(</w:t>
            </w:r>
            <w:proofErr w:type="gramStart"/>
            <w:r w:rsidRPr="00F31284">
              <w:rPr>
                <w:lang w:eastAsia="ru-RU"/>
              </w:rPr>
              <w:t>black</w:t>
            </w:r>
            <w:proofErr w:type="gramEnd"/>
            <w:r w:rsidRPr="00F31284">
              <w:rPr>
                <w:lang w:eastAsia="ru-RU"/>
              </w:rPr>
              <w:t xml:space="preserve"> or white)</w:t>
            </w:r>
          </w:p>
          <w:p w14:paraId="24EE1F0E" w14:textId="77777777" w:rsidR="00DC65B3" w:rsidRPr="00F31284" w:rsidRDefault="00DC65B3" w:rsidP="00DD0788">
            <w:pPr>
              <w:keepNext/>
              <w:keepLines/>
              <w:jc w:val="center"/>
              <w:rPr>
                <w:lang w:eastAsia="ru-RU"/>
              </w:rPr>
            </w:pPr>
            <w:r w:rsidRPr="00F31284">
              <w:rPr>
                <w:lang w:eastAsia="ru-RU"/>
              </w:rPr>
              <w:t>(</w:t>
            </w:r>
            <w:proofErr w:type="gramStart"/>
            <w:r w:rsidRPr="00F31284">
              <w:rPr>
                <w:lang w:eastAsia="ru-RU"/>
              </w:rPr>
              <w:t>except</w:t>
            </w:r>
            <w:proofErr w:type="gramEnd"/>
            <w:r w:rsidRPr="00F31284">
              <w:rPr>
                <w:lang w:eastAsia="ru-RU"/>
              </w:rPr>
              <w:t xml:space="preserve"> as provided for in 5.2.2.2.1.6 (d))</w:t>
            </w:r>
          </w:p>
        </w:tc>
        <w:tc>
          <w:tcPr>
            <w:tcW w:w="1629" w:type="dxa"/>
            <w:shd w:val="clear" w:color="auto" w:fill="auto"/>
            <w:vAlign w:val="center"/>
          </w:tcPr>
          <w:p w14:paraId="5E2A2FEE" w14:textId="77777777" w:rsidR="00DC65B3" w:rsidRPr="00F31284" w:rsidRDefault="00DC65B3" w:rsidP="00DD0788">
            <w:pPr>
              <w:keepNext/>
              <w:keepLines/>
              <w:jc w:val="center"/>
              <w:rPr>
                <w:rFonts w:ascii="Arial" w:hAnsi="Arial" w:cs="Arial"/>
                <w:lang w:eastAsia="ru-RU"/>
              </w:rPr>
            </w:pPr>
            <w:r w:rsidRPr="00F31284">
              <w:rPr>
                <w:noProof/>
                <w:lang w:eastAsia="en-GB"/>
              </w:rPr>
              <w:drawing>
                <wp:inline distT="0" distB="0" distL="0" distR="0" wp14:anchorId="307292CC" wp14:editId="36767B92">
                  <wp:extent cx="864000" cy="864000"/>
                  <wp:effectExtent l="0" t="0" r="0" b="0"/>
                  <wp:docPr id="120" name="Picture 120"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329" w:type="dxa"/>
            <w:shd w:val="clear" w:color="auto" w:fill="auto"/>
            <w:vAlign w:val="center"/>
          </w:tcPr>
          <w:p w14:paraId="559AC5B4" w14:textId="24AC7F4B" w:rsidR="00DC65B3" w:rsidRPr="00F31284" w:rsidRDefault="00DC65B3" w:rsidP="00DD0788">
            <w:pPr>
              <w:keepNext/>
              <w:keepLines/>
              <w:jc w:val="center"/>
              <w:rPr>
                <w:rFonts w:ascii="Arial" w:hAnsi="Arial" w:cs="Arial"/>
                <w:lang w:eastAsia="ru-RU"/>
              </w:rPr>
            </w:pPr>
            <w:r w:rsidRPr="00F31284">
              <w:rPr>
                <w:noProof/>
                <w:lang w:eastAsia="en-GB"/>
              </w:rPr>
              <w:drawing>
                <wp:inline distT="0" distB="0" distL="0" distR="0" wp14:anchorId="7A6F533F" wp14:editId="1BD99578">
                  <wp:extent cx="864000" cy="864000"/>
                  <wp:effectExtent l="0" t="0" r="0" b="0"/>
                  <wp:docPr id="121" name="Picture 121"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r>
      <w:tr w:rsidR="00DC65B3" w:rsidRPr="00F31284" w14:paraId="0F7FAF3E" w14:textId="77777777" w:rsidTr="005C4D90">
        <w:trPr>
          <w:cantSplit/>
          <w:trHeight w:val="1701"/>
        </w:trPr>
        <w:tc>
          <w:tcPr>
            <w:tcW w:w="699" w:type="dxa"/>
            <w:shd w:val="clear" w:color="auto" w:fill="auto"/>
          </w:tcPr>
          <w:p w14:paraId="565962AA" w14:textId="47B5403C" w:rsidR="00DC65B3" w:rsidRPr="00F31284" w:rsidRDefault="00DC65B3" w:rsidP="00DC65B3">
            <w:pPr>
              <w:jc w:val="center"/>
              <w:rPr>
                <w:lang w:eastAsia="ru-RU"/>
              </w:rPr>
            </w:pPr>
            <w:r w:rsidRPr="00F31284">
              <w:rPr>
                <w:lang w:eastAsia="ru-RU"/>
              </w:rPr>
              <w:t>3</w:t>
            </w:r>
          </w:p>
        </w:tc>
        <w:tc>
          <w:tcPr>
            <w:tcW w:w="1270" w:type="dxa"/>
            <w:shd w:val="clear" w:color="auto" w:fill="auto"/>
          </w:tcPr>
          <w:p w14:paraId="1367D009" w14:textId="0F6E13D1" w:rsidR="00DC65B3" w:rsidRPr="00F31284" w:rsidRDefault="00DC65B3" w:rsidP="00DC65B3">
            <w:pPr>
              <w:jc w:val="center"/>
              <w:rPr>
                <w:lang w:eastAsia="ru-RU"/>
              </w:rPr>
            </w:pPr>
            <w:r w:rsidRPr="00F31284">
              <w:rPr>
                <w:lang w:eastAsia="ru-RU"/>
              </w:rPr>
              <w:t>-</w:t>
            </w:r>
          </w:p>
        </w:tc>
        <w:tc>
          <w:tcPr>
            <w:tcW w:w="1791" w:type="dxa"/>
            <w:shd w:val="clear" w:color="auto" w:fill="auto"/>
          </w:tcPr>
          <w:p w14:paraId="10A4B301" w14:textId="0CFB007C" w:rsidR="00DC65B3" w:rsidRPr="00F31284" w:rsidRDefault="00DC65B3" w:rsidP="00DC65B3">
            <w:pPr>
              <w:jc w:val="center"/>
              <w:rPr>
                <w:lang w:eastAsia="ru-RU"/>
              </w:rPr>
            </w:pPr>
            <w:r w:rsidRPr="00F31284">
              <w:rPr>
                <w:lang w:eastAsia="ru-RU"/>
              </w:rPr>
              <w:t xml:space="preserve">Flame: </w:t>
            </w:r>
            <w:r w:rsidRPr="00DC65B3">
              <w:rPr>
                <w:highlight w:val="yellow"/>
                <w:lang w:eastAsia="ru-RU"/>
              </w:rPr>
              <w:t>black or white</w:t>
            </w:r>
          </w:p>
        </w:tc>
        <w:tc>
          <w:tcPr>
            <w:tcW w:w="1112" w:type="dxa"/>
            <w:shd w:val="clear" w:color="auto" w:fill="auto"/>
          </w:tcPr>
          <w:p w14:paraId="1973D6A7" w14:textId="144E5A6F" w:rsidR="00DC65B3" w:rsidRPr="00F31284" w:rsidRDefault="00DC65B3" w:rsidP="00DC65B3">
            <w:pPr>
              <w:jc w:val="center"/>
              <w:rPr>
                <w:lang w:eastAsia="ru-RU"/>
              </w:rPr>
            </w:pPr>
            <w:r w:rsidRPr="00F31284">
              <w:rPr>
                <w:lang w:eastAsia="ru-RU"/>
              </w:rPr>
              <w:t>Red</w:t>
            </w:r>
          </w:p>
        </w:tc>
        <w:tc>
          <w:tcPr>
            <w:tcW w:w="1664" w:type="dxa"/>
            <w:shd w:val="clear" w:color="auto" w:fill="auto"/>
          </w:tcPr>
          <w:p w14:paraId="1CF00F72" w14:textId="77777777" w:rsidR="00DC65B3" w:rsidRPr="00F31284" w:rsidRDefault="00DC65B3" w:rsidP="00DC65B3">
            <w:pPr>
              <w:keepNext/>
              <w:keepLines/>
              <w:jc w:val="center"/>
              <w:rPr>
                <w:lang w:eastAsia="ru-RU"/>
              </w:rPr>
            </w:pPr>
            <w:r w:rsidRPr="00F31284">
              <w:rPr>
                <w:lang w:eastAsia="ru-RU"/>
              </w:rPr>
              <w:t>3</w:t>
            </w:r>
          </w:p>
          <w:p w14:paraId="3CCF8F8E" w14:textId="408D47F4" w:rsidR="00DC65B3" w:rsidRPr="00F31284" w:rsidRDefault="00DC65B3" w:rsidP="00DC65B3">
            <w:pPr>
              <w:jc w:val="center"/>
              <w:rPr>
                <w:lang w:eastAsia="ru-RU"/>
              </w:rPr>
            </w:pPr>
            <w:r w:rsidRPr="00F31284">
              <w:rPr>
                <w:lang w:eastAsia="ru-RU"/>
              </w:rPr>
              <w:t>(</w:t>
            </w:r>
            <w:proofErr w:type="gramStart"/>
            <w:r w:rsidRPr="00F31284">
              <w:rPr>
                <w:lang w:eastAsia="ru-RU"/>
              </w:rPr>
              <w:t>black</w:t>
            </w:r>
            <w:proofErr w:type="gramEnd"/>
            <w:r w:rsidRPr="00F31284">
              <w:rPr>
                <w:lang w:eastAsia="ru-RU"/>
              </w:rPr>
              <w:t xml:space="preserve"> or white)</w:t>
            </w:r>
          </w:p>
        </w:tc>
        <w:tc>
          <w:tcPr>
            <w:tcW w:w="1629" w:type="dxa"/>
            <w:shd w:val="clear" w:color="auto" w:fill="auto"/>
            <w:vAlign w:val="center"/>
          </w:tcPr>
          <w:p w14:paraId="01C2FC3A" w14:textId="070E36AF" w:rsidR="00DC65B3" w:rsidRPr="00F31284" w:rsidRDefault="00DC65B3" w:rsidP="00DC65B3">
            <w:pPr>
              <w:jc w:val="center"/>
              <w:rPr>
                <w:rFonts w:ascii="Arial" w:hAnsi="Arial" w:cs="Arial"/>
                <w:lang w:eastAsia="ru-RU"/>
              </w:rPr>
            </w:pPr>
            <w:r w:rsidRPr="00F31284">
              <w:rPr>
                <w:noProof/>
                <w:lang w:eastAsia="en-GB"/>
              </w:rPr>
              <w:drawing>
                <wp:inline distT="0" distB="0" distL="0" distR="0" wp14:anchorId="47547F49" wp14:editId="0FA3F7B4">
                  <wp:extent cx="855878" cy="855878"/>
                  <wp:effectExtent l="0" t="0" r="1905" b="1905"/>
                  <wp:docPr id="125" name="Picture 125"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329" w:type="dxa"/>
            <w:shd w:val="clear" w:color="auto" w:fill="auto"/>
            <w:vAlign w:val="center"/>
          </w:tcPr>
          <w:p w14:paraId="798F74C5" w14:textId="54ECF4F7" w:rsidR="00DC65B3" w:rsidRPr="00F31284" w:rsidRDefault="00DC65B3" w:rsidP="00DC65B3">
            <w:pPr>
              <w:jc w:val="center"/>
              <w:rPr>
                <w:rFonts w:ascii="Arial" w:hAnsi="Arial" w:cs="Arial"/>
                <w:lang w:eastAsia="ru-RU"/>
              </w:rPr>
            </w:pPr>
            <w:r w:rsidRPr="00F31284">
              <w:rPr>
                <w:noProof/>
                <w:lang w:eastAsia="en-GB"/>
              </w:rPr>
              <w:drawing>
                <wp:inline distT="0" distB="0" distL="0" distR="0" wp14:anchorId="795FEB04" wp14:editId="6FC7FA60">
                  <wp:extent cx="855878" cy="855878"/>
                  <wp:effectExtent l="0" t="0" r="1905" b="1905"/>
                  <wp:docPr id="126" name="Picture 126"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r>
    </w:tbl>
    <w:p w14:paraId="74715320" w14:textId="22C581E4" w:rsidR="00874B63" w:rsidRPr="00044D45" w:rsidRDefault="00874B63" w:rsidP="00044D45">
      <w:pPr>
        <w:pStyle w:val="SingleTxtG"/>
        <w:rPr>
          <w:b/>
          <w:bCs/>
        </w:rPr>
      </w:pPr>
      <w:r w:rsidRPr="00044D45">
        <w:rPr>
          <w:b/>
          <w:bCs/>
        </w:rPr>
        <w:t xml:space="preserve">Figure </w:t>
      </w:r>
      <w:r w:rsidRPr="00044D45">
        <w:rPr>
          <w:b/>
          <w:bCs/>
        </w:rPr>
        <w:fldChar w:fldCharType="begin"/>
      </w:r>
      <w:r w:rsidRPr="00044D45">
        <w:rPr>
          <w:b/>
          <w:bCs/>
        </w:rPr>
        <w:instrText xml:space="preserve"> SEQ Figure \* ARABIC </w:instrText>
      </w:r>
      <w:r w:rsidRPr="00044D45">
        <w:rPr>
          <w:b/>
          <w:bCs/>
        </w:rPr>
        <w:fldChar w:fldCharType="separate"/>
      </w:r>
      <w:r w:rsidRPr="00044D45">
        <w:rPr>
          <w:b/>
          <w:bCs/>
        </w:rPr>
        <w:t>1</w:t>
      </w:r>
      <w:r w:rsidRPr="00044D45">
        <w:rPr>
          <w:b/>
          <w:bCs/>
        </w:rPr>
        <w:fldChar w:fldCharType="end"/>
      </w:r>
      <w:r w:rsidR="00044D45">
        <w:rPr>
          <w:b/>
          <w:bCs/>
        </w:rPr>
        <w:t>:</w:t>
      </w:r>
      <w:r w:rsidRPr="00044D45">
        <w:rPr>
          <w:b/>
          <w:bCs/>
        </w:rPr>
        <w:t xml:space="preserve"> </w:t>
      </w:r>
      <w:r w:rsidR="00FF3975">
        <w:rPr>
          <w:b/>
          <w:bCs/>
        </w:rPr>
        <w:t xml:space="preserve">Twenty-third revised edition of the </w:t>
      </w:r>
      <w:r w:rsidRPr="00FF3975">
        <w:rPr>
          <w:b/>
          <w:bCs/>
          <w:i/>
          <w:iCs/>
        </w:rPr>
        <w:t>Model Regulations</w:t>
      </w:r>
      <w:r w:rsidR="00FF3975">
        <w:rPr>
          <w:b/>
          <w:bCs/>
        </w:rPr>
        <w:t xml:space="preserve">, </w:t>
      </w:r>
      <w:r w:rsidRPr="00044D45">
        <w:rPr>
          <w:b/>
          <w:bCs/>
        </w:rPr>
        <w:t>para</w:t>
      </w:r>
      <w:r w:rsidR="00FF3975">
        <w:rPr>
          <w:b/>
          <w:bCs/>
        </w:rPr>
        <w:t>graph</w:t>
      </w:r>
      <w:r w:rsidRPr="00044D45">
        <w:rPr>
          <w:b/>
          <w:bCs/>
        </w:rPr>
        <w:t xml:space="preserve"> 5.2.2.2.2 Specimen Labels</w:t>
      </w:r>
    </w:p>
    <w:p w14:paraId="17405533" w14:textId="13C3FCC1" w:rsidR="00874B63" w:rsidRDefault="00044D45" w:rsidP="00044D45">
      <w:pPr>
        <w:pStyle w:val="SingleTxtG"/>
      </w:pPr>
      <w:r>
        <w:t>5.</w:t>
      </w:r>
      <w:r>
        <w:tab/>
      </w:r>
      <w:r w:rsidR="00874B63">
        <w:t>However, Figure 2 below illustrates the variation of the Class 3 label through various international and domestic regulations. Figure 3 illustrates a close-up of the flame design from each of the labels illustrated in Figure 2. The labels illustrated are found in</w:t>
      </w:r>
      <w:r w:rsidR="00CC19F9">
        <w:t xml:space="preserve"> the t</w:t>
      </w:r>
      <w:r w:rsidR="00CC19F9" w:rsidRPr="00CC19F9">
        <w:t>wenty-third revised edition of the</w:t>
      </w:r>
      <w:r w:rsidR="00874B63">
        <w:t xml:space="preserve"> </w:t>
      </w:r>
      <w:r w:rsidR="00874B63" w:rsidRPr="00CC19F9">
        <w:rPr>
          <w:i/>
          <w:iCs/>
        </w:rPr>
        <w:t>Model Regulations</w:t>
      </w:r>
      <w:r w:rsidR="006056C2">
        <w:t xml:space="preserve">, </w:t>
      </w:r>
      <w:r w:rsidR="00874B63">
        <w:t>ADR 2023, ICAO Technical Instructions (Doc 9284) 2023-2024 Ed</w:t>
      </w:r>
      <w:r w:rsidR="006056C2">
        <w:t>ition</w:t>
      </w:r>
      <w:r w:rsidR="00874B63">
        <w:t xml:space="preserve">, IMDG Code </w:t>
      </w:r>
      <w:proofErr w:type="spellStart"/>
      <w:r w:rsidR="00874B63">
        <w:t>Amd</w:t>
      </w:r>
      <w:proofErr w:type="spellEnd"/>
      <w:r w:rsidR="00874B63">
        <w:t>. 41-22, 49 CFR (United States</w:t>
      </w:r>
      <w:r w:rsidR="00C83B10">
        <w:t xml:space="preserve"> of America</w:t>
      </w:r>
      <w:r w:rsidR="00874B63">
        <w:t>) and Transport Canada’s TDGR (respectively).</w:t>
      </w:r>
    </w:p>
    <w:p w14:paraId="1A113E7A" w14:textId="77777777" w:rsidR="00874B63" w:rsidRDefault="00874B63" w:rsidP="00874B63">
      <w:pPr>
        <w:jc w:val="center"/>
      </w:pPr>
    </w:p>
    <w:p w14:paraId="22968399" w14:textId="77777777" w:rsidR="00874B63" w:rsidRDefault="00874B63" w:rsidP="00874B63">
      <w:pPr>
        <w:keepNext/>
        <w:jc w:val="center"/>
      </w:pPr>
      <w:r w:rsidRPr="00F84EF8">
        <w:rPr>
          <w:noProof/>
        </w:rPr>
        <w:drawing>
          <wp:inline distT="0" distB="0" distL="0" distR="0" wp14:anchorId="08CC7BBC" wp14:editId="27B39EE2">
            <wp:extent cx="6005114" cy="1371600"/>
            <wp:effectExtent l="0" t="0" r="0" b="0"/>
            <wp:docPr id="1637488356" name="Picture 1" descr="A red diamond shap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488356" name="Picture 1" descr="A red diamond shaped sign with white text&#10;&#10;Description automatically generated"/>
                    <pic:cNvPicPr/>
                  </pic:nvPicPr>
                  <pic:blipFill>
                    <a:blip r:embed="rId16"/>
                    <a:stretch>
                      <a:fillRect/>
                    </a:stretch>
                  </pic:blipFill>
                  <pic:spPr>
                    <a:xfrm>
                      <a:off x="0" y="0"/>
                      <a:ext cx="6005114" cy="1371600"/>
                    </a:xfrm>
                    <a:prstGeom prst="rect">
                      <a:avLst/>
                    </a:prstGeom>
                  </pic:spPr>
                </pic:pic>
              </a:graphicData>
            </a:graphic>
          </wp:inline>
        </w:drawing>
      </w:r>
    </w:p>
    <w:p w14:paraId="03433DAE" w14:textId="60C43674" w:rsidR="00874B63" w:rsidRDefault="00874B63" w:rsidP="00044D45">
      <w:pPr>
        <w:pStyle w:val="SingleTxtG"/>
        <w:rPr>
          <w:b/>
          <w:bCs/>
        </w:rPr>
      </w:pPr>
      <w:r w:rsidRPr="00044D45">
        <w:rPr>
          <w:b/>
          <w:bCs/>
        </w:rPr>
        <w:t xml:space="preserve">Figure </w:t>
      </w:r>
      <w:r w:rsidRPr="00044D45">
        <w:rPr>
          <w:b/>
          <w:bCs/>
        </w:rPr>
        <w:fldChar w:fldCharType="begin"/>
      </w:r>
      <w:r w:rsidRPr="00044D45">
        <w:rPr>
          <w:b/>
          <w:bCs/>
        </w:rPr>
        <w:instrText xml:space="preserve"> SEQ Figure \* ARABIC </w:instrText>
      </w:r>
      <w:r w:rsidRPr="00044D45">
        <w:rPr>
          <w:b/>
          <w:bCs/>
        </w:rPr>
        <w:fldChar w:fldCharType="separate"/>
      </w:r>
      <w:r w:rsidRPr="00044D45">
        <w:rPr>
          <w:b/>
          <w:bCs/>
          <w:noProof/>
        </w:rPr>
        <w:t>2</w:t>
      </w:r>
      <w:r w:rsidRPr="00044D45">
        <w:rPr>
          <w:b/>
          <w:bCs/>
        </w:rPr>
        <w:fldChar w:fldCharType="end"/>
      </w:r>
      <w:r w:rsidR="00044D45">
        <w:rPr>
          <w:b/>
          <w:bCs/>
        </w:rPr>
        <w:t>:</w:t>
      </w:r>
      <w:r w:rsidRPr="00044D45">
        <w:rPr>
          <w:b/>
          <w:bCs/>
        </w:rPr>
        <w:t xml:space="preserve"> Class 3 Label Designs</w:t>
      </w:r>
    </w:p>
    <w:p w14:paraId="3D7FB95C" w14:textId="77777777" w:rsidR="00031366" w:rsidRPr="00044D45" w:rsidRDefault="00031366" w:rsidP="00044D45">
      <w:pPr>
        <w:pStyle w:val="SingleTxtG"/>
        <w:rPr>
          <w:b/>
          <w:bCs/>
        </w:rPr>
      </w:pPr>
    </w:p>
    <w:p w14:paraId="45A1FF6C" w14:textId="77777777" w:rsidR="00874B63" w:rsidRDefault="00874B63" w:rsidP="00874B63">
      <w:pPr>
        <w:pStyle w:val="ListParagraph"/>
        <w:keepNext/>
        <w:jc w:val="center"/>
      </w:pPr>
      <w:r w:rsidRPr="00F84EF8">
        <w:rPr>
          <w:noProof/>
        </w:rPr>
        <w:drawing>
          <wp:inline distT="0" distB="0" distL="0" distR="0" wp14:anchorId="30E317CC" wp14:editId="1314C2D5">
            <wp:extent cx="5631395" cy="1371600"/>
            <wp:effectExtent l="0" t="0" r="7620" b="0"/>
            <wp:docPr id="1270483263" name="Picture 1" descr="A red and white fi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83263" name="Picture 1" descr="A red and white fire sign&#10;&#10;Description automatically generated"/>
                    <pic:cNvPicPr/>
                  </pic:nvPicPr>
                  <pic:blipFill>
                    <a:blip r:embed="rId17"/>
                    <a:stretch>
                      <a:fillRect/>
                    </a:stretch>
                  </pic:blipFill>
                  <pic:spPr>
                    <a:xfrm>
                      <a:off x="0" y="0"/>
                      <a:ext cx="5631395" cy="1371600"/>
                    </a:xfrm>
                    <a:prstGeom prst="rect">
                      <a:avLst/>
                    </a:prstGeom>
                  </pic:spPr>
                </pic:pic>
              </a:graphicData>
            </a:graphic>
          </wp:inline>
        </w:drawing>
      </w:r>
    </w:p>
    <w:p w14:paraId="72D0A973" w14:textId="6C69C4F9" w:rsidR="00874B63" w:rsidRPr="00044D45" w:rsidRDefault="00874B63" w:rsidP="00044D45">
      <w:pPr>
        <w:pStyle w:val="SingleTxtG"/>
        <w:rPr>
          <w:b/>
          <w:bCs/>
        </w:rPr>
      </w:pPr>
      <w:r w:rsidRPr="00044D45">
        <w:rPr>
          <w:b/>
          <w:bCs/>
        </w:rPr>
        <w:t xml:space="preserve">Figure </w:t>
      </w:r>
      <w:r w:rsidRPr="00044D45">
        <w:rPr>
          <w:b/>
          <w:bCs/>
        </w:rPr>
        <w:fldChar w:fldCharType="begin"/>
      </w:r>
      <w:r w:rsidRPr="00044D45">
        <w:rPr>
          <w:b/>
          <w:bCs/>
        </w:rPr>
        <w:instrText xml:space="preserve"> SEQ Figure \* ARABIC </w:instrText>
      </w:r>
      <w:r w:rsidRPr="00044D45">
        <w:rPr>
          <w:b/>
          <w:bCs/>
        </w:rPr>
        <w:fldChar w:fldCharType="separate"/>
      </w:r>
      <w:r w:rsidRPr="00044D45">
        <w:rPr>
          <w:b/>
          <w:bCs/>
          <w:noProof/>
        </w:rPr>
        <w:t>3</w:t>
      </w:r>
      <w:r w:rsidRPr="00044D45">
        <w:rPr>
          <w:b/>
          <w:bCs/>
        </w:rPr>
        <w:fldChar w:fldCharType="end"/>
      </w:r>
      <w:r w:rsidR="00031366">
        <w:rPr>
          <w:b/>
          <w:bCs/>
        </w:rPr>
        <w:t xml:space="preserve">: </w:t>
      </w:r>
      <w:r w:rsidRPr="00044D45">
        <w:rPr>
          <w:b/>
          <w:bCs/>
        </w:rPr>
        <w:t>Close-up of Flame Designs</w:t>
      </w:r>
    </w:p>
    <w:p w14:paraId="3BB4AD11" w14:textId="60C19BB7" w:rsidR="00874B63" w:rsidRDefault="00031366" w:rsidP="00031366">
      <w:pPr>
        <w:pStyle w:val="SingleTxtG"/>
      </w:pPr>
      <w:r>
        <w:t>6.</w:t>
      </w:r>
      <w:r>
        <w:tab/>
      </w:r>
      <w:r w:rsidR="00874B63">
        <w:t xml:space="preserve">As illustrated in </w:t>
      </w:r>
      <w:r w:rsidR="00874B63" w:rsidRPr="00031366">
        <w:t>Figure</w:t>
      </w:r>
      <w:r w:rsidR="00874B63">
        <w:t xml:space="preserve"> 3, the “flame” designs vary with minute details. Differences include length of the flames, smaller “cut-out” within taller flame, overall height and width of design, thickness of underline, etc. There is also variation in the location of the symbol on the label (how close to the outside edge at the top of the label).</w:t>
      </w:r>
    </w:p>
    <w:p w14:paraId="0EDFFF54" w14:textId="42F1A30F" w:rsidR="00874B63" w:rsidRPr="00FB70D5" w:rsidRDefault="00031366" w:rsidP="00031366">
      <w:pPr>
        <w:pStyle w:val="HChG"/>
      </w:pPr>
      <w:r>
        <w:lastRenderedPageBreak/>
        <w:tab/>
        <w:t>III.</w:t>
      </w:r>
      <w:r>
        <w:tab/>
      </w:r>
      <w:r w:rsidR="00874B63" w:rsidRPr="00FB70D5">
        <w:t>Discussion</w:t>
      </w:r>
    </w:p>
    <w:p w14:paraId="4252F78E" w14:textId="548C302D" w:rsidR="00874B63" w:rsidRDefault="00031366" w:rsidP="00031366">
      <w:pPr>
        <w:pStyle w:val="SingleTxtG"/>
      </w:pPr>
      <w:r>
        <w:t>7.</w:t>
      </w:r>
      <w:r>
        <w:tab/>
      </w:r>
      <w:r w:rsidR="00874B63">
        <w:t>Symbol design should be provided with a variation allowance. Shippers should be allowed to use labels as provided by label manufacturers, regardless of regulation or mode of transport. Transportation should not be denied by the symbol design, when intent and overall design has been met and safety is not affected.</w:t>
      </w:r>
    </w:p>
    <w:p w14:paraId="03EFEBB7" w14:textId="3E316F7F" w:rsidR="00874B63" w:rsidRDefault="00031366" w:rsidP="00031366">
      <w:pPr>
        <w:pStyle w:val="SingleTxtG"/>
      </w:pPr>
      <w:r>
        <w:t>8.</w:t>
      </w:r>
      <w:r>
        <w:tab/>
      </w:r>
      <w:r w:rsidR="00874B63">
        <w:t>If a design variation is not permitted, which design concept shall be required for use on multimodal shipments?</w:t>
      </w:r>
    </w:p>
    <w:p w14:paraId="79547926" w14:textId="62BC7D54" w:rsidR="00874B63" w:rsidRDefault="00031366" w:rsidP="00031366">
      <w:pPr>
        <w:pStyle w:val="HChG"/>
      </w:pPr>
      <w:r>
        <w:tab/>
        <w:t>IV.</w:t>
      </w:r>
      <w:r>
        <w:tab/>
      </w:r>
      <w:r w:rsidR="00874B63">
        <w:t>Proposal</w:t>
      </w:r>
    </w:p>
    <w:p w14:paraId="38B89B18" w14:textId="07829B66" w:rsidR="00874B63" w:rsidRDefault="00031366" w:rsidP="00031366">
      <w:pPr>
        <w:pStyle w:val="SingleTxtG"/>
      </w:pPr>
      <w:r>
        <w:t>9.</w:t>
      </w:r>
      <w:r>
        <w:tab/>
      </w:r>
      <w:r w:rsidR="000C37B3">
        <w:t xml:space="preserve">To allow the use of design variations, so long as the intent and meaning is met, </w:t>
      </w:r>
      <w:r w:rsidR="00874B63">
        <w:t xml:space="preserve">COSTHA proposes to revise 5.2.2.2.1 </w:t>
      </w:r>
      <w:r w:rsidR="000C37B3">
        <w:t>as follows:</w:t>
      </w:r>
    </w:p>
    <w:p w14:paraId="2BD6DFB5" w14:textId="19C6F6F3" w:rsidR="00CC2924" w:rsidRDefault="000C37B3" w:rsidP="00031366">
      <w:pPr>
        <w:pStyle w:val="SingleTxtG"/>
        <w:rPr>
          <w:rStyle w:val="eop"/>
        </w:rPr>
      </w:pPr>
      <w:r>
        <w:rPr>
          <w:rStyle w:val="normaltextrun"/>
        </w:rPr>
        <w:t>“</w:t>
      </w:r>
      <w:r w:rsidR="00874B63" w:rsidRPr="00271506">
        <w:rPr>
          <w:rStyle w:val="normaltextrun"/>
        </w:rPr>
        <w:t>5.2.2.2.1</w:t>
      </w:r>
      <w:r>
        <w:rPr>
          <w:rStyle w:val="normaltextrun"/>
        </w:rPr>
        <w:tab/>
      </w:r>
      <w:r w:rsidR="00874B63" w:rsidRPr="00271506">
        <w:rPr>
          <w:rStyle w:val="normaltextrun"/>
        </w:rPr>
        <w:t xml:space="preserve">Labels shall satisfy the provisions of this section and conform, in terms of colour, </w:t>
      </w:r>
      <w:r w:rsidR="00874B63" w:rsidRPr="00271506">
        <w:rPr>
          <w:rStyle w:val="normaltextrun"/>
          <w:strike/>
        </w:rPr>
        <w:t>symbols</w:t>
      </w:r>
      <w:r w:rsidR="00874B63" w:rsidRPr="00271506">
        <w:rPr>
          <w:rStyle w:val="normaltextrun"/>
        </w:rPr>
        <w:t xml:space="preserve"> and </w:t>
      </w:r>
      <w:r w:rsidR="00874B63" w:rsidRPr="00031366">
        <w:rPr>
          <w:rStyle w:val="normaltextrun"/>
          <w:b/>
          <w:u w:val="single"/>
        </w:rPr>
        <w:t>the</w:t>
      </w:r>
      <w:r w:rsidR="00874B63" w:rsidRPr="00271506">
        <w:rPr>
          <w:rStyle w:val="normaltextrun"/>
        </w:rPr>
        <w:t xml:space="preserve"> general format </w:t>
      </w:r>
      <w:r w:rsidR="00874B63" w:rsidRPr="002F4748">
        <w:rPr>
          <w:rStyle w:val="normaltextrun"/>
          <w:b/>
          <w:u w:val="single"/>
        </w:rPr>
        <w:t>of the symbol and the label</w:t>
      </w:r>
      <w:r w:rsidR="00874B63" w:rsidRPr="00271506">
        <w:rPr>
          <w:rStyle w:val="normaltextrun"/>
        </w:rPr>
        <w:t>, to the specimen labels shown in 5.2.2.2.</w:t>
      </w:r>
      <w:r>
        <w:rPr>
          <w:rStyle w:val="normaltextrun"/>
        </w:rPr>
        <w:t>”</w:t>
      </w:r>
    </w:p>
    <w:p w14:paraId="3C136417" w14:textId="4EF398A0" w:rsidR="00874B63" w:rsidRPr="00874B63" w:rsidRDefault="00874B63" w:rsidP="00874B63">
      <w:pPr>
        <w:spacing w:before="240"/>
        <w:jc w:val="center"/>
        <w:rPr>
          <w:u w:val="single"/>
        </w:rPr>
      </w:pPr>
      <w:r>
        <w:rPr>
          <w:u w:val="single"/>
        </w:rPr>
        <w:tab/>
      </w:r>
      <w:r>
        <w:rPr>
          <w:u w:val="single"/>
        </w:rPr>
        <w:tab/>
      </w:r>
      <w:r>
        <w:rPr>
          <w:u w:val="single"/>
        </w:rPr>
        <w:tab/>
      </w:r>
    </w:p>
    <w:sectPr w:rsidR="00874B63" w:rsidRPr="00874B63" w:rsidSect="00CB1272">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6544" w14:textId="77777777" w:rsidR="00E7188F" w:rsidRPr="00C47B2E" w:rsidRDefault="00E7188F" w:rsidP="00C47B2E">
      <w:pPr>
        <w:pStyle w:val="Footer"/>
      </w:pPr>
    </w:p>
  </w:endnote>
  <w:endnote w:type="continuationSeparator" w:id="0">
    <w:p w14:paraId="434C0B3A" w14:textId="77777777" w:rsidR="00E7188F" w:rsidRPr="00C47B2E" w:rsidRDefault="00E7188F" w:rsidP="00C47B2E">
      <w:pPr>
        <w:pStyle w:val="Footer"/>
      </w:pPr>
    </w:p>
  </w:endnote>
  <w:endnote w:type="continuationNotice" w:id="1">
    <w:p w14:paraId="53B1888F" w14:textId="77777777" w:rsidR="00E7188F" w:rsidRPr="00C47B2E" w:rsidRDefault="00E7188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767" w14:textId="5FD2C487" w:rsidR="00D94B05" w:rsidRPr="00CB1272" w:rsidRDefault="00CB1272" w:rsidP="00D85308">
    <w:pPr>
      <w:pStyle w:val="Footer"/>
      <w:tabs>
        <w:tab w:val="right" w:pos="9639"/>
      </w:tabs>
      <w:rPr>
        <w:sz w:val="18"/>
      </w:rPr>
    </w:pPr>
    <w:r w:rsidRPr="00CB1272">
      <w:rPr>
        <w:b/>
        <w:sz w:val="18"/>
      </w:rPr>
      <w:fldChar w:fldCharType="begin"/>
    </w:r>
    <w:r w:rsidRPr="00CB1272">
      <w:rPr>
        <w:b/>
        <w:sz w:val="18"/>
      </w:rPr>
      <w:instrText xml:space="preserve"> PAGE  \* MERGEFORMAT </w:instrText>
    </w:r>
    <w:r w:rsidRPr="00CB1272">
      <w:rPr>
        <w:b/>
        <w:sz w:val="18"/>
      </w:rPr>
      <w:fldChar w:fldCharType="separate"/>
    </w:r>
    <w:r w:rsidRPr="00CB1272">
      <w:rPr>
        <w:b/>
        <w:noProof/>
        <w:sz w:val="18"/>
      </w:rPr>
      <w:t>2</w:t>
    </w:r>
    <w:r w:rsidRPr="00CB127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59ED" w14:textId="3F263920" w:rsidR="00D94B05" w:rsidRPr="00CB1272" w:rsidRDefault="00CB1272" w:rsidP="00D85308">
    <w:pPr>
      <w:pStyle w:val="Footer"/>
      <w:tabs>
        <w:tab w:val="right" w:pos="9639"/>
      </w:tabs>
      <w:rPr>
        <w:b/>
        <w:bCs/>
        <w:sz w:val="18"/>
      </w:rPr>
    </w:pPr>
    <w:r>
      <w:rPr>
        <w:bCs/>
        <w:sz w:val="18"/>
      </w:rPr>
      <w:tab/>
    </w:r>
    <w:r w:rsidRPr="00CB1272">
      <w:rPr>
        <w:b/>
        <w:bCs/>
        <w:sz w:val="18"/>
      </w:rPr>
      <w:fldChar w:fldCharType="begin"/>
    </w:r>
    <w:r w:rsidRPr="00CB1272">
      <w:rPr>
        <w:b/>
        <w:bCs/>
        <w:sz w:val="18"/>
      </w:rPr>
      <w:instrText xml:space="preserve"> PAGE  \* MERGEFORMAT </w:instrText>
    </w:r>
    <w:r w:rsidRPr="00CB1272">
      <w:rPr>
        <w:b/>
        <w:bCs/>
        <w:sz w:val="18"/>
      </w:rPr>
      <w:fldChar w:fldCharType="separate"/>
    </w:r>
    <w:r w:rsidRPr="00CB1272">
      <w:rPr>
        <w:b/>
        <w:bCs/>
        <w:noProof/>
        <w:sz w:val="18"/>
      </w:rPr>
      <w:t>3</w:t>
    </w:r>
    <w:r w:rsidRPr="00CB12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7C1D" w14:textId="34F23EF7" w:rsidR="00D94B05" w:rsidRDefault="00E52109" w:rsidP="00CA657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FFFFD2" wp14:editId="4C66539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3C384" w14:textId="5BC5CE5C" w:rsidR="00CA6570" w:rsidRPr="00CA6570" w:rsidRDefault="00CA6570" w:rsidP="00CA6570">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06578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35E3B54C" wp14:editId="3569BA13">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4A89" w14:textId="77777777" w:rsidR="00E7188F" w:rsidRPr="00C47B2E" w:rsidRDefault="00E7188F" w:rsidP="00C47B2E">
      <w:pPr>
        <w:tabs>
          <w:tab w:val="right" w:pos="2155"/>
        </w:tabs>
        <w:spacing w:after="80" w:line="240" w:lineRule="auto"/>
        <w:ind w:left="680"/>
      </w:pPr>
      <w:r>
        <w:rPr>
          <w:u w:val="single"/>
        </w:rPr>
        <w:tab/>
      </w:r>
    </w:p>
  </w:footnote>
  <w:footnote w:type="continuationSeparator" w:id="0">
    <w:p w14:paraId="5F99AEA5" w14:textId="77777777" w:rsidR="00E7188F" w:rsidRPr="00C47B2E" w:rsidRDefault="00E7188F" w:rsidP="005E716E">
      <w:pPr>
        <w:tabs>
          <w:tab w:val="right" w:pos="2155"/>
        </w:tabs>
        <w:spacing w:after="80" w:line="240" w:lineRule="auto"/>
        <w:ind w:left="680"/>
      </w:pPr>
      <w:r>
        <w:rPr>
          <w:u w:val="single"/>
        </w:rPr>
        <w:tab/>
      </w:r>
    </w:p>
  </w:footnote>
  <w:footnote w:type="continuationNotice" w:id="1">
    <w:p w14:paraId="65049555" w14:textId="77777777" w:rsidR="00E7188F" w:rsidRPr="00C47B2E" w:rsidRDefault="00E7188F" w:rsidP="00C47B2E">
      <w:pPr>
        <w:pStyle w:val="Footer"/>
      </w:pPr>
    </w:p>
  </w:footnote>
  <w:footnote w:id="2">
    <w:p w14:paraId="1655200E" w14:textId="77777777" w:rsidR="00672261" w:rsidRPr="00F910F7" w:rsidRDefault="00672261" w:rsidP="00672261">
      <w:pPr>
        <w:pStyle w:val="FootnoteText"/>
        <w:rPr>
          <w:lang w:val="fr-CH"/>
        </w:rPr>
      </w:pPr>
      <w:r>
        <w:rPr>
          <w:rStyle w:val="FootnoteReference"/>
        </w:rPr>
        <w:tab/>
      </w:r>
      <w:r w:rsidRPr="00F910F7">
        <w:rPr>
          <w:rStyle w:val="FootnoteReference"/>
          <w:sz w:val="20"/>
          <w:vertAlign w:val="baseline"/>
        </w:rPr>
        <w:t>*</w:t>
      </w:r>
      <w:r>
        <w:rPr>
          <w:rStyle w:val="FootnoteReference"/>
          <w:sz w:val="20"/>
          <w:vertAlign w:val="baseline"/>
        </w:rPr>
        <w:tab/>
      </w:r>
      <w:r w:rsidRPr="009D7240">
        <w:rPr>
          <w:sz w:val="20"/>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9CD6" w14:textId="2F23F543" w:rsidR="00CB1272" w:rsidRPr="00CB1272" w:rsidRDefault="005C4D90">
    <w:pPr>
      <w:pStyle w:val="Header"/>
    </w:pPr>
    <w:fldSimple w:instr=" TITLE  \* MERGEFORMAT ">
      <w:r w:rsidR="00CB1272">
        <w:t>ST/SG/AC.10/C.3/2024/34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A1DA" w14:textId="5386709E" w:rsidR="00D94B05" w:rsidRPr="00CB1272" w:rsidRDefault="005C4D90" w:rsidP="00CB1272">
    <w:pPr>
      <w:pStyle w:val="Header"/>
      <w:jc w:val="right"/>
    </w:pPr>
    <w:fldSimple w:instr=" TITLE  \* MERGEFORMAT ">
      <w:r w:rsidR="00CB1272">
        <w:t>ST/SG/AC.10/C.3/2024/34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14A3D"/>
    <w:multiLevelType w:val="hybridMultilevel"/>
    <w:tmpl w:val="0D9EE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414984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72"/>
    <w:rsid w:val="00031366"/>
    <w:rsid w:val="00044D45"/>
    <w:rsid w:val="00046E92"/>
    <w:rsid w:val="00063C90"/>
    <w:rsid w:val="00070000"/>
    <w:rsid w:val="000C37B3"/>
    <w:rsid w:val="000F14B7"/>
    <w:rsid w:val="00101B98"/>
    <w:rsid w:val="001225E1"/>
    <w:rsid w:val="001514D1"/>
    <w:rsid w:val="00151A23"/>
    <w:rsid w:val="00247E2C"/>
    <w:rsid w:val="002A32CB"/>
    <w:rsid w:val="002D5B2C"/>
    <w:rsid w:val="002D6C53"/>
    <w:rsid w:val="002F4748"/>
    <w:rsid w:val="002F5595"/>
    <w:rsid w:val="00334F6A"/>
    <w:rsid w:val="00342AC8"/>
    <w:rsid w:val="00343302"/>
    <w:rsid w:val="003979DE"/>
    <w:rsid w:val="003B1248"/>
    <w:rsid w:val="003B4550"/>
    <w:rsid w:val="003D2A18"/>
    <w:rsid w:val="00413386"/>
    <w:rsid w:val="00461253"/>
    <w:rsid w:val="004858F5"/>
    <w:rsid w:val="004A2814"/>
    <w:rsid w:val="004C0622"/>
    <w:rsid w:val="004D75D6"/>
    <w:rsid w:val="004F73D0"/>
    <w:rsid w:val="005042C2"/>
    <w:rsid w:val="005566A7"/>
    <w:rsid w:val="005C4D90"/>
    <w:rsid w:val="005E716E"/>
    <w:rsid w:val="006056C2"/>
    <w:rsid w:val="006476E1"/>
    <w:rsid w:val="006604DF"/>
    <w:rsid w:val="00671529"/>
    <w:rsid w:val="00672261"/>
    <w:rsid w:val="00685074"/>
    <w:rsid w:val="006F1EF5"/>
    <w:rsid w:val="0070489D"/>
    <w:rsid w:val="00704B99"/>
    <w:rsid w:val="007200A1"/>
    <w:rsid w:val="007268F9"/>
    <w:rsid w:val="00750282"/>
    <w:rsid w:val="00764440"/>
    <w:rsid w:val="0077101B"/>
    <w:rsid w:val="0078653A"/>
    <w:rsid w:val="007C52B0"/>
    <w:rsid w:val="007C6033"/>
    <w:rsid w:val="008147C8"/>
    <w:rsid w:val="0081753A"/>
    <w:rsid w:val="00857D23"/>
    <w:rsid w:val="00873552"/>
    <w:rsid w:val="00874B63"/>
    <w:rsid w:val="008B4354"/>
    <w:rsid w:val="00913088"/>
    <w:rsid w:val="009411B4"/>
    <w:rsid w:val="00946F1D"/>
    <w:rsid w:val="0099379E"/>
    <w:rsid w:val="009A0A7F"/>
    <w:rsid w:val="009A3145"/>
    <w:rsid w:val="009D0139"/>
    <w:rsid w:val="009D717D"/>
    <w:rsid w:val="009F5CDC"/>
    <w:rsid w:val="00A02D39"/>
    <w:rsid w:val="00A072D7"/>
    <w:rsid w:val="00A22A10"/>
    <w:rsid w:val="00A60F92"/>
    <w:rsid w:val="00A775CF"/>
    <w:rsid w:val="00AA3331"/>
    <w:rsid w:val="00AD1A9C"/>
    <w:rsid w:val="00AF5DE1"/>
    <w:rsid w:val="00B03EB4"/>
    <w:rsid w:val="00B06045"/>
    <w:rsid w:val="00B206DD"/>
    <w:rsid w:val="00B4704F"/>
    <w:rsid w:val="00B52EF4"/>
    <w:rsid w:val="00B777AD"/>
    <w:rsid w:val="00C03015"/>
    <w:rsid w:val="00C0358D"/>
    <w:rsid w:val="00C35A27"/>
    <w:rsid w:val="00C47B2E"/>
    <w:rsid w:val="00C83B10"/>
    <w:rsid w:val="00CA6570"/>
    <w:rsid w:val="00CB1272"/>
    <w:rsid w:val="00CC19F9"/>
    <w:rsid w:val="00CC2924"/>
    <w:rsid w:val="00D63CD2"/>
    <w:rsid w:val="00D85308"/>
    <w:rsid w:val="00D87DC2"/>
    <w:rsid w:val="00D93887"/>
    <w:rsid w:val="00D94B05"/>
    <w:rsid w:val="00DC65B3"/>
    <w:rsid w:val="00DC7379"/>
    <w:rsid w:val="00DE7A6F"/>
    <w:rsid w:val="00E02C2B"/>
    <w:rsid w:val="00E21C27"/>
    <w:rsid w:val="00E26BCF"/>
    <w:rsid w:val="00E346AD"/>
    <w:rsid w:val="00E52109"/>
    <w:rsid w:val="00E7188F"/>
    <w:rsid w:val="00E75317"/>
    <w:rsid w:val="00EC0CE6"/>
    <w:rsid w:val="00EC7C1D"/>
    <w:rsid w:val="00ED6C48"/>
    <w:rsid w:val="00EE3045"/>
    <w:rsid w:val="00F26186"/>
    <w:rsid w:val="00F65F5D"/>
    <w:rsid w:val="00F86A3A"/>
    <w:rsid w:val="00FA42DA"/>
    <w:rsid w:val="00FE2AC5"/>
    <w:rsid w:val="00FF397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B388"/>
  <w15:docId w15:val="{F732F101-E0FD-4BF1-84A2-DFE03C36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CC2924"/>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paragraph" w:styleId="Caption">
    <w:name w:val="caption"/>
    <w:rsid w:val="00874B63"/>
    <w:pPr>
      <w:pBdr>
        <w:top w:val="nil"/>
        <w:left w:val="nil"/>
        <w:bottom w:val="nil"/>
        <w:right w:val="nil"/>
        <w:between w:val="nil"/>
        <w:bar w:val="nil"/>
      </w:pBdr>
      <w:suppressAutoHyphens/>
      <w:spacing w:line="240" w:lineRule="auto"/>
      <w:outlineLvl w:val="0"/>
    </w:pPr>
    <w:rPr>
      <w:rFonts w:ascii="Calibri" w:eastAsia="Arial Unicode MS" w:hAnsi="Calibri" w:cs="Arial Unicode MS"/>
      <w:color w:val="000000"/>
      <w:sz w:val="36"/>
      <w:szCs w:val="36"/>
      <w:bdr w:val="nil"/>
      <w:lang w:val="de-DE" w:eastAsia="en-US"/>
      <w14:textOutline w14:w="12700" w14:cap="flat" w14:cmpd="sng" w14:algn="ctr">
        <w14:noFill/>
        <w14:prstDash w14:val="solid"/>
        <w14:miter w14:lim="400000"/>
      </w14:textOutline>
    </w:rPr>
  </w:style>
  <w:style w:type="paragraph" w:styleId="ListParagraph">
    <w:name w:val="List Paragraph"/>
    <w:qFormat/>
    <w:rsid w:val="00874B63"/>
    <w:pPr>
      <w:pBdr>
        <w:top w:val="nil"/>
        <w:left w:val="nil"/>
        <w:bottom w:val="nil"/>
        <w:right w:val="nil"/>
        <w:between w:val="nil"/>
        <w:bar w:val="nil"/>
      </w:pBdr>
      <w:spacing w:line="240" w:lineRule="auto"/>
      <w:ind w:left="720"/>
      <w:jc w:val="both"/>
    </w:pPr>
    <w:rPr>
      <w:rFonts w:eastAsia="Times New Roman"/>
      <w:color w:val="000000"/>
      <w:sz w:val="24"/>
      <w:szCs w:val="24"/>
      <w:u w:color="000000"/>
      <w:bdr w:val="nil"/>
      <w:lang w:val="en-US" w:eastAsia="en-US"/>
    </w:rPr>
  </w:style>
  <w:style w:type="character" w:customStyle="1" w:styleId="H1GChar">
    <w:name w:val="_ H_1_G Char"/>
    <w:link w:val="H1G"/>
    <w:locked/>
    <w:rsid w:val="00874B63"/>
    <w:rPr>
      <w:b/>
      <w:sz w:val="24"/>
    </w:rPr>
  </w:style>
  <w:style w:type="character" w:customStyle="1" w:styleId="normaltextrun">
    <w:name w:val="normaltextrun"/>
    <w:basedOn w:val="DefaultParagraphFont"/>
    <w:rsid w:val="00874B63"/>
  </w:style>
  <w:style w:type="character" w:customStyle="1" w:styleId="eop">
    <w:name w:val="eop"/>
    <w:basedOn w:val="DefaultParagraphFont"/>
    <w:rsid w:val="0087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23A2437-A906-46CF-A8A7-027C8C42A3F4}"/>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645</Words>
  <Characters>3518</Characters>
  <Application>Microsoft Office Word</Application>
  <DocSecurity>0</DocSecurity>
  <Lines>112</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ST/SG/AC.10/C.3/2024/34</dc:title>
  <dc:subject>2406578</dc:subject>
  <dc:creator>Alicia DORCA-GARCIA</dc:creator>
  <cp:keywords/>
  <dc:description/>
  <cp:lastModifiedBy>Pauline Anne Escalante</cp:lastModifiedBy>
  <cp:revision>2</cp:revision>
  <dcterms:created xsi:type="dcterms:W3CDTF">2024-04-11T11:35:00Z</dcterms:created>
  <dcterms:modified xsi:type="dcterms:W3CDTF">2024-04-11T11:35:00Z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