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0CF9E4C1" w14:textId="77777777" w:rsidTr="006476E1">
        <w:trPr>
          <w:trHeight w:val="851"/>
        </w:trPr>
        <w:tc>
          <w:tcPr>
            <w:tcW w:w="1259" w:type="dxa"/>
            <w:tcBorders>
              <w:top w:val="nil"/>
              <w:left w:val="nil"/>
              <w:bottom w:val="single" w:sz="4" w:space="0" w:color="auto"/>
              <w:right w:val="nil"/>
            </w:tcBorders>
          </w:tcPr>
          <w:p w14:paraId="32F0041A" w14:textId="77777777" w:rsidR="00E52109" w:rsidRPr="002A32CB" w:rsidRDefault="00E52109" w:rsidP="004858F5"/>
        </w:tc>
        <w:tc>
          <w:tcPr>
            <w:tcW w:w="2236" w:type="dxa"/>
            <w:tcBorders>
              <w:top w:val="nil"/>
              <w:left w:val="nil"/>
              <w:bottom w:val="single" w:sz="4" w:space="0" w:color="auto"/>
              <w:right w:val="nil"/>
            </w:tcBorders>
            <w:vAlign w:val="bottom"/>
          </w:tcPr>
          <w:p w14:paraId="3CDA2ECA"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1941D0F4" w14:textId="785C6F7A" w:rsidR="00E52109" w:rsidRDefault="0031643D" w:rsidP="0031643D">
            <w:pPr>
              <w:jc w:val="right"/>
            </w:pPr>
            <w:r w:rsidRPr="0031643D">
              <w:rPr>
                <w:sz w:val="40"/>
              </w:rPr>
              <w:t>ST</w:t>
            </w:r>
            <w:r>
              <w:t>/SG/AC.10/C.3/2024/46</w:t>
            </w:r>
          </w:p>
        </w:tc>
      </w:tr>
      <w:tr w:rsidR="00E52109" w14:paraId="5EDD5141" w14:textId="77777777" w:rsidTr="006476E1">
        <w:trPr>
          <w:trHeight w:val="2835"/>
        </w:trPr>
        <w:tc>
          <w:tcPr>
            <w:tcW w:w="1259" w:type="dxa"/>
            <w:tcBorders>
              <w:top w:val="single" w:sz="4" w:space="0" w:color="auto"/>
              <w:left w:val="nil"/>
              <w:bottom w:val="single" w:sz="12" w:space="0" w:color="auto"/>
              <w:right w:val="nil"/>
            </w:tcBorders>
          </w:tcPr>
          <w:p w14:paraId="69C977DC" w14:textId="77777777" w:rsidR="00E52109" w:rsidRDefault="00E52109" w:rsidP="006476E1">
            <w:pPr>
              <w:spacing w:before="120"/>
              <w:jc w:val="center"/>
            </w:pPr>
            <w:r>
              <w:rPr>
                <w:noProof/>
                <w:lang w:val="fr-CH" w:eastAsia="fr-CH"/>
              </w:rPr>
              <w:drawing>
                <wp:inline distT="0" distB="0" distL="0" distR="0" wp14:anchorId="20B29540" wp14:editId="7E146B46">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71081227"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4D76C1F2" w14:textId="77777777" w:rsidR="00D94B05" w:rsidRDefault="0031643D" w:rsidP="0031643D">
            <w:pPr>
              <w:spacing w:before="240" w:line="240" w:lineRule="exact"/>
            </w:pPr>
            <w:r>
              <w:t>Distr.: General</w:t>
            </w:r>
          </w:p>
          <w:p w14:paraId="1BCADD67" w14:textId="0328EB80" w:rsidR="0031643D" w:rsidRDefault="00861FF9" w:rsidP="0031643D">
            <w:pPr>
              <w:spacing w:line="240" w:lineRule="exact"/>
            </w:pPr>
            <w:r>
              <w:t>12</w:t>
            </w:r>
            <w:r w:rsidR="0031643D">
              <w:t xml:space="preserve"> April 2024</w:t>
            </w:r>
          </w:p>
          <w:p w14:paraId="1EACE1CB" w14:textId="77777777" w:rsidR="0031643D" w:rsidRDefault="0031643D" w:rsidP="0031643D">
            <w:pPr>
              <w:spacing w:line="240" w:lineRule="exact"/>
            </w:pPr>
          </w:p>
          <w:p w14:paraId="5DAD5D33" w14:textId="695EE98F" w:rsidR="0031643D" w:rsidRDefault="0031643D" w:rsidP="0031643D">
            <w:pPr>
              <w:spacing w:line="240" w:lineRule="exact"/>
            </w:pPr>
            <w:r>
              <w:t>Original: English</w:t>
            </w:r>
          </w:p>
        </w:tc>
      </w:tr>
    </w:tbl>
    <w:p w14:paraId="2BF65962" w14:textId="77777777" w:rsidR="008E41D3" w:rsidRDefault="008E41D3" w:rsidP="008E41D3">
      <w:pPr>
        <w:spacing w:before="120"/>
        <w:rPr>
          <w:b/>
          <w:sz w:val="24"/>
          <w:szCs w:val="24"/>
        </w:rPr>
      </w:pPr>
      <w:r>
        <w:rPr>
          <w:b/>
          <w:sz w:val="24"/>
          <w:szCs w:val="24"/>
        </w:rPr>
        <w:t>Committee of Experts on the Transport of Dangerous Goods</w:t>
      </w:r>
      <w:r>
        <w:rPr>
          <w:b/>
          <w:sz w:val="24"/>
          <w:szCs w:val="24"/>
        </w:rPr>
        <w:br/>
        <w:t>and on the Globally Harmonized System of Classification</w:t>
      </w:r>
      <w:r>
        <w:rPr>
          <w:b/>
          <w:sz w:val="24"/>
          <w:szCs w:val="24"/>
        </w:rPr>
        <w:br/>
        <w:t>and Labelling of Chemicals</w:t>
      </w:r>
    </w:p>
    <w:p w14:paraId="24CFD873" w14:textId="77777777" w:rsidR="008E41D3" w:rsidRDefault="008E41D3" w:rsidP="008E41D3">
      <w:pPr>
        <w:spacing w:before="120"/>
        <w:rPr>
          <w:rFonts w:ascii="Helv" w:hAnsi="Helv" w:cs="Helv"/>
          <w:b/>
          <w:color w:val="000000"/>
        </w:rPr>
      </w:pPr>
      <w:r>
        <w:rPr>
          <w:b/>
        </w:rPr>
        <w:t>Sub-Committee of Experts on the Transport of Dangerous Goods</w:t>
      </w:r>
    </w:p>
    <w:p w14:paraId="54AF7111" w14:textId="77777777" w:rsidR="008E41D3" w:rsidRDefault="008E41D3" w:rsidP="008E41D3">
      <w:pPr>
        <w:spacing w:before="120"/>
        <w:rPr>
          <w:b/>
        </w:rPr>
      </w:pPr>
      <w:r>
        <w:rPr>
          <w:b/>
        </w:rPr>
        <w:t>Sixty-fourth session</w:t>
      </w:r>
    </w:p>
    <w:p w14:paraId="69918957" w14:textId="6B891896" w:rsidR="008E41D3" w:rsidRDefault="008E41D3" w:rsidP="008E41D3">
      <w:r>
        <w:t>Geneva, 24 June</w:t>
      </w:r>
      <w:r w:rsidR="00122026">
        <w:t xml:space="preserve"> </w:t>
      </w:r>
      <w:r>
        <w:t>-</w:t>
      </w:r>
      <w:r w:rsidR="00122026">
        <w:t xml:space="preserve"> </w:t>
      </w:r>
      <w:r>
        <w:t>3 July 2024</w:t>
      </w:r>
    </w:p>
    <w:p w14:paraId="0F4ECB97" w14:textId="77777777" w:rsidR="008E41D3" w:rsidRDefault="008E41D3" w:rsidP="008E41D3">
      <w:r>
        <w:t>Item 3 of the provisional agenda</w:t>
      </w:r>
    </w:p>
    <w:p w14:paraId="5CE5126E" w14:textId="77777777" w:rsidR="008E41D3" w:rsidRDefault="008E41D3" w:rsidP="008E41D3">
      <w:pPr>
        <w:rPr>
          <w:b/>
          <w:bCs/>
        </w:rPr>
      </w:pPr>
      <w:r>
        <w:rPr>
          <w:b/>
          <w:bCs/>
        </w:rPr>
        <w:t xml:space="preserve">Listing, </w:t>
      </w:r>
      <w:proofErr w:type="gramStart"/>
      <w:r>
        <w:rPr>
          <w:b/>
          <w:bCs/>
        </w:rPr>
        <w:t>classification</w:t>
      </w:r>
      <w:proofErr w:type="gramEnd"/>
      <w:r>
        <w:rPr>
          <w:b/>
          <w:bCs/>
        </w:rPr>
        <w:t xml:space="preserve"> and packing</w:t>
      </w:r>
    </w:p>
    <w:p w14:paraId="5B00F71A" w14:textId="1E4ABC69" w:rsidR="008E41D3" w:rsidRDefault="008E41D3" w:rsidP="008E41D3">
      <w:pPr>
        <w:pStyle w:val="HChG"/>
        <w:rPr>
          <w:lang w:eastAsia="ja-JP"/>
        </w:rPr>
      </w:pPr>
      <w:r>
        <w:tab/>
      </w:r>
      <w:r>
        <w:tab/>
      </w:r>
      <w:r w:rsidR="00415CD4" w:rsidRPr="002856A0">
        <w:rPr>
          <w:lang w:val="fr-BE"/>
        </w:rPr>
        <w:t>Classification of UN 2372 1,2-DI-(DIMETHYLAMINO) ETHANE</w:t>
      </w:r>
    </w:p>
    <w:p w14:paraId="4F1484EC" w14:textId="383AB2B0" w:rsidR="008E41D3" w:rsidRDefault="008E41D3" w:rsidP="008E41D3">
      <w:pPr>
        <w:pStyle w:val="H1G"/>
        <w:rPr>
          <w:lang w:val="en-US"/>
        </w:rPr>
      </w:pPr>
      <w:bookmarkStart w:id="0" w:name="_Hlk531350542"/>
      <w:r w:rsidRPr="00CA4DAB">
        <w:rPr>
          <w:szCs w:val="24"/>
          <w:lang w:val="en-US"/>
        </w:rPr>
        <w:tab/>
      </w:r>
      <w:r w:rsidRPr="00CA4DAB">
        <w:rPr>
          <w:szCs w:val="24"/>
          <w:lang w:val="en-US"/>
        </w:rPr>
        <w:tab/>
        <w:t>Transmitted by</w:t>
      </w:r>
      <w:bookmarkEnd w:id="0"/>
      <w:r w:rsidRPr="00CA4DAB">
        <w:rPr>
          <w:szCs w:val="24"/>
          <w:lang w:val="en-US"/>
        </w:rPr>
        <w:t xml:space="preserve"> </w:t>
      </w:r>
      <w:r w:rsidR="00C87952" w:rsidRPr="00CA4DAB">
        <w:rPr>
          <w:szCs w:val="24"/>
          <w:lang w:val="en-US"/>
        </w:rPr>
        <w:t>the expert from Belgium</w:t>
      </w:r>
      <w:r w:rsidR="00861FF9" w:rsidRPr="00861FF9">
        <w:rPr>
          <w:rStyle w:val="FootnoteReference"/>
          <w:sz w:val="20"/>
          <w:szCs w:val="24"/>
          <w:vertAlign w:val="baseline"/>
          <w:lang w:val="en-US"/>
        </w:rPr>
        <w:footnoteReference w:customMarkFollows="1" w:id="2"/>
        <w:t>*</w:t>
      </w:r>
    </w:p>
    <w:p w14:paraId="613C41D3" w14:textId="77777777" w:rsidR="008E41D3" w:rsidRDefault="008E41D3" w:rsidP="008E41D3">
      <w:pPr>
        <w:pStyle w:val="HChG"/>
        <w:rPr>
          <w:lang w:val="en-US"/>
        </w:rPr>
      </w:pPr>
      <w:r>
        <w:tab/>
        <w:t>I.</w:t>
      </w:r>
      <w:r>
        <w:tab/>
        <w:t>Introduction</w:t>
      </w:r>
    </w:p>
    <w:p w14:paraId="174B1157" w14:textId="48E3553D" w:rsidR="00CB5A8D" w:rsidRDefault="00CB5A8D" w:rsidP="00CB5A8D">
      <w:pPr>
        <w:pStyle w:val="SingleTxtG"/>
      </w:pPr>
      <w:r>
        <w:t>1.</w:t>
      </w:r>
      <w:r>
        <w:tab/>
        <w:t xml:space="preserve">During the </w:t>
      </w:r>
      <w:r w:rsidR="004E0158">
        <w:t>sixt</w:t>
      </w:r>
      <w:r w:rsidR="001229CD">
        <w:t>y</w:t>
      </w:r>
      <w:r w:rsidR="004E0158">
        <w:t xml:space="preserve">-second </w:t>
      </w:r>
      <w:r>
        <w:t xml:space="preserve">session of the United Nations Sub-Committee of Experts on the Transport of Dangerous Goods, Belgium brought forward </w:t>
      </w:r>
      <w:r w:rsidR="009C0C58">
        <w:t xml:space="preserve">informal </w:t>
      </w:r>
      <w:r>
        <w:t xml:space="preserve">document INF.18. </w:t>
      </w:r>
      <w:r w:rsidR="00147381">
        <w:t>T</w:t>
      </w:r>
      <w:r>
        <w:t>his document explained that there were scientific data indicating an additional corrosivity hazard for UN</w:t>
      </w:r>
      <w:r w:rsidR="0066201F">
        <w:t xml:space="preserve"> </w:t>
      </w:r>
      <w:r>
        <w:t>2372 1,2-DI-(DIMETHYLAMINO) ETHANE, which is currently only assigned a flammability hazard.</w:t>
      </w:r>
    </w:p>
    <w:p w14:paraId="2D5072A2" w14:textId="30225326" w:rsidR="00CB5A8D" w:rsidRDefault="00CB5A8D" w:rsidP="00CB5A8D">
      <w:pPr>
        <w:pStyle w:val="SingleTxtG"/>
      </w:pPr>
      <w:r>
        <w:t>2.</w:t>
      </w:r>
      <w:r>
        <w:tab/>
        <w:t xml:space="preserve">After the discussion </w:t>
      </w:r>
      <w:r w:rsidR="00794BDF">
        <w:t>at</w:t>
      </w:r>
      <w:r>
        <w:t xml:space="preserve"> the </w:t>
      </w:r>
      <w:r w:rsidR="00794BDF">
        <w:t xml:space="preserve">sixty-second </w:t>
      </w:r>
      <w:r>
        <w:t>session, it was noted in the report that there was support for the proposal to add the subsidiary hazard of corrosivity to UN</w:t>
      </w:r>
      <w:r w:rsidR="0066201F">
        <w:t xml:space="preserve"> </w:t>
      </w:r>
      <w:r>
        <w:t>2372. In addition</w:t>
      </w:r>
      <w:r w:rsidR="0066201F">
        <w:t>,</w:t>
      </w:r>
      <w:r>
        <w:t xml:space="preserve"> Belgium had also indicated that a transitional period might be necessary</w:t>
      </w:r>
      <w:r w:rsidR="00C5348F">
        <w:t>,</w:t>
      </w:r>
      <w:r>
        <w:t xml:space="preserve"> since adding the corrosivity hazard would lead to a change of the assigned portable tank code from T4 to T7</w:t>
      </w:r>
      <w:r w:rsidR="00B139E3">
        <w:t xml:space="preserve"> and </w:t>
      </w:r>
      <w:r>
        <w:t>some enterprises would not be able to continue the use of the portable tanks as currently foreseen. The Sub-Committee agreed that transitional measures would need to be added.</w:t>
      </w:r>
    </w:p>
    <w:p w14:paraId="297A3A76" w14:textId="21964BB8" w:rsidR="00CB5A8D" w:rsidRDefault="00CB5A8D" w:rsidP="00CB5A8D">
      <w:pPr>
        <w:pStyle w:val="SingleTxtG"/>
      </w:pPr>
      <w:r>
        <w:t>3.</w:t>
      </w:r>
      <w:r>
        <w:tab/>
        <w:t xml:space="preserve">Several delegations </w:t>
      </w:r>
      <w:r w:rsidR="00B139E3">
        <w:t xml:space="preserve">have </w:t>
      </w:r>
      <w:r>
        <w:t>also sen</w:t>
      </w:r>
      <w:r w:rsidR="00B139E3">
        <w:t>t</w:t>
      </w:r>
      <w:r>
        <w:t xml:space="preserve"> comments by correspondence. Most notably, one delegate provided an overview table and comparison of the tests performed and mentioned in the ECHA</w:t>
      </w:r>
      <w:r w:rsidR="00FA03B1">
        <w:rPr>
          <w:rStyle w:val="FootnoteReference"/>
        </w:rPr>
        <w:footnoteReference w:id="3"/>
      </w:r>
      <w:r w:rsidR="008B4ECF">
        <w:t xml:space="preserve"> </w:t>
      </w:r>
      <w:r>
        <w:t>file</w:t>
      </w:r>
      <w:r w:rsidR="0081289A">
        <w:rPr>
          <w:rStyle w:val="FootnoteReference"/>
        </w:rPr>
        <w:footnoteReference w:id="4"/>
      </w:r>
      <w:r>
        <w:t>.</w:t>
      </w:r>
      <w:r w:rsidR="00050267">
        <w:t xml:space="preserve"> This</w:t>
      </w:r>
      <w:r w:rsidR="00233D36">
        <w:t xml:space="preserve"> table is included in </w:t>
      </w:r>
      <w:r w:rsidR="00D9051E">
        <w:t>an annex to th</w:t>
      </w:r>
      <w:r w:rsidR="00E878F9">
        <w:t>is</w:t>
      </w:r>
      <w:r w:rsidR="00D9051E">
        <w:t xml:space="preserve"> </w:t>
      </w:r>
      <w:r w:rsidR="006331A3">
        <w:t>document</w:t>
      </w:r>
      <w:r w:rsidR="00D9051E">
        <w:t>.</w:t>
      </w:r>
      <w:r>
        <w:t xml:space="preserve"> From comparison </w:t>
      </w:r>
      <w:proofErr w:type="gramStart"/>
      <w:r>
        <w:t>it is clear that the</w:t>
      </w:r>
      <w:proofErr w:type="gramEnd"/>
      <w:r>
        <w:t xml:space="preserve"> test performed in 2000 and referred to in </w:t>
      </w:r>
      <w:r w:rsidR="00D9051E">
        <w:t xml:space="preserve">informal document </w:t>
      </w:r>
      <w:r>
        <w:t xml:space="preserve">INF.18 </w:t>
      </w:r>
      <w:r w:rsidR="0026169D">
        <w:t xml:space="preserve">of the </w:t>
      </w:r>
      <w:r w:rsidR="005840C2">
        <w:t>sixty-second</w:t>
      </w:r>
      <w:r w:rsidR="0026169D">
        <w:t xml:space="preserve"> session </w:t>
      </w:r>
      <w:r>
        <w:t>complies with the test criteria in OECD</w:t>
      </w:r>
      <w:r w:rsidR="002E39D8">
        <w:rPr>
          <w:rStyle w:val="FootnoteReference"/>
        </w:rPr>
        <w:footnoteReference w:id="5"/>
      </w:r>
      <w:r>
        <w:t xml:space="preserve"> Guideline 404, as required by 2.8.3.2 of the </w:t>
      </w:r>
      <w:r w:rsidRPr="0026169D">
        <w:rPr>
          <w:i/>
          <w:iCs/>
        </w:rPr>
        <w:t>Model Regulations</w:t>
      </w:r>
      <w:r w:rsidR="00071E21">
        <w:t>, p</w:t>
      </w:r>
      <w:r>
        <w:t>roviding yet another piece of evidence that according to the currently available scientific data, UN 2372 possesses corrosive properties.</w:t>
      </w:r>
    </w:p>
    <w:p w14:paraId="10C308BB" w14:textId="6FC149E3" w:rsidR="00CB5A8D" w:rsidRDefault="00CB5A8D" w:rsidP="00CB5A8D">
      <w:pPr>
        <w:pStyle w:val="SingleTxtG"/>
      </w:pPr>
      <w:r>
        <w:lastRenderedPageBreak/>
        <w:t>4.</w:t>
      </w:r>
      <w:r>
        <w:tab/>
        <w:t xml:space="preserve">Another delegate commented that experimental data exist that indicate this substance also </w:t>
      </w:r>
      <w:r w:rsidR="009C1BB9">
        <w:t>harbours</w:t>
      </w:r>
      <w:r>
        <w:t xml:space="preserve"> toxic properties. More specifically, reference was made to the </w:t>
      </w:r>
      <w:r w:rsidR="007E52F8">
        <w:t>NCBI</w:t>
      </w:r>
      <w:r w:rsidR="002E39D8">
        <w:rPr>
          <w:rStyle w:val="FootnoteReference"/>
        </w:rPr>
        <w:footnoteReference w:id="6"/>
      </w:r>
      <w:r w:rsidR="002E39D8">
        <w:t xml:space="preserve"> </w:t>
      </w:r>
      <w:r>
        <w:t>database</w:t>
      </w:r>
      <w:r w:rsidR="00783058">
        <w:rPr>
          <w:rStyle w:val="FootnoteReference"/>
        </w:rPr>
        <w:footnoteReference w:id="7"/>
      </w:r>
      <w:r w:rsidR="00783058">
        <w:t xml:space="preserve"> </w:t>
      </w:r>
      <w:r>
        <w:t>where an oral LD</w:t>
      </w:r>
      <w:r w:rsidRPr="009C0C58">
        <w:rPr>
          <w:vertAlign w:val="subscript"/>
        </w:rPr>
        <w:t>50</w:t>
      </w:r>
      <w:r w:rsidR="009C0C58">
        <w:t xml:space="preserve"> </w:t>
      </w:r>
      <w:r>
        <w:t xml:space="preserve">value of 268 mg/kg was mentioned </w:t>
      </w:r>
      <w:r w:rsidR="001C25C8">
        <w:t>and a</w:t>
      </w:r>
      <w:r>
        <w:t xml:space="preserve"> LC50</w:t>
      </w:r>
      <w:r w:rsidR="00C90D57">
        <w:t xml:space="preserve"> </w:t>
      </w:r>
      <w:r>
        <w:t>value for inhalation toxicity of 1318 ppm/4h.</w:t>
      </w:r>
    </w:p>
    <w:p w14:paraId="24A8D0D3" w14:textId="4C9EC8D4" w:rsidR="00CB5A8D" w:rsidRDefault="00CB5A8D" w:rsidP="00CB5A8D">
      <w:pPr>
        <w:pStyle w:val="SingleTxtG"/>
      </w:pPr>
      <w:r>
        <w:t>5.</w:t>
      </w:r>
      <w:r>
        <w:tab/>
      </w:r>
      <w:r w:rsidR="00DE0DC5">
        <w:t>On</w:t>
      </w:r>
      <w:r>
        <w:t xml:space="preserve"> oral toxicity, after further consultation with our classification experts, it seems that the referenced values are not generally accepted. For example, the ECHA</w:t>
      </w:r>
      <w:r w:rsidR="002E39D8">
        <w:t xml:space="preserve"> </w:t>
      </w:r>
      <w:r>
        <w:t xml:space="preserve">database contains data from more recent experiments (2011) performed according to OECD </w:t>
      </w:r>
      <w:r w:rsidR="002E39D8">
        <w:t>G</w:t>
      </w:r>
      <w:r>
        <w:t>uideline 425 that result in an LD</w:t>
      </w:r>
      <w:r w:rsidRPr="009C0C58">
        <w:rPr>
          <w:vertAlign w:val="subscript"/>
        </w:rPr>
        <w:t>50</w:t>
      </w:r>
      <w:r w:rsidR="009C0C58">
        <w:t xml:space="preserve"> </w:t>
      </w:r>
      <w:r>
        <w:t>value of 550 mg/kg</w:t>
      </w:r>
      <w:r w:rsidR="003052D2">
        <w:t>,</w:t>
      </w:r>
      <w:r>
        <w:t xml:space="preserve"> </w:t>
      </w:r>
      <w:r w:rsidR="003052D2">
        <w:t>h</w:t>
      </w:r>
      <w:r>
        <w:t xml:space="preserve">ence not classifying as orally toxic according to the criteria in 2.6.2.2.4.1 of the </w:t>
      </w:r>
      <w:r w:rsidRPr="002E39D8">
        <w:rPr>
          <w:i/>
          <w:iCs/>
        </w:rPr>
        <w:t>Model Regulations</w:t>
      </w:r>
      <w:r>
        <w:t>.</w:t>
      </w:r>
    </w:p>
    <w:p w14:paraId="2ABA6369" w14:textId="79376EF7" w:rsidR="00CB5A8D" w:rsidRDefault="00CB5A8D" w:rsidP="00CB5A8D">
      <w:pPr>
        <w:pStyle w:val="SingleTxtG"/>
      </w:pPr>
      <w:r>
        <w:t>6.</w:t>
      </w:r>
      <w:r>
        <w:tab/>
      </w:r>
      <w:r w:rsidR="00BE7E3F">
        <w:t>Concerning</w:t>
      </w:r>
      <w:r>
        <w:t xml:space="preserve"> inhalation toxicity, the ECHA</w:t>
      </w:r>
      <w:r w:rsidR="002E39D8">
        <w:t xml:space="preserve"> </w:t>
      </w:r>
      <w:r>
        <w:t>file also contains results from experiments performed at a concentration of 4649 ppm where none of the tested animals died during the observation period, indicating that UN</w:t>
      </w:r>
      <w:r w:rsidR="003A3940">
        <w:t xml:space="preserve"> </w:t>
      </w:r>
      <w:r>
        <w:t>2372 is not toxic for inhalation according to the criteria of 2.6.2.2.4.3.</w:t>
      </w:r>
    </w:p>
    <w:p w14:paraId="326FE747" w14:textId="341045B9" w:rsidR="00CB5A8D" w:rsidRDefault="00CB5A8D" w:rsidP="00CB5A8D">
      <w:pPr>
        <w:pStyle w:val="SingleTxtG"/>
      </w:pPr>
      <w:r>
        <w:t>7.</w:t>
      </w:r>
      <w:r>
        <w:tab/>
        <w:t xml:space="preserve">Additionally, to classify a substance for toxicity for inhalation of </w:t>
      </w:r>
      <w:r w:rsidR="003A3940">
        <w:t>vapours</w:t>
      </w:r>
      <w:r>
        <w:t xml:space="preserve"> according to 2.6.2.2.4.3, also the saturated vapor concentration (or volatility) needs to be </w:t>
      </w:r>
      <w:proofErr w:type="gramStart"/>
      <w:r>
        <w:t>taken into account</w:t>
      </w:r>
      <w:proofErr w:type="gramEnd"/>
      <w:r>
        <w:t>. Nevertheless, none of the consulted databases contains any data on the volatility of UN</w:t>
      </w:r>
      <w:r w:rsidR="009C1BB9">
        <w:t xml:space="preserve"> </w:t>
      </w:r>
      <w:r>
        <w:t>2372. As such, with the available data, it is not possible to determine whether UN</w:t>
      </w:r>
      <w:r w:rsidR="009C1BB9">
        <w:t xml:space="preserve"> </w:t>
      </w:r>
      <w:r>
        <w:t>2372 classifies as a toxic substance based on the inhalation toxicity of its vapor.</w:t>
      </w:r>
    </w:p>
    <w:p w14:paraId="7F01E7C3" w14:textId="3A82D852" w:rsidR="00CB5A8D" w:rsidRDefault="00CB5A8D" w:rsidP="00CB5A8D">
      <w:pPr>
        <w:pStyle w:val="SingleTxtG"/>
      </w:pPr>
      <w:r>
        <w:t>8.</w:t>
      </w:r>
      <w:r>
        <w:tab/>
        <w:t xml:space="preserve">Furthermore, assigning toxicity as an additional subsidiary hazard would not lead to an additional change in transport conditions besides the change from T4 to T7 for the portable tank instruction as proposed in </w:t>
      </w:r>
      <w:r w:rsidR="00B048B8">
        <w:t xml:space="preserve">informal document </w:t>
      </w:r>
      <w:r>
        <w:t>INF.18</w:t>
      </w:r>
      <w:r w:rsidR="00FA7872">
        <w:t xml:space="preserve"> of the sixty-second session</w:t>
      </w:r>
      <w:r>
        <w:t>.</w:t>
      </w:r>
    </w:p>
    <w:p w14:paraId="36EA4B7C" w14:textId="7934B0BB" w:rsidR="00CB5A8D" w:rsidRDefault="00CB5A8D" w:rsidP="00CB5A8D">
      <w:pPr>
        <w:pStyle w:val="SingleTxtG"/>
      </w:pPr>
      <w:r>
        <w:t>9.</w:t>
      </w:r>
      <w:r>
        <w:tab/>
        <w:t xml:space="preserve">As such, in this document, the same amendments are proposed as in </w:t>
      </w:r>
      <w:r w:rsidR="005D4A04">
        <w:t xml:space="preserve">informal </w:t>
      </w:r>
      <w:r>
        <w:t>document INF.18</w:t>
      </w:r>
      <w:r w:rsidR="005D4A04" w:rsidRPr="005D4A04">
        <w:t xml:space="preserve"> </w:t>
      </w:r>
      <w:r w:rsidR="005D4A04">
        <w:t xml:space="preserve">of the </w:t>
      </w:r>
      <w:r w:rsidR="00FA6255">
        <w:t>sixty-second</w:t>
      </w:r>
      <w:r w:rsidR="005D4A04">
        <w:t xml:space="preserve"> session</w:t>
      </w:r>
      <w:r>
        <w:t>:</w:t>
      </w:r>
    </w:p>
    <w:p w14:paraId="555EAC29" w14:textId="76F44CBB" w:rsidR="00CB5A8D" w:rsidRDefault="00B02414" w:rsidP="00CB5A8D">
      <w:pPr>
        <w:pStyle w:val="SingleTxtG"/>
      </w:pPr>
      <w:r>
        <w:tab/>
      </w:r>
      <w:r w:rsidR="009C1BB9">
        <w:t>(a)</w:t>
      </w:r>
      <w:r w:rsidR="00CB5A8D">
        <w:tab/>
        <w:t xml:space="preserve">Assigning corrosivity as a secondary hazard in column 4 of the Dangerous Goods </w:t>
      </w:r>
      <w:proofErr w:type="gramStart"/>
      <w:r w:rsidR="00CB5A8D">
        <w:t>List</w:t>
      </w:r>
      <w:r w:rsidR="003E643A">
        <w:t>;</w:t>
      </w:r>
      <w:proofErr w:type="gramEnd"/>
    </w:p>
    <w:p w14:paraId="2BFF921D" w14:textId="153092B4" w:rsidR="00CB5A8D" w:rsidRDefault="00B02414" w:rsidP="00CB5A8D">
      <w:pPr>
        <w:pStyle w:val="SingleTxtG"/>
      </w:pPr>
      <w:r>
        <w:tab/>
      </w:r>
      <w:r w:rsidR="009C1BB9">
        <w:t>(b)</w:t>
      </w:r>
      <w:r w:rsidR="00CB5A8D">
        <w:tab/>
        <w:t>Changing the assigned T-code for portable tanks from T4 to T7.</w:t>
      </w:r>
    </w:p>
    <w:p w14:paraId="70470265" w14:textId="29A52868" w:rsidR="00AF5DE1" w:rsidRDefault="00CB5A8D" w:rsidP="00CB5A8D">
      <w:pPr>
        <w:pStyle w:val="SingleTxtG"/>
      </w:pPr>
      <w:r>
        <w:t>10.</w:t>
      </w:r>
      <w:r>
        <w:tab/>
      </w:r>
      <w:proofErr w:type="gramStart"/>
      <w:r>
        <w:t>Taking into account</w:t>
      </w:r>
      <w:proofErr w:type="gramEnd"/>
      <w:r>
        <w:t xml:space="preserve"> that Belgium is not aware of any incidents that would necessitate a fast shift to more stringent transport conditions, it seems reasonable to foresee a transitional period.</w:t>
      </w:r>
    </w:p>
    <w:p w14:paraId="59DBC612" w14:textId="6276131F" w:rsidR="00CF6B31" w:rsidRDefault="00CF6B31" w:rsidP="00CF6B31">
      <w:pPr>
        <w:pStyle w:val="HChG"/>
      </w:pPr>
      <w:r>
        <w:tab/>
        <w:t>II.</w:t>
      </w:r>
      <w:r>
        <w:tab/>
        <w:t>Proposals</w:t>
      </w:r>
    </w:p>
    <w:p w14:paraId="3506D6D2" w14:textId="64A0854D" w:rsidR="00CF6B31" w:rsidRDefault="00CF6B31" w:rsidP="00CF6B31">
      <w:pPr>
        <w:pStyle w:val="H1G"/>
      </w:pPr>
      <w:r>
        <w:tab/>
        <w:t>A.</w:t>
      </w:r>
      <w:r>
        <w:tab/>
        <w:t>Proposal 1</w:t>
      </w:r>
    </w:p>
    <w:p w14:paraId="51ED75FB" w14:textId="2EE0F281" w:rsidR="00CF6B31" w:rsidRDefault="00424692" w:rsidP="00CF6B31">
      <w:pPr>
        <w:pStyle w:val="SingleTxtG"/>
      </w:pPr>
      <w:r>
        <w:t>11.</w:t>
      </w:r>
      <w:r>
        <w:tab/>
      </w:r>
      <w:r w:rsidRPr="00424692">
        <w:t>Amend the entry for UN</w:t>
      </w:r>
      <w:r w:rsidR="005E794F">
        <w:t xml:space="preserve"> </w:t>
      </w:r>
      <w:r w:rsidRPr="00424692">
        <w:t xml:space="preserve">2372 in the Dangerous Goods list as follows (deleted text </w:t>
      </w:r>
      <w:r w:rsidR="00B37BCB">
        <w:t>i</w:t>
      </w:r>
      <w:r w:rsidR="007E515E">
        <w:t>s</w:t>
      </w:r>
      <w:r w:rsidR="00B37BCB">
        <w:t xml:space="preserve"> </w:t>
      </w:r>
      <w:r w:rsidRPr="007E515E">
        <w:t>stricken through</w:t>
      </w:r>
      <w:r w:rsidRPr="00424692">
        <w:t xml:space="preserve">, new text </w:t>
      </w:r>
      <w:r w:rsidR="007E515E">
        <w:t xml:space="preserve">is </w:t>
      </w:r>
      <w:r w:rsidR="008B6DC5">
        <w:t xml:space="preserve">in </w:t>
      </w:r>
      <w:r w:rsidR="008B6DC5" w:rsidRPr="008B6DC5">
        <w:rPr>
          <w:b/>
          <w:bCs/>
          <w:u w:val="single"/>
        </w:rPr>
        <w:t xml:space="preserve">bold </w:t>
      </w:r>
      <w:r w:rsidRPr="008B6DC5">
        <w:rPr>
          <w:b/>
          <w:bCs/>
          <w:u w:val="single"/>
        </w:rPr>
        <w:t>underlined</w:t>
      </w:r>
      <w:r w:rsidRPr="00424692">
        <w:t>)</w:t>
      </w:r>
      <w:r>
        <w:t>:</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11"/>
        <w:gridCol w:w="3403"/>
        <w:gridCol w:w="566"/>
        <w:gridCol w:w="566"/>
        <w:gridCol w:w="568"/>
        <w:gridCol w:w="566"/>
        <w:gridCol w:w="566"/>
        <w:gridCol w:w="568"/>
        <w:gridCol w:w="711"/>
        <w:gridCol w:w="566"/>
        <w:gridCol w:w="426"/>
        <w:gridCol w:w="412"/>
      </w:tblGrid>
      <w:tr w:rsidR="00005BCF" w:rsidRPr="00EA521E" w14:paraId="0BC676FE" w14:textId="77777777" w:rsidTr="00B14A19">
        <w:trPr>
          <w:trHeight w:val="360"/>
        </w:trPr>
        <w:tc>
          <w:tcPr>
            <w:tcW w:w="369" w:type="pct"/>
            <w:shd w:val="clear" w:color="auto" w:fill="auto"/>
            <w:vAlign w:val="center"/>
          </w:tcPr>
          <w:p w14:paraId="1F2F1260" w14:textId="77777777" w:rsidR="00005BCF" w:rsidRPr="00EA521E" w:rsidRDefault="00005BCF" w:rsidP="00B14A19">
            <w:pPr>
              <w:pStyle w:val="SingleTxtG"/>
              <w:tabs>
                <w:tab w:val="left" w:pos="1269"/>
              </w:tabs>
              <w:ind w:left="0" w:right="0"/>
              <w:jc w:val="center"/>
              <w:rPr>
                <w:rFonts w:asciiTheme="majorBidi" w:hAnsiTheme="majorBidi" w:cstheme="majorBidi"/>
                <w:sz w:val="16"/>
                <w:szCs w:val="16"/>
                <w:lang w:eastAsia="ja-JP"/>
              </w:rPr>
            </w:pPr>
            <w:r w:rsidRPr="00EA521E">
              <w:rPr>
                <w:rFonts w:eastAsia="Times New Roman"/>
                <w:b/>
                <w:bCs/>
                <w:sz w:val="16"/>
                <w:szCs w:val="16"/>
              </w:rPr>
              <w:t>(1)</w:t>
            </w:r>
          </w:p>
        </w:tc>
        <w:tc>
          <w:tcPr>
            <w:tcW w:w="1767" w:type="pct"/>
            <w:shd w:val="clear" w:color="auto" w:fill="auto"/>
            <w:vAlign w:val="center"/>
          </w:tcPr>
          <w:p w14:paraId="6BE0BAB9" w14:textId="77777777" w:rsidR="00005BCF" w:rsidRPr="00EA521E" w:rsidRDefault="00005BCF" w:rsidP="00B14A19">
            <w:pPr>
              <w:pStyle w:val="SingleTxtG"/>
              <w:ind w:left="0" w:right="7"/>
              <w:jc w:val="center"/>
              <w:rPr>
                <w:rFonts w:asciiTheme="majorBidi" w:hAnsiTheme="majorBidi" w:cstheme="majorBidi"/>
                <w:sz w:val="16"/>
                <w:szCs w:val="16"/>
              </w:rPr>
            </w:pPr>
            <w:r w:rsidRPr="00EA521E">
              <w:rPr>
                <w:rFonts w:eastAsia="Times New Roman"/>
                <w:b/>
                <w:bCs/>
                <w:sz w:val="16"/>
                <w:szCs w:val="16"/>
              </w:rPr>
              <w:t>(2)</w:t>
            </w:r>
          </w:p>
        </w:tc>
        <w:tc>
          <w:tcPr>
            <w:tcW w:w="294" w:type="pct"/>
            <w:vAlign w:val="center"/>
          </w:tcPr>
          <w:p w14:paraId="276840D9" w14:textId="77777777" w:rsidR="00005BCF" w:rsidRPr="00EA521E" w:rsidRDefault="00005BCF" w:rsidP="00B14A19">
            <w:pPr>
              <w:pStyle w:val="SingleTxtG"/>
              <w:ind w:left="0" w:right="7"/>
              <w:jc w:val="center"/>
              <w:rPr>
                <w:rFonts w:asciiTheme="majorBidi" w:hAnsiTheme="majorBidi" w:cstheme="majorBidi"/>
                <w:sz w:val="16"/>
                <w:szCs w:val="16"/>
              </w:rPr>
            </w:pPr>
            <w:r w:rsidRPr="00EA521E">
              <w:rPr>
                <w:rFonts w:eastAsia="Times New Roman"/>
                <w:b/>
                <w:bCs/>
                <w:sz w:val="16"/>
                <w:szCs w:val="16"/>
              </w:rPr>
              <w:t>(3)</w:t>
            </w:r>
          </w:p>
        </w:tc>
        <w:tc>
          <w:tcPr>
            <w:tcW w:w="294" w:type="pct"/>
            <w:shd w:val="clear" w:color="auto" w:fill="auto"/>
            <w:vAlign w:val="center"/>
          </w:tcPr>
          <w:p w14:paraId="658C7F33" w14:textId="77777777" w:rsidR="00005BCF" w:rsidRPr="00EA521E" w:rsidRDefault="00005BCF" w:rsidP="00B14A19">
            <w:pPr>
              <w:pStyle w:val="SingleTxtG"/>
              <w:ind w:left="0" w:right="7"/>
              <w:jc w:val="center"/>
              <w:rPr>
                <w:rFonts w:asciiTheme="majorBidi" w:hAnsiTheme="majorBidi" w:cstheme="majorBidi"/>
                <w:sz w:val="16"/>
                <w:szCs w:val="16"/>
              </w:rPr>
            </w:pPr>
            <w:r w:rsidRPr="00EA521E">
              <w:rPr>
                <w:rFonts w:eastAsia="Times New Roman"/>
                <w:b/>
                <w:bCs/>
                <w:sz w:val="16"/>
                <w:szCs w:val="16"/>
              </w:rPr>
              <w:t>(4)</w:t>
            </w:r>
          </w:p>
        </w:tc>
        <w:tc>
          <w:tcPr>
            <w:tcW w:w="295" w:type="pct"/>
            <w:shd w:val="clear" w:color="auto" w:fill="auto"/>
            <w:vAlign w:val="center"/>
          </w:tcPr>
          <w:p w14:paraId="59F8B479" w14:textId="77777777" w:rsidR="00005BCF" w:rsidRPr="00EA521E" w:rsidRDefault="00005BCF" w:rsidP="00B14A19">
            <w:pPr>
              <w:pStyle w:val="SingleTxtG"/>
              <w:ind w:left="0" w:right="7"/>
              <w:jc w:val="center"/>
              <w:rPr>
                <w:rFonts w:asciiTheme="majorBidi" w:hAnsiTheme="majorBidi" w:cstheme="majorBidi"/>
                <w:sz w:val="16"/>
                <w:szCs w:val="16"/>
              </w:rPr>
            </w:pPr>
            <w:r w:rsidRPr="00EA521E">
              <w:rPr>
                <w:rFonts w:eastAsia="Times New Roman"/>
                <w:b/>
                <w:bCs/>
                <w:sz w:val="16"/>
                <w:szCs w:val="16"/>
              </w:rPr>
              <w:t>(5)</w:t>
            </w:r>
          </w:p>
        </w:tc>
        <w:tc>
          <w:tcPr>
            <w:tcW w:w="294" w:type="pct"/>
            <w:shd w:val="clear" w:color="auto" w:fill="auto"/>
            <w:vAlign w:val="center"/>
          </w:tcPr>
          <w:p w14:paraId="353063D8" w14:textId="77777777" w:rsidR="00005BCF" w:rsidRPr="00EA521E" w:rsidRDefault="00005BCF" w:rsidP="00B14A19">
            <w:pPr>
              <w:pStyle w:val="SingleTxtG"/>
              <w:ind w:left="0" w:right="7"/>
              <w:jc w:val="center"/>
              <w:rPr>
                <w:rFonts w:asciiTheme="majorBidi" w:hAnsiTheme="majorBidi" w:cstheme="majorBidi"/>
                <w:sz w:val="16"/>
                <w:szCs w:val="16"/>
              </w:rPr>
            </w:pPr>
            <w:r w:rsidRPr="00EA521E">
              <w:rPr>
                <w:rFonts w:eastAsia="Times New Roman"/>
                <w:b/>
                <w:bCs/>
                <w:sz w:val="16"/>
                <w:szCs w:val="16"/>
              </w:rPr>
              <w:t>(6)</w:t>
            </w:r>
          </w:p>
        </w:tc>
        <w:tc>
          <w:tcPr>
            <w:tcW w:w="294" w:type="pct"/>
            <w:shd w:val="clear" w:color="auto" w:fill="auto"/>
            <w:vAlign w:val="center"/>
          </w:tcPr>
          <w:p w14:paraId="1C731FCD" w14:textId="77777777" w:rsidR="00005BCF" w:rsidRPr="00EA521E" w:rsidRDefault="00005BCF" w:rsidP="00B14A19">
            <w:pPr>
              <w:pStyle w:val="SingleTxtG"/>
              <w:ind w:left="0" w:right="7"/>
              <w:jc w:val="center"/>
              <w:rPr>
                <w:rFonts w:asciiTheme="majorBidi" w:hAnsiTheme="majorBidi" w:cstheme="majorBidi"/>
                <w:sz w:val="16"/>
                <w:szCs w:val="16"/>
              </w:rPr>
            </w:pPr>
            <w:r w:rsidRPr="00EA521E">
              <w:rPr>
                <w:rFonts w:eastAsia="Times New Roman"/>
                <w:b/>
                <w:bCs/>
                <w:spacing w:val="-5"/>
                <w:sz w:val="16"/>
                <w:szCs w:val="16"/>
              </w:rPr>
              <w:t>(7a)</w:t>
            </w:r>
          </w:p>
        </w:tc>
        <w:tc>
          <w:tcPr>
            <w:tcW w:w="295" w:type="pct"/>
            <w:vAlign w:val="center"/>
          </w:tcPr>
          <w:p w14:paraId="0797B625" w14:textId="77777777" w:rsidR="00005BCF" w:rsidRPr="00EA521E" w:rsidRDefault="00005BCF" w:rsidP="00B14A19">
            <w:pPr>
              <w:pStyle w:val="SingleTxtG"/>
              <w:ind w:left="0" w:right="7"/>
              <w:jc w:val="center"/>
              <w:rPr>
                <w:rFonts w:asciiTheme="majorBidi" w:hAnsiTheme="majorBidi" w:cstheme="majorBidi"/>
                <w:sz w:val="16"/>
                <w:szCs w:val="16"/>
              </w:rPr>
            </w:pPr>
            <w:r w:rsidRPr="00EA521E">
              <w:rPr>
                <w:rFonts w:eastAsia="Times New Roman"/>
                <w:b/>
                <w:bCs/>
                <w:sz w:val="16"/>
                <w:szCs w:val="16"/>
              </w:rPr>
              <w:t>(7b)</w:t>
            </w:r>
          </w:p>
        </w:tc>
        <w:tc>
          <w:tcPr>
            <w:tcW w:w="369" w:type="pct"/>
            <w:vAlign w:val="center"/>
          </w:tcPr>
          <w:p w14:paraId="62336588" w14:textId="77777777" w:rsidR="00005BCF" w:rsidRPr="004E4D11" w:rsidRDefault="00005BCF" w:rsidP="00B14A19">
            <w:pPr>
              <w:pStyle w:val="SingleTxtG"/>
              <w:ind w:left="0" w:right="7"/>
              <w:jc w:val="center"/>
              <w:rPr>
                <w:rFonts w:eastAsia="Times New Roman"/>
                <w:b/>
                <w:bCs/>
                <w:sz w:val="16"/>
                <w:szCs w:val="16"/>
              </w:rPr>
            </w:pPr>
            <w:r w:rsidRPr="00EA521E">
              <w:rPr>
                <w:rFonts w:eastAsia="Times New Roman"/>
                <w:b/>
                <w:bCs/>
                <w:sz w:val="16"/>
                <w:szCs w:val="16"/>
              </w:rPr>
              <w:t>(8)</w:t>
            </w:r>
          </w:p>
        </w:tc>
        <w:tc>
          <w:tcPr>
            <w:tcW w:w="294" w:type="pct"/>
            <w:vAlign w:val="center"/>
          </w:tcPr>
          <w:p w14:paraId="68CB062B" w14:textId="77777777" w:rsidR="00005BCF" w:rsidRPr="00EA521E" w:rsidRDefault="00005BCF" w:rsidP="00B14A19">
            <w:pPr>
              <w:pStyle w:val="SingleTxtG"/>
              <w:ind w:left="0" w:right="7"/>
              <w:jc w:val="center"/>
              <w:rPr>
                <w:rFonts w:asciiTheme="majorBidi" w:hAnsiTheme="majorBidi" w:cstheme="majorBidi"/>
                <w:sz w:val="16"/>
                <w:szCs w:val="16"/>
              </w:rPr>
            </w:pPr>
            <w:r w:rsidRPr="00EA521E">
              <w:rPr>
                <w:rFonts w:eastAsia="Times New Roman"/>
                <w:b/>
                <w:bCs/>
                <w:sz w:val="16"/>
                <w:szCs w:val="16"/>
              </w:rPr>
              <w:t>(9)</w:t>
            </w:r>
          </w:p>
        </w:tc>
        <w:tc>
          <w:tcPr>
            <w:tcW w:w="221" w:type="pct"/>
            <w:vAlign w:val="center"/>
          </w:tcPr>
          <w:p w14:paraId="4FB891D0" w14:textId="77777777" w:rsidR="00005BCF" w:rsidRPr="00EA521E" w:rsidRDefault="00005BCF" w:rsidP="00B14A19">
            <w:pPr>
              <w:pStyle w:val="SingleTxtG"/>
              <w:ind w:left="0" w:right="7"/>
              <w:jc w:val="center"/>
              <w:rPr>
                <w:rFonts w:asciiTheme="majorBidi" w:hAnsiTheme="majorBidi" w:cstheme="majorBidi"/>
                <w:sz w:val="16"/>
                <w:szCs w:val="16"/>
              </w:rPr>
            </w:pPr>
            <w:r w:rsidRPr="00EA521E">
              <w:rPr>
                <w:rFonts w:eastAsia="Times New Roman"/>
                <w:b/>
                <w:bCs/>
                <w:sz w:val="16"/>
                <w:szCs w:val="16"/>
              </w:rPr>
              <w:t>(10)</w:t>
            </w:r>
          </w:p>
        </w:tc>
        <w:tc>
          <w:tcPr>
            <w:tcW w:w="214" w:type="pct"/>
            <w:shd w:val="clear" w:color="auto" w:fill="auto"/>
            <w:vAlign w:val="center"/>
          </w:tcPr>
          <w:p w14:paraId="76BEAB81" w14:textId="77777777" w:rsidR="00005BCF" w:rsidRPr="00EA521E" w:rsidRDefault="00005BCF" w:rsidP="00B14A19">
            <w:pPr>
              <w:pStyle w:val="SingleTxtG"/>
              <w:ind w:left="0" w:right="7"/>
              <w:jc w:val="center"/>
              <w:rPr>
                <w:rFonts w:asciiTheme="majorBidi" w:hAnsiTheme="majorBidi" w:cstheme="majorBidi"/>
                <w:sz w:val="16"/>
                <w:szCs w:val="16"/>
              </w:rPr>
            </w:pPr>
            <w:r w:rsidRPr="00EA521E">
              <w:rPr>
                <w:rFonts w:eastAsia="Times New Roman"/>
                <w:b/>
                <w:bCs/>
                <w:sz w:val="16"/>
                <w:szCs w:val="16"/>
              </w:rPr>
              <w:t>(11)</w:t>
            </w:r>
          </w:p>
        </w:tc>
      </w:tr>
      <w:tr w:rsidR="00005BCF" w:rsidRPr="00EA521E" w14:paraId="07E2F1BE" w14:textId="77777777" w:rsidTr="00B14A19">
        <w:trPr>
          <w:trHeight w:val="360"/>
        </w:trPr>
        <w:tc>
          <w:tcPr>
            <w:tcW w:w="369" w:type="pct"/>
            <w:shd w:val="clear" w:color="auto" w:fill="auto"/>
          </w:tcPr>
          <w:p w14:paraId="57CF9CF4" w14:textId="36FABF81" w:rsidR="00005BCF" w:rsidRPr="00EA521E" w:rsidRDefault="00E419BE" w:rsidP="00B14A19">
            <w:pPr>
              <w:pStyle w:val="SingleTxtG"/>
              <w:tabs>
                <w:tab w:val="left" w:pos="1269"/>
              </w:tabs>
              <w:spacing w:after="0" w:line="240" w:lineRule="auto"/>
              <w:ind w:left="0" w:right="0"/>
              <w:jc w:val="center"/>
              <w:rPr>
                <w:rFonts w:asciiTheme="majorBidi" w:hAnsiTheme="majorBidi" w:cstheme="majorBidi"/>
                <w:sz w:val="16"/>
                <w:szCs w:val="16"/>
                <w:lang w:eastAsia="ja-JP"/>
              </w:rPr>
            </w:pPr>
            <w:r>
              <w:rPr>
                <w:sz w:val="16"/>
                <w:szCs w:val="16"/>
              </w:rPr>
              <w:t>2372</w:t>
            </w:r>
          </w:p>
        </w:tc>
        <w:tc>
          <w:tcPr>
            <w:tcW w:w="1767" w:type="pct"/>
            <w:shd w:val="clear" w:color="auto" w:fill="auto"/>
          </w:tcPr>
          <w:p w14:paraId="52C51CB3" w14:textId="1A187AA5" w:rsidR="00005BCF" w:rsidRPr="00EA521E" w:rsidRDefault="006C1EFC" w:rsidP="00B14A19">
            <w:pPr>
              <w:pStyle w:val="SingleTxtG"/>
              <w:spacing w:line="240" w:lineRule="auto"/>
              <w:ind w:left="0" w:right="6"/>
              <w:jc w:val="left"/>
              <w:rPr>
                <w:rFonts w:asciiTheme="majorBidi" w:hAnsiTheme="majorBidi" w:cstheme="majorBidi"/>
                <w:sz w:val="16"/>
                <w:szCs w:val="16"/>
              </w:rPr>
            </w:pPr>
            <w:r w:rsidRPr="006C1EFC">
              <w:rPr>
                <w:sz w:val="16"/>
                <w:szCs w:val="16"/>
              </w:rPr>
              <w:t>1,2-DI-(DIMETHYLAMINO) ETHANE</w:t>
            </w:r>
          </w:p>
        </w:tc>
        <w:tc>
          <w:tcPr>
            <w:tcW w:w="294" w:type="pct"/>
          </w:tcPr>
          <w:p w14:paraId="6EEAD39E" w14:textId="42D87E28" w:rsidR="00005BCF" w:rsidRPr="00EA521E" w:rsidRDefault="00CD76BC" w:rsidP="00B14A19">
            <w:pPr>
              <w:pStyle w:val="SingleTxtG"/>
              <w:spacing w:after="0" w:line="240" w:lineRule="auto"/>
              <w:ind w:left="0" w:right="7"/>
              <w:jc w:val="center"/>
              <w:rPr>
                <w:rFonts w:asciiTheme="majorBidi" w:hAnsiTheme="majorBidi" w:cstheme="majorBidi"/>
                <w:sz w:val="16"/>
                <w:szCs w:val="16"/>
              </w:rPr>
            </w:pPr>
            <w:r>
              <w:rPr>
                <w:rFonts w:asciiTheme="majorBidi" w:hAnsiTheme="majorBidi" w:cstheme="majorBidi"/>
                <w:sz w:val="16"/>
                <w:szCs w:val="16"/>
              </w:rPr>
              <w:t>3</w:t>
            </w:r>
          </w:p>
        </w:tc>
        <w:tc>
          <w:tcPr>
            <w:tcW w:w="294" w:type="pct"/>
            <w:shd w:val="clear" w:color="auto" w:fill="auto"/>
          </w:tcPr>
          <w:p w14:paraId="41C55760" w14:textId="066C9276" w:rsidR="00005BCF" w:rsidRPr="00CD76BC" w:rsidRDefault="00CD76BC" w:rsidP="00B14A19">
            <w:pPr>
              <w:pStyle w:val="SingleTxtG"/>
              <w:spacing w:after="0" w:line="240" w:lineRule="auto"/>
              <w:ind w:left="0" w:right="7"/>
              <w:jc w:val="center"/>
              <w:rPr>
                <w:rFonts w:asciiTheme="majorBidi" w:hAnsiTheme="majorBidi" w:cstheme="majorBidi"/>
                <w:b/>
                <w:bCs/>
                <w:sz w:val="16"/>
                <w:szCs w:val="16"/>
                <w:u w:val="single"/>
              </w:rPr>
            </w:pPr>
            <w:r w:rsidRPr="00CD76BC">
              <w:rPr>
                <w:rFonts w:asciiTheme="majorBidi" w:hAnsiTheme="majorBidi" w:cstheme="majorBidi"/>
                <w:b/>
                <w:bCs/>
                <w:sz w:val="16"/>
                <w:szCs w:val="16"/>
                <w:u w:val="single"/>
              </w:rPr>
              <w:t>8</w:t>
            </w:r>
          </w:p>
        </w:tc>
        <w:tc>
          <w:tcPr>
            <w:tcW w:w="295" w:type="pct"/>
            <w:shd w:val="clear" w:color="auto" w:fill="auto"/>
          </w:tcPr>
          <w:p w14:paraId="4AB5C4D5" w14:textId="211AFAF7" w:rsidR="00005BCF" w:rsidRPr="00EA521E" w:rsidRDefault="00CD76BC" w:rsidP="00B14A19">
            <w:pPr>
              <w:pStyle w:val="SingleTxtG"/>
              <w:spacing w:after="0" w:line="240" w:lineRule="auto"/>
              <w:ind w:left="0" w:right="7"/>
              <w:jc w:val="center"/>
              <w:rPr>
                <w:rFonts w:asciiTheme="majorBidi" w:hAnsiTheme="majorBidi" w:cstheme="majorBidi"/>
                <w:sz w:val="16"/>
                <w:szCs w:val="16"/>
              </w:rPr>
            </w:pPr>
            <w:r>
              <w:rPr>
                <w:rFonts w:asciiTheme="majorBidi" w:hAnsiTheme="majorBidi" w:cstheme="majorBidi"/>
                <w:sz w:val="16"/>
                <w:szCs w:val="16"/>
              </w:rPr>
              <w:t>II</w:t>
            </w:r>
          </w:p>
        </w:tc>
        <w:tc>
          <w:tcPr>
            <w:tcW w:w="294" w:type="pct"/>
            <w:shd w:val="clear" w:color="auto" w:fill="auto"/>
          </w:tcPr>
          <w:p w14:paraId="3A4CF9BE" w14:textId="231AA562" w:rsidR="00005BCF" w:rsidRPr="00EA521E" w:rsidRDefault="00005BCF" w:rsidP="00B14A19">
            <w:pPr>
              <w:keepNext/>
              <w:spacing w:line="240" w:lineRule="auto"/>
              <w:jc w:val="center"/>
              <w:rPr>
                <w:rFonts w:asciiTheme="majorBidi" w:hAnsiTheme="majorBidi" w:cstheme="majorBidi"/>
                <w:sz w:val="16"/>
                <w:szCs w:val="16"/>
              </w:rPr>
            </w:pPr>
          </w:p>
        </w:tc>
        <w:tc>
          <w:tcPr>
            <w:tcW w:w="294" w:type="pct"/>
            <w:shd w:val="clear" w:color="auto" w:fill="auto"/>
          </w:tcPr>
          <w:p w14:paraId="3615CA1C" w14:textId="5E629C1F" w:rsidR="00005BCF" w:rsidRPr="00EA521E" w:rsidRDefault="0067043A" w:rsidP="00B14A19">
            <w:pPr>
              <w:pStyle w:val="SingleTxtG"/>
              <w:spacing w:after="0" w:line="240" w:lineRule="auto"/>
              <w:ind w:left="0" w:right="7"/>
              <w:jc w:val="center"/>
              <w:rPr>
                <w:rFonts w:asciiTheme="majorBidi" w:hAnsiTheme="majorBidi" w:cstheme="majorBidi"/>
                <w:sz w:val="16"/>
                <w:szCs w:val="16"/>
              </w:rPr>
            </w:pPr>
            <w:r>
              <w:rPr>
                <w:sz w:val="16"/>
                <w:szCs w:val="16"/>
              </w:rPr>
              <w:t>1L</w:t>
            </w:r>
          </w:p>
        </w:tc>
        <w:tc>
          <w:tcPr>
            <w:tcW w:w="295" w:type="pct"/>
          </w:tcPr>
          <w:p w14:paraId="7CF77713" w14:textId="66B18270" w:rsidR="00005BCF" w:rsidRPr="00EA521E" w:rsidRDefault="0067043A" w:rsidP="00B14A19">
            <w:pPr>
              <w:pStyle w:val="SingleTxtG"/>
              <w:spacing w:after="0" w:line="240" w:lineRule="auto"/>
              <w:ind w:left="0" w:right="7"/>
              <w:jc w:val="center"/>
              <w:rPr>
                <w:rFonts w:asciiTheme="majorBidi" w:hAnsiTheme="majorBidi" w:cstheme="majorBidi"/>
                <w:sz w:val="16"/>
                <w:szCs w:val="16"/>
              </w:rPr>
            </w:pPr>
            <w:r>
              <w:rPr>
                <w:sz w:val="16"/>
                <w:szCs w:val="16"/>
              </w:rPr>
              <w:t>E2</w:t>
            </w:r>
          </w:p>
        </w:tc>
        <w:tc>
          <w:tcPr>
            <w:tcW w:w="369" w:type="pct"/>
          </w:tcPr>
          <w:p w14:paraId="3CA00B1D" w14:textId="00F2ADD6" w:rsidR="00005BCF" w:rsidRPr="00EA521E" w:rsidRDefault="0067043A" w:rsidP="00B14A19">
            <w:pPr>
              <w:spacing w:line="240" w:lineRule="auto"/>
              <w:jc w:val="center"/>
              <w:rPr>
                <w:rFonts w:asciiTheme="majorBidi" w:hAnsiTheme="majorBidi" w:cstheme="majorBidi"/>
                <w:sz w:val="16"/>
                <w:szCs w:val="16"/>
              </w:rPr>
            </w:pPr>
            <w:r>
              <w:rPr>
                <w:sz w:val="16"/>
                <w:szCs w:val="16"/>
              </w:rPr>
              <w:t>P001</w:t>
            </w:r>
            <w:r>
              <w:rPr>
                <w:sz w:val="16"/>
                <w:szCs w:val="16"/>
              </w:rPr>
              <w:br/>
            </w:r>
            <w:r>
              <w:rPr>
                <w:rFonts w:asciiTheme="majorBidi" w:hAnsiTheme="majorBidi" w:cstheme="majorBidi"/>
                <w:sz w:val="16"/>
                <w:szCs w:val="16"/>
              </w:rPr>
              <w:t>IBC02</w:t>
            </w:r>
          </w:p>
        </w:tc>
        <w:tc>
          <w:tcPr>
            <w:tcW w:w="294" w:type="pct"/>
          </w:tcPr>
          <w:p w14:paraId="62D73113" w14:textId="77777777" w:rsidR="00005BCF" w:rsidRPr="00EA521E" w:rsidRDefault="00005BCF" w:rsidP="00B14A19">
            <w:pPr>
              <w:pStyle w:val="SingleTxtG"/>
              <w:spacing w:after="0" w:line="240" w:lineRule="auto"/>
              <w:ind w:left="0" w:right="7"/>
              <w:jc w:val="center"/>
              <w:rPr>
                <w:rFonts w:asciiTheme="majorBidi" w:hAnsiTheme="majorBidi" w:cstheme="majorBidi"/>
                <w:sz w:val="16"/>
                <w:szCs w:val="16"/>
              </w:rPr>
            </w:pPr>
          </w:p>
        </w:tc>
        <w:tc>
          <w:tcPr>
            <w:tcW w:w="221" w:type="pct"/>
          </w:tcPr>
          <w:p w14:paraId="74828210" w14:textId="644EA0C5" w:rsidR="00005BCF" w:rsidRPr="0067043A" w:rsidRDefault="0067043A" w:rsidP="00B14A19">
            <w:pPr>
              <w:pStyle w:val="SingleTxtG"/>
              <w:spacing w:after="0" w:line="240" w:lineRule="auto"/>
              <w:ind w:left="0" w:right="7"/>
              <w:jc w:val="center"/>
              <w:rPr>
                <w:rFonts w:asciiTheme="majorBidi" w:hAnsiTheme="majorBidi" w:cstheme="majorBidi"/>
                <w:b/>
                <w:bCs/>
                <w:sz w:val="16"/>
                <w:szCs w:val="16"/>
              </w:rPr>
            </w:pPr>
            <w:r w:rsidRPr="004550A4">
              <w:rPr>
                <w:rFonts w:asciiTheme="majorBidi" w:hAnsiTheme="majorBidi" w:cstheme="majorBidi"/>
                <w:strike/>
                <w:sz w:val="16"/>
                <w:szCs w:val="16"/>
              </w:rPr>
              <w:t>T4</w:t>
            </w:r>
            <w:r w:rsidR="00DE466A">
              <w:rPr>
                <w:rFonts w:asciiTheme="majorBidi" w:hAnsiTheme="majorBidi" w:cstheme="majorBidi"/>
                <w:b/>
                <w:bCs/>
                <w:sz w:val="16"/>
                <w:szCs w:val="16"/>
              </w:rPr>
              <w:br/>
            </w:r>
            <w:r w:rsidR="00DE466A" w:rsidRPr="00DE466A">
              <w:rPr>
                <w:rFonts w:asciiTheme="majorBidi" w:hAnsiTheme="majorBidi" w:cstheme="majorBidi"/>
                <w:b/>
                <w:bCs/>
                <w:sz w:val="16"/>
                <w:szCs w:val="16"/>
                <w:u w:val="single"/>
              </w:rPr>
              <w:t>T7</w:t>
            </w:r>
          </w:p>
        </w:tc>
        <w:tc>
          <w:tcPr>
            <w:tcW w:w="214" w:type="pct"/>
            <w:shd w:val="clear" w:color="auto" w:fill="auto"/>
          </w:tcPr>
          <w:p w14:paraId="4DC489B0" w14:textId="21AD527A" w:rsidR="00005BCF" w:rsidRPr="00EA521E" w:rsidRDefault="00DE466A" w:rsidP="00B14A19">
            <w:pPr>
              <w:pStyle w:val="SingleTxtG"/>
              <w:spacing w:after="0" w:line="240" w:lineRule="auto"/>
              <w:ind w:left="0" w:right="7"/>
              <w:jc w:val="center"/>
              <w:rPr>
                <w:rFonts w:asciiTheme="majorBidi" w:hAnsiTheme="majorBidi" w:cstheme="majorBidi"/>
                <w:sz w:val="16"/>
                <w:szCs w:val="16"/>
              </w:rPr>
            </w:pPr>
            <w:r>
              <w:rPr>
                <w:rFonts w:asciiTheme="majorBidi" w:hAnsiTheme="majorBidi" w:cstheme="majorBidi"/>
                <w:sz w:val="16"/>
                <w:szCs w:val="16"/>
              </w:rPr>
              <w:t>TP1</w:t>
            </w:r>
          </w:p>
        </w:tc>
      </w:tr>
    </w:tbl>
    <w:p w14:paraId="7C32379A" w14:textId="2125C5E7" w:rsidR="00EF047E" w:rsidRDefault="00EF047E" w:rsidP="00EF047E">
      <w:pPr>
        <w:pStyle w:val="H1G"/>
      </w:pPr>
      <w:r>
        <w:tab/>
        <w:t>B.</w:t>
      </w:r>
      <w:r>
        <w:tab/>
        <w:t>Proposal 2</w:t>
      </w:r>
    </w:p>
    <w:p w14:paraId="6E8D54D0" w14:textId="77777777" w:rsidR="00EF047E" w:rsidRDefault="00EF047E" w:rsidP="00EF047E">
      <w:pPr>
        <w:pStyle w:val="SingleTxtG"/>
      </w:pPr>
      <w:r>
        <w:t>12.</w:t>
      </w:r>
      <w:r>
        <w:tab/>
        <w:t xml:space="preserve">Add in 4.2.6 of the </w:t>
      </w:r>
      <w:r w:rsidRPr="00DE21C9">
        <w:rPr>
          <w:i/>
          <w:iCs/>
        </w:rPr>
        <w:t>Model Regulations</w:t>
      </w:r>
      <w:r>
        <w:t xml:space="preserve"> the following transitional measure:</w:t>
      </w:r>
    </w:p>
    <w:p w14:paraId="549651C9" w14:textId="0E389162" w:rsidR="00EF047E" w:rsidRDefault="00D56356" w:rsidP="00EF047E">
      <w:pPr>
        <w:pStyle w:val="SingleTxtG"/>
      </w:pPr>
      <w:r>
        <w:t>“</w:t>
      </w:r>
      <w:r w:rsidR="00EF047E">
        <w:t>Until 31 December 2028 portable tanks with tank code T4 may be used for the transport of UN2372 1,2-DI-(DIMETHYLAMINO) ETHANE.</w:t>
      </w:r>
      <w:r>
        <w:t>”</w:t>
      </w:r>
    </w:p>
    <w:p w14:paraId="58FC01B8" w14:textId="07882C97" w:rsidR="00EF047E" w:rsidRDefault="001B68A0" w:rsidP="001B68A0">
      <w:pPr>
        <w:pStyle w:val="HChG"/>
      </w:pPr>
      <w:r>
        <w:lastRenderedPageBreak/>
        <w:tab/>
        <w:t>III.</w:t>
      </w:r>
      <w:r>
        <w:tab/>
      </w:r>
      <w:r w:rsidR="00EF047E">
        <w:t>Sustainable development goals</w:t>
      </w:r>
    </w:p>
    <w:p w14:paraId="199C6082" w14:textId="260097C9" w:rsidR="00005BCF" w:rsidRDefault="00EF047E" w:rsidP="00EF047E">
      <w:pPr>
        <w:pStyle w:val="SingleTxtG"/>
      </w:pPr>
      <w:r>
        <w:t>13.</w:t>
      </w:r>
      <w:r>
        <w:tab/>
        <w:t xml:space="preserve">This proposal contributes to Sustainable Development Goal 12 </w:t>
      </w:r>
      <w:r w:rsidR="00844A4E">
        <w:t>“</w:t>
      </w:r>
      <w:r>
        <w:t>Ensure sustainable consumption and production patterns” and more specifically its target 12.4</w:t>
      </w:r>
      <w:r w:rsidR="00933784">
        <w:t>.</w:t>
      </w:r>
    </w:p>
    <w:p w14:paraId="7C8F8F38" w14:textId="3B20B08B" w:rsidR="00400427" w:rsidRDefault="00400427">
      <w:r>
        <w:br w:type="page"/>
      </w:r>
    </w:p>
    <w:p w14:paraId="37C6E393" w14:textId="77777777" w:rsidR="00262784" w:rsidRDefault="00262784" w:rsidP="00EF047E">
      <w:pPr>
        <w:pStyle w:val="SingleTxtG"/>
        <w:sectPr w:rsidR="00262784" w:rsidSect="0031643D">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pPr>
    </w:p>
    <w:p w14:paraId="77DFFE8B" w14:textId="130FDC19" w:rsidR="00262784" w:rsidRDefault="00D52133" w:rsidP="00D52133">
      <w:pPr>
        <w:pStyle w:val="HChG"/>
      </w:pPr>
      <w:r>
        <w:lastRenderedPageBreak/>
        <w:tab/>
      </w:r>
      <w:r>
        <w:tab/>
        <w:t>Annex</w:t>
      </w:r>
    </w:p>
    <w:tbl>
      <w:tblPr>
        <w:tblStyle w:val="TableGrid"/>
        <w:tblW w:w="13776" w:type="dxa"/>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20"/>
        <w:gridCol w:w="2661"/>
        <w:gridCol w:w="2728"/>
        <w:gridCol w:w="2728"/>
        <w:gridCol w:w="4339"/>
      </w:tblGrid>
      <w:tr w:rsidR="00D52133" w:rsidRPr="00D52133" w14:paraId="0F699EBE" w14:textId="77777777" w:rsidTr="00D52133">
        <w:trPr>
          <w:tblHeader/>
        </w:trPr>
        <w:tc>
          <w:tcPr>
            <w:tcW w:w="1320" w:type="dxa"/>
            <w:tcBorders>
              <w:top w:val="single" w:sz="4" w:space="0" w:color="auto"/>
              <w:bottom w:val="single" w:sz="12" w:space="0" w:color="auto"/>
            </w:tcBorders>
            <w:shd w:val="clear" w:color="auto" w:fill="auto"/>
            <w:vAlign w:val="bottom"/>
          </w:tcPr>
          <w:p w14:paraId="47348907" w14:textId="77777777" w:rsidR="00D52133" w:rsidRPr="00040621" w:rsidRDefault="00D52133" w:rsidP="00D52133">
            <w:pPr>
              <w:suppressAutoHyphens w:val="0"/>
              <w:spacing w:before="80" w:after="80" w:line="200" w:lineRule="exact"/>
              <w:ind w:right="113"/>
              <w:rPr>
                <w:b/>
                <w:bCs/>
                <w:i/>
                <w:sz w:val="16"/>
              </w:rPr>
            </w:pPr>
          </w:p>
        </w:tc>
        <w:tc>
          <w:tcPr>
            <w:tcW w:w="2661" w:type="dxa"/>
            <w:tcBorders>
              <w:top w:val="single" w:sz="4" w:space="0" w:color="auto"/>
              <w:bottom w:val="single" w:sz="12" w:space="0" w:color="auto"/>
            </w:tcBorders>
            <w:shd w:val="clear" w:color="auto" w:fill="auto"/>
            <w:vAlign w:val="bottom"/>
          </w:tcPr>
          <w:p w14:paraId="45799B59" w14:textId="77777777" w:rsidR="00D52133" w:rsidRPr="00D52133" w:rsidRDefault="00D52133" w:rsidP="00D52133">
            <w:pPr>
              <w:suppressAutoHyphens w:val="0"/>
              <w:spacing w:before="80" w:after="80" w:line="200" w:lineRule="exact"/>
              <w:ind w:right="113"/>
              <w:rPr>
                <w:i/>
                <w:sz w:val="16"/>
              </w:rPr>
            </w:pPr>
            <w:r w:rsidRPr="00D52133">
              <w:rPr>
                <w:i/>
                <w:sz w:val="16"/>
              </w:rPr>
              <w:t>Study report 2000</w:t>
            </w:r>
          </w:p>
        </w:tc>
        <w:tc>
          <w:tcPr>
            <w:tcW w:w="2728" w:type="dxa"/>
            <w:tcBorders>
              <w:top w:val="single" w:sz="4" w:space="0" w:color="auto"/>
              <w:bottom w:val="single" w:sz="12" w:space="0" w:color="auto"/>
            </w:tcBorders>
            <w:shd w:val="clear" w:color="auto" w:fill="auto"/>
            <w:vAlign w:val="bottom"/>
          </w:tcPr>
          <w:p w14:paraId="65497BF2" w14:textId="77777777" w:rsidR="00D52133" w:rsidRPr="00D52133" w:rsidRDefault="00D52133" w:rsidP="00D52133">
            <w:pPr>
              <w:suppressAutoHyphens w:val="0"/>
              <w:spacing w:before="80" w:after="80" w:line="200" w:lineRule="exact"/>
              <w:ind w:right="113"/>
              <w:rPr>
                <w:i/>
                <w:sz w:val="16"/>
              </w:rPr>
            </w:pPr>
            <w:r w:rsidRPr="00D52133">
              <w:rPr>
                <w:i/>
                <w:sz w:val="16"/>
              </w:rPr>
              <w:t>Study report 1989</w:t>
            </w:r>
          </w:p>
        </w:tc>
        <w:tc>
          <w:tcPr>
            <w:tcW w:w="2728" w:type="dxa"/>
            <w:tcBorders>
              <w:top w:val="single" w:sz="4" w:space="0" w:color="auto"/>
              <w:bottom w:val="single" w:sz="12" w:space="0" w:color="auto"/>
            </w:tcBorders>
            <w:shd w:val="clear" w:color="auto" w:fill="auto"/>
            <w:vAlign w:val="bottom"/>
          </w:tcPr>
          <w:p w14:paraId="4F24F237" w14:textId="77777777" w:rsidR="00D52133" w:rsidRPr="00D52133" w:rsidRDefault="00D52133" w:rsidP="00D52133">
            <w:pPr>
              <w:suppressAutoHyphens w:val="0"/>
              <w:spacing w:before="80" w:after="80" w:line="200" w:lineRule="exact"/>
              <w:ind w:right="113"/>
              <w:rPr>
                <w:i/>
                <w:sz w:val="16"/>
              </w:rPr>
            </w:pPr>
            <w:r w:rsidRPr="00D52133">
              <w:rPr>
                <w:i/>
                <w:sz w:val="16"/>
              </w:rPr>
              <w:t>Study report 1988</w:t>
            </w:r>
          </w:p>
        </w:tc>
        <w:tc>
          <w:tcPr>
            <w:tcW w:w="4339" w:type="dxa"/>
            <w:tcBorders>
              <w:top w:val="single" w:sz="4" w:space="0" w:color="auto"/>
              <w:bottom w:val="single" w:sz="12" w:space="0" w:color="auto"/>
            </w:tcBorders>
            <w:shd w:val="clear" w:color="auto" w:fill="auto"/>
            <w:vAlign w:val="bottom"/>
          </w:tcPr>
          <w:p w14:paraId="576D191F" w14:textId="77777777" w:rsidR="00D52133" w:rsidRPr="00D52133" w:rsidRDefault="00D52133" w:rsidP="00D52133">
            <w:pPr>
              <w:suppressAutoHyphens w:val="0"/>
              <w:spacing w:before="80" w:after="80" w:line="200" w:lineRule="exact"/>
              <w:ind w:right="113"/>
              <w:rPr>
                <w:i/>
                <w:sz w:val="16"/>
              </w:rPr>
            </w:pPr>
            <w:r w:rsidRPr="00D52133">
              <w:rPr>
                <w:i/>
                <w:sz w:val="16"/>
              </w:rPr>
              <w:t>OECD Guideline 404, last update: 2015</w:t>
            </w:r>
          </w:p>
        </w:tc>
      </w:tr>
      <w:tr w:rsidR="00D52133" w:rsidRPr="00D52133" w14:paraId="7CDBC57A" w14:textId="77777777" w:rsidTr="00D52133">
        <w:trPr>
          <w:trHeight w:hRule="exact" w:val="113"/>
        </w:trPr>
        <w:tc>
          <w:tcPr>
            <w:tcW w:w="1320" w:type="dxa"/>
            <w:tcBorders>
              <w:top w:val="single" w:sz="12" w:space="0" w:color="auto"/>
            </w:tcBorders>
            <w:shd w:val="clear" w:color="auto" w:fill="auto"/>
          </w:tcPr>
          <w:p w14:paraId="6744F88D" w14:textId="77777777" w:rsidR="00D52133" w:rsidRPr="00040621" w:rsidRDefault="00D52133" w:rsidP="00D52133">
            <w:pPr>
              <w:suppressAutoHyphens w:val="0"/>
              <w:spacing w:before="40" w:after="120"/>
              <w:ind w:right="113"/>
              <w:rPr>
                <w:b/>
                <w:bCs/>
              </w:rPr>
            </w:pPr>
          </w:p>
        </w:tc>
        <w:tc>
          <w:tcPr>
            <w:tcW w:w="2661" w:type="dxa"/>
            <w:tcBorders>
              <w:top w:val="single" w:sz="12" w:space="0" w:color="auto"/>
            </w:tcBorders>
            <w:shd w:val="clear" w:color="auto" w:fill="auto"/>
          </w:tcPr>
          <w:p w14:paraId="5C00226C" w14:textId="77777777" w:rsidR="00D52133" w:rsidRPr="00D52133" w:rsidRDefault="00D52133" w:rsidP="00D52133">
            <w:pPr>
              <w:suppressAutoHyphens w:val="0"/>
              <w:spacing w:before="40" w:after="120"/>
              <w:ind w:right="113"/>
            </w:pPr>
          </w:p>
        </w:tc>
        <w:tc>
          <w:tcPr>
            <w:tcW w:w="2728" w:type="dxa"/>
            <w:tcBorders>
              <w:top w:val="single" w:sz="12" w:space="0" w:color="auto"/>
            </w:tcBorders>
            <w:shd w:val="clear" w:color="auto" w:fill="auto"/>
          </w:tcPr>
          <w:p w14:paraId="0C3563FA" w14:textId="77777777" w:rsidR="00D52133" w:rsidRPr="00D52133" w:rsidRDefault="00D52133" w:rsidP="00D52133">
            <w:pPr>
              <w:suppressAutoHyphens w:val="0"/>
              <w:spacing w:before="40" w:after="120"/>
              <w:ind w:right="113"/>
            </w:pPr>
          </w:p>
        </w:tc>
        <w:tc>
          <w:tcPr>
            <w:tcW w:w="2728" w:type="dxa"/>
            <w:tcBorders>
              <w:top w:val="single" w:sz="12" w:space="0" w:color="auto"/>
            </w:tcBorders>
            <w:shd w:val="clear" w:color="auto" w:fill="auto"/>
          </w:tcPr>
          <w:p w14:paraId="77492005" w14:textId="77777777" w:rsidR="00D52133" w:rsidRPr="00D52133" w:rsidRDefault="00D52133" w:rsidP="00D52133">
            <w:pPr>
              <w:suppressAutoHyphens w:val="0"/>
              <w:spacing w:before="40" w:after="120"/>
              <w:ind w:right="113"/>
            </w:pPr>
          </w:p>
        </w:tc>
        <w:tc>
          <w:tcPr>
            <w:tcW w:w="4339" w:type="dxa"/>
            <w:tcBorders>
              <w:top w:val="single" w:sz="12" w:space="0" w:color="auto"/>
            </w:tcBorders>
            <w:shd w:val="clear" w:color="auto" w:fill="auto"/>
          </w:tcPr>
          <w:p w14:paraId="4B5E547B" w14:textId="77777777" w:rsidR="00D52133" w:rsidRPr="00D52133" w:rsidRDefault="00D52133" w:rsidP="00D52133">
            <w:pPr>
              <w:suppressAutoHyphens w:val="0"/>
              <w:spacing w:before="40" w:after="120"/>
              <w:ind w:right="113"/>
            </w:pPr>
          </w:p>
        </w:tc>
      </w:tr>
      <w:tr w:rsidR="00D52133" w:rsidRPr="00D52133" w14:paraId="647C34B7" w14:textId="77777777" w:rsidTr="00D52133">
        <w:tc>
          <w:tcPr>
            <w:tcW w:w="1320" w:type="dxa"/>
            <w:shd w:val="clear" w:color="auto" w:fill="auto"/>
          </w:tcPr>
          <w:p w14:paraId="61FBA8C0" w14:textId="77777777" w:rsidR="00D52133" w:rsidRPr="00040621" w:rsidRDefault="00D52133" w:rsidP="00D52133">
            <w:pPr>
              <w:suppressAutoHyphens w:val="0"/>
              <w:spacing w:before="40" w:after="120"/>
              <w:ind w:right="113"/>
              <w:rPr>
                <w:b/>
                <w:bCs/>
              </w:rPr>
            </w:pPr>
            <w:r w:rsidRPr="00040621">
              <w:rPr>
                <w:b/>
                <w:bCs/>
              </w:rPr>
              <w:t>Test</w:t>
            </w:r>
          </w:p>
        </w:tc>
        <w:tc>
          <w:tcPr>
            <w:tcW w:w="2661" w:type="dxa"/>
            <w:shd w:val="clear" w:color="auto" w:fill="auto"/>
          </w:tcPr>
          <w:p w14:paraId="0E85C3C4" w14:textId="77777777" w:rsidR="00D52133" w:rsidRPr="00D52133" w:rsidRDefault="00D52133" w:rsidP="00D52133">
            <w:pPr>
              <w:suppressAutoHyphens w:val="0"/>
              <w:spacing w:before="40" w:after="120"/>
              <w:ind w:right="113"/>
            </w:pPr>
            <w:r w:rsidRPr="00D52133">
              <w:t>DOT skin corrosion test</w:t>
            </w:r>
          </w:p>
        </w:tc>
        <w:tc>
          <w:tcPr>
            <w:tcW w:w="2728" w:type="dxa"/>
            <w:shd w:val="clear" w:color="auto" w:fill="auto"/>
          </w:tcPr>
          <w:p w14:paraId="3CB3ECE7" w14:textId="77777777" w:rsidR="00D52133" w:rsidRPr="00D52133" w:rsidRDefault="00D52133" w:rsidP="00D52133">
            <w:pPr>
              <w:suppressAutoHyphens w:val="0"/>
              <w:spacing w:before="40" w:after="120"/>
              <w:ind w:right="113"/>
            </w:pPr>
            <w:r w:rsidRPr="00D52133">
              <w:t>Skin corrosion screening method</w:t>
            </w:r>
          </w:p>
        </w:tc>
        <w:tc>
          <w:tcPr>
            <w:tcW w:w="2728" w:type="dxa"/>
            <w:shd w:val="clear" w:color="auto" w:fill="auto"/>
          </w:tcPr>
          <w:p w14:paraId="5D942452" w14:textId="77777777" w:rsidR="00D52133" w:rsidRPr="00D52133" w:rsidRDefault="00D52133" w:rsidP="00D52133">
            <w:pPr>
              <w:suppressAutoHyphens w:val="0"/>
              <w:spacing w:before="40" w:after="120"/>
              <w:ind w:right="113"/>
            </w:pPr>
            <w:r w:rsidRPr="00D52133">
              <w:t>DOT skin corrosion test</w:t>
            </w:r>
          </w:p>
        </w:tc>
        <w:tc>
          <w:tcPr>
            <w:tcW w:w="4339" w:type="dxa"/>
            <w:shd w:val="clear" w:color="auto" w:fill="auto"/>
          </w:tcPr>
          <w:p w14:paraId="174245CB" w14:textId="77777777" w:rsidR="00D52133" w:rsidRPr="00D52133" w:rsidRDefault="00D52133" w:rsidP="00D52133">
            <w:pPr>
              <w:suppressAutoHyphens w:val="0"/>
              <w:spacing w:before="40" w:after="120"/>
              <w:ind w:right="113"/>
            </w:pPr>
            <w:r w:rsidRPr="00D52133">
              <w:t>In vivo skin corrosion test</w:t>
            </w:r>
          </w:p>
        </w:tc>
      </w:tr>
      <w:tr w:rsidR="00D52133" w:rsidRPr="00D52133" w14:paraId="459ED348" w14:textId="77777777" w:rsidTr="00D52133">
        <w:tc>
          <w:tcPr>
            <w:tcW w:w="1320" w:type="dxa"/>
            <w:shd w:val="clear" w:color="auto" w:fill="auto"/>
          </w:tcPr>
          <w:p w14:paraId="0BFF449F" w14:textId="77777777" w:rsidR="00D52133" w:rsidRPr="00040621" w:rsidRDefault="00D52133" w:rsidP="00D52133">
            <w:pPr>
              <w:suppressAutoHyphens w:val="0"/>
              <w:spacing w:before="40" w:after="120"/>
              <w:ind w:right="113"/>
              <w:rPr>
                <w:b/>
                <w:bCs/>
              </w:rPr>
            </w:pPr>
            <w:r w:rsidRPr="00040621">
              <w:rPr>
                <w:b/>
                <w:bCs/>
              </w:rPr>
              <w:t>Time</w:t>
            </w:r>
          </w:p>
        </w:tc>
        <w:tc>
          <w:tcPr>
            <w:tcW w:w="2661" w:type="dxa"/>
            <w:shd w:val="clear" w:color="auto" w:fill="auto"/>
          </w:tcPr>
          <w:p w14:paraId="5AF85011" w14:textId="77777777" w:rsidR="00D52133" w:rsidRPr="00D52133" w:rsidRDefault="00D52133" w:rsidP="00D52133">
            <w:pPr>
              <w:suppressAutoHyphens w:val="0"/>
              <w:spacing w:before="40" w:after="120"/>
              <w:ind w:right="113"/>
            </w:pPr>
            <w:r w:rsidRPr="00D52133">
              <w:t>3 minutes, 1 hour, 4 hours</w:t>
            </w:r>
          </w:p>
          <w:p w14:paraId="032480E2" w14:textId="4884EBEE" w:rsidR="00D52133" w:rsidRPr="00D52133" w:rsidRDefault="00D52133" w:rsidP="00D52133">
            <w:pPr>
              <w:suppressAutoHyphens w:val="0"/>
              <w:spacing w:before="40" w:after="120"/>
              <w:ind w:right="113"/>
            </w:pPr>
            <w:r w:rsidRPr="00D52133">
              <w:t>Exposure terminated after 1</w:t>
            </w:r>
            <w:r w:rsidR="00592E1E">
              <w:t> </w:t>
            </w:r>
            <w:r w:rsidRPr="00D52133">
              <w:t>hour (due to severity of the irritation)</w:t>
            </w:r>
          </w:p>
        </w:tc>
        <w:tc>
          <w:tcPr>
            <w:tcW w:w="2728" w:type="dxa"/>
            <w:shd w:val="clear" w:color="auto" w:fill="auto"/>
          </w:tcPr>
          <w:p w14:paraId="2A711660" w14:textId="77777777" w:rsidR="00D52133" w:rsidRPr="00D52133" w:rsidRDefault="00D52133" w:rsidP="00D52133">
            <w:pPr>
              <w:suppressAutoHyphens w:val="0"/>
              <w:spacing w:before="40" w:after="120"/>
              <w:ind w:right="113"/>
            </w:pPr>
            <w:r w:rsidRPr="00D52133">
              <w:t>3 minutes</w:t>
            </w:r>
          </w:p>
        </w:tc>
        <w:tc>
          <w:tcPr>
            <w:tcW w:w="2728" w:type="dxa"/>
            <w:shd w:val="clear" w:color="auto" w:fill="auto"/>
          </w:tcPr>
          <w:p w14:paraId="4F74242A" w14:textId="77777777" w:rsidR="00D52133" w:rsidRPr="00D52133" w:rsidRDefault="00D52133" w:rsidP="00D52133">
            <w:pPr>
              <w:suppressAutoHyphens w:val="0"/>
              <w:spacing w:before="40" w:after="120"/>
              <w:ind w:right="113"/>
            </w:pPr>
            <w:r w:rsidRPr="00D52133">
              <w:t>1 hour</w:t>
            </w:r>
          </w:p>
        </w:tc>
        <w:tc>
          <w:tcPr>
            <w:tcW w:w="4339" w:type="dxa"/>
            <w:shd w:val="clear" w:color="auto" w:fill="auto"/>
          </w:tcPr>
          <w:p w14:paraId="359C2E15" w14:textId="77777777" w:rsidR="00D52133" w:rsidRPr="00D52133" w:rsidRDefault="00D52133" w:rsidP="00D52133">
            <w:pPr>
              <w:suppressAutoHyphens w:val="0"/>
              <w:spacing w:before="40" w:after="120"/>
              <w:ind w:right="113"/>
            </w:pPr>
            <w:r w:rsidRPr="00D52133">
              <w:t>3 minutes, 1 hour, 4 hours</w:t>
            </w:r>
          </w:p>
          <w:p w14:paraId="07DD0894" w14:textId="62E2B706" w:rsidR="00D52133" w:rsidRPr="00D52133" w:rsidRDefault="00D52133" w:rsidP="000B6647">
            <w:pPr>
              <w:suppressAutoHyphens w:val="0"/>
              <w:spacing w:before="40" w:after="120"/>
              <w:ind w:right="113"/>
            </w:pPr>
            <w:r w:rsidRPr="00D52133">
              <w:t>If a corrosive effect is observed after any of the three sequential exposures, the test is</w:t>
            </w:r>
            <w:r w:rsidR="000B6647">
              <w:t xml:space="preserve"> </w:t>
            </w:r>
            <w:proofErr w:type="gramStart"/>
            <w:r w:rsidRPr="00D52133">
              <w:t>immediately  terminated</w:t>
            </w:r>
            <w:proofErr w:type="gramEnd"/>
          </w:p>
        </w:tc>
      </w:tr>
      <w:tr w:rsidR="00D52133" w:rsidRPr="00D52133" w14:paraId="166F2FF6" w14:textId="77777777" w:rsidTr="00D52133">
        <w:tc>
          <w:tcPr>
            <w:tcW w:w="1320" w:type="dxa"/>
            <w:shd w:val="clear" w:color="auto" w:fill="auto"/>
          </w:tcPr>
          <w:p w14:paraId="791C4FDD" w14:textId="26E70DFC" w:rsidR="00D52133" w:rsidRPr="00040621" w:rsidRDefault="005511FF" w:rsidP="00D52133">
            <w:pPr>
              <w:suppressAutoHyphens w:val="0"/>
              <w:spacing w:before="40" w:after="120"/>
              <w:ind w:right="113"/>
              <w:rPr>
                <w:b/>
                <w:bCs/>
              </w:rPr>
            </w:pPr>
            <w:r w:rsidRPr="00040621">
              <w:rPr>
                <w:b/>
                <w:bCs/>
              </w:rPr>
              <w:t>S</w:t>
            </w:r>
            <w:r w:rsidR="00D52133" w:rsidRPr="00040621">
              <w:rPr>
                <w:b/>
                <w:bCs/>
              </w:rPr>
              <w:t>pecies</w:t>
            </w:r>
          </w:p>
        </w:tc>
        <w:tc>
          <w:tcPr>
            <w:tcW w:w="2661" w:type="dxa"/>
            <w:shd w:val="clear" w:color="auto" w:fill="auto"/>
          </w:tcPr>
          <w:p w14:paraId="3F8B950F" w14:textId="0805F60A" w:rsidR="00D52133" w:rsidRPr="00D52133" w:rsidRDefault="00D52133" w:rsidP="00A74D00">
            <w:pPr>
              <w:suppressAutoHyphens w:val="0"/>
              <w:spacing w:before="40" w:after="120"/>
              <w:ind w:right="113"/>
            </w:pPr>
            <w:r w:rsidRPr="00D52133">
              <w:t>New Zealand white rabbit</w:t>
            </w:r>
            <w:r w:rsidR="00A74D00">
              <w:t xml:space="preserve">, </w:t>
            </w:r>
            <w:r w:rsidRPr="00D52133">
              <w:t>6</w:t>
            </w:r>
            <w:r w:rsidR="00592E1E">
              <w:t> </w:t>
            </w:r>
            <w:r w:rsidRPr="00D52133">
              <w:t>cm</w:t>
            </w:r>
            <w:r w:rsidRPr="001A1852">
              <w:rPr>
                <w:vertAlign w:val="superscript"/>
              </w:rPr>
              <w:t>2</w:t>
            </w:r>
            <w:r w:rsidRPr="00D52133">
              <w:t xml:space="preserve"> free of hair</w:t>
            </w:r>
          </w:p>
        </w:tc>
        <w:tc>
          <w:tcPr>
            <w:tcW w:w="2728" w:type="dxa"/>
            <w:shd w:val="clear" w:color="auto" w:fill="auto"/>
          </w:tcPr>
          <w:p w14:paraId="68E227A1" w14:textId="04524B02" w:rsidR="00D52133" w:rsidRPr="00D52133" w:rsidRDefault="00D52133" w:rsidP="00D52133">
            <w:pPr>
              <w:suppressAutoHyphens w:val="0"/>
              <w:spacing w:before="40" w:after="120"/>
              <w:ind w:right="113"/>
            </w:pPr>
            <w:r w:rsidRPr="00D52133">
              <w:t>New Zealand white rabbit</w:t>
            </w:r>
            <w:r w:rsidR="00A74D00">
              <w:t>,</w:t>
            </w:r>
            <w:r w:rsidRPr="00D52133">
              <w:t xml:space="preserve"> 1</w:t>
            </w:r>
            <w:r w:rsidR="001A1852">
              <w:t>×</w:t>
            </w:r>
            <w:r w:rsidRPr="00D52133">
              <w:t>1</w:t>
            </w:r>
            <w:r w:rsidR="0076457F">
              <w:t> </w:t>
            </w:r>
            <w:r w:rsidRPr="00D52133">
              <w:t>inch, free of hair</w:t>
            </w:r>
          </w:p>
        </w:tc>
        <w:tc>
          <w:tcPr>
            <w:tcW w:w="2728" w:type="dxa"/>
            <w:shd w:val="clear" w:color="auto" w:fill="auto"/>
          </w:tcPr>
          <w:p w14:paraId="6135F433" w14:textId="7A0B4591" w:rsidR="00D52133" w:rsidRPr="00D52133" w:rsidRDefault="00D52133" w:rsidP="00A74D00">
            <w:pPr>
              <w:suppressAutoHyphens w:val="0"/>
              <w:spacing w:before="40" w:after="120"/>
              <w:ind w:right="113"/>
            </w:pPr>
            <w:r w:rsidRPr="00D52133">
              <w:t>New Zealand white rabbit</w:t>
            </w:r>
            <w:r w:rsidR="00A74D00">
              <w:t xml:space="preserve">, </w:t>
            </w:r>
            <w:r w:rsidRPr="00D52133">
              <w:t>1</w:t>
            </w:r>
            <w:r w:rsidR="001A1852">
              <w:t>×</w:t>
            </w:r>
            <w:r w:rsidRPr="00D52133">
              <w:t>1</w:t>
            </w:r>
            <w:r w:rsidR="0076457F">
              <w:t> </w:t>
            </w:r>
            <w:r w:rsidRPr="00D52133">
              <w:t>inch, free of hair</w:t>
            </w:r>
          </w:p>
        </w:tc>
        <w:tc>
          <w:tcPr>
            <w:tcW w:w="4339" w:type="dxa"/>
            <w:shd w:val="clear" w:color="auto" w:fill="auto"/>
          </w:tcPr>
          <w:p w14:paraId="3248303C" w14:textId="0F230D47" w:rsidR="00D52133" w:rsidRPr="00D52133" w:rsidRDefault="00D52133" w:rsidP="00A74D00">
            <w:pPr>
              <w:suppressAutoHyphens w:val="0"/>
              <w:spacing w:before="40" w:after="120"/>
              <w:ind w:right="113"/>
            </w:pPr>
            <w:r w:rsidRPr="00D52133">
              <w:t>Albino rabbits</w:t>
            </w:r>
            <w:r w:rsidR="00A74D00">
              <w:t xml:space="preserve">, </w:t>
            </w:r>
            <w:r w:rsidRPr="00D52133">
              <w:t>6 cm</w:t>
            </w:r>
            <w:r w:rsidRPr="001A1852">
              <w:rPr>
                <w:vertAlign w:val="superscript"/>
              </w:rPr>
              <w:t>2</w:t>
            </w:r>
            <w:r w:rsidRPr="00D52133">
              <w:t xml:space="preserve"> free of hair</w:t>
            </w:r>
          </w:p>
        </w:tc>
      </w:tr>
      <w:tr w:rsidR="00D52133" w:rsidRPr="00D52133" w14:paraId="74F7465A" w14:textId="77777777" w:rsidTr="00D52133">
        <w:tc>
          <w:tcPr>
            <w:tcW w:w="1320" w:type="dxa"/>
            <w:shd w:val="clear" w:color="auto" w:fill="auto"/>
          </w:tcPr>
          <w:p w14:paraId="428FB2C1" w14:textId="33C2A208" w:rsidR="00D52133" w:rsidRPr="00040621" w:rsidRDefault="00D52133" w:rsidP="00D52133">
            <w:pPr>
              <w:suppressAutoHyphens w:val="0"/>
              <w:spacing w:before="40" w:after="120"/>
              <w:ind w:right="113"/>
              <w:rPr>
                <w:b/>
                <w:bCs/>
              </w:rPr>
            </w:pPr>
            <w:r w:rsidRPr="00040621">
              <w:rPr>
                <w:b/>
                <w:bCs/>
              </w:rPr>
              <w:t>N</w:t>
            </w:r>
            <w:r w:rsidR="00040621">
              <w:rPr>
                <w:b/>
                <w:bCs/>
              </w:rPr>
              <w:t>o.</w:t>
            </w:r>
            <w:r w:rsidRPr="00040621">
              <w:rPr>
                <w:b/>
                <w:bCs/>
              </w:rPr>
              <w:t xml:space="preserve"> of animals</w:t>
            </w:r>
          </w:p>
        </w:tc>
        <w:tc>
          <w:tcPr>
            <w:tcW w:w="2661" w:type="dxa"/>
            <w:shd w:val="clear" w:color="auto" w:fill="auto"/>
          </w:tcPr>
          <w:p w14:paraId="1DC96D68" w14:textId="77777777" w:rsidR="00D52133" w:rsidRPr="00D52133" w:rsidRDefault="00D52133" w:rsidP="00D52133">
            <w:pPr>
              <w:suppressAutoHyphens w:val="0"/>
              <w:spacing w:before="40" w:after="120"/>
              <w:ind w:right="113"/>
            </w:pPr>
            <w:r w:rsidRPr="00D52133">
              <w:t>1 male, 2 females</w:t>
            </w:r>
          </w:p>
        </w:tc>
        <w:tc>
          <w:tcPr>
            <w:tcW w:w="2728" w:type="dxa"/>
            <w:shd w:val="clear" w:color="auto" w:fill="auto"/>
          </w:tcPr>
          <w:p w14:paraId="5376F9B5" w14:textId="77777777" w:rsidR="00D52133" w:rsidRPr="00D52133" w:rsidRDefault="00D52133" w:rsidP="00D52133">
            <w:pPr>
              <w:suppressAutoHyphens w:val="0"/>
              <w:spacing w:before="40" w:after="120"/>
              <w:ind w:right="113"/>
            </w:pPr>
            <w:r w:rsidRPr="00D52133">
              <w:t>3</w:t>
            </w:r>
          </w:p>
        </w:tc>
        <w:tc>
          <w:tcPr>
            <w:tcW w:w="2728" w:type="dxa"/>
            <w:shd w:val="clear" w:color="auto" w:fill="auto"/>
          </w:tcPr>
          <w:p w14:paraId="1656872C" w14:textId="77777777" w:rsidR="00D52133" w:rsidRPr="00D52133" w:rsidRDefault="00D52133" w:rsidP="00D52133">
            <w:pPr>
              <w:suppressAutoHyphens w:val="0"/>
              <w:spacing w:before="40" w:after="120"/>
              <w:ind w:right="113"/>
            </w:pPr>
            <w:r w:rsidRPr="00D52133">
              <w:t>3</w:t>
            </w:r>
          </w:p>
        </w:tc>
        <w:tc>
          <w:tcPr>
            <w:tcW w:w="4339" w:type="dxa"/>
            <w:shd w:val="clear" w:color="auto" w:fill="auto"/>
          </w:tcPr>
          <w:p w14:paraId="108C647A" w14:textId="77777777" w:rsidR="00D52133" w:rsidRPr="00D52133" w:rsidRDefault="00D52133" w:rsidP="00D52133">
            <w:pPr>
              <w:suppressAutoHyphens w:val="0"/>
              <w:spacing w:before="40" w:after="120"/>
              <w:ind w:right="113"/>
            </w:pPr>
            <w:r w:rsidRPr="00D52133">
              <w:t>2 to 3</w:t>
            </w:r>
          </w:p>
        </w:tc>
      </w:tr>
      <w:tr w:rsidR="00D52133" w:rsidRPr="00D52133" w14:paraId="2039DB74" w14:textId="77777777" w:rsidTr="00D52133">
        <w:tc>
          <w:tcPr>
            <w:tcW w:w="1320" w:type="dxa"/>
            <w:shd w:val="clear" w:color="auto" w:fill="auto"/>
          </w:tcPr>
          <w:p w14:paraId="4D52E713" w14:textId="77777777" w:rsidR="00D52133" w:rsidRPr="00040621" w:rsidRDefault="00D52133" w:rsidP="00D52133">
            <w:pPr>
              <w:suppressAutoHyphens w:val="0"/>
              <w:spacing w:before="40" w:after="120"/>
              <w:ind w:right="113"/>
              <w:rPr>
                <w:b/>
                <w:bCs/>
              </w:rPr>
            </w:pPr>
            <w:r w:rsidRPr="00040621">
              <w:rPr>
                <w:b/>
                <w:bCs/>
              </w:rPr>
              <w:t>Test material</w:t>
            </w:r>
          </w:p>
        </w:tc>
        <w:tc>
          <w:tcPr>
            <w:tcW w:w="2661" w:type="dxa"/>
            <w:shd w:val="clear" w:color="auto" w:fill="auto"/>
          </w:tcPr>
          <w:p w14:paraId="0AEDB10A" w14:textId="58F6EBDB" w:rsidR="00D52133" w:rsidRPr="00D52133" w:rsidRDefault="00D52133" w:rsidP="00416B9D">
            <w:pPr>
              <w:suppressAutoHyphens w:val="0"/>
              <w:spacing w:before="40" w:after="120"/>
              <w:ind w:right="113"/>
            </w:pPr>
            <w:r w:rsidRPr="00D52133">
              <w:t>Anhydrous TMEDA</w:t>
            </w:r>
            <w:r w:rsidR="00F1604C">
              <w:t>, c</w:t>
            </w:r>
            <w:r w:rsidRPr="00D52133">
              <w:t>lear colorless liquid</w:t>
            </w:r>
            <w:r w:rsidR="00416B9D">
              <w:t xml:space="preserve">, </w:t>
            </w:r>
            <w:r w:rsidRPr="00D52133">
              <w:t>0</w:t>
            </w:r>
            <w:r w:rsidR="00E158BC">
              <w:t>.</w:t>
            </w:r>
            <w:r w:rsidRPr="00D52133">
              <w:t>5 ml</w:t>
            </w:r>
          </w:p>
        </w:tc>
        <w:tc>
          <w:tcPr>
            <w:tcW w:w="2728" w:type="dxa"/>
            <w:shd w:val="clear" w:color="auto" w:fill="auto"/>
          </w:tcPr>
          <w:p w14:paraId="2B3DC228" w14:textId="36842685" w:rsidR="00D52133" w:rsidRPr="00D52133" w:rsidRDefault="00D52133" w:rsidP="00D50CA3">
            <w:pPr>
              <w:suppressAutoHyphens w:val="0"/>
              <w:spacing w:before="40" w:after="120"/>
              <w:ind w:right="113"/>
            </w:pPr>
            <w:r w:rsidRPr="00D52133">
              <w:t>Anhydrous TMEDA</w:t>
            </w:r>
            <w:r w:rsidR="00F1604C">
              <w:t>, c</w:t>
            </w:r>
            <w:r w:rsidRPr="00D52133">
              <w:t xml:space="preserve">lear colorless </w:t>
            </w:r>
            <w:proofErr w:type="gramStart"/>
            <w:r w:rsidRPr="00D52133">
              <w:t>pale yellow</w:t>
            </w:r>
            <w:proofErr w:type="gramEnd"/>
            <w:r w:rsidRPr="00D52133">
              <w:t xml:space="preserve"> liquid</w:t>
            </w:r>
            <w:r w:rsidR="00416B9D">
              <w:t>,</w:t>
            </w:r>
            <w:r w:rsidRPr="00D52133">
              <w:t xml:space="preserve"> 0</w:t>
            </w:r>
            <w:r w:rsidR="00E158BC">
              <w:t>.</w:t>
            </w:r>
            <w:r w:rsidRPr="00D52133">
              <w:t>5</w:t>
            </w:r>
            <w:r w:rsidR="00592E1E">
              <w:t> </w:t>
            </w:r>
            <w:r w:rsidRPr="00D52133">
              <w:t>ml</w:t>
            </w:r>
          </w:p>
        </w:tc>
        <w:tc>
          <w:tcPr>
            <w:tcW w:w="2728" w:type="dxa"/>
            <w:shd w:val="clear" w:color="auto" w:fill="auto"/>
          </w:tcPr>
          <w:p w14:paraId="7B4E3BD0" w14:textId="44A28CC6" w:rsidR="00D52133" w:rsidRPr="00D52133" w:rsidRDefault="00D52133" w:rsidP="00D52133">
            <w:pPr>
              <w:suppressAutoHyphens w:val="0"/>
              <w:spacing w:before="40" w:after="120"/>
              <w:ind w:right="113"/>
            </w:pPr>
            <w:r w:rsidRPr="00D52133">
              <w:t xml:space="preserve">Clear colorless </w:t>
            </w:r>
            <w:proofErr w:type="gramStart"/>
            <w:r w:rsidRPr="00D52133">
              <w:t>pale yellow</w:t>
            </w:r>
            <w:proofErr w:type="gramEnd"/>
            <w:r w:rsidRPr="00D52133">
              <w:t xml:space="preserve"> liquid</w:t>
            </w:r>
            <w:r w:rsidR="008564FF">
              <w:t>,</w:t>
            </w:r>
            <w:r w:rsidRPr="00D52133">
              <w:t xml:space="preserve"> 0</w:t>
            </w:r>
            <w:r w:rsidR="00E158BC">
              <w:t>.</w:t>
            </w:r>
            <w:r w:rsidRPr="00D52133">
              <w:t>5 ml</w:t>
            </w:r>
          </w:p>
        </w:tc>
        <w:tc>
          <w:tcPr>
            <w:tcW w:w="4339" w:type="dxa"/>
            <w:shd w:val="clear" w:color="auto" w:fill="auto"/>
          </w:tcPr>
          <w:p w14:paraId="03599F1D" w14:textId="76B8E356" w:rsidR="00D52133" w:rsidRPr="00D52133" w:rsidRDefault="00D52133" w:rsidP="00D52133">
            <w:pPr>
              <w:suppressAutoHyphens w:val="0"/>
              <w:spacing w:before="40" w:after="120"/>
              <w:ind w:right="113"/>
            </w:pPr>
            <w:r w:rsidRPr="00D52133">
              <w:t>Undiluted liquid</w:t>
            </w:r>
            <w:r w:rsidR="008564FF">
              <w:t>,</w:t>
            </w:r>
            <w:r w:rsidRPr="00D52133">
              <w:t xml:space="preserve"> 0</w:t>
            </w:r>
            <w:r w:rsidR="008564FF">
              <w:t>.</w:t>
            </w:r>
            <w:r w:rsidRPr="00D52133">
              <w:t>5 ml</w:t>
            </w:r>
          </w:p>
        </w:tc>
      </w:tr>
      <w:tr w:rsidR="00D52133" w:rsidRPr="00D52133" w14:paraId="09AE492F" w14:textId="77777777" w:rsidTr="00D52133">
        <w:tc>
          <w:tcPr>
            <w:tcW w:w="1320" w:type="dxa"/>
            <w:shd w:val="clear" w:color="auto" w:fill="auto"/>
          </w:tcPr>
          <w:p w14:paraId="66A4A24B" w14:textId="77777777" w:rsidR="00D52133" w:rsidRPr="00040621" w:rsidRDefault="00D52133" w:rsidP="00D52133">
            <w:pPr>
              <w:suppressAutoHyphens w:val="0"/>
              <w:spacing w:before="40" w:after="120"/>
              <w:ind w:right="113"/>
              <w:rPr>
                <w:b/>
                <w:bCs/>
              </w:rPr>
            </w:pPr>
            <w:r w:rsidRPr="00040621">
              <w:rPr>
                <w:b/>
                <w:bCs/>
              </w:rPr>
              <w:t>Controls</w:t>
            </w:r>
          </w:p>
        </w:tc>
        <w:tc>
          <w:tcPr>
            <w:tcW w:w="2661" w:type="dxa"/>
            <w:shd w:val="clear" w:color="auto" w:fill="auto"/>
          </w:tcPr>
          <w:p w14:paraId="54F2F714" w14:textId="77777777" w:rsidR="00D52133" w:rsidRPr="00D52133" w:rsidRDefault="00D52133" w:rsidP="00D52133">
            <w:pPr>
              <w:suppressAutoHyphens w:val="0"/>
              <w:spacing w:before="40" w:after="120"/>
              <w:ind w:right="113"/>
            </w:pPr>
            <w:r w:rsidRPr="00D52133">
              <w:t>Untreated skin areas of the test animal serve as control</w:t>
            </w:r>
          </w:p>
        </w:tc>
        <w:tc>
          <w:tcPr>
            <w:tcW w:w="2728" w:type="dxa"/>
            <w:shd w:val="clear" w:color="auto" w:fill="auto"/>
          </w:tcPr>
          <w:p w14:paraId="07FDA052" w14:textId="77777777" w:rsidR="00D52133" w:rsidRPr="00D52133" w:rsidRDefault="00D52133" w:rsidP="00D52133">
            <w:pPr>
              <w:suppressAutoHyphens w:val="0"/>
              <w:spacing w:before="40" w:after="120"/>
              <w:ind w:right="113"/>
            </w:pPr>
            <w:r w:rsidRPr="00D52133">
              <w:t>Untreated skin areas of the test animal serve as control</w:t>
            </w:r>
          </w:p>
        </w:tc>
        <w:tc>
          <w:tcPr>
            <w:tcW w:w="2728" w:type="dxa"/>
            <w:shd w:val="clear" w:color="auto" w:fill="auto"/>
          </w:tcPr>
          <w:p w14:paraId="27FC2C67" w14:textId="77777777" w:rsidR="00D52133" w:rsidRPr="00D52133" w:rsidRDefault="00D52133" w:rsidP="00D52133">
            <w:pPr>
              <w:suppressAutoHyphens w:val="0"/>
              <w:spacing w:before="40" w:after="120"/>
              <w:ind w:right="113"/>
            </w:pPr>
            <w:r w:rsidRPr="00D52133">
              <w:t>Untreated skin areas of the test animal serve as control</w:t>
            </w:r>
          </w:p>
        </w:tc>
        <w:tc>
          <w:tcPr>
            <w:tcW w:w="4339" w:type="dxa"/>
            <w:shd w:val="clear" w:color="auto" w:fill="auto"/>
          </w:tcPr>
          <w:p w14:paraId="10403141" w14:textId="77777777" w:rsidR="00D52133" w:rsidRPr="00D52133" w:rsidRDefault="00D52133" w:rsidP="00D52133">
            <w:pPr>
              <w:suppressAutoHyphens w:val="0"/>
              <w:spacing w:before="40" w:after="120"/>
              <w:ind w:right="113"/>
            </w:pPr>
            <w:r w:rsidRPr="00D52133">
              <w:t>Untreated skin areas of the test animal serve as control</w:t>
            </w:r>
          </w:p>
        </w:tc>
      </w:tr>
      <w:tr w:rsidR="00D52133" w:rsidRPr="00D52133" w14:paraId="10980E28" w14:textId="77777777" w:rsidTr="00D52133">
        <w:tc>
          <w:tcPr>
            <w:tcW w:w="1320" w:type="dxa"/>
            <w:shd w:val="clear" w:color="auto" w:fill="auto"/>
          </w:tcPr>
          <w:p w14:paraId="7E3A36E2" w14:textId="77777777" w:rsidR="00D52133" w:rsidRPr="00040621" w:rsidRDefault="00D52133" w:rsidP="00D52133">
            <w:pPr>
              <w:suppressAutoHyphens w:val="0"/>
              <w:spacing w:before="40" w:after="120"/>
              <w:ind w:right="113"/>
              <w:rPr>
                <w:b/>
                <w:bCs/>
              </w:rPr>
            </w:pPr>
            <w:r w:rsidRPr="00040621">
              <w:rPr>
                <w:b/>
                <w:bCs/>
              </w:rPr>
              <w:t>Observation period</w:t>
            </w:r>
          </w:p>
        </w:tc>
        <w:tc>
          <w:tcPr>
            <w:tcW w:w="2661" w:type="dxa"/>
            <w:shd w:val="clear" w:color="auto" w:fill="auto"/>
          </w:tcPr>
          <w:p w14:paraId="1A587FC1" w14:textId="77777777" w:rsidR="00D52133" w:rsidRPr="00D52133" w:rsidRDefault="00D52133" w:rsidP="00D52133">
            <w:pPr>
              <w:suppressAutoHyphens w:val="0"/>
              <w:spacing w:before="40" w:after="120"/>
              <w:ind w:right="113"/>
            </w:pPr>
            <w:r w:rsidRPr="00D52133">
              <w:t>1 hour, 24 hours</w:t>
            </w:r>
          </w:p>
        </w:tc>
        <w:tc>
          <w:tcPr>
            <w:tcW w:w="2728" w:type="dxa"/>
            <w:shd w:val="clear" w:color="auto" w:fill="auto"/>
          </w:tcPr>
          <w:p w14:paraId="5029C822" w14:textId="77777777" w:rsidR="00D52133" w:rsidRPr="00D52133" w:rsidRDefault="00D52133" w:rsidP="00D52133">
            <w:pPr>
              <w:suppressAutoHyphens w:val="0"/>
              <w:spacing w:before="40" w:after="120"/>
              <w:ind w:right="113"/>
            </w:pPr>
            <w:r w:rsidRPr="00D52133">
              <w:t>30 minutes, 24 and 48 hours</w:t>
            </w:r>
          </w:p>
        </w:tc>
        <w:tc>
          <w:tcPr>
            <w:tcW w:w="2728" w:type="dxa"/>
            <w:shd w:val="clear" w:color="auto" w:fill="auto"/>
          </w:tcPr>
          <w:p w14:paraId="6DEFA2F4" w14:textId="77777777" w:rsidR="00D52133" w:rsidRPr="00D52133" w:rsidRDefault="00D52133" w:rsidP="00D52133">
            <w:pPr>
              <w:suppressAutoHyphens w:val="0"/>
              <w:spacing w:before="40" w:after="120"/>
              <w:ind w:right="113"/>
            </w:pPr>
            <w:r w:rsidRPr="00D52133">
              <w:t>30 minutes, 24 and 48 hours</w:t>
            </w:r>
          </w:p>
        </w:tc>
        <w:tc>
          <w:tcPr>
            <w:tcW w:w="4339" w:type="dxa"/>
            <w:shd w:val="clear" w:color="auto" w:fill="auto"/>
          </w:tcPr>
          <w:p w14:paraId="71882FA0" w14:textId="79E49991" w:rsidR="00D52133" w:rsidRPr="00D52133" w:rsidRDefault="00D52133" w:rsidP="007616AB">
            <w:pPr>
              <w:suppressAutoHyphens w:val="0"/>
              <w:spacing w:before="40" w:after="120"/>
              <w:ind w:right="113"/>
            </w:pPr>
            <w:r w:rsidRPr="00D52133">
              <w:t xml:space="preserve">Observation 14 </w:t>
            </w:r>
            <w:proofErr w:type="gramStart"/>
            <w:r w:rsidRPr="00D52133">
              <w:t>days, unless</w:t>
            </w:r>
            <w:proofErr w:type="gramEnd"/>
            <w:r w:rsidRPr="00D52133">
              <w:t xml:space="preserve"> corrosion develops at an earlier time point</w:t>
            </w:r>
            <w:r w:rsidR="007616AB">
              <w:t xml:space="preserve">. </w:t>
            </w:r>
            <w:r w:rsidRPr="00D52133">
              <w:t>24, 48, 72 hours</w:t>
            </w:r>
          </w:p>
        </w:tc>
      </w:tr>
      <w:tr w:rsidR="00D52133" w:rsidRPr="00D52133" w14:paraId="73A87009" w14:textId="77777777" w:rsidTr="00D52133">
        <w:tc>
          <w:tcPr>
            <w:tcW w:w="1320" w:type="dxa"/>
            <w:tcBorders>
              <w:bottom w:val="single" w:sz="12" w:space="0" w:color="auto"/>
            </w:tcBorders>
            <w:shd w:val="clear" w:color="auto" w:fill="auto"/>
          </w:tcPr>
          <w:p w14:paraId="3463BFEA" w14:textId="77777777" w:rsidR="00D52133" w:rsidRPr="00040621" w:rsidRDefault="00D52133" w:rsidP="00D52133">
            <w:pPr>
              <w:suppressAutoHyphens w:val="0"/>
              <w:spacing w:before="40" w:after="120"/>
              <w:ind w:right="113"/>
              <w:rPr>
                <w:b/>
                <w:bCs/>
              </w:rPr>
            </w:pPr>
            <w:r w:rsidRPr="00040621">
              <w:rPr>
                <w:b/>
                <w:bCs/>
              </w:rPr>
              <w:t>Corrosion def</w:t>
            </w:r>
          </w:p>
        </w:tc>
        <w:tc>
          <w:tcPr>
            <w:tcW w:w="2661" w:type="dxa"/>
            <w:tcBorders>
              <w:bottom w:val="single" w:sz="12" w:space="0" w:color="auto"/>
            </w:tcBorders>
            <w:shd w:val="clear" w:color="auto" w:fill="auto"/>
          </w:tcPr>
          <w:p w14:paraId="71C6545D" w14:textId="77777777" w:rsidR="00D52133" w:rsidRPr="00D52133" w:rsidRDefault="00D52133" w:rsidP="00D52133">
            <w:pPr>
              <w:suppressAutoHyphens w:val="0"/>
              <w:spacing w:before="40" w:after="120"/>
              <w:ind w:right="113"/>
            </w:pPr>
            <w:r w:rsidRPr="00D52133">
              <w:t>Full thickness necrosis in at least one animal</w:t>
            </w:r>
          </w:p>
        </w:tc>
        <w:tc>
          <w:tcPr>
            <w:tcW w:w="2728" w:type="dxa"/>
            <w:tcBorders>
              <w:bottom w:val="single" w:sz="12" w:space="0" w:color="auto"/>
            </w:tcBorders>
            <w:shd w:val="clear" w:color="auto" w:fill="auto"/>
          </w:tcPr>
          <w:p w14:paraId="609F6440" w14:textId="77777777" w:rsidR="00D52133" w:rsidRPr="00D52133" w:rsidRDefault="00D52133" w:rsidP="00D52133">
            <w:pPr>
              <w:suppressAutoHyphens w:val="0"/>
              <w:spacing w:before="40" w:after="120"/>
              <w:ind w:right="113"/>
            </w:pPr>
            <w:r w:rsidRPr="00D52133">
              <w:t>Destruction (= ulceration or necrosis) or irreversible alteration of the tissue</w:t>
            </w:r>
          </w:p>
        </w:tc>
        <w:tc>
          <w:tcPr>
            <w:tcW w:w="2728" w:type="dxa"/>
            <w:tcBorders>
              <w:bottom w:val="single" w:sz="12" w:space="0" w:color="auto"/>
            </w:tcBorders>
            <w:shd w:val="clear" w:color="auto" w:fill="auto"/>
          </w:tcPr>
          <w:p w14:paraId="5DD5DDD0" w14:textId="77777777" w:rsidR="00D52133" w:rsidRPr="00D52133" w:rsidRDefault="00D52133" w:rsidP="00D52133">
            <w:pPr>
              <w:suppressAutoHyphens w:val="0"/>
              <w:spacing w:before="40" w:after="120"/>
              <w:ind w:right="113"/>
            </w:pPr>
            <w:r w:rsidRPr="00D52133">
              <w:t>Destruction (= ulceration or necrosis) or irreversible alteration of the tissue</w:t>
            </w:r>
          </w:p>
        </w:tc>
        <w:tc>
          <w:tcPr>
            <w:tcW w:w="4339" w:type="dxa"/>
            <w:tcBorders>
              <w:bottom w:val="single" w:sz="12" w:space="0" w:color="auto"/>
            </w:tcBorders>
            <w:shd w:val="clear" w:color="auto" w:fill="auto"/>
          </w:tcPr>
          <w:p w14:paraId="70AB6A59" w14:textId="77777777" w:rsidR="00D52133" w:rsidRPr="00D52133" w:rsidRDefault="00D52133" w:rsidP="00D52133">
            <w:pPr>
              <w:suppressAutoHyphens w:val="0"/>
              <w:spacing w:before="40" w:after="120"/>
              <w:ind w:right="113"/>
            </w:pPr>
            <w:r w:rsidRPr="00D52133">
              <w:t>Dermal corrosion is the production of irreversible damage of the skin; namely, visible necrosis through the epidermis and into the dermis, following the application of a test chemical for up to four hours.</w:t>
            </w:r>
          </w:p>
          <w:p w14:paraId="7B1BC6D9" w14:textId="77777777" w:rsidR="00D52133" w:rsidRPr="00D52133" w:rsidRDefault="00D52133" w:rsidP="00D52133">
            <w:pPr>
              <w:suppressAutoHyphens w:val="0"/>
              <w:spacing w:before="40" w:after="120"/>
              <w:ind w:right="113"/>
            </w:pPr>
            <w:r w:rsidRPr="00D52133">
              <w:t>Corrosive reactions are typified by ulcers, bleeding, bloody scabs, and, by the end of observation at 14 days, by discoloration due to blanching of the skin, complete areas of alopecia, and scars.</w:t>
            </w:r>
          </w:p>
        </w:tc>
      </w:tr>
    </w:tbl>
    <w:p w14:paraId="1FDEF731" w14:textId="77777777" w:rsidR="00D52133" w:rsidRDefault="00D52133" w:rsidP="00D52133"/>
    <w:p w14:paraId="591E446D" w14:textId="77777777" w:rsidR="00D52133" w:rsidRDefault="00D52133" w:rsidP="00D52133"/>
    <w:tbl>
      <w:tblPr>
        <w:tblStyle w:val="TableGrid"/>
        <w:tblW w:w="13776" w:type="dxa"/>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01"/>
        <w:gridCol w:w="2672"/>
        <w:gridCol w:w="2729"/>
        <w:gridCol w:w="2732"/>
        <w:gridCol w:w="4342"/>
      </w:tblGrid>
      <w:tr w:rsidR="00D52133" w:rsidRPr="00D52133" w14:paraId="2DE377C7" w14:textId="77777777" w:rsidTr="00D52133">
        <w:trPr>
          <w:tblHeader/>
        </w:trPr>
        <w:tc>
          <w:tcPr>
            <w:tcW w:w="1301" w:type="dxa"/>
            <w:tcBorders>
              <w:top w:val="single" w:sz="4" w:space="0" w:color="auto"/>
              <w:bottom w:val="single" w:sz="12" w:space="0" w:color="auto"/>
            </w:tcBorders>
            <w:shd w:val="clear" w:color="auto" w:fill="auto"/>
            <w:vAlign w:val="bottom"/>
          </w:tcPr>
          <w:p w14:paraId="7933EB60" w14:textId="77777777" w:rsidR="00D52133" w:rsidRPr="00040621" w:rsidRDefault="00D52133" w:rsidP="00D52133">
            <w:pPr>
              <w:suppressAutoHyphens w:val="0"/>
              <w:spacing w:before="80" w:after="80" w:line="200" w:lineRule="exact"/>
              <w:ind w:right="113"/>
              <w:rPr>
                <w:b/>
                <w:bCs/>
                <w:i/>
                <w:sz w:val="16"/>
              </w:rPr>
            </w:pPr>
          </w:p>
        </w:tc>
        <w:tc>
          <w:tcPr>
            <w:tcW w:w="2672" w:type="dxa"/>
            <w:tcBorders>
              <w:top w:val="single" w:sz="4" w:space="0" w:color="auto"/>
              <w:bottom w:val="single" w:sz="12" w:space="0" w:color="auto"/>
            </w:tcBorders>
            <w:shd w:val="clear" w:color="auto" w:fill="auto"/>
            <w:vAlign w:val="bottom"/>
          </w:tcPr>
          <w:p w14:paraId="57D9C3A6" w14:textId="77777777" w:rsidR="00D52133" w:rsidRPr="00D52133" w:rsidRDefault="00D52133" w:rsidP="00D52133">
            <w:pPr>
              <w:suppressAutoHyphens w:val="0"/>
              <w:spacing w:before="80" w:after="80" w:line="200" w:lineRule="exact"/>
              <w:ind w:right="113"/>
              <w:rPr>
                <w:i/>
                <w:sz w:val="16"/>
              </w:rPr>
            </w:pPr>
            <w:r w:rsidRPr="00D52133">
              <w:rPr>
                <w:i/>
                <w:sz w:val="16"/>
              </w:rPr>
              <w:t>Study report 2000</w:t>
            </w:r>
          </w:p>
        </w:tc>
        <w:tc>
          <w:tcPr>
            <w:tcW w:w="2729" w:type="dxa"/>
            <w:tcBorders>
              <w:top w:val="single" w:sz="4" w:space="0" w:color="auto"/>
              <w:bottom w:val="single" w:sz="12" w:space="0" w:color="auto"/>
            </w:tcBorders>
            <w:shd w:val="clear" w:color="auto" w:fill="auto"/>
            <w:vAlign w:val="bottom"/>
          </w:tcPr>
          <w:p w14:paraId="5833A838" w14:textId="77777777" w:rsidR="00D52133" w:rsidRPr="00D52133" w:rsidRDefault="00D52133" w:rsidP="00D52133">
            <w:pPr>
              <w:suppressAutoHyphens w:val="0"/>
              <w:spacing w:before="80" w:after="80" w:line="200" w:lineRule="exact"/>
              <w:ind w:right="113"/>
              <w:rPr>
                <w:i/>
                <w:sz w:val="16"/>
              </w:rPr>
            </w:pPr>
            <w:r w:rsidRPr="00D52133">
              <w:rPr>
                <w:i/>
                <w:sz w:val="16"/>
              </w:rPr>
              <w:t>Study report 1989</w:t>
            </w:r>
          </w:p>
        </w:tc>
        <w:tc>
          <w:tcPr>
            <w:tcW w:w="2732" w:type="dxa"/>
            <w:tcBorders>
              <w:top w:val="single" w:sz="4" w:space="0" w:color="auto"/>
              <w:bottom w:val="single" w:sz="12" w:space="0" w:color="auto"/>
            </w:tcBorders>
            <w:shd w:val="clear" w:color="auto" w:fill="auto"/>
            <w:vAlign w:val="bottom"/>
          </w:tcPr>
          <w:p w14:paraId="50C96248" w14:textId="77777777" w:rsidR="00D52133" w:rsidRPr="00D52133" w:rsidRDefault="00D52133" w:rsidP="00D52133">
            <w:pPr>
              <w:suppressAutoHyphens w:val="0"/>
              <w:spacing w:before="80" w:after="80" w:line="200" w:lineRule="exact"/>
              <w:ind w:right="113"/>
              <w:rPr>
                <w:i/>
                <w:sz w:val="16"/>
              </w:rPr>
            </w:pPr>
            <w:r w:rsidRPr="00D52133">
              <w:rPr>
                <w:i/>
                <w:sz w:val="16"/>
              </w:rPr>
              <w:t>Study report 1988</w:t>
            </w:r>
          </w:p>
        </w:tc>
        <w:tc>
          <w:tcPr>
            <w:tcW w:w="4342" w:type="dxa"/>
            <w:tcBorders>
              <w:top w:val="single" w:sz="4" w:space="0" w:color="auto"/>
              <w:bottom w:val="single" w:sz="12" w:space="0" w:color="auto"/>
            </w:tcBorders>
            <w:shd w:val="clear" w:color="auto" w:fill="auto"/>
            <w:vAlign w:val="bottom"/>
          </w:tcPr>
          <w:p w14:paraId="58CC3A3F" w14:textId="77777777" w:rsidR="00D52133" w:rsidRPr="00D52133" w:rsidRDefault="00D52133" w:rsidP="00D52133">
            <w:pPr>
              <w:suppressAutoHyphens w:val="0"/>
              <w:spacing w:before="80" w:after="80" w:line="200" w:lineRule="exact"/>
              <w:ind w:right="113"/>
              <w:rPr>
                <w:i/>
                <w:sz w:val="16"/>
              </w:rPr>
            </w:pPr>
            <w:r w:rsidRPr="00D52133">
              <w:rPr>
                <w:i/>
                <w:sz w:val="16"/>
              </w:rPr>
              <w:t>OECD Guideline 404, last update: 2015</w:t>
            </w:r>
          </w:p>
        </w:tc>
      </w:tr>
      <w:tr w:rsidR="00D52133" w:rsidRPr="00D52133" w14:paraId="1E7598E6" w14:textId="77777777" w:rsidTr="00D52133">
        <w:trPr>
          <w:trHeight w:hRule="exact" w:val="113"/>
        </w:trPr>
        <w:tc>
          <w:tcPr>
            <w:tcW w:w="1301" w:type="dxa"/>
            <w:tcBorders>
              <w:top w:val="single" w:sz="12" w:space="0" w:color="auto"/>
            </w:tcBorders>
            <w:shd w:val="clear" w:color="auto" w:fill="auto"/>
          </w:tcPr>
          <w:p w14:paraId="4B7652D0" w14:textId="77777777" w:rsidR="00D52133" w:rsidRPr="00040621" w:rsidRDefault="00D52133" w:rsidP="00D52133">
            <w:pPr>
              <w:suppressAutoHyphens w:val="0"/>
              <w:spacing w:before="40" w:after="120"/>
              <w:ind w:right="113"/>
              <w:rPr>
                <w:b/>
                <w:bCs/>
              </w:rPr>
            </w:pPr>
          </w:p>
        </w:tc>
        <w:tc>
          <w:tcPr>
            <w:tcW w:w="2672" w:type="dxa"/>
            <w:tcBorders>
              <w:top w:val="single" w:sz="12" w:space="0" w:color="auto"/>
            </w:tcBorders>
            <w:shd w:val="clear" w:color="auto" w:fill="auto"/>
          </w:tcPr>
          <w:p w14:paraId="1553CFA1" w14:textId="77777777" w:rsidR="00D52133" w:rsidRPr="00D52133" w:rsidRDefault="00D52133" w:rsidP="00D52133">
            <w:pPr>
              <w:suppressAutoHyphens w:val="0"/>
              <w:spacing w:before="40" w:after="120"/>
              <w:ind w:right="113"/>
            </w:pPr>
          </w:p>
        </w:tc>
        <w:tc>
          <w:tcPr>
            <w:tcW w:w="2729" w:type="dxa"/>
            <w:tcBorders>
              <w:top w:val="single" w:sz="12" w:space="0" w:color="auto"/>
            </w:tcBorders>
            <w:shd w:val="clear" w:color="auto" w:fill="auto"/>
          </w:tcPr>
          <w:p w14:paraId="4B5113B4" w14:textId="77777777" w:rsidR="00D52133" w:rsidRPr="00D52133" w:rsidRDefault="00D52133" w:rsidP="00D52133">
            <w:pPr>
              <w:suppressAutoHyphens w:val="0"/>
              <w:spacing w:before="40" w:after="120"/>
              <w:ind w:right="113"/>
            </w:pPr>
          </w:p>
        </w:tc>
        <w:tc>
          <w:tcPr>
            <w:tcW w:w="2732" w:type="dxa"/>
            <w:tcBorders>
              <w:top w:val="single" w:sz="12" w:space="0" w:color="auto"/>
            </w:tcBorders>
            <w:shd w:val="clear" w:color="auto" w:fill="auto"/>
          </w:tcPr>
          <w:p w14:paraId="006DAD6C" w14:textId="77777777" w:rsidR="00D52133" w:rsidRPr="00D52133" w:rsidRDefault="00D52133" w:rsidP="00D52133">
            <w:pPr>
              <w:suppressAutoHyphens w:val="0"/>
              <w:spacing w:before="40" w:after="120"/>
              <w:ind w:right="113"/>
            </w:pPr>
          </w:p>
        </w:tc>
        <w:tc>
          <w:tcPr>
            <w:tcW w:w="4342" w:type="dxa"/>
            <w:tcBorders>
              <w:top w:val="single" w:sz="12" w:space="0" w:color="auto"/>
            </w:tcBorders>
            <w:shd w:val="clear" w:color="auto" w:fill="auto"/>
          </w:tcPr>
          <w:p w14:paraId="0AA2B139" w14:textId="77777777" w:rsidR="00D52133" w:rsidRPr="00D52133" w:rsidRDefault="00D52133" w:rsidP="00D52133">
            <w:pPr>
              <w:suppressAutoHyphens w:val="0"/>
              <w:spacing w:before="40" w:after="120"/>
              <w:ind w:right="113"/>
            </w:pPr>
          </w:p>
        </w:tc>
      </w:tr>
      <w:tr w:rsidR="00D52133" w:rsidRPr="00D52133" w14:paraId="77009A0D" w14:textId="77777777" w:rsidTr="00D52133">
        <w:tc>
          <w:tcPr>
            <w:tcW w:w="1301" w:type="dxa"/>
            <w:tcBorders>
              <w:bottom w:val="single" w:sz="12" w:space="0" w:color="auto"/>
            </w:tcBorders>
            <w:shd w:val="clear" w:color="auto" w:fill="auto"/>
          </w:tcPr>
          <w:p w14:paraId="0A76CE8F" w14:textId="77777777" w:rsidR="00D52133" w:rsidRPr="00040621" w:rsidRDefault="00D52133" w:rsidP="00D52133">
            <w:pPr>
              <w:suppressAutoHyphens w:val="0"/>
              <w:spacing w:before="40" w:after="120"/>
              <w:ind w:right="113"/>
              <w:rPr>
                <w:b/>
                <w:bCs/>
              </w:rPr>
            </w:pPr>
            <w:r w:rsidRPr="00040621">
              <w:rPr>
                <w:b/>
                <w:bCs/>
              </w:rPr>
              <w:t>Results</w:t>
            </w:r>
          </w:p>
        </w:tc>
        <w:tc>
          <w:tcPr>
            <w:tcW w:w="2672" w:type="dxa"/>
            <w:tcBorders>
              <w:bottom w:val="single" w:sz="12" w:space="0" w:color="auto"/>
            </w:tcBorders>
            <w:shd w:val="clear" w:color="auto" w:fill="auto"/>
          </w:tcPr>
          <w:p w14:paraId="27FA746F" w14:textId="7E168D4F" w:rsidR="00D52133" w:rsidRPr="00D52133" w:rsidRDefault="00D52133" w:rsidP="00727693">
            <w:pPr>
              <w:suppressAutoHyphens w:val="0"/>
              <w:spacing w:before="40" w:after="120"/>
              <w:ind w:right="113"/>
            </w:pPr>
            <w:r w:rsidRPr="00D52133">
              <w:rPr>
                <w:u w:val="single"/>
              </w:rPr>
              <w:t>3-min-exposure</w:t>
            </w:r>
            <w:r w:rsidRPr="00D52133">
              <w:t>:</w:t>
            </w:r>
            <w:r w:rsidR="00727693">
              <w:br/>
              <w:t xml:space="preserve">- </w:t>
            </w:r>
            <w:r w:rsidRPr="00D52133">
              <w:t>reading after 1 hour</w:t>
            </w:r>
            <w:r w:rsidR="00040621">
              <w:t xml:space="preserve"> </w:t>
            </w:r>
            <w:r w:rsidRPr="00D52133">
              <w:t>&gt; no indication of corrosivity</w:t>
            </w:r>
            <w:r w:rsidR="00727693">
              <w:br/>
              <w:t>- r</w:t>
            </w:r>
            <w:r w:rsidRPr="00D52133">
              <w:t xml:space="preserve">eading after 24 </w:t>
            </w:r>
            <w:proofErr w:type="gramStart"/>
            <w:r w:rsidRPr="00D52133">
              <w:t>hour</w:t>
            </w:r>
            <w:proofErr w:type="gramEnd"/>
            <w:r w:rsidRPr="00D52133">
              <w:t xml:space="preserve"> &gt; positive indication of corrosivity</w:t>
            </w:r>
          </w:p>
          <w:p w14:paraId="2991BE6D" w14:textId="2A70FBAB" w:rsidR="00D52133" w:rsidRPr="00D52133" w:rsidRDefault="00D52133" w:rsidP="00500D39">
            <w:pPr>
              <w:suppressAutoHyphens w:val="0"/>
              <w:spacing w:before="40" w:after="120"/>
              <w:ind w:right="113"/>
            </w:pPr>
            <w:r w:rsidRPr="00D52133">
              <w:rPr>
                <w:u w:val="single"/>
              </w:rPr>
              <w:t>1-hour-exposure</w:t>
            </w:r>
            <w:r w:rsidRPr="00D52133">
              <w:t>:</w:t>
            </w:r>
            <w:r w:rsidR="00727693">
              <w:br/>
              <w:t xml:space="preserve">- </w:t>
            </w:r>
            <w:r w:rsidRPr="00D52133">
              <w:t>reading after 1 hour</w:t>
            </w:r>
            <w:r w:rsidR="00EA5201">
              <w:t xml:space="preserve"> </w:t>
            </w:r>
            <w:r w:rsidRPr="00D52133">
              <w:t>&gt; no indication of corrosivity</w:t>
            </w:r>
            <w:r w:rsidR="00500D39">
              <w:br/>
              <w:t xml:space="preserve">- </w:t>
            </w:r>
            <w:r w:rsidRPr="00D52133">
              <w:t xml:space="preserve">reading after 24 </w:t>
            </w:r>
            <w:proofErr w:type="gramStart"/>
            <w:r w:rsidRPr="00D52133">
              <w:t>hour</w:t>
            </w:r>
            <w:proofErr w:type="gramEnd"/>
            <w:r w:rsidRPr="00D52133">
              <w:t xml:space="preserve"> &gt; positive indication of corrosivity, not fully reversible, erythema score 4/4, edema score 2/4 </w:t>
            </w:r>
          </w:p>
          <w:p w14:paraId="57432E2B" w14:textId="77777777" w:rsidR="00D52133" w:rsidRPr="001038CA" w:rsidRDefault="00D52133" w:rsidP="00D52133">
            <w:pPr>
              <w:suppressAutoHyphens w:val="0"/>
              <w:spacing w:before="40" w:after="120"/>
              <w:ind w:right="113"/>
              <w:rPr>
                <w:b/>
                <w:bCs/>
              </w:rPr>
            </w:pPr>
            <w:r w:rsidRPr="001038CA">
              <w:rPr>
                <w:b/>
                <w:bCs/>
              </w:rPr>
              <w:t>&gt; Category 1</w:t>
            </w:r>
          </w:p>
        </w:tc>
        <w:tc>
          <w:tcPr>
            <w:tcW w:w="2729" w:type="dxa"/>
            <w:tcBorders>
              <w:bottom w:val="single" w:sz="12" w:space="0" w:color="auto"/>
            </w:tcBorders>
            <w:shd w:val="clear" w:color="auto" w:fill="auto"/>
          </w:tcPr>
          <w:p w14:paraId="3DEF126B" w14:textId="556FB9BD" w:rsidR="00D52133" w:rsidRPr="00D52133" w:rsidRDefault="00D52133" w:rsidP="00500D39">
            <w:pPr>
              <w:suppressAutoHyphens w:val="0"/>
              <w:spacing w:before="40" w:after="120"/>
              <w:ind w:right="113"/>
            </w:pPr>
            <w:r w:rsidRPr="00D52133">
              <w:rPr>
                <w:u w:val="single"/>
              </w:rPr>
              <w:t>3-min-exposure</w:t>
            </w:r>
            <w:r w:rsidRPr="00D52133">
              <w:t>:</w:t>
            </w:r>
            <w:r w:rsidR="00500D39">
              <w:br/>
            </w:r>
            <w:r w:rsidRPr="00D52133">
              <w:t xml:space="preserve">24/48 hours &gt; erythema score 4/4, edema score 2/4 </w:t>
            </w:r>
          </w:p>
          <w:p w14:paraId="17A2631F" w14:textId="77777777" w:rsidR="00D52133" w:rsidRPr="001038CA" w:rsidRDefault="00D52133" w:rsidP="00D52133">
            <w:pPr>
              <w:suppressAutoHyphens w:val="0"/>
              <w:spacing w:before="40" w:after="120"/>
              <w:ind w:right="113"/>
              <w:rPr>
                <w:b/>
                <w:bCs/>
              </w:rPr>
            </w:pPr>
            <w:r w:rsidRPr="001038CA">
              <w:rPr>
                <w:b/>
                <w:bCs/>
              </w:rPr>
              <w:t>&gt; Category 1A</w:t>
            </w:r>
          </w:p>
        </w:tc>
        <w:tc>
          <w:tcPr>
            <w:tcW w:w="2732" w:type="dxa"/>
            <w:tcBorders>
              <w:bottom w:val="single" w:sz="12" w:space="0" w:color="auto"/>
            </w:tcBorders>
            <w:shd w:val="clear" w:color="auto" w:fill="auto"/>
          </w:tcPr>
          <w:p w14:paraId="65C90B10" w14:textId="3B97B123" w:rsidR="00276EDB" w:rsidRDefault="00D52133" w:rsidP="00500D39">
            <w:pPr>
              <w:suppressAutoHyphens w:val="0"/>
              <w:spacing w:before="40" w:after="120"/>
              <w:ind w:right="113"/>
            </w:pPr>
            <w:r w:rsidRPr="00D52133">
              <w:rPr>
                <w:u w:val="single"/>
              </w:rPr>
              <w:t>1-hour-exposure</w:t>
            </w:r>
            <w:r w:rsidRPr="00D52133">
              <w:t>:</w:t>
            </w:r>
            <w:r w:rsidR="00500D39">
              <w:br/>
            </w:r>
            <w:r w:rsidRPr="00D52133">
              <w:t>30 min/24 h/48 h &gt; erythema score 4/4 not reversible, edema score 1/4 fully reversible in 48 hours (in one rabbit 1/4 after 48 hour)</w:t>
            </w:r>
          </w:p>
          <w:p w14:paraId="553353C4" w14:textId="2C80D71C" w:rsidR="00D52133" w:rsidRPr="00D52133" w:rsidRDefault="00D52133" w:rsidP="00D52133">
            <w:pPr>
              <w:suppressAutoHyphens w:val="0"/>
              <w:spacing w:before="40" w:after="120"/>
              <w:ind w:right="113"/>
            </w:pPr>
            <w:r w:rsidRPr="001038CA">
              <w:rPr>
                <w:b/>
                <w:bCs/>
              </w:rPr>
              <w:t>&gt; Category 1</w:t>
            </w:r>
          </w:p>
        </w:tc>
        <w:tc>
          <w:tcPr>
            <w:tcW w:w="4342" w:type="dxa"/>
            <w:tcBorders>
              <w:bottom w:val="single" w:sz="12" w:space="0" w:color="auto"/>
            </w:tcBorders>
            <w:shd w:val="clear" w:color="auto" w:fill="auto"/>
          </w:tcPr>
          <w:p w14:paraId="2D217134" w14:textId="77777777" w:rsidR="00D52133" w:rsidRPr="00D52133" w:rsidRDefault="00D52133" w:rsidP="00D52133">
            <w:pPr>
              <w:suppressAutoHyphens w:val="0"/>
              <w:spacing w:before="40" w:after="120"/>
              <w:ind w:right="113"/>
            </w:pPr>
          </w:p>
        </w:tc>
      </w:tr>
    </w:tbl>
    <w:p w14:paraId="18C46AB6" w14:textId="1D78B4BA" w:rsidR="00D10D5A" w:rsidRPr="0076457F" w:rsidRDefault="0076457F" w:rsidP="0076457F">
      <w:pPr>
        <w:spacing w:before="240"/>
        <w:jc w:val="center"/>
        <w:rPr>
          <w:u w:val="single"/>
        </w:rPr>
      </w:pPr>
      <w:r>
        <w:rPr>
          <w:u w:val="single"/>
        </w:rPr>
        <w:tab/>
      </w:r>
      <w:r>
        <w:rPr>
          <w:u w:val="single"/>
        </w:rPr>
        <w:tab/>
      </w:r>
      <w:r>
        <w:rPr>
          <w:u w:val="single"/>
        </w:rPr>
        <w:tab/>
      </w:r>
    </w:p>
    <w:sectPr w:rsidR="00D10D5A" w:rsidRPr="0076457F" w:rsidSect="00262784">
      <w:headerReference w:type="even" r:id="rId17"/>
      <w:headerReference w:type="default" r:id="rId18"/>
      <w:footerReference w:type="even" r:id="rId19"/>
      <w:footerReference w:type="default" r:id="rId20"/>
      <w:endnotePr>
        <w:numFmt w:val="decimal"/>
      </w:endnotePr>
      <w:pgSz w:w="16840" w:h="11907" w:orient="landscape" w:code="9"/>
      <w:pgMar w:top="1134" w:right="1417" w:bottom="1134" w:left="1134"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AB0EC" w14:textId="77777777" w:rsidR="00BD5987" w:rsidRPr="00C47B2E" w:rsidRDefault="00BD5987" w:rsidP="00C47B2E">
      <w:pPr>
        <w:pStyle w:val="Footer"/>
      </w:pPr>
    </w:p>
  </w:endnote>
  <w:endnote w:type="continuationSeparator" w:id="0">
    <w:p w14:paraId="0CDA6CE0" w14:textId="77777777" w:rsidR="00BD5987" w:rsidRPr="00C47B2E" w:rsidRDefault="00BD5987" w:rsidP="00C47B2E">
      <w:pPr>
        <w:pStyle w:val="Footer"/>
      </w:pPr>
    </w:p>
  </w:endnote>
  <w:endnote w:type="continuationNotice" w:id="1">
    <w:p w14:paraId="455D87BB" w14:textId="77777777" w:rsidR="00BD5987" w:rsidRPr="00C47B2E" w:rsidRDefault="00BD5987"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887E8" w14:textId="349BFC1C" w:rsidR="00D94B05" w:rsidRPr="0031643D" w:rsidRDefault="0031643D" w:rsidP="00D85308">
    <w:pPr>
      <w:pStyle w:val="Footer"/>
      <w:tabs>
        <w:tab w:val="right" w:pos="9639"/>
      </w:tabs>
      <w:rPr>
        <w:sz w:val="18"/>
      </w:rPr>
    </w:pPr>
    <w:r w:rsidRPr="0031643D">
      <w:rPr>
        <w:b/>
        <w:sz w:val="18"/>
      </w:rPr>
      <w:fldChar w:fldCharType="begin"/>
    </w:r>
    <w:r w:rsidRPr="0031643D">
      <w:rPr>
        <w:b/>
        <w:sz w:val="18"/>
      </w:rPr>
      <w:instrText xml:space="preserve"> PAGE  \* MERGEFORMAT </w:instrText>
    </w:r>
    <w:r w:rsidRPr="0031643D">
      <w:rPr>
        <w:b/>
        <w:sz w:val="18"/>
      </w:rPr>
      <w:fldChar w:fldCharType="separate"/>
    </w:r>
    <w:r w:rsidRPr="0031643D">
      <w:rPr>
        <w:b/>
        <w:noProof/>
        <w:sz w:val="18"/>
      </w:rPr>
      <w:t>2</w:t>
    </w:r>
    <w:r w:rsidRPr="0031643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0F8F5" w14:textId="1D465FF3" w:rsidR="00D94B05" w:rsidRPr="0031643D" w:rsidRDefault="0031643D" w:rsidP="00D85308">
    <w:pPr>
      <w:pStyle w:val="Footer"/>
      <w:tabs>
        <w:tab w:val="right" w:pos="9639"/>
      </w:tabs>
      <w:rPr>
        <w:b/>
        <w:bCs/>
        <w:sz w:val="18"/>
      </w:rPr>
    </w:pPr>
    <w:r>
      <w:rPr>
        <w:bCs/>
        <w:sz w:val="18"/>
      </w:rPr>
      <w:tab/>
    </w:r>
    <w:r w:rsidRPr="0031643D">
      <w:rPr>
        <w:b/>
        <w:bCs/>
        <w:sz w:val="18"/>
      </w:rPr>
      <w:fldChar w:fldCharType="begin"/>
    </w:r>
    <w:r w:rsidRPr="0031643D">
      <w:rPr>
        <w:b/>
        <w:bCs/>
        <w:sz w:val="18"/>
      </w:rPr>
      <w:instrText xml:space="preserve"> PAGE  \* MERGEFORMAT </w:instrText>
    </w:r>
    <w:r w:rsidRPr="0031643D">
      <w:rPr>
        <w:b/>
        <w:bCs/>
        <w:sz w:val="18"/>
      </w:rPr>
      <w:fldChar w:fldCharType="separate"/>
    </w:r>
    <w:r w:rsidRPr="0031643D">
      <w:rPr>
        <w:b/>
        <w:bCs/>
        <w:noProof/>
        <w:sz w:val="18"/>
      </w:rPr>
      <w:t>3</w:t>
    </w:r>
    <w:r w:rsidRPr="0031643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5D5D1" w14:textId="3A980FED" w:rsidR="00D94B05" w:rsidRDefault="007C46DD" w:rsidP="007C46DD">
    <w:pPr>
      <w:pStyle w:val="Footer"/>
      <w:rPr>
        <w:rFonts w:asciiTheme="majorBidi" w:hAnsiTheme="majorBidi" w:cstheme="majorBidi"/>
        <w:sz w:val="20"/>
      </w:rPr>
    </w:pPr>
    <w:r w:rsidRPr="007C46DD">
      <w:rPr>
        <w:rFonts w:asciiTheme="majorBidi" w:hAnsiTheme="majorBidi" w:cstheme="majorBidi"/>
        <w:noProof/>
        <w:sz w:val="20"/>
        <w:lang w:val="en-US"/>
      </w:rPr>
      <w:drawing>
        <wp:anchor distT="0" distB="0" distL="114300" distR="114300" simplePos="0" relativeHeight="251664384" behindDoc="0" locked="1" layoutInCell="1" allowOverlap="1" wp14:anchorId="039B62D1" wp14:editId="7B2A961B">
          <wp:simplePos x="0" y="0"/>
          <wp:positionH relativeFrom="column">
            <wp:posOffset>4558030</wp:posOffset>
          </wp:positionH>
          <wp:positionV relativeFrom="page">
            <wp:posOffset>10128250</wp:posOffset>
          </wp:positionV>
          <wp:extent cx="932400" cy="230400"/>
          <wp:effectExtent l="0" t="0" r="1270" b="0"/>
          <wp:wrapNone/>
          <wp:docPr id="7" name="Picture 7"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8B87575" w14:textId="291B7790" w:rsidR="007C46DD" w:rsidRPr="007C46DD" w:rsidRDefault="007C46DD" w:rsidP="007C46DD">
    <w:pPr>
      <w:pStyle w:val="Footer"/>
      <w:ind w:right="1134"/>
      <w:rPr>
        <w:rFonts w:asciiTheme="majorBidi" w:hAnsiTheme="majorBidi" w:cstheme="majorBidi"/>
        <w:sz w:val="20"/>
      </w:rPr>
    </w:pPr>
    <w:r>
      <w:rPr>
        <w:rFonts w:asciiTheme="majorBidi" w:hAnsiTheme="majorBidi" w:cstheme="majorBidi"/>
        <w:sz w:val="20"/>
      </w:rPr>
      <w:t>GE.24-</w:t>
    </w:r>
    <w:proofErr w:type="gramStart"/>
    <w:r>
      <w:rPr>
        <w:rFonts w:asciiTheme="majorBidi" w:hAnsiTheme="majorBidi" w:cstheme="majorBidi"/>
        <w:sz w:val="20"/>
      </w:rPr>
      <w:t>06721  (</w:t>
    </w:r>
    <w:proofErr w:type="gramEnd"/>
    <w:r>
      <w:rPr>
        <w:rFonts w:asciiTheme="majorBidi" w:hAnsiTheme="majorBidi" w:cstheme="majorBidi"/>
        <w:sz w:val="20"/>
      </w:rPr>
      <w:t>E)</w:t>
    </w:r>
    <w:r>
      <w:rPr>
        <w:rFonts w:asciiTheme="majorBidi" w:hAnsiTheme="majorBidi" w:cstheme="majorBidi"/>
        <w:noProof/>
        <w:sz w:val="20"/>
      </w:rPr>
      <w:drawing>
        <wp:anchor distT="0" distB="0" distL="114300" distR="114300" simplePos="0" relativeHeight="251665408" behindDoc="0" locked="0" layoutInCell="1" allowOverlap="1" wp14:anchorId="67511D94" wp14:editId="3CBEA76D">
          <wp:simplePos x="0" y="0"/>
          <wp:positionH relativeFrom="margin">
            <wp:posOffset>5615940</wp:posOffset>
          </wp:positionH>
          <wp:positionV relativeFrom="margin">
            <wp:posOffset>8905875</wp:posOffset>
          </wp:positionV>
          <wp:extent cx="571500" cy="571500"/>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5A729" w14:textId="339DAAA5" w:rsidR="00262784" w:rsidRPr="00262784" w:rsidRDefault="00262784" w:rsidP="00262784">
    <w:pPr>
      <w:pStyle w:val="Footer"/>
    </w:pPr>
    <w:r>
      <w:rPr>
        <w:noProof/>
      </w:rPr>
      <mc:AlternateContent>
        <mc:Choice Requires="wps">
          <w:drawing>
            <wp:anchor distT="0" distB="0" distL="114300" distR="114300" simplePos="0" relativeHeight="251660288" behindDoc="0" locked="0" layoutInCell="1" allowOverlap="1" wp14:anchorId="42A84EAA" wp14:editId="4A72B757">
              <wp:simplePos x="0" y="0"/>
              <wp:positionH relativeFrom="margin">
                <wp:posOffset>-431800</wp:posOffset>
              </wp:positionH>
              <wp:positionV relativeFrom="margin">
                <wp:posOffset>0</wp:posOffset>
              </wp:positionV>
              <wp:extent cx="215900" cy="6120130"/>
              <wp:effectExtent l="0" t="0" r="0" b="0"/>
              <wp:wrapNone/>
              <wp:docPr id="4" name="Text Box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A6C4F81" w14:textId="77777777" w:rsidR="00262784" w:rsidRPr="0031643D" w:rsidRDefault="00262784" w:rsidP="00262784">
                          <w:pPr>
                            <w:pStyle w:val="Footer"/>
                            <w:tabs>
                              <w:tab w:val="right" w:pos="9639"/>
                            </w:tabs>
                            <w:rPr>
                              <w:sz w:val="18"/>
                            </w:rPr>
                          </w:pPr>
                          <w:r w:rsidRPr="0031643D">
                            <w:rPr>
                              <w:b/>
                              <w:sz w:val="18"/>
                            </w:rPr>
                            <w:fldChar w:fldCharType="begin"/>
                          </w:r>
                          <w:r w:rsidRPr="0031643D">
                            <w:rPr>
                              <w:b/>
                              <w:sz w:val="18"/>
                            </w:rPr>
                            <w:instrText xml:space="preserve"> PAGE  \* MERGEFORMAT </w:instrText>
                          </w:r>
                          <w:r w:rsidRPr="0031643D">
                            <w:rPr>
                              <w:b/>
                              <w:sz w:val="18"/>
                            </w:rPr>
                            <w:fldChar w:fldCharType="separate"/>
                          </w:r>
                          <w:r>
                            <w:rPr>
                              <w:b/>
                              <w:sz w:val="18"/>
                            </w:rPr>
                            <w:t>4</w:t>
                          </w:r>
                          <w:r w:rsidRPr="0031643D">
                            <w:rPr>
                              <w:b/>
                              <w:sz w:val="18"/>
                            </w:rPr>
                            <w:fldChar w:fldCharType="end"/>
                          </w:r>
                          <w:r>
                            <w:rPr>
                              <w:sz w:val="18"/>
                            </w:rPr>
                            <w:tab/>
                          </w:r>
                        </w:p>
                        <w:p w14:paraId="0101653F" w14:textId="77777777" w:rsidR="00262784" w:rsidRDefault="0026278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2A84EAA" id="_x0000_t202" coordsize="21600,21600" o:spt="202" path="m,l,21600r21600,l21600,xe">
              <v:stroke joinstyle="miter"/>
              <v:path gradientshapeok="t" o:connecttype="rect"/>
            </v:shapetype>
            <v:shape id="Text Box 4" o:spid="_x0000_s1028" type="#_x0000_t202" style="position:absolute;margin-left:-34pt;margin-top:0;width:17pt;height:481.9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D/L2Ux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5A6C4F81" w14:textId="77777777" w:rsidR="00262784" w:rsidRPr="0031643D" w:rsidRDefault="00262784" w:rsidP="00262784">
                    <w:pPr>
                      <w:pStyle w:val="Footer"/>
                      <w:tabs>
                        <w:tab w:val="right" w:pos="9639"/>
                      </w:tabs>
                      <w:rPr>
                        <w:sz w:val="18"/>
                      </w:rPr>
                    </w:pPr>
                    <w:r w:rsidRPr="0031643D">
                      <w:rPr>
                        <w:b/>
                        <w:sz w:val="18"/>
                      </w:rPr>
                      <w:fldChar w:fldCharType="begin"/>
                    </w:r>
                    <w:r w:rsidRPr="0031643D">
                      <w:rPr>
                        <w:b/>
                        <w:sz w:val="18"/>
                      </w:rPr>
                      <w:instrText xml:space="preserve"> PAGE  \* MERGEFORMAT </w:instrText>
                    </w:r>
                    <w:r w:rsidRPr="0031643D">
                      <w:rPr>
                        <w:b/>
                        <w:sz w:val="18"/>
                      </w:rPr>
                      <w:fldChar w:fldCharType="separate"/>
                    </w:r>
                    <w:r>
                      <w:rPr>
                        <w:b/>
                        <w:sz w:val="18"/>
                      </w:rPr>
                      <w:t>4</w:t>
                    </w:r>
                    <w:r w:rsidRPr="0031643D">
                      <w:rPr>
                        <w:b/>
                        <w:sz w:val="18"/>
                      </w:rPr>
                      <w:fldChar w:fldCharType="end"/>
                    </w:r>
                    <w:r>
                      <w:rPr>
                        <w:sz w:val="18"/>
                      </w:rPr>
                      <w:tab/>
                    </w:r>
                  </w:p>
                  <w:p w14:paraId="0101653F" w14:textId="77777777" w:rsidR="00262784" w:rsidRDefault="00262784"/>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051B6" w14:textId="015F28FE" w:rsidR="00262784" w:rsidRPr="00262784" w:rsidRDefault="00262784" w:rsidP="00262784">
    <w:pPr>
      <w:pStyle w:val="Footer"/>
    </w:pPr>
    <w:r>
      <w:rPr>
        <w:noProof/>
      </w:rPr>
      <mc:AlternateContent>
        <mc:Choice Requires="wps">
          <w:drawing>
            <wp:anchor distT="0" distB="0" distL="114300" distR="114300" simplePos="0" relativeHeight="251662336" behindDoc="0" locked="0" layoutInCell="1" allowOverlap="1" wp14:anchorId="3AB4593D" wp14:editId="340893DE">
              <wp:simplePos x="0" y="0"/>
              <wp:positionH relativeFrom="margin">
                <wp:posOffset>-431800</wp:posOffset>
              </wp:positionH>
              <wp:positionV relativeFrom="margin">
                <wp:posOffset>0</wp:posOffset>
              </wp:positionV>
              <wp:extent cx="215900" cy="6120130"/>
              <wp:effectExtent l="0" t="0" r="0" b="0"/>
              <wp:wrapNone/>
              <wp:docPr id="6" name="Text Box 6"/>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A3E4276" w14:textId="77777777" w:rsidR="00262784" w:rsidRPr="0031643D" w:rsidRDefault="00262784" w:rsidP="00262784">
                          <w:pPr>
                            <w:pStyle w:val="Footer"/>
                            <w:tabs>
                              <w:tab w:val="right" w:pos="9639"/>
                            </w:tabs>
                            <w:rPr>
                              <w:b/>
                              <w:bCs/>
                              <w:sz w:val="18"/>
                            </w:rPr>
                          </w:pPr>
                          <w:r>
                            <w:rPr>
                              <w:bCs/>
                              <w:sz w:val="18"/>
                            </w:rPr>
                            <w:tab/>
                          </w:r>
                          <w:r w:rsidRPr="0031643D">
                            <w:rPr>
                              <w:b/>
                              <w:bCs/>
                              <w:sz w:val="18"/>
                            </w:rPr>
                            <w:fldChar w:fldCharType="begin"/>
                          </w:r>
                          <w:r w:rsidRPr="0031643D">
                            <w:rPr>
                              <w:b/>
                              <w:bCs/>
                              <w:sz w:val="18"/>
                            </w:rPr>
                            <w:instrText xml:space="preserve"> PAGE  \* MERGEFORMAT </w:instrText>
                          </w:r>
                          <w:r w:rsidRPr="0031643D">
                            <w:rPr>
                              <w:b/>
                              <w:bCs/>
                              <w:sz w:val="18"/>
                            </w:rPr>
                            <w:fldChar w:fldCharType="separate"/>
                          </w:r>
                          <w:r>
                            <w:rPr>
                              <w:b/>
                              <w:bCs/>
                              <w:sz w:val="18"/>
                            </w:rPr>
                            <w:t>5</w:t>
                          </w:r>
                          <w:r w:rsidRPr="0031643D">
                            <w:rPr>
                              <w:b/>
                              <w:bCs/>
                              <w:sz w:val="18"/>
                            </w:rPr>
                            <w:fldChar w:fldCharType="end"/>
                          </w:r>
                        </w:p>
                        <w:p w14:paraId="1980E710" w14:textId="77777777" w:rsidR="00262784" w:rsidRDefault="0026278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AB4593D" id="_x0000_t202" coordsize="21600,21600" o:spt="202" path="m,l,21600r21600,l21600,xe">
              <v:stroke joinstyle="miter"/>
              <v:path gradientshapeok="t" o:connecttype="rect"/>
            </v:shapetype>
            <v:shape id="Text Box 6" o:spid="_x0000_s1029" type="#_x0000_t202" style="position:absolute;margin-left:-34pt;margin-top:0;width:17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L5s/Wl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7A3E4276" w14:textId="77777777" w:rsidR="00262784" w:rsidRPr="0031643D" w:rsidRDefault="00262784" w:rsidP="00262784">
                    <w:pPr>
                      <w:pStyle w:val="Footer"/>
                      <w:tabs>
                        <w:tab w:val="right" w:pos="9639"/>
                      </w:tabs>
                      <w:rPr>
                        <w:b/>
                        <w:bCs/>
                        <w:sz w:val="18"/>
                      </w:rPr>
                    </w:pPr>
                    <w:r>
                      <w:rPr>
                        <w:bCs/>
                        <w:sz w:val="18"/>
                      </w:rPr>
                      <w:tab/>
                    </w:r>
                    <w:r w:rsidRPr="0031643D">
                      <w:rPr>
                        <w:b/>
                        <w:bCs/>
                        <w:sz w:val="18"/>
                      </w:rPr>
                      <w:fldChar w:fldCharType="begin"/>
                    </w:r>
                    <w:r w:rsidRPr="0031643D">
                      <w:rPr>
                        <w:b/>
                        <w:bCs/>
                        <w:sz w:val="18"/>
                      </w:rPr>
                      <w:instrText xml:space="preserve"> PAGE  \* MERGEFORMAT </w:instrText>
                    </w:r>
                    <w:r w:rsidRPr="0031643D">
                      <w:rPr>
                        <w:b/>
                        <w:bCs/>
                        <w:sz w:val="18"/>
                      </w:rPr>
                      <w:fldChar w:fldCharType="separate"/>
                    </w:r>
                    <w:r>
                      <w:rPr>
                        <w:b/>
                        <w:bCs/>
                        <w:sz w:val="18"/>
                      </w:rPr>
                      <w:t>5</w:t>
                    </w:r>
                    <w:r w:rsidRPr="0031643D">
                      <w:rPr>
                        <w:b/>
                        <w:bCs/>
                        <w:sz w:val="18"/>
                      </w:rPr>
                      <w:fldChar w:fldCharType="end"/>
                    </w:r>
                  </w:p>
                  <w:p w14:paraId="1980E710" w14:textId="77777777" w:rsidR="00262784" w:rsidRDefault="00262784"/>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06A6B" w14:textId="77777777" w:rsidR="00BD5987" w:rsidRPr="00C47B2E" w:rsidRDefault="00BD5987" w:rsidP="00C47B2E">
      <w:pPr>
        <w:tabs>
          <w:tab w:val="right" w:pos="2155"/>
        </w:tabs>
        <w:spacing w:after="80" w:line="240" w:lineRule="auto"/>
        <w:ind w:left="680"/>
      </w:pPr>
      <w:r>
        <w:rPr>
          <w:u w:val="single"/>
        </w:rPr>
        <w:tab/>
      </w:r>
    </w:p>
  </w:footnote>
  <w:footnote w:type="continuationSeparator" w:id="0">
    <w:p w14:paraId="3010B34B" w14:textId="77777777" w:rsidR="00BD5987" w:rsidRPr="00C47B2E" w:rsidRDefault="00BD5987" w:rsidP="005E716E">
      <w:pPr>
        <w:tabs>
          <w:tab w:val="right" w:pos="2155"/>
        </w:tabs>
        <w:spacing w:after="80" w:line="240" w:lineRule="auto"/>
        <w:ind w:left="680"/>
      </w:pPr>
      <w:r>
        <w:rPr>
          <w:u w:val="single"/>
        </w:rPr>
        <w:tab/>
      </w:r>
    </w:p>
  </w:footnote>
  <w:footnote w:type="continuationNotice" w:id="1">
    <w:p w14:paraId="20003766" w14:textId="77777777" w:rsidR="00BD5987" w:rsidRPr="00C47B2E" w:rsidRDefault="00BD5987" w:rsidP="00C47B2E">
      <w:pPr>
        <w:pStyle w:val="Footer"/>
      </w:pPr>
    </w:p>
  </w:footnote>
  <w:footnote w:id="2">
    <w:p w14:paraId="3EE5DB76" w14:textId="4186293C" w:rsidR="00861FF9" w:rsidRPr="00861FF9" w:rsidRDefault="00861FF9">
      <w:pPr>
        <w:pStyle w:val="FootnoteText"/>
        <w:rPr>
          <w:lang w:val="fr-CH"/>
        </w:rPr>
      </w:pPr>
      <w:r>
        <w:rPr>
          <w:rStyle w:val="FootnoteReference"/>
        </w:rPr>
        <w:tab/>
      </w:r>
      <w:r w:rsidRPr="00861FF9">
        <w:rPr>
          <w:rStyle w:val="FootnoteReference"/>
          <w:sz w:val="20"/>
          <w:vertAlign w:val="baseline"/>
        </w:rPr>
        <w:t>*</w:t>
      </w:r>
      <w:r>
        <w:rPr>
          <w:rStyle w:val="FootnoteReference"/>
          <w:sz w:val="20"/>
          <w:vertAlign w:val="baseline"/>
        </w:rPr>
        <w:tab/>
      </w:r>
      <w:r>
        <w:t>A/78/6 (Sect. 20), table 20.5.</w:t>
      </w:r>
    </w:p>
  </w:footnote>
  <w:footnote w:id="3">
    <w:p w14:paraId="76221267" w14:textId="3A80E6C7" w:rsidR="00FA03B1" w:rsidRPr="00FA03B1" w:rsidRDefault="00FA03B1" w:rsidP="00FA03B1">
      <w:pPr>
        <w:pStyle w:val="FootnoteText"/>
        <w:widowControl w:val="0"/>
        <w:tabs>
          <w:tab w:val="clear" w:pos="1021"/>
          <w:tab w:val="right" w:pos="1020"/>
        </w:tabs>
        <w:suppressAutoHyphens/>
        <w:rPr>
          <w:lang w:val="en-US"/>
        </w:rPr>
      </w:pPr>
      <w:r>
        <w:tab/>
      </w:r>
      <w:r>
        <w:rPr>
          <w:rStyle w:val="FootnoteReference"/>
        </w:rPr>
        <w:footnoteRef/>
      </w:r>
      <w:r>
        <w:tab/>
        <w:t>European Chemicals Agency</w:t>
      </w:r>
      <w:r w:rsidR="00B02414">
        <w:t>.</w:t>
      </w:r>
    </w:p>
  </w:footnote>
  <w:footnote w:id="4">
    <w:p w14:paraId="37A4032C" w14:textId="433B3241" w:rsidR="0081289A" w:rsidRPr="0081289A" w:rsidRDefault="0081289A" w:rsidP="0081289A">
      <w:pPr>
        <w:pStyle w:val="FootnoteText"/>
        <w:widowControl w:val="0"/>
        <w:tabs>
          <w:tab w:val="clear" w:pos="1021"/>
          <w:tab w:val="right" w:pos="1020"/>
        </w:tabs>
        <w:suppressAutoHyphens/>
        <w:rPr>
          <w:lang w:val="en-US"/>
        </w:rPr>
      </w:pPr>
      <w:r>
        <w:tab/>
      </w:r>
      <w:r>
        <w:rPr>
          <w:rStyle w:val="FootnoteReference"/>
        </w:rPr>
        <w:footnoteRef/>
      </w:r>
      <w:r>
        <w:tab/>
      </w:r>
      <w:hyperlink r:id="rId1" w:history="1">
        <w:r w:rsidR="00B02414" w:rsidRPr="00A51A64">
          <w:rPr>
            <w:rStyle w:val="Hyperlink"/>
          </w:rPr>
          <w:t>https://echa.europa.eu/en/registration-dossier/-/registered-dossier/27608/7/4/2/?documentUUID=65c68a58-38bb-4524-9497-30d2925959a7</w:t>
        </w:r>
      </w:hyperlink>
      <w:r w:rsidR="00861FF9">
        <w:rPr>
          <w:rStyle w:val="Hyperlink"/>
        </w:rPr>
        <w:t>.</w:t>
      </w:r>
    </w:p>
  </w:footnote>
  <w:footnote w:id="5">
    <w:p w14:paraId="76ECC360" w14:textId="095629CA" w:rsidR="002E39D8" w:rsidRPr="002E39D8" w:rsidRDefault="002E39D8" w:rsidP="002E39D8">
      <w:pPr>
        <w:pStyle w:val="FootnoteText"/>
        <w:widowControl w:val="0"/>
        <w:tabs>
          <w:tab w:val="clear" w:pos="1021"/>
          <w:tab w:val="right" w:pos="1020"/>
        </w:tabs>
        <w:suppressAutoHyphens/>
        <w:rPr>
          <w:lang w:val="en-US"/>
        </w:rPr>
      </w:pPr>
      <w:r>
        <w:tab/>
      </w:r>
      <w:r>
        <w:rPr>
          <w:rStyle w:val="FootnoteReference"/>
        </w:rPr>
        <w:footnoteRef/>
      </w:r>
      <w:r>
        <w:tab/>
        <w:t>Organisation for Economic Co-operation and Development</w:t>
      </w:r>
      <w:r w:rsidR="00861FF9">
        <w:t>.</w:t>
      </w:r>
    </w:p>
  </w:footnote>
  <w:footnote w:id="6">
    <w:p w14:paraId="5FA9B0AA" w14:textId="7CBC99E1" w:rsidR="002E39D8" w:rsidRPr="002E39D8" w:rsidRDefault="002E39D8" w:rsidP="002E39D8">
      <w:pPr>
        <w:pStyle w:val="FootnoteText"/>
        <w:widowControl w:val="0"/>
        <w:tabs>
          <w:tab w:val="clear" w:pos="1021"/>
          <w:tab w:val="right" w:pos="1020"/>
        </w:tabs>
        <w:suppressAutoHyphens/>
        <w:rPr>
          <w:lang w:val="en-US"/>
        </w:rPr>
      </w:pPr>
      <w:r>
        <w:tab/>
      </w:r>
      <w:r>
        <w:rPr>
          <w:rStyle w:val="FootnoteReference"/>
        </w:rPr>
        <w:footnoteRef/>
      </w:r>
      <w:r>
        <w:tab/>
        <w:t xml:space="preserve">National </w:t>
      </w:r>
      <w:proofErr w:type="spellStart"/>
      <w:r>
        <w:t>Center</w:t>
      </w:r>
      <w:proofErr w:type="spellEnd"/>
      <w:r>
        <w:t xml:space="preserve"> for Biotechnology, United States of America</w:t>
      </w:r>
      <w:r w:rsidR="00400427">
        <w:t>.</w:t>
      </w:r>
    </w:p>
  </w:footnote>
  <w:footnote w:id="7">
    <w:p w14:paraId="4FB3185F" w14:textId="6A68375C" w:rsidR="00783058" w:rsidRPr="00783058" w:rsidRDefault="00783058" w:rsidP="00783058">
      <w:pPr>
        <w:pStyle w:val="FootnoteText"/>
        <w:widowControl w:val="0"/>
        <w:tabs>
          <w:tab w:val="clear" w:pos="1021"/>
          <w:tab w:val="right" w:pos="1020"/>
        </w:tabs>
        <w:suppressAutoHyphens/>
        <w:rPr>
          <w:lang w:val="en-US"/>
        </w:rPr>
      </w:pPr>
      <w:r>
        <w:tab/>
      </w:r>
      <w:r>
        <w:rPr>
          <w:rStyle w:val="FootnoteReference"/>
        </w:rPr>
        <w:footnoteRef/>
      </w:r>
      <w:r>
        <w:tab/>
      </w:r>
      <w:hyperlink r:id="rId2" w:anchor="section=Adverse-Effects" w:history="1">
        <w:r w:rsidRPr="00682F0A">
          <w:rPr>
            <w:rStyle w:val="Hyperlink"/>
          </w:rPr>
          <w:t>https://pubchem.ncbi.nlm.nih.gov/compound/8037#section=Adverse-Effects</w:t>
        </w:r>
      </w:hyperlink>
      <w:r w:rsidR="00400427">
        <w:rPr>
          <w:rStyle w:val="Hyperlink"/>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6B509" w14:textId="6F527CAB" w:rsidR="0031643D" w:rsidRPr="0031643D" w:rsidRDefault="005F4CCE">
    <w:pPr>
      <w:pStyle w:val="Header"/>
    </w:pPr>
    <w:r>
      <w:fldChar w:fldCharType="begin"/>
    </w:r>
    <w:r>
      <w:instrText xml:space="preserve"> TITLE  \* MERGEFORMAT </w:instrText>
    </w:r>
    <w:r>
      <w:fldChar w:fldCharType="separate"/>
    </w:r>
    <w:r w:rsidR="0031643D">
      <w:t>ST/SG/AC.10/C.3/2024/46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562FE" w14:textId="14256A49" w:rsidR="00D94B05" w:rsidRPr="0031643D" w:rsidRDefault="005F4CCE" w:rsidP="0031643D">
    <w:pPr>
      <w:pStyle w:val="Header"/>
      <w:jc w:val="right"/>
    </w:pPr>
    <w:r>
      <w:fldChar w:fldCharType="begin"/>
    </w:r>
    <w:r>
      <w:instrText xml:space="preserve"> TITLE  \* MERGEFORMAT </w:instrText>
    </w:r>
    <w:r>
      <w:fldChar w:fldCharType="separate"/>
    </w:r>
    <w:r w:rsidR="0031643D">
      <w:t>ST/SG/AC.10/C.3/2024/46</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D9A0D" w14:textId="5FEDB016" w:rsidR="00262784" w:rsidRPr="00262784" w:rsidRDefault="00262784" w:rsidP="00262784">
    <w:r>
      <w:rPr>
        <w:noProof/>
      </w:rPr>
      <mc:AlternateContent>
        <mc:Choice Requires="wps">
          <w:drawing>
            <wp:anchor distT="0" distB="0" distL="114300" distR="114300" simplePos="0" relativeHeight="251659264" behindDoc="0" locked="0" layoutInCell="1" allowOverlap="1" wp14:anchorId="3C892EB5" wp14:editId="2BA313C4">
              <wp:simplePos x="0" y="0"/>
              <wp:positionH relativeFrom="page">
                <wp:posOffset>9935845</wp:posOffset>
              </wp:positionH>
              <wp:positionV relativeFrom="margin">
                <wp:posOffset>0</wp:posOffset>
              </wp:positionV>
              <wp:extent cx="215900" cy="6120130"/>
              <wp:effectExtent l="0" t="0" r="0" b="0"/>
              <wp:wrapNone/>
              <wp:docPr id="3" name="Text Box 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D9A7F2A" w14:textId="77777777" w:rsidR="00262784" w:rsidRPr="0031643D" w:rsidRDefault="005F4CCE" w:rsidP="00262784">
                          <w:pPr>
                            <w:pStyle w:val="Header"/>
                          </w:pPr>
                          <w:r>
                            <w:fldChar w:fldCharType="begin"/>
                          </w:r>
                          <w:r>
                            <w:instrText xml:space="preserve"> TITLE  \* MERGEFORMAT </w:instrText>
                          </w:r>
                          <w:r>
                            <w:fldChar w:fldCharType="separate"/>
                          </w:r>
                          <w:r w:rsidR="00262784">
                            <w:t>ST/SG/AC.10/C.3/2024/46</w:t>
                          </w:r>
                          <w:r>
                            <w:fldChar w:fldCharType="end"/>
                          </w:r>
                        </w:p>
                        <w:p w14:paraId="69C202F8" w14:textId="77777777" w:rsidR="00262784" w:rsidRDefault="0026278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C892EB5" id="_x0000_t202" coordsize="21600,21600" o:spt="202" path="m,l,21600r21600,l21600,xe">
              <v:stroke joinstyle="miter"/>
              <v:path gradientshapeok="t" o:connecttype="rect"/>
            </v:shapetype>
            <v:shape id="Text Box 3" o:spid="_x0000_s1026" type="#_x0000_t202" style="position:absolute;margin-left:782.35pt;margin-top:0;width:17pt;height:481.9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" fillcolor="#4f81bd [3204]" stroked="f" strokeweight=".5pt">
              <v:fill opacity="0"/>
              <v:stroke joinstyle="round"/>
              <v:textbox style="layout-flow:vertical" inset="0,0,0,0">
                <w:txbxContent>
                  <w:p w14:paraId="6D9A7F2A" w14:textId="77777777" w:rsidR="00262784" w:rsidRPr="0031643D" w:rsidRDefault="005F4CCE" w:rsidP="00262784">
                    <w:pPr>
                      <w:pStyle w:val="Header"/>
                    </w:pPr>
                    <w:r>
                      <w:fldChar w:fldCharType="begin"/>
                    </w:r>
                    <w:r>
                      <w:instrText xml:space="preserve"> TITLE  \* MERGEFORMAT </w:instrText>
                    </w:r>
                    <w:r>
                      <w:fldChar w:fldCharType="separate"/>
                    </w:r>
                    <w:r w:rsidR="00262784">
                      <w:t>ST/SG/AC.10/C.3/2024/46</w:t>
                    </w:r>
                    <w:r>
                      <w:fldChar w:fldCharType="end"/>
                    </w:r>
                  </w:p>
                  <w:p w14:paraId="69C202F8" w14:textId="77777777" w:rsidR="00262784" w:rsidRDefault="00262784"/>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AA81B" w14:textId="562932D1" w:rsidR="00262784" w:rsidRPr="00262784" w:rsidRDefault="00262784" w:rsidP="00262784">
    <w:r>
      <w:rPr>
        <w:noProof/>
      </w:rPr>
      <mc:AlternateContent>
        <mc:Choice Requires="wps">
          <w:drawing>
            <wp:anchor distT="0" distB="0" distL="114300" distR="114300" simplePos="0" relativeHeight="251661312" behindDoc="0" locked="0" layoutInCell="1" allowOverlap="1" wp14:anchorId="058F60EF" wp14:editId="3794F124">
              <wp:simplePos x="0" y="0"/>
              <wp:positionH relativeFrom="page">
                <wp:posOffset>9935845</wp:posOffset>
              </wp:positionH>
              <wp:positionV relativeFrom="margin">
                <wp:posOffset>0</wp:posOffset>
              </wp:positionV>
              <wp:extent cx="215900" cy="612013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0049582E" w14:textId="77777777" w:rsidR="00262784" w:rsidRPr="0031643D" w:rsidRDefault="005F4CCE" w:rsidP="00262784">
                          <w:pPr>
                            <w:pStyle w:val="Header"/>
                            <w:jc w:val="right"/>
                          </w:pPr>
                          <w:r>
                            <w:fldChar w:fldCharType="begin"/>
                          </w:r>
                          <w:r>
                            <w:instrText xml:space="preserve"> TITLE  \* MERGEFORMAT </w:instrText>
                          </w:r>
                          <w:r>
                            <w:fldChar w:fldCharType="separate"/>
                          </w:r>
                          <w:r w:rsidR="00262784">
                            <w:t>ST/SG/AC.10/C.3/2024/46</w:t>
                          </w:r>
                          <w:r>
                            <w:fldChar w:fldCharType="end"/>
                          </w:r>
                        </w:p>
                        <w:p w14:paraId="38F1B6A4" w14:textId="77777777" w:rsidR="00262784" w:rsidRDefault="0026278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58F60EF" id="_x0000_t202" coordsize="21600,21600" o:spt="202" path="m,l,21600r21600,l21600,xe">
              <v:stroke joinstyle="miter"/>
              <v:path gradientshapeok="t" o:connecttype="rect"/>
            </v:shapetype>
            <v:shape id="Text Box 5" o:spid="_x0000_s1027" type="#_x0000_t202" style="position:absolute;margin-left:782.35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" fillcolor="#4f81bd [3204]" stroked="f" strokeweight=".5pt">
              <v:fill opacity="0"/>
              <v:path arrowok="t"/>
              <v:textbox style="layout-flow:vertical" inset="0,0,0,0">
                <w:txbxContent>
                  <w:p w14:paraId="0049582E" w14:textId="77777777" w:rsidR="00262784" w:rsidRPr="0031643D" w:rsidRDefault="005F4CCE" w:rsidP="00262784">
                    <w:pPr>
                      <w:pStyle w:val="Header"/>
                      <w:jc w:val="right"/>
                    </w:pPr>
                    <w:r>
                      <w:fldChar w:fldCharType="begin"/>
                    </w:r>
                    <w:r>
                      <w:instrText xml:space="preserve"> TITLE  \* MERGEFORMAT </w:instrText>
                    </w:r>
                    <w:r>
                      <w:fldChar w:fldCharType="separate"/>
                    </w:r>
                    <w:r w:rsidR="00262784">
                      <w:t>ST/SG/AC.10/C.3/2024/46</w:t>
                    </w:r>
                    <w:r>
                      <w:fldChar w:fldCharType="end"/>
                    </w:r>
                  </w:p>
                  <w:p w14:paraId="38F1B6A4" w14:textId="77777777" w:rsidR="00262784" w:rsidRDefault="00262784"/>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16172172">
    <w:abstractNumId w:val="5"/>
  </w:num>
  <w:num w:numId="2" w16cid:durableId="1073159890">
    <w:abstractNumId w:val="4"/>
  </w:num>
  <w:num w:numId="3" w16cid:durableId="551188904">
    <w:abstractNumId w:val="0"/>
  </w:num>
  <w:num w:numId="4" w16cid:durableId="44254624">
    <w:abstractNumId w:val="6"/>
  </w:num>
  <w:num w:numId="5" w16cid:durableId="1816027029">
    <w:abstractNumId w:val="7"/>
  </w:num>
  <w:num w:numId="6" w16cid:durableId="1836190579">
    <w:abstractNumId w:val="9"/>
  </w:num>
  <w:num w:numId="7" w16cid:durableId="634676252">
    <w:abstractNumId w:val="3"/>
  </w:num>
  <w:num w:numId="8" w16cid:durableId="1039166836">
    <w:abstractNumId w:val="1"/>
  </w:num>
  <w:num w:numId="9" w16cid:durableId="644969981">
    <w:abstractNumId w:val="8"/>
  </w:num>
  <w:num w:numId="10" w16cid:durableId="525103391">
    <w:abstractNumId w:val="1"/>
  </w:num>
  <w:num w:numId="11" w16cid:durableId="297342166">
    <w:abstractNumId w:val="8"/>
  </w:num>
  <w:num w:numId="12" w16cid:durableId="1280380300">
    <w:abstractNumId w:val="2"/>
  </w:num>
  <w:num w:numId="13" w16cid:durableId="19886995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43D"/>
    <w:rsid w:val="00005BCF"/>
    <w:rsid w:val="00010C92"/>
    <w:rsid w:val="000318D9"/>
    <w:rsid w:val="00034BDC"/>
    <w:rsid w:val="00040621"/>
    <w:rsid w:val="00046E92"/>
    <w:rsid w:val="00050267"/>
    <w:rsid w:val="00063C90"/>
    <w:rsid w:val="00070000"/>
    <w:rsid w:val="00071E21"/>
    <w:rsid w:val="000B6647"/>
    <w:rsid w:val="000C1680"/>
    <w:rsid w:val="000D0510"/>
    <w:rsid w:val="00101B98"/>
    <w:rsid w:val="001038CA"/>
    <w:rsid w:val="00122026"/>
    <w:rsid w:val="001229CD"/>
    <w:rsid w:val="00147381"/>
    <w:rsid w:val="00150ABC"/>
    <w:rsid w:val="001514D1"/>
    <w:rsid w:val="00153ABA"/>
    <w:rsid w:val="001933FF"/>
    <w:rsid w:val="001A1852"/>
    <w:rsid w:val="001A5AA7"/>
    <w:rsid w:val="001B68A0"/>
    <w:rsid w:val="001C25C8"/>
    <w:rsid w:val="001F52F7"/>
    <w:rsid w:val="00233D36"/>
    <w:rsid w:val="00247E2C"/>
    <w:rsid w:val="00250C80"/>
    <w:rsid w:val="00251FB4"/>
    <w:rsid w:val="0026169D"/>
    <w:rsid w:val="00262784"/>
    <w:rsid w:val="00276EDB"/>
    <w:rsid w:val="002A32CB"/>
    <w:rsid w:val="002D5B2C"/>
    <w:rsid w:val="002D6C53"/>
    <w:rsid w:val="002E39D8"/>
    <w:rsid w:val="002F5595"/>
    <w:rsid w:val="003052D2"/>
    <w:rsid w:val="0031643D"/>
    <w:rsid w:val="00334F6A"/>
    <w:rsid w:val="00342AC8"/>
    <w:rsid w:val="00343302"/>
    <w:rsid w:val="003979DE"/>
    <w:rsid w:val="003A3940"/>
    <w:rsid w:val="003B1248"/>
    <w:rsid w:val="003B4550"/>
    <w:rsid w:val="003D2A18"/>
    <w:rsid w:val="003E643A"/>
    <w:rsid w:val="00400427"/>
    <w:rsid w:val="00413386"/>
    <w:rsid w:val="00415CD4"/>
    <w:rsid w:val="00416B9D"/>
    <w:rsid w:val="00424692"/>
    <w:rsid w:val="0043409E"/>
    <w:rsid w:val="004550A4"/>
    <w:rsid w:val="00461253"/>
    <w:rsid w:val="0047334A"/>
    <w:rsid w:val="004858F5"/>
    <w:rsid w:val="004A2814"/>
    <w:rsid w:val="004B09D0"/>
    <w:rsid w:val="004C0622"/>
    <w:rsid w:val="004E0158"/>
    <w:rsid w:val="004F73D0"/>
    <w:rsid w:val="00500D39"/>
    <w:rsid w:val="005042C2"/>
    <w:rsid w:val="005140F2"/>
    <w:rsid w:val="005339ED"/>
    <w:rsid w:val="005511FF"/>
    <w:rsid w:val="005677BA"/>
    <w:rsid w:val="005840C2"/>
    <w:rsid w:val="00592E1E"/>
    <w:rsid w:val="005B7E6F"/>
    <w:rsid w:val="005D4A04"/>
    <w:rsid w:val="005E716E"/>
    <w:rsid w:val="005E794F"/>
    <w:rsid w:val="006331A3"/>
    <w:rsid w:val="006476E1"/>
    <w:rsid w:val="006604DF"/>
    <w:rsid w:val="0066201F"/>
    <w:rsid w:val="00663CE2"/>
    <w:rsid w:val="0067043A"/>
    <w:rsid w:val="00671529"/>
    <w:rsid w:val="006C1EFC"/>
    <w:rsid w:val="006F1EF5"/>
    <w:rsid w:val="0070489D"/>
    <w:rsid w:val="007200A1"/>
    <w:rsid w:val="007268F9"/>
    <w:rsid w:val="00727693"/>
    <w:rsid w:val="00750282"/>
    <w:rsid w:val="007616AB"/>
    <w:rsid w:val="00764440"/>
    <w:rsid w:val="0076457F"/>
    <w:rsid w:val="0077101B"/>
    <w:rsid w:val="00783058"/>
    <w:rsid w:val="00794BDF"/>
    <w:rsid w:val="007C46DD"/>
    <w:rsid w:val="007C52B0"/>
    <w:rsid w:val="007C6033"/>
    <w:rsid w:val="007E515E"/>
    <w:rsid w:val="007E52F8"/>
    <w:rsid w:val="0081289A"/>
    <w:rsid w:val="008147C8"/>
    <w:rsid w:val="0081753A"/>
    <w:rsid w:val="00844A4E"/>
    <w:rsid w:val="008564FF"/>
    <w:rsid w:val="00857D23"/>
    <w:rsid w:val="00861FF9"/>
    <w:rsid w:val="00872364"/>
    <w:rsid w:val="008973A2"/>
    <w:rsid w:val="008B4ECF"/>
    <w:rsid w:val="008B6DC5"/>
    <w:rsid w:val="008E41D3"/>
    <w:rsid w:val="008F408B"/>
    <w:rsid w:val="00933784"/>
    <w:rsid w:val="009411B4"/>
    <w:rsid w:val="00946F1D"/>
    <w:rsid w:val="00985AA1"/>
    <w:rsid w:val="009A0A7F"/>
    <w:rsid w:val="009C0C58"/>
    <w:rsid w:val="009C1BB9"/>
    <w:rsid w:val="009D0139"/>
    <w:rsid w:val="009D717D"/>
    <w:rsid w:val="009F5CDC"/>
    <w:rsid w:val="00A072D7"/>
    <w:rsid w:val="00A45135"/>
    <w:rsid w:val="00A5726B"/>
    <w:rsid w:val="00A74D00"/>
    <w:rsid w:val="00A775CF"/>
    <w:rsid w:val="00AD1A9C"/>
    <w:rsid w:val="00AF5DE1"/>
    <w:rsid w:val="00AF70E6"/>
    <w:rsid w:val="00B02414"/>
    <w:rsid w:val="00B048B8"/>
    <w:rsid w:val="00B06045"/>
    <w:rsid w:val="00B139E3"/>
    <w:rsid w:val="00B206DD"/>
    <w:rsid w:val="00B37BCB"/>
    <w:rsid w:val="00B52EF4"/>
    <w:rsid w:val="00B777AD"/>
    <w:rsid w:val="00BA3824"/>
    <w:rsid w:val="00BD5987"/>
    <w:rsid w:val="00BE7E3F"/>
    <w:rsid w:val="00C03015"/>
    <w:rsid w:val="00C0358D"/>
    <w:rsid w:val="00C35A27"/>
    <w:rsid w:val="00C47B2E"/>
    <w:rsid w:val="00C5348F"/>
    <w:rsid w:val="00C86E5F"/>
    <w:rsid w:val="00C87952"/>
    <w:rsid w:val="00C90D57"/>
    <w:rsid w:val="00CA4DAB"/>
    <w:rsid w:val="00CA7124"/>
    <w:rsid w:val="00CB5A8D"/>
    <w:rsid w:val="00CD3C42"/>
    <w:rsid w:val="00CD76BC"/>
    <w:rsid w:val="00CF6B31"/>
    <w:rsid w:val="00D10D5A"/>
    <w:rsid w:val="00D50CA3"/>
    <w:rsid w:val="00D52133"/>
    <w:rsid w:val="00D56356"/>
    <w:rsid w:val="00D63CD2"/>
    <w:rsid w:val="00D85308"/>
    <w:rsid w:val="00D87DC2"/>
    <w:rsid w:val="00D9051E"/>
    <w:rsid w:val="00D93887"/>
    <w:rsid w:val="00D94B05"/>
    <w:rsid w:val="00DC7379"/>
    <w:rsid w:val="00DE0DC5"/>
    <w:rsid w:val="00DE21C9"/>
    <w:rsid w:val="00DE466A"/>
    <w:rsid w:val="00E02C2B"/>
    <w:rsid w:val="00E158BC"/>
    <w:rsid w:val="00E21C27"/>
    <w:rsid w:val="00E26BCF"/>
    <w:rsid w:val="00E419BE"/>
    <w:rsid w:val="00E52109"/>
    <w:rsid w:val="00E75317"/>
    <w:rsid w:val="00E77B04"/>
    <w:rsid w:val="00E878F9"/>
    <w:rsid w:val="00E92C79"/>
    <w:rsid w:val="00EA5201"/>
    <w:rsid w:val="00EC0CE6"/>
    <w:rsid w:val="00EC7C1D"/>
    <w:rsid w:val="00ED6850"/>
    <w:rsid w:val="00ED6C48"/>
    <w:rsid w:val="00EE3045"/>
    <w:rsid w:val="00EF047E"/>
    <w:rsid w:val="00F1604C"/>
    <w:rsid w:val="00F26186"/>
    <w:rsid w:val="00F65F5D"/>
    <w:rsid w:val="00F86A3A"/>
    <w:rsid w:val="00FA03B1"/>
    <w:rsid w:val="00FA42DA"/>
    <w:rsid w:val="00FA6255"/>
    <w:rsid w:val="00FA7872"/>
    <w:rsid w:val="00FE2AC5"/>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6D808"/>
  <w15:docId w15:val="{8E02BE8A-7818-4413-B53B-652FA5271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379"/>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A2814"/>
    <w:pPr>
      <w:tabs>
        <w:tab w:val="left" w:pos="1701"/>
        <w:tab w:val="left" w:pos="2268"/>
        <w:tab w:val="left" w:pos="2835"/>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Normal"/>
    <w:qFormat/>
    <w:rsid w:val="00FA42DA"/>
    <w:pPr>
      <w:numPr>
        <w:numId w:val="13"/>
      </w:numPr>
      <w:tabs>
        <w:tab w:val="left" w:pos="1701"/>
        <w:tab w:val="left" w:pos="2268"/>
        <w:tab w:val="left" w:pos="2835"/>
      </w:tabs>
      <w:spacing w:after="120"/>
      <w:ind w:right="1134"/>
      <w:jc w:val="both"/>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DC7379"/>
    <w:rPr>
      <w:sz w:val="18"/>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uiPriority w:val="39"/>
    <w:rsid w:val="004A2814"/>
    <w:pPr>
      <w:suppressAutoHyphens/>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qFormat/>
    <w:locked/>
    <w:rsid w:val="008E41D3"/>
    <w:rPr>
      <w:b/>
      <w:sz w:val="28"/>
    </w:rPr>
  </w:style>
  <w:style w:type="character" w:customStyle="1" w:styleId="H1GChar">
    <w:name w:val="_ H_1_G Char"/>
    <w:link w:val="H1G"/>
    <w:locked/>
    <w:rsid w:val="008E41D3"/>
    <w:rPr>
      <w:b/>
      <w:sz w:val="24"/>
    </w:rPr>
  </w:style>
  <w:style w:type="character" w:styleId="UnresolvedMention">
    <w:name w:val="Unresolved Mention"/>
    <w:basedOn w:val="DefaultParagraphFont"/>
    <w:uiPriority w:val="99"/>
    <w:semiHidden/>
    <w:unhideWhenUsed/>
    <w:rsid w:val="00783058"/>
    <w:rPr>
      <w:color w:val="605E5C"/>
      <w:shd w:val="clear" w:color="auto" w:fill="E1DFDD"/>
    </w:rPr>
  </w:style>
  <w:style w:type="character" w:customStyle="1" w:styleId="SingleTxtGChar">
    <w:name w:val="_ Single Txt_G Char"/>
    <w:link w:val="SingleTxtG"/>
    <w:qFormat/>
    <w:locked/>
    <w:rsid w:val="00005B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41787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pubchem.ncbi.nlm.nih.gov/compound/8037" TargetMode="External"/><Relationship Id="rId1" Type="http://schemas.openxmlformats.org/officeDocument/2006/relationships/hyperlink" Target="https://echa.europa.eu/en/registration-dossier/-/registered-dossier/27608/7/4/2/?documentUUID=65c68a58-38bb-4524-9497-30d2925959a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errano\United%20Nations\UNOG_DCM-Macros%20-%20UNECE\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C699A-3081-464D-8175-18FB791049CF}">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0E96D6C7-A69F-4CC1-9C48-E5514C6CF912}">
  <ds:schemaRefs>
    <ds:schemaRef ds:uri="http://schemas.microsoft.com/sharepoint/v3/contenttype/forms"/>
  </ds:schemaRefs>
</ds:datastoreItem>
</file>

<file path=customXml/itemProps3.xml><?xml version="1.0" encoding="utf-8"?>
<ds:datastoreItem xmlns:ds="http://schemas.openxmlformats.org/officeDocument/2006/customXml" ds:itemID="{74BDB94C-BAFF-493E-924E-0B1FE09C3107}"/>
</file>

<file path=customXml/itemProps4.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0</TotalTime>
  <Pages>5</Pages>
  <Words>1213</Words>
  <Characters>6367</Characters>
  <Application>Microsoft Office Word</Application>
  <DocSecurity>0</DocSecurity>
  <Lines>233</Lines>
  <Paragraphs>117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ST/SG/AC.10/C.3/2024/46</vt:lpstr>
      <vt:lpstr/>
    </vt:vector>
  </TitlesOfParts>
  <Company/>
  <LinksUpToDate>false</LinksUpToDate>
  <CharactersWithSpaces>7480</CharactersWithSpaces>
  <SharedDoc>false</SharedDoc>
  <HLinks>
    <vt:vector size="12" baseType="variant">
      <vt:variant>
        <vt:i4>1966146</vt:i4>
      </vt:variant>
      <vt:variant>
        <vt:i4>3</vt:i4>
      </vt:variant>
      <vt:variant>
        <vt:i4>0</vt:i4>
      </vt:variant>
      <vt:variant>
        <vt:i4>5</vt:i4>
      </vt:variant>
      <vt:variant>
        <vt:lpwstr>https://pubchem.ncbi.nlm.nih.gov/compound/8037</vt:lpwstr>
      </vt:variant>
      <vt:variant>
        <vt:lpwstr>section=Adverse-Effects</vt:lpwstr>
      </vt:variant>
      <vt:variant>
        <vt:i4>6815781</vt:i4>
      </vt:variant>
      <vt:variant>
        <vt:i4>0</vt:i4>
      </vt:variant>
      <vt:variant>
        <vt:i4>0</vt:i4>
      </vt:variant>
      <vt:variant>
        <vt:i4>5</vt:i4>
      </vt:variant>
      <vt:variant>
        <vt:lpwstr>https://echa.europa.eu/en/registration-dossier/-/registered-dossier/27608/7/4/2/?documentUUID=65c68a58-38bb-4524-9497-30d2925959a7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ST/SG/AC.10/C.3/2024/46</dc:title>
  <dc:subject>2406721</dc:subject>
  <dc:creator>Editorial</dc:creator>
  <cp:keywords/>
  <dc:description/>
  <cp:lastModifiedBy>Pauline Anne Escalante</cp:lastModifiedBy>
  <cp:revision>2</cp:revision>
  <dcterms:created xsi:type="dcterms:W3CDTF">2024-04-15T06:53:00Z</dcterms:created>
  <dcterms:modified xsi:type="dcterms:W3CDTF">2024-04-15T06:53:00Z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