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D6147" w14:paraId="72E1A10C" w14:textId="77777777" w:rsidTr="00F01738">
        <w:trPr>
          <w:trHeight w:hRule="exact" w:val="851"/>
        </w:trPr>
        <w:tc>
          <w:tcPr>
            <w:tcW w:w="1276" w:type="dxa"/>
            <w:tcBorders>
              <w:bottom w:val="single" w:sz="4" w:space="0" w:color="auto"/>
            </w:tcBorders>
          </w:tcPr>
          <w:p w14:paraId="0954C311" w14:textId="77777777" w:rsidR="00132EA9" w:rsidRPr="00FD6147" w:rsidRDefault="00132EA9" w:rsidP="00FF4B9C">
            <w:pPr>
              <w:rPr>
                <w:rFonts w:asciiTheme="majorBidi" w:hAnsiTheme="majorBidi" w:cstheme="majorBidi"/>
              </w:rPr>
            </w:pPr>
          </w:p>
        </w:tc>
        <w:tc>
          <w:tcPr>
            <w:tcW w:w="2268" w:type="dxa"/>
            <w:tcBorders>
              <w:bottom w:val="single" w:sz="4" w:space="0" w:color="auto"/>
            </w:tcBorders>
            <w:vAlign w:val="bottom"/>
          </w:tcPr>
          <w:p w14:paraId="13CC062C" w14:textId="77777777" w:rsidR="00132EA9" w:rsidRPr="00FD6147" w:rsidRDefault="00132EA9" w:rsidP="00F01738">
            <w:pPr>
              <w:spacing w:after="80" w:line="300" w:lineRule="exact"/>
              <w:rPr>
                <w:rFonts w:asciiTheme="majorBidi" w:hAnsiTheme="majorBidi" w:cstheme="majorBidi"/>
                <w:sz w:val="28"/>
              </w:rPr>
            </w:pPr>
            <w:r w:rsidRPr="00FD6147">
              <w:rPr>
                <w:rFonts w:asciiTheme="majorBidi" w:hAnsiTheme="majorBidi" w:cstheme="majorBidi"/>
                <w:sz w:val="28"/>
              </w:rPr>
              <w:t>Nations Unies</w:t>
            </w:r>
          </w:p>
        </w:tc>
        <w:tc>
          <w:tcPr>
            <w:tcW w:w="6095" w:type="dxa"/>
            <w:gridSpan w:val="2"/>
            <w:tcBorders>
              <w:bottom w:val="single" w:sz="4" w:space="0" w:color="auto"/>
            </w:tcBorders>
            <w:vAlign w:val="bottom"/>
          </w:tcPr>
          <w:p w14:paraId="151572CB" w14:textId="2B55759B" w:rsidR="00132EA9" w:rsidRPr="00FD6147" w:rsidRDefault="00FF4B9C" w:rsidP="00FF4B9C">
            <w:pPr>
              <w:jc w:val="right"/>
              <w:rPr>
                <w:rFonts w:asciiTheme="majorBidi" w:hAnsiTheme="majorBidi" w:cstheme="majorBidi"/>
              </w:rPr>
            </w:pPr>
            <w:r w:rsidRPr="00FD6147">
              <w:rPr>
                <w:rFonts w:asciiTheme="majorBidi" w:hAnsiTheme="majorBidi" w:cstheme="majorBidi"/>
                <w:sz w:val="40"/>
              </w:rPr>
              <w:t>ST</w:t>
            </w:r>
            <w:r w:rsidRPr="00FD6147">
              <w:rPr>
                <w:rFonts w:asciiTheme="majorBidi" w:hAnsiTheme="majorBidi" w:cstheme="majorBidi"/>
              </w:rPr>
              <w:t>/SG/AC.10/C.3/2024/50</w:t>
            </w:r>
          </w:p>
        </w:tc>
      </w:tr>
      <w:tr w:rsidR="00132EA9" w:rsidRPr="00FD6147" w14:paraId="0016CC94" w14:textId="77777777" w:rsidTr="00F01738">
        <w:trPr>
          <w:trHeight w:hRule="exact" w:val="2835"/>
        </w:trPr>
        <w:tc>
          <w:tcPr>
            <w:tcW w:w="1276" w:type="dxa"/>
            <w:tcBorders>
              <w:top w:val="single" w:sz="4" w:space="0" w:color="auto"/>
              <w:bottom w:val="single" w:sz="12" w:space="0" w:color="auto"/>
            </w:tcBorders>
          </w:tcPr>
          <w:p w14:paraId="54EC3841" w14:textId="77777777" w:rsidR="00132EA9" w:rsidRPr="00FD6147" w:rsidRDefault="00132EA9" w:rsidP="00F01738">
            <w:pPr>
              <w:spacing w:before="120"/>
              <w:jc w:val="center"/>
              <w:rPr>
                <w:rFonts w:asciiTheme="majorBidi" w:hAnsiTheme="majorBidi" w:cstheme="majorBidi"/>
              </w:rPr>
            </w:pPr>
            <w:r w:rsidRPr="00FD6147">
              <w:rPr>
                <w:rFonts w:asciiTheme="majorBidi" w:hAnsiTheme="majorBidi" w:cstheme="majorBidi"/>
                <w:noProof/>
                <w:lang w:eastAsia="fr-CH"/>
              </w:rPr>
              <w:drawing>
                <wp:inline distT="0" distB="0" distL="0" distR="0" wp14:anchorId="3DBB6FEE" wp14:editId="5AC1E1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6E8DD" w14:textId="77777777" w:rsidR="00132EA9" w:rsidRPr="00FD6147" w:rsidRDefault="00132EA9" w:rsidP="00F01738">
            <w:pPr>
              <w:spacing w:before="120" w:line="420" w:lineRule="exact"/>
              <w:rPr>
                <w:rFonts w:asciiTheme="majorBidi" w:hAnsiTheme="majorBidi" w:cstheme="majorBidi"/>
                <w:b/>
                <w:sz w:val="40"/>
                <w:szCs w:val="40"/>
              </w:rPr>
            </w:pPr>
            <w:r w:rsidRPr="00FD6147">
              <w:rPr>
                <w:rFonts w:asciiTheme="majorBidi" w:hAnsiTheme="majorBidi" w:cstheme="majorBidi"/>
                <w:b/>
                <w:sz w:val="40"/>
                <w:szCs w:val="40"/>
              </w:rPr>
              <w:t>Secrétariat</w:t>
            </w:r>
          </w:p>
        </w:tc>
        <w:tc>
          <w:tcPr>
            <w:tcW w:w="2835" w:type="dxa"/>
            <w:tcBorders>
              <w:top w:val="single" w:sz="4" w:space="0" w:color="auto"/>
              <w:bottom w:val="single" w:sz="12" w:space="0" w:color="auto"/>
            </w:tcBorders>
          </w:tcPr>
          <w:p w14:paraId="3258B412" w14:textId="77777777" w:rsidR="00132EA9" w:rsidRPr="00FD6147" w:rsidRDefault="00FF4B9C" w:rsidP="00F01738">
            <w:pPr>
              <w:spacing w:before="240"/>
              <w:rPr>
                <w:rFonts w:asciiTheme="majorBidi" w:hAnsiTheme="majorBidi" w:cstheme="majorBidi"/>
              </w:rPr>
            </w:pPr>
            <w:r w:rsidRPr="00FD6147">
              <w:rPr>
                <w:rFonts w:asciiTheme="majorBidi" w:hAnsiTheme="majorBidi" w:cstheme="majorBidi"/>
              </w:rPr>
              <w:t>Distr. générale</w:t>
            </w:r>
          </w:p>
          <w:p w14:paraId="69277D50" w14:textId="77777777" w:rsidR="00FF4B9C" w:rsidRPr="00FD6147" w:rsidRDefault="00FF4B9C" w:rsidP="00FF4B9C">
            <w:pPr>
              <w:spacing w:line="240" w:lineRule="exact"/>
              <w:rPr>
                <w:rFonts w:asciiTheme="majorBidi" w:hAnsiTheme="majorBidi" w:cstheme="majorBidi"/>
              </w:rPr>
            </w:pPr>
            <w:r w:rsidRPr="00FD6147">
              <w:rPr>
                <w:rFonts w:asciiTheme="majorBidi" w:hAnsiTheme="majorBidi" w:cstheme="majorBidi"/>
              </w:rPr>
              <w:t>15 avril 2024</w:t>
            </w:r>
          </w:p>
          <w:p w14:paraId="65B3E39C" w14:textId="77777777" w:rsidR="00FF4B9C" w:rsidRPr="00FD6147" w:rsidRDefault="00FF4B9C" w:rsidP="00FF4B9C">
            <w:pPr>
              <w:spacing w:line="240" w:lineRule="exact"/>
              <w:rPr>
                <w:rFonts w:asciiTheme="majorBidi" w:hAnsiTheme="majorBidi" w:cstheme="majorBidi"/>
              </w:rPr>
            </w:pPr>
            <w:r w:rsidRPr="00FD6147">
              <w:rPr>
                <w:rFonts w:asciiTheme="majorBidi" w:hAnsiTheme="majorBidi" w:cstheme="majorBidi"/>
              </w:rPr>
              <w:t>Français</w:t>
            </w:r>
          </w:p>
          <w:p w14:paraId="26901232" w14:textId="34B6A6D4" w:rsidR="00FF4B9C" w:rsidRPr="00FD6147" w:rsidRDefault="00FF4B9C" w:rsidP="00FF4B9C">
            <w:pPr>
              <w:spacing w:line="240" w:lineRule="exact"/>
              <w:rPr>
                <w:rFonts w:asciiTheme="majorBidi" w:hAnsiTheme="majorBidi" w:cstheme="majorBidi"/>
              </w:rPr>
            </w:pPr>
            <w:r w:rsidRPr="00FD6147">
              <w:rPr>
                <w:rFonts w:asciiTheme="majorBidi" w:hAnsiTheme="majorBidi" w:cstheme="majorBidi"/>
              </w:rPr>
              <w:t>Original</w:t>
            </w:r>
            <w:r w:rsidR="00FD6147" w:rsidRPr="00FD6147">
              <w:rPr>
                <w:rFonts w:asciiTheme="majorBidi" w:hAnsiTheme="majorBidi" w:cstheme="majorBidi"/>
              </w:rPr>
              <w:t> :</w:t>
            </w:r>
            <w:r w:rsidRPr="00FD6147">
              <w:rPr>
                <w:rFonts w:asciiTheme="majorBidi" w:hAnsiTheme="majorBidi" w:cstheme="majorBidi"/>
              </w:rPr>
              <w:t xml:space="preserve"> anglais</w:t>
            </w:r>
          </w:p>
        </w:tc>
      </w:tr>
    </w:tbl>
    <w:p w14:paraId="49A47546" w14:textId="658A376D" w:rsidR="00FD6147" w:rsidRPr="00FD6147" w:rsidRDefault="00FD6147" w:rsidP="00FD6147">
      <w:pPr>
        <w:spacing w:before="120"/>
        <w:rPr>
          <w:rFonts w:asciiTheme="majorBidi" w:hAnsiTheme="majorBidi" w:cstheme="majorBidi"/>
          <w:b/>
          <w:sz w:val="24"/>
          <w:szCs w:val="24"/>
          <w:lang w:val="fr-FR"/>
        </w:rPr>
      </w:pPr>
      <w:r w:rsidRPr="00FD6147">
        <w:rPr>
          <w:rFonts w:asciiTheme="majorBidi" w:hAnsiTheme="majorBidi" w:cstheme="majorBidi"/>
          <w:b/>
          <w:bCs/>
          <w:sz w:val="24"/>
          <w:szCs w:val="24"/>
          <w:lang w:val="fr-FR"/>
        </w:rPr>
        <w:t xml:space="preserve">Comité d’experts du transport des marchandises dangereuses </w:t>
      </w:r>
      <w:r w:rsidRPr="00FD6147">
        <w:rPr>
          <w:rFonts w:asciiTheme="majorBidi" w:hAnsiTheme="majorBidi" w:cstheme="majorBidi"/>
          <w:b/>
          <w:bCs/>
          <w:sz w:val="24"/>
          <w:szCs w:val="24"/>
          <w:lang w:val="fr-FR"/>
        </w:rPr>
        <w:br/>
      </w:r>
      <w:r w:rsidRPr="00FD6147">
        <w:rPr>
          <w:rFonts w:asciiTheme="majorBidi" w:hAnsiTheme="majorBidi" w:cstheme="majorBidi"/>
          <w:b/>
          <w:bCs/>
          <w:sz w:val="24"/>
          <w:szCs w:val="24"/>
          <w:lang w:val="fr-FR"/>
        </w:rPr>
        <w:t xml:space="preserve">et du Système général harmonisé de classification </w:t>
      </w:r>
      <w:r w:rsidRPr="00FD6147">
        <w:rPr>
          <w:rFonts w:asciiTheme="majorBidi" w:hAnsiTheme="majorBidi" w:cstheme="majorBidi"/>
          <w:b/>
          <w:bCs/>
          <w:sz w:val="24"/>
          <w:szCs w:val="24"/>
          <w:lang w:val="fr-FR"/>
        </w:rPr>
        <w:br/>
      </w:r>
      <w:r w:rsidRPr="00FD6147">
        <w:rPr>
          <w:rFonts w:asciiTheme="majorBidi" w:hAnsiTheme="majorBidi" w:cstheme="majorBidi"/>
          <w:b/>
          <w:bCs/>
          <w:sz w:val="24"/>
          <w:szCs w:val="24"/>
          <w:lang w:val="fr-FR"/>
        </w:rPr>
        <w:t>et d’étiquetage des produits chimiques</w:t>
      </w:r>
    </w:p>
    <w:p w14:paraId="4533CCE1" w14:textId="77777777" w:rsidR="00FD6147" w:rsidRPr="00FD6147" w:rsidRDefault="00FD6147" w:rsidP="00FD6147">
      <w:pPr>
        <w:spacing w:before="120"/>
        <w:rPr>
          <w:rFonts w:asciiTheme="majorBidi" w:hAnsiTheme="majorBidi" w:cstheme="majorBidi"/>
          <w:b/>
          <w:color w:val="000000"/>
          <w:lang w:val="fr-FR"/>
        </w:rPr>
      </w:pPr>
      <w:r w:rsidRPr="00FD6147">
        <w:rPr>
          <w:rFonts w:asciiTheme="majorBidi" w:hAnsiTheme="majorBidi" w:cstheme="majorBidi"/>
          <w:b/>
          <w:bCs/>
          <w:lang w:val="fr-FR"/>
        </w:rPr>
        <w:t>Sous-Comité d’experts du transport des marchandises dangereuses</w:t>
      </w:r>
    </w:p>
    <w:p w14:paraId="6F47B465" w14:textId="77777777" w:rsidR="00FD6147" w:rsidRPr="00FD6147" w:rsidRDefault="00FD6147" w:rsidP="00FD6147">
      <w:pPr>
        <w:spacing w:before="120"/>
        <w:rPr>
          <w:rFonts w:asciiTheme="majorBidi" w:hAnsiTheme="majorBidi" w:cstheme="majorBidi"/>
          <w:b/>
          <w:lang w:val="fr-FR"/>
        </w:rPr>
      </w:pPr>
      <w:r w:rsidRPr="00FD6147">
        <w:rPr>
          <w:rFonts w:asciiTheme="majorBidi" w:hAnsiTheme="majorBidi" w:cstheme="majorBidi"/>
          <w:b/>
          <w:bCs/>
          <w:lang w:val="fr-FR"/>
        </w:rPr>
        <w:t>Soixante-quatrième session</w:t>
      </w:r>
    </w:p>
    <w:p w14:paraId="2CE06CAC" w14:textId="77777777" w:rsidR="00FD6147" w:rsidRPr="00FD6147" w:rsidRDefault="00FD6147" w:rsidP="00FD6147">
      <w:pPr>
        <w:rPr>
          <w:rFonts w:asciiTheme="majorBidi" w:hAnsiTheme="majorBidi" w:cstheme="majorBidi"/>
          <w:lang w:val="fr-FR"/>
        </w:rPr>
      </w:pPr>
      <w:r w:rsidRPr="00FD6147">
        <w:rPr>
          <w:rFonts w:asciiTheme="majorBidi" w:hAnsiTheme="majorBidi" w:cstheme="majorBidi"/>
          <w:lang w:val="fr-FR"/>
        </w:rPr>
        <w:t>Genève, 24 juin-3 juillet 2024</w:t>
      </w:r>
    </w:p>
    <w:p w14:paraId="38B5BE34" w14:textId="77777777" w:rsidR="00FD6147" w:rsidRPr="00FD6147" w:rsidRDefault="00FD6147" w:rsidP="00FD6147">
      <w:pPr>
        <w:rPr>
          <w:rFonts w:asciiTheme="majorBidi" w:hAnsiTheme="majorBidi" w:cstheme="majorBidi"/>
          <w:lang w:val="fr-FR"/>
        </w:rPr>
      </w:pPr>
      <w:r w:rsidRPr="00FD6147">
        <w:rPr>
          <w:rFonts w:asciiTheme="majorBidi" w:hAnsiTheme="majorBidi" w:cstheme="majorBidi"/>
          <w:lang w:val="fr-FR"/>
        </w:rPr>
        <w:t>Point 3 de l’ordre du jour provisoire</w:t>
      </w:r>
    </w:p>
    <w:p w14:paraId="2F4EA1D1" w14:textId="77777777" w:rsidR="00FD6147" w:rsidRPr="00FD6147" w:rsidRDefault="00FD6147" w:rsidP="00FD6147">
      <w:pPr>
        <w:rPr>
          <w:rFonts w:asciiTheme="majorBidi" w:hAnsiTheme="majorBidi" w:cstheme="majorBidi"/>
          <w:b/>
          <w:bCs/>
          <w:lang w:val="fr-FR"/>
        </w:rPr>
      </w:pPr>
      <w:r w:rsidRPr="00FD6147">
        <w:rPr>
          <w:rFonts w:asciiTheme="majorBidi" w:hAnsiTheme="majorBidi" w:cstheme="majorBidi"/>
          <w:b/>
          <w:bCs/>
          <w:lang w:val="fr-FR"/>
        </w:rPr>
        <w:t>Inscription, classement et emballage</w:t>
      </w:r>
    </w:p>
    <w:p w14:paraId="76A288FE" w14:textId="77777777" w:rsidR="00FD6147" w:rsidRPr="00FD6147" w:rsidRDefault="00FD6147" w:rsidP="00FD6147">
      <w:pPr>
        <w:pStyle w:val="HChG"/>
        <w:rPr>
          <w:rFonts w:asciiTheme="majorBidi" w:hAnsiTheme="majorBidi" w:cstheme="majorBidi"/>
          <w:lang w:val="fr-FR"/>
        </w:rPr>
      </w:pPr>
      <w:r w:rsidRPr="00FD6147">
        <w:rPr>
          <w:rFonts w:asciiTheme="majorBidi" w:hAnsiTheme="majorBidi" w:cstheme="majorBidi"/>
          <w:lang w:val="fr-FR"/>
        </w:rPr>
        <w:tab/>
      </w:r>
      <w:r w:rsidRPr="00FD6147">
        <w:rPr>
          <w:rFonts w:asciiTheme="majorBidi" w:hAnsiTheme="majorBidi" w:cstheme="majorBidi"/>
          <w:lang w:val="fr-FR"/>
        </w:rPr>
        <w:tab/>
        <w:t>Produits actuels et futurs dans le secteur du gaz de pétrole liquéfié (GPL) − proposition de nouveau numéro ONU</w:t>
      </w:r>
    </w:p>
    <w:p w14:paraId="546E6FB5" w14:textId="2F6BE231" w:rsidR="00FD6147" w:rsidRDefault="00FD6147" w:rsidP="00FD6147">
      <w:pPr>
        <w:pStyle w:val="H1G"/>
        <w:rPr>
          <w:rFonts w:asciiTheme="majorBidi" w:hAnsiTheme="majorBidi" w:cstheme="majorBidi"/>
          <w:b w:val="0"/>
          <w:bCs/>
          <w:sz w:val="20"/>
          <w:lang w:val="fr-FR"/>
        </w:rPr>
      </w:pPr>
      <w:bookmarkStart w:id="0" w:name="_Hlk531350542"/>
      <w:r w:rsidRPr="00FD6147">
        <w:rPr>
          <w:rFonts w:asciiTheme="majorBidi" w:hAnsiTheme="majorBidi" w:cstheme="majorBidi"/>
          <w:lang w:val="fr-FR"/>
        </w:rPr>
        <w:tab/>
      </w:r>
      <w:r w:rsidRPr="00FD6147">
        <w:rPr>
          <w:rFonts w:asciiTheme="majorBidi" w:hAnsiTheme="majorBidi" w:cstheme="majorBidi"/>
          <w:lang w:val="fr-FR"/>
        </w:rPr>
        <w:tab/>
        <w:t xml:space="preserve">Communication de la </w:t>
      </w:r>
      <w:r w:rsidRPr="002017E4">
        <w:rPr>
          <w:rFonts w:asciiTheme="majorBidi" w:hAnsiTheme="majorBidi" w:cstheme="majorBidi"/>
          <w:lang w:val="en-US"/>
        </w:rPr>
        <w:t>World Liquid Gas Association</w:t>
      </w:r>
      <w:r w:rsidRPr="00FD6147">
        <w:rPr>
          <w:rFonts w:asciiTheme="majorBidi" w:hAnsiTheme="majorBidi" w:cstheme="majorBidi"/>
          <w:lang w:val="fr-FR"/>
        </w:rPr>
        <w:t xml:space="preserve"> (WLGA, anciennement WLPGA)</w:t>
      </w:r>
      <w:r w:rsidRPr="00FD6147">
        <w:rPr>
          <w:rStyle w:val="Appelnotedebasdep"/>
          <w:rFonts w:asciiTheme="majorBidi" w:hAnsiTheme="majorBidi" w:cstheme="majorBidi"/>
          <w:b w:val="0"/>
          <w:bCs/>
          <w:sz w:val="20"/>
          <w:vertAlign w:val="baseline"/>
          <w:lang w:val="fr-FR"/>
        </w:rPr>
        <w:footnoteReference w:customMarkFollows="1" w:id="2"/>
        <w:t>*</w:t>
      </w:r>
      <w:bookmarkEnd w:id="0"/>
    </w:p>
    <w:tbl>
      <w:tblPr>
        <w:tblStyle w:val="Grilledutableau"/>
        <w:tblW w:w="9638" w:type="dxa"/>
        <w:jc w:val="center"/>
        <w:tblBorders>
          <w:insideH w:val="none" w:sz="0" w:space="0" w:color="auto"/>
        </w:tblBorders>
        <w:tblLayout w:type="fixed"/>
        <w:tblLook w:val="05E0" w:firstRow="1" w:lastRow="1" w:firstColumn="1" w:lastColumn="1" w:noHBand="0" w:noVBand="1"/>
      </w:tblPr>
      <w:tblGrid>
        <w:gridCol w:w="9638"/>
      </w:tblGrid>
      <w:tr w:rsidR="00FD6147" w:rsidRPr="00FD6147" w14:paraId="3C53F288" w14:textId="77777777" w:rsidTr="00DF757A">
        <w:trPr>
          <w:trHeight w:val="31"/>
          <w:jc w:val="center"/>
        </w:trPr>
        <w:tc>
          <w:tcPr>
            <w:tcW w:w="9638" w:type="dxa"/>
            <w:shd w:val="clear" w:color="auto" w:fill="auto"/>
          </w:tcPr>
          <w:p w14:paraId="29AF120B" w14:textId="18BD275B" w:rsidR="00FD6147" w:rsidRPr="00FD6147" w:rsidRDefault="00FD6147" w:rsidP="00DF757A">
            <w:pPr>
              <w:spacing w:before="240" w:after="120"/>
              <w:ind w:left="2269" w:right="1134" w:hanging="1985"/>
              <w:jc w:val="both"/>
              <w:rPr>
                <w:rFonts w:asciiTheme="majorBidi" w:hAnsiTheme="majorBidi" w:cstheme="majorBidi"/>
                <w:lang w:val="fr-FR"/>
              </w:rPr>
            </w:pPr>
            <w:r w:rsidRPr="00FD6147">
              <w:rPr>
                <w:rFonts w:asciiTheme="majorBidi" w:hAnsiTheme="majorBidi" w:cstheme="majorBidi"/>
                <w:b/>
                <w:bCs/>
                <w:lang w:val="fr-FR"/>
              </w:rPr>
              <w:t>Résumé</w:t>
            </w:r>
            <w:r w:rsidRPr="00FD6147">
              <w:rPr>
                <w:rFonts w:asciiTheme="majorBidi" w:hAnsiTheme="majorBidi" w:cstheme="majorBidi"/>
                <w:b/>
                <w:bCs/>
                <w:lang w:val="fr-FR"/>
              </w:rPr>
              <w:t> :</w:t>
            </w:r>
            <w:r w:rsidRPr="00FD6147">
              <w:rPr>
                <w:rFonts w:asciiTheme="majorBidi" w:hAnsiTheme="majorBidi" w:cstheme="majorBidi"/>
                <w:lang w:val="fr-FR"/>
              </w:rPr>
              <w:tab/>
              <w:t xml:space="preserve">Traditionnellement, le gaz de pétrole liquéfié (GPL) est essentiellement constitué de propane, de butane ou de mélanges des deux. Afin de réduire l’empreinte carbone du produit, il sera possible à l’avenir de le remplacer partiellement par des mélanges de GPL et d’éther méthylique ou </w:t>
            </w:r>
            <w:proofErr w:type="spellStart"/>
            <w:r w:rsidRPr="00FD6147">
              <w:rPr>
                <w:rFonts w:asciiTheme="majorBidi" w:hAnsiTheme="majorBidi" w:cstheme="majorBidi"/>
                <w:lang w:val="fr-FR"/>
              </w:rPr>
              <w:t>diméthyléther</w:t>
            </w:r>
            <w:proofErr w:type="spellEnd"/>
            <w:r w:rsidRPr="00FD6147">
              <w:rPr>
                <w:rFonts w:asciiTheme="majorBidi" w:hAnsiTheme="majorBidi" w:cstheme="majorBidi"/>
                <w:lang w:val="fr-FR"/>
              </w:rPr>
              <w:t xml:space="preserve"> (DME) renouvelable ou recyclé dans n’importe quel rapport.</w:t>
            </w:r>
          </w:p>
        </w:tc>
      </w:tr>
      <w:tr w:rsidR="00DF757A" w:rsidRPr="00FD6147" w14:paraId="11833689" w14:textId="77777777" w:rsidTr="00DF757A">
        <w:trPr>
          <w:trHeight w:val="31"/>
          <w:jc w:val="center"/>
        </w:trPr>
        <w:tc>
          <w:tcPr>
            <w:tcW w:w="9638" w:type="dxa"/>
            <w:tcBorders>
              <w:bottom w:val="nil"/>
            </w:tcBorders>
            <w:shd w:val="clear" w:color="auto" w:fill="auto"/>
          </w:tcPr>
          <w:p w14:paraId="663B71A2" w14:textId="1ECA3922" w:rsidR="00DF757A" w:rsidRPr="00FD6147" w:rsidRDefault="00DF757A" w:rsidP="00DF757A">
            <w:pPr>
              <w:spacing w:after="120"/>
              <w:ind w:left="2268" w:right="1134"/>
              <w:jc w:val="both"/>
              <w:rPr>
                <w:rFonts w:asciiTheme="majorBidi" w:hAnsiTheme="majorBidi" w:cstheme="majorBidi"/>
                <w:b/>
                <w:bCs/>
                <w:lang w:val="fr-FR"/>
              </w:rPr>
            </w:pPr>
            <w:r w:rsidRPr="00FD6147">
              <w:rPr>
                <w:rFonts w:asciiTheme="majorBidi" w:hAnsiTheme="majorBidi" w:cstheme="majorBidi"/>
                <w:lang w:val="fr-FR"/>
              </w:rPr>
              <w:t xml:space="preserve">On estime actuellement qu’en Europe et en Amérique du Nord, par exemple, le DME renouvelable ou recyclé pourrait représenter jusqu’à 25 % de l’offre de produits renouvelables dans le secteur du GPL d’ici à 2030, et éventuellement jusqu’à 40 % d’ici à 2040 et 50 % à l’horizon 2050. En admettant que la nouvelle disposition spéciale autorisant jusqu’à 12 % en masse de DME dans les mélanges relevant </w:t>
            </w:r>
            <w:proofErr w:type="spellStart"/>
            <w:r w:rsidRPr="00FD6147">
              <w:rPr>
                <w:rFonts w:asciiTheme="majorBidi" w:hAnsiTheme="majorBidi" w:cstheme="majorBidi"/>
                <w:lang w:val="fr-FR"/>
              </w:rPr>
              <w:t>des</w:t>
            </w:r>
            <w:proofErr w:type="spellEnd"/>
            <w:r w:rsidRPr="00FD6147">
              <w:rPr>
                <w:rFonts w:asciiTheme="majorBidi" w:hAnsiTheme="majorBidi" w:cstheme="majorBidi"/>
                <w:lang w:val="fr-FR"/>
              </w:rPr>
              <w:t xml:space="preserve"> Nos ONU 1075 ou 1965 sera approuvée, on pense qu’à l’avenir, jusqu’à 30 % des mélanges DME/GPL pourraient être constitués de plus de 12 % en masse de DME et donc relever du nouveau numéro ONU demandé, et que ces mélanges pourraient représenter environ 10 % du marché total. Conformément à la réglementation en vigueur, ces volumes de mélanges importants devraient être affectés au No ONU 3161 (gaz liquéfié inflammable, </w:t>
            </w:r>
            <w:proofErr w:type="spellStart"/>
            <w:r w:rsidRPr="00FD6147">
              <w:rPr>
                <w:rFonts w:asciiTheme="majorBidi" w:hAnsiTheme="majorBidi" w:cstheme="majorBidi"/>
                <w:lang w:val="fr-FR"/>
              </w:rPr>
              <w:t>n.s.a</w:t>
            </w:r>
            <w:proofErr w:type="spellEnd"/>
            <w:r w:rsidRPr="00FD6147">
              <w:rPr>
                <w:rFonts w:asciiTheme="majorBidi" w:hAnsiTheme="majorBidi" w:cstheme="majorBidi"/>
                <w:lang w:val="fr-FR"/>
              </w:rPr>
              <w:t>.). Toutefois, pour faciliter l’identification du produit par les services d’urgence, il est proposé de créer un nouveau numéro ONU pour la désignation « Hydrocarbures gazeux et éther méthylique en mélange liquéfié ».</w:t>
            </w:r>
          </w:p>
        </w:tc>
      </w:tr>
      <w:tr w:rsidR="00DF757A" w:rsidRPr="00FD6147" w14:paraId="237F6010" w14:textId="77777777" w:rsidTr="00DF757A">
        <w:trPr>
          <w:trHeight w:val="31"/>
          <w:jc w:val="center"/>
        </w:trPr>
        <w:tc>
          <w:tcPr>
            <w:tcW w:w="9638" w:type="dxa"/>
            <w:tcBorders>
              <w:top w:val="nil"/>
              <w:bottom w:val="nil"/>
            </w:tcBorders>
            <w:shd w:val="clear" w:color="auto" w:fill="auto"/>
          </w:tcPr>
          <w:p w14:paraId="4F12E8F2" w14:textId="02501292" w:rsidR="00DF757A" w:rsidRPr="00FD6147" w:rsidRDefault="00DF757A" w:rsidP="00DF757A">
            <w:pPr>
              <w:spacing w:after="120"/>
              <w:ind w:left="2268" w:right="1134"/>
              <w:jc w:val="both"/>
              <w:rPr>
                <w:rFonts w:asciiTheme="majorBidi" w:hAnsiTheme="majorBidi" w:cstheme="majorBidi"/>
                <w:b/>
                <w:bCs/>
                <w:lang w:val="fr-FR"/>
              </w:rPr>
            </w:pPr>
            <w:r w:rsidRPr="00FD6147">
              <w:rPr>
                <w:rFonts w:asciiTheme="majorBidi" w:hAnsiTheme="majorBidi" w:cstheme="majorBidi"/>
                <w:lang w:val="fr-FR"/>
              </w:rPr>
              <w:t xml:space="preserve">La présente proposition est distincte et indépendante de la proposition qui vise à introduire une nouvelle disposition spéciale autorisant jusqu’à 12 % en masse de DME dans le GPL </w:t>
            </w:r>
            <w:proofErr w:type="spellStart"/>
            <w:r w:rsidRPr="00FD6147">
              <w:rPr>
                <w:rFonts w:asciiTheme="majorBidi" w:hAnsiTheme="majorBidi" w:cstheme="majorBidi"/>
                <w:lang w:val="fr-FR"/>
              </w:rPr>
              <w:t>des</w:t>
            </w:r>
            <w:proofErr w:type="spellEnd"/>
            <w:r w:rsidRPr="00FD6147">
              <w:rPr>
                <w:rFonts w:asciiTheme="majorBidi" w:hAnsiTheme="majorBidi" w:cstheme="majorBidi"/>
                <w:lang w:val="fr-FR"/>
              </w:rPr>
              <w:t xml:space="preserve"> Nos ONU 1075 ou 1965 (ST/SG/AC.10/C.3/</w:t>
            </w:r>
            <w:r>
              <w:rPr>
                <w:rFonts w:asciiTheme="majorBidi" w:hAnsiTheme="majorBidi" w:cstheme="majorBidi"/>
                <w:lang w:val="fr-FR"/>
              </w:rPr>
              <w:t xml:space="preserve"> </w:t>
            </w:r>
            <w:r w:rsidRPr="00FD6147">
              <w:rPr>
                <w:rFonts w:asciiTheme="majorBidi" w:hAnsiTheme="majorBidi" w:cstheme="majorBidi"/>
                <w:lang w:val="fr-FR"/>
              </w:rPr>
              <w:t>2024/48).</w:t>
            </w:r>
          </w:p>
        </w:tc>
      </w:tr>
      <w:tr w:rsidR="00FD6147" w:rsidRPr="00FD6147" w14:paraId="4C329FE7" w14:textId="77777777" w:rsidTr="00DF757A">
        <w:trPr>
          <w:trHeight w:val="4"/>
          <w:jc w:val="center"/>
        </w:trPr>
        <w:tc>
          <w:tcPr>
            <w:tcW w:w="9638" w:type="dxa"/>
            <w:tcBorders>
              <w:top w:val="nil"/>
              <w:bottom w:val="nil"/>
            </w:tcBorders>
            <w:shd w:val="clear" w:color="auto" w:fill="auto"/>
          </w:tcPr>
          <w:p w14:paraId="7B8C30A2" w14:textId="6F2B5880" w:rsidR="00FD6147" w:rsidRPr="00FD6147" w:rsidRDefault="00FD6147" w:rsidP="00DF757A">
            <w:pPr>
              <w:spacing w:after="120"/>
              <w:ind w:left="2269" w:right="1134" w:hanging="1985"/>
              <w:jc w:val="both"/>
              <w:rPr>
                <w:rFonts w:asciiTheme="majorBidi" w:hAnsiTheme="majorBidi" w:cstheme="majorBidi"/>
                <w:lang w:val="fr-FR"/>
              </w:rPr>
            </w:pPr>
            <w:r w:rsidRPr="00FD6147">
              <w:rPr>
                <w:rFonts w:asciiTheme="majorBidi" w:hAnsiTheme="majorBidi" w:cstheme="majorBidi"/>
                <w:b/>
                <w:bCs/>
                <w:lang w:val="fr-FR"/>
              </w:rPr>
              <w:lastRenderedPageBreak/>
              <w:t>Mesures à prendre</w:t>
            </w:r>
            <w:r w:rsidRPr="00FD6147">
              <w:rPr>
                <w:rFonts w:asciiTheme="majorBidi" w:hAnsiTheme="majorBidi" w:cstheme="majorBidi"/>
                <w:b/>
                <w:bCs/>
                <w:lang w:val="fr-FR"/>
              </w:rPr>
              <w:t> :</w:t>
            </w:r>
            <w:r w:rsidRPr="00FD6147">
              <w:rPr>
                <w:rFonts w:asciiTheme="majorBidi" w:hAnsiTheme="majorBidi" w:cstheme="majorBidi"/>
                <w:lang w:val="fr-FR"/>
              </w:rPr>
              <w:tab/>
              <w:t>Créer un nouveau numéro ONU pour les mélanges d’hydrocarbures gazeux et d DME intitulé « Hydrocarbures gazeux (Nos</w:t>
            </w:r>
            <w:r w:rsidR="00DF757A">
              <w:rPr>
                <w:rFonts w:asciiTheme="majorBidi" w:hAnsiTheme="majorBidi" w:cstheme="majorBidi"/>
                <w:lang w:val="fr-FR"/>
              </w:rPr>
              <w:t> </w:t>
            </w:r>
            <w:r w:rsidRPr="00FD6147">
              <w:rPr>
                <w:rFonts w:asciiTheme="majorBidi" w:hAnsiTheme="majorBidi" w:cstheme="majorBidi"/>
                <w:lang w:val="fr-FR"/>
              </w:rPr>
              <w:t>ONU 1075, 1965, 1011, 1012, 1055, 1969 ou 1978) et éther méthylique (No</w:t>
            </w:r>
            <w:r w:rsidR="00DF757A">
              <w:rPr>
                <w:rFonts w:asciiTheme="majorBidi" w:hAnsiTheme="majorBidi" w:cstheme="majorBidi"/>
                <w:lang w:val="fr-FR"/>
              </w:rPr>
              <w:t> </w:t>
            </w:r>
            <w:r w:rsidRPr="00FD6147">
              <w:rPr>
                <w:rFonts w:asciiTheme="majorBidi" w:hAnsiTheme="majorBidi" w:cstheme="majorBidi"/>
                <w:lang w:val="fr-FR"/>
              </w:rPr>
              <w:t>ONU 1033) en mélange liquéfié ».</w:t>
            </w:r>
          </w:p>
        </w:tc>
      </w:tr>
      <w:tr w:rsidR="00FD6147" w:rsidRPr="00FD6147" w14:paraId="59458C64" w14:textId="77777777" w:rsidTr="00DF757A">
        <w:trPr>
          <w:trHeight w:val="1"/>
          <w:jc w:val="center"/>
        </w:trPr>
        <w:tc>
          <w:tcPr>
            <w:tcW w:w="9638" w:type="dxa"/>
            <w:tcBorders>
              <w:top w:val="nil"/>
            </w:tcBorders>
            <w:shd w:val="clear" w:color="auto" w:fill="auto"/>
          </w:tcPr>
          <w:p w14:paraId="4D2D2DDE" w14:textId="15E3E242" w:rsidR="00FD6147" w:rsidRPr="00FD6147" w:rsidRDefault="00FD6147" w:rsidP="00DF757A">
            <w:pPr>
              <w:spacing w:after="120"/>
              <w:ind w:left="2269" w:right="1134" w:hanging="1985"/>
              <w:jc w:val="both"/>
              <w:rPr>
                <w:rFonts w:asciiTheme="majorBidi" w:hAnsiTheme="majorBidi" w:cstheme="majorBidi"/>
                <w:lang w:val="fr-FR"/>
              </w:rPr>
            </w:pPr>
            <w:r w:rsidRPr="00FD6147">
              <w:rPr>
                <w:rFonts w:asciiTheme="majorBidi" w:hAnsiTheme="majorBidi" w:cstheme="majorBidi"/>
                <w:b/>
                <w:bCs/>
                <w:lang w:val="fr-FR"/>
              </w:rPr>
              <w:t>Document connexe</w:t>
            </w:r>
            <w:r w:rsidRPr="00FD6147">
              <w:rPr>
                <w:rFonts w:asciiTheme="majorBidi" w:hAnsiTheme="majorBidi" w:cstheme="majorBidi"/>
                <w:b/>
                <w:bCs/>
                <w:lang w:val="fr-FR"/>
              </w:rPr>
              <w:t> :</w:t>
            </w:r>
            <w:r w:rsidRPr="00FD6147">
              <w:rPr>
                <w:rFonts w:asciiTheme="majorBidi" w:hAnsiTheme="majorBidi" w:cstheme="majorBidi"/>
                <w:lang w:val="fr-FR"/>
              </w:rPr>
              <w:tab/>
              <w:t>Document ST/SG/AC.10/C.3/2023/32 (soixante-troisième session).</w:t>
            </w:r>
          </w:p>
        </w:tc>
      </w:tr>
      <w:tr w:rsidR="00FD6147" w:rsidRPr="00FD6147" w14:paraId="7C970E83" w14:textId="77777777" w:rsidTr="00DF757A">
        <w:trPr>
          <w:trHeight w:val="1"/>
          <w:jc w:val="center"/>
        </w:trPr>
        <w:tc>
          <w:tcPr>
            <w:tcW w:w="9638" w:type="dxa"/>
            <w:shd w:val="clear" w:color="auto" w:fill="auto"/>
          </w:tcPr>
          <w:p w14:paraId="5C27C400" w14:textId="77777777" w:rsidR="00FD6147" w:rsidRPr="00FD6147" w:rsidRDefault="00FD6147" w:rsidP="00FD6147">
            <w:pPr>
              <w:rPr>
                <w:rFonts w:asciiTheme="majorBidi" w:hAnsiTheme="majorBidi" w:cstheme="majorBidi"/>
                <w:b/>
                <w:bCs/>
                <w:lang w:val="fr-FR"/>
              </w:rPr>
            </w:pPr>
          </w:p>
        </w:tc>
      </w:tr>
    </w:tbl>
    <w:p w14:paraId="4A14A19D" w14:textId="2EF3203E" w:rsidR="00FD6147" w:rsidRPr="00FD6147" w:rsidRDefault="00DD1655" w:rsidP="00FD6147">
      <w:pPr>
        <w:pStyle w:val="HChG"/>
        <w:rPr>
          <w:rFonts w:asciiTheme="majorBidi" w:hAnsiTheme="majorBidi" w:cstheme="majorBidi"/>
          <w:lang w:val="fr-FR"/>
        </w:rPr>
      </w:pPr>
      <w:r>
        <w:rPr>
          <w:rFonts w:asciiTheme="majorBidi" w:hAnsiTheme="majorBidi" w:cstheme="majorBidi"/>
          <w:bCs/>
          <w:lang w:val="fr-FR"/>
        </w:rPr>
        <w:tab/>
      </w:r>
      <w:r w:rsidR="00FD6147" w:rsidRPr="00FD6147">
        <w:rPr>
          <w:rFonts w:asciiTheme="majorBidi" w:hAnsiTheme="majorBidi" w:cstheme="majorBidi"/>
          <w:bCs/>
          <w:lang w:val="fr-FR"/>
        </w:rPr>
        <w:t>I.</w:t>
      </w:r>
      <w:r w:rsidR="00FD6147" w:rsidRPr="00FD6147">
        <w:rPr>
          <w:rFonts w:asciiTheme="majorBidi" w:hAnsiTheme="majorBidi" w:cstheme="majorBidi"/>
          <w:lang w:val="fr-FR"/>
        </w:rPr>
        <w:tab/>
      </w:r>
      <w:r w:rsidR="00FD6147" w:rsidRPr="00FD6147">
        <w:rPr>
          <w:rFonts w:asciiTheme="majorBidi" w:hAnsiTheme="majorBidi" w:cstheme="majorBidi"/>
          <w:bCs/>
          <w:lang w:val="fr-FR"/>
        </w:rPr>
        <w:t>Cadre général</w:t>
      </w:r>
    </w:p>
    <w:p w14:paraId="1488DEC7" w14:textId="77777777"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1.</w:t>
      </w:r>
      <w:r w:rsidRPr="00FD6147">
        <w:rPr>
          <w:rFonts w:asciiTheme="majorBidi" w:hAnsiTheme="majorBidi" w:cstheme="majorBidi"/>
          <w:lang w:val="fr-FR"/>
        </w:rPr>
        <w:tab/>
        <w:t>Le document ST/SG/AC.10/C.3/2023/32 (soixante-troisième session) contient des informations générales sur la manière dont le secteur du GPL évolue et s’adapte pour atteindre ses objectifs en matière de sources renouvelables et de durabilité, ainsi qu’une analyse des questions soulevées à la soixante-deuxième session.</w:t>
      </w:r>
    </w:p>
    <w:p w14:paraId="61D72A7E" w14:textId="77777777"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2.</w:t>
      </w:r>
      <w:r w:rsidRPr="00FD6147">
        <w:rPr>
          <w:rFonts w:asciiTheme="majorBidi" w:hAnsiTheme="majorBidi" w:cstheme="majorBidi"/>
          <w:lang w:val="fr-FR"/>
        </w:rPr>
        <w:tab/>
        <w:t>À la soixante-troisième session, il a été estimé que l’identification d’un produit ne justifiait pas à elle seule la création d’un nouveau numéro ONU, à moins que ces mélanges DME/GPL ne se retrouvent en grandes quantités dans la chaîne de transport. Le présent document contient des prévisions quant aux importantes quantités attendues.</w:t>
      </w:r>
    </w:p>
    <w:p w14:paraId="16861871" w14:textId="3B7B1FD3"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3.</w:t>
      </w:r>
      <w:r w:rsidRPr="00FD6147">
        <w:rPr>
          <w:rFonts w:asciiTheme="majorBidi" w:hAnsiTheme="majorBidi" w:cstheme="majorBidi"/>
          <w:lang w:val="fr-FR"/>
        </w:rPr>
        <w:tab/>
        <w:t>Les mélanges de DME renouvelable ou recyclé (</w:t>
      </w:r>
      <w:proofErr w:type="spellStart"/>
      <w:r w:rsidRPr="00FD6147">
        <w:rPr>
          <w:rFonts w:asciiTheme="majorBidi" w:hAnsiTheme="majorBidi" w:cstheme="majorBidi"/>
          <w:lang w:val="fr-FR"/>
        </w:rPr>
        <w:t>rDME</w:t>
      </w:r>
      <w:proofErr w:type="spellEnd"/>
      <w:r w:rsidRPr="00FD6147">
        <w:rPr>
          <w:rFonts w:asciiTheme="majorBidi" w:hAnsiTheme="majorBidi" w:cstheme="majorBidi"/>
          <w:lang w:val="fr-FR"/>
        </w:rPr>
        <w:t>) et de GPL contribueront à la décarbonisation du carburant fourni par le secteur du GPL et, partant, à la réalisation de l’objectif de développement durable n</w:t>
      </w:r>
      <w:r w:rsidRPr="00FD6147">
        <w:rPr>
          <w:rFonts w:asciiTheme="majorBidi" w:hAnsiTheme="majorBidi" w:cstheme="majorBidi"/>
          <w:vertAlign w:val="superscript"/>
          <w:lang w:val="fr-FR"/>
        </w:rPr>
        <w:t>o</w:t>
      </w:r>
      <w:r w:rsidRPr="00FD6147">
        <w:rPr>
          <w:rFonts w:asciiTheme="majorBidi" w:hAnsiTheme="majorBidi" w:cstheme="majorBidi"/>
          <w:lang w:val="fr-FR"/>
        </w:rPr>
        <w:t xml:space="preserve"> 7 (Énergie propre et d’un coût abordable). On estime actuellement qu’en Europe et en Amérique du Nord, le </w:t>
      </w:r>
      <w:proofErr w:type="spellStart"/>
      <w:r w:rsidRPr="00FD6147">
        <w:rPr>
          <w:rFonts w:asciiTheme="majorBidi" w:hAnsiTheme="majorBidi" w:cstheme="majorBidi"/>
          <w:lang w:val="fr-FR"/>
        </w:rPr>
        <w:t>rDME</w:t>
      </w:r>
      <w:proofErr w:type="spellEnd"/>
      <w:r w:rsidRPr="00FD6147">
        <w:rPr>
          <w:rFonts w:asciiTheme="majorBidi" w:hAnsiTheme="majorBidi" w:cstheme="majorBidi"/>
          <w:lang w:val="fr-FR"/>
        </w:rPr>
        <w:t xml:space="preserve"> pourrait représenter jusqu’à 25</w:t>
      </w:r>
      <w:r w:rsidRPr="00FD6147">
        <w:rPr>
          <w:rFonts w:asciiTheme="majorBidi" w:hAnsiTheme="majorBidi" w:cstheme="majorBidi"/>
          <w:lang w:val="fr-FR"/>
        </w:rPr>
        <w:t> </w:t>
      </w:r>
      <w:r w:rsidRPr="00FD6147">
        <w:rPr>
          <w:rFonts w:asciiTheme="majorBidi" w:hAnsiTheme="majorBidi" w:cstheme="majorBidi"/>
          <w:lang w:val="fr-FR"/>
        </w:rPr>
        <w:t xml:space="preserve">% de l’offre de produits renouvelables dans le secteur du GPL d’ici à 2030, et éventuellement jusqu’à 40 % d’ici à 2040 et 50 % à l’horizon 2050. En admettant que la nouvelle disposition spéciale autorisant jusqu’à 12 % en masse de DME dans les mélanges relevant </w:t>
      </w:r>
      <w:proofErr w:type="spellStart"/>
      <w:r w:rsidRPr="00FD6147">
        <w:rPr>
          <w:rFonts w:asciiTheme="majorBidi" w:hAnsiTheme="majorBidi" w:cstheme="majorBidi"/>
          <w:lang w:val="fr-FR"/>
        </w:rPr>
        <w:t>des</w:t>
      </w:r>
      <w:proofErr w:type="spellEnd"/>
      <w:r w:rsidRPr="00FD6147">
        <w:rPr>
          <w:rFonts w:asciiTheme="majorBidi" w:hAnsiTheme="majorBidi" w:cstheme="majorBidi"/>
          <w:lang w:val="fr-FR"/>
        </w:rPr>
        <w:t xml:space="preserve"> Nos</w:t>
      </w:r>
      <w:r w:rsidRPr="00FD6147">
        <w:rPr>
          <w:rFonts w:asciiTheme="majorBidi" w:hAnsiTheme="majorBidi" w:cstheme="majorBidi"/>
          <w:lang w:val="fr-FR"/>
        </w:rPr>
        <w:t> </w:t>
      </w:r>
      <w:r w:rsidRPr="00FD6147">
        <w:rPr>
          <w:rFonts w:asciiTheme="majorBidi" w:hAnsiTheme="majorBidi" w:cstheme="majorBidi"/>
          <w:lang w:val="fr-FR"/>
        </w:rPr>
        <w:t>ONU 1075 ou 1965 sera approuvée, on pense qu’à l’avenir, jusqu’à 30 % des mélanges DME/GPL pourraient être constitués de plus de 12 % en masse de DME et donc relever du nouveau numéro ONU demandé, et que ces mélanges pourraient représenter environ 10 % du marché total.</w:t>
      </w:r>
    </w:p>
    <w:p w14:paraId="31645369" w14:textId="25699755"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4.</w:t>
      </w:r>
      <w:r w:rsidRPr="00FD6147">
        <w:rPr>
          <w:rFonts w:asciiTheme="majorBidi" w:hAnsiTheme="majorBidi" w:cstheme="majorBidi"/>
          <w:lang w:val="fr-FR"/>
        </w:rPr>
        <w:tab/>
        <w:t>Pendant les débats tenus à la soixante-troisième session, certains participants ont fait valoir que ce nouveau numéro ONU était superflu, car il n’était pas impératif d’identifier ce mélange précis en cas d’urgence, et qu’il ferait inutilement double emploi avec le numéro ONU existant (ONU</w:t>
      </w:r>
      <w:r w:rsidRPr="00FD6147">
        <w:rPr>
          <w:rFonts w:asciiTheme="majorBidi" w:hAnsiTheme="majorBidi" w:cstheme="majorBidi"/>
          <w:lang w:val="fr-FR"/>
        </w:rPr>
        <w:t xml:space="preserve"> </w:t>
      </w:r>
      <w:r w:rsidRPr="00FD6147">
        <w:rPr>
          <w:rFonts w:asciiTheme="majorBidi" w:hAnsiTheme="majorBidi" w:cstheme="majorBidi"/>
          <w:lang w:val="fr-FR"/>
        </w:rPr>
        <w:t>3161). Toutefois, des doublons similaires existent déjà parmi les numéros ONU, et les auteurs du présent document estiment qu’ils apportent des éclaircissements semblables à ceux qu’apportera le nouveau numéro demandé.</w:t>
      </w:r>
    </w:p>
    <w:p w14:paraId="70E0AB00" w14:textId="77777777" w:rsidR="00FD6147" w:rsidRPr="00FD6147" w:rsidRDefault="00FD6147" w:rsidP="00FD6147">
      <w:pPr>
        <w:pStyle w:val="SingleTxtG"/>
        <w:tabs>
          <w:tab w:val="clear" w:pos="1701"/>
          <w:tab w:val="clear" w:pos="2268"/>
          <w:tab w:val="clear" w:pos="2835"/>
        </w:tabs>
        <w:rPr>
          <w:rFonts w:asciiTheme="majorBidi" w:hAnsiTheme="majorBidi" w:cstheme="majorBidi"/>
          <w:lang w:val="fr-FR"/>
        </w:rPr>
      </w:pPr>
      <w:r w:rsidRPr="00FD6147">
        <w:rPr>
          <w:rFonts w:asciiTheme="majorBidi" w:hAnsiTheme="majorBidi" w:cstheme="majorBidi"/>
          <w:lang w:val="fr-FR"/>
        </w:rPr>
        <w:t>5.</w:t>
      </w:r>
      <w:r w:rsidRPr="00FD6147">
        <w:rPr>
          <w:rFonts w:asciiTheme="majorBidi" w:hAnsiTheme="majorBidi" w:cstheme="majorBidi"/>
          <w:lang w:val="fr-FR"/>
        </w:rPr>
        <w:tab/>
        <w:t>À titre d’exemple, dans le cas des gaz frigorifiques, il existe 25 numéros ONU distincts pour les gaz classés 2A ayant un numéro d’identification du danger</w:t>
      </w:r>
      <w:r w:rsidRPr="00FD6147">
        <w:rPr>
          <w:rStyle w:val="Appelnotedebasdep"/>
          <w:rFonts w:asciiTheme="majorBidi" w:hAnsiTheme="majorBidi" w:cstheme="majorBidi"/>
          <w:lang w:val="fr-FR"/>
        </w:rPr>
        <w:footnoteReference w:id="3"/>
      </w:r>
      <w:r w:rsidRPr="00FD6147">
        <w:rPr>
          <w:rFonts w:asciiTheme="majorBidi" w:hAnsiTheme="majorBidi" w:cstheme="majorBidi"/>
          <w:lang w:val="fr-FR"/>
        </w:rPr>
        <w:t xml:space="preserve"> de 20 (1009, 1018, 1020, 1021, 1022, 1028, 1029, 1958, 1973, 1974, 1976, 1982, 1983, 1984, 2422, 2424, 2599, 2602, 3159, 3220, 3296, 3337, 3338, 3339 et 3340) et 7 numéros ONU pour les gaz classés 2F ayant un numéro d’identification du danger de 23 (1030, 1063, 2035, 2453, 2454, 2517 et 3252). Les gaz 2A auraient pu être affectés au No ONU 1078 (gaz frigorifiques, </w:t>
      </w:r>
      <w:proofErr w:type="spellStart"/>
      <w:r w:rsidRPr="00FD6147">
        <w:rPr>
          <w:rFonts w:asciiTheme="majorBidi" w:hAnsiTheme="majorBidi" w:cstheme="majorBidi"/>
          <w:lang w:val="fr-FR"/>
        </w:rPr>
        <w:t>n.s.a</w:t>
      </w:r>
      <w:proofErr w:type="spellEnd"/>
      <w:r w:rsidRPr="00FD6147">
        <w:rPr>
          <w:rFonts w:asciiTheme="majorBidi" w:hAnsiTheme="majorBidi" w:cstheme="majorBidi"/>
          <w:lang w:val="fr-FR"/>
        </w:rPr>
        <w:t xml:space="preserve">.) ou au No ONU 3163 (gaz liquéfiés </w:t>
      </w:r>
      <w:proofErr w:type="spellStart"/>
      <w:r w:rsidRPr="00FD6147">
        <w:rPr>
          <w:rFonts w:asciiTheme="majorBidi" w:hAnsiTheme="majorBidi" w:cstheme="majorBidi"/>
          <w:lang w:val="fr-FR"/>
        </w:rPr>
        <w:t>n.s.a</w:t>
      </w:r>
      <w:proofErr w:type="spellEnd"/>
      <w:r w:rsidRPr="00FD6147">
        <w:rPr>
          <w:rFonts w:asciiTheme="majorBidi" w:hAnsiTheme="majorBidi" w:cstheme="majorBidi"/>
          <w:lang w:val="fr-FR"/>
        </w:rPr>
        <w:t>.) et les gaz 2F au No ONU 3161. Cependant, pour éviter toute confusion et faciliter leur identification, ils ont tous été affectés à des numéros ONU différents. D’ici à 2030, le volume total de mélanges DME/GPL transporté dépassera de loin celui des gaz réfrigérants.</w:t>
      </w:r>
    </w:p>
    <w:p w14:paraId="760D0041" w14:textId="7E95FB55"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6.</w:t>
      </w:r>
      <w:r w:rsidRPr="00FD6147">
        <w:rPr>
          <w:rFonts w:asciiTheme="majorBidi" w:hAnsiTheme="majorBidi" w:cstheme="majorBidi"/>
          <w:lang w:val="fr-FR"/>
        </w:rPr>
        <w:tab/>
        <w:t>S’il est vrai que les Nos</w:t>
      </w:r>
      <w:r w:rsidRPr="00FD6147">
        <w:rPr>
          <w:rFonts w:asciiTheme="majorBidi" w:hAnsiTheme="majorBidi" w:cstheme="majorBidi"/>
          <w:lang w:val="fr-FR"/>
        </w:rPr>
        <w:t> </w:t>
      </w:r>
      <w:r w:rsidRPr="00FD6147">
        <w:rPr>
          <w:rFonts w:asciiTheme="majorBidi" w:hAnsiTheme="majorBidi" w:cstheme="majorBidi"/>
          <w:lang w:val="fr-FR"/>
        </w:rPr>
        <w:t>ONU 1033, 1075 et 1065 ont tous le même numéro d’identification du danger (23), certains gaz liquéfiés inflammables qui pourraient être mélangés et affectés au No</w:t>
      </w:r>
      <w:r w:rsidRPr="00FD6147">
        <w:rPr>
          <w:rFonts w:asciiTheme="majorBidi" w:hAnsiTheme="majorBidi" w:cstheme="majorBidi"/>
          <w:lang w:val="fr-FR"/>
        </w:rPr>
        <w:t> </w:t>
      </w:r>
      <w:r w:rsidRPr="00FD6147">
        <w:rPr>
          <w:rFonts w:asciiTheme="majorBidi" w:hAnsiTheme="majorBidi" w:cstheme="majorBidi"/>
          <w:lang w:val="fr-FR"/>
        </w:rPr>
        <w:t>ONU</w:t>
      </w:r>
      <w:r w:rsidRPr="00FD6147">
        <w:rPr>
          <w:rFonts w:asciiTheme="majorBidi" w:hAnsiTheme="majorBidi" w:cstheme="majorBidi"/>
          <w:lang w:val="fr-FR"/>
        </w:rPr>
        <w:t xml:space="preserve"> </w:t>
      </w:r>
      <w:r w:rsidRPr="00FD6147">
        <w:rPr>
          <w:rFonts w:asciiTheme="majorBidi" w:hAnsiTheme="majorBidi" w:cstheme="majorBidi"/>
          <w:lang w:val="fr-FR"/>
        </w:rPr>
        <w:t>3161 ont des numéros d’identification du danger différents. Le No</w:t>
      </w:r>
      <w:r w:rsidRPr="00FD6147">
        <w:rPr>
          <w:rFonts w:asciiTheme="majorBidi" w:hAnsiTheme="majorBidi" w:cstheme="majorBidi"/>
          <w:lang w:val="fr-FR"/>
        </w:rPr>
        <w:t> </w:t>
      </w:r>
      <w:r w:rsidRPr="00FD6147">
        <w:rPr>
          <w:rFonts w:asciiTheme="majorBidi" w:hAnsiTheme="majorBidi" w:cstheme="majorBidi"/>
          <w:lang w:val="fr-FR"/>
        </w:rPr>
        <w:t>ONU</w:t>
      </w:r>
      <w:r w:rsidRPr="00FD6147">
        <w:rPr>
          <w:rFonts w:asciiTheme="majorBidi" w:hAnsiTheme="majorBidi" w:cstheme="majorBidi"/>
          <w:lang w:val="fr-FR"/>
        </w:rPr>
        <w:t xml:space="preserve"> </w:t>
      </w:r>
      <w:r w:rsidRPr="00FD6147">
        <w:rPr>
          <w:rFonts w:asciiTheme="majorBidi" w:hAnsiTheme="majorBidi" w:cstheme="majorBidi"/>
          <w:lang w:val="fr-FR"/>
        </w:rPr>
        <w:t>1041 (oxyde d’éthylène et dioxyde de carbone en mélange), par exemple, a un numéro d’identification du danger de 239 (danger de réaction violente spontanée), mais s’il est mélangé à un autre gaz inflammable, il est affecté au No</w:t>
      </w:r>
      <w:r w:rsidRPr="00FD6147">
        <w:rPr>
          <w:rFonts w:asciiTheme="majorBidi" w:hAnsiTheme="majorBidi" w:cstheme="majorBidi"/>
          <w:lang w:val="fr-FR"/>
        </w:rPr>
        <w:t> </w:t>
      </w:r>
      <w:r w:rsidRPr="00FD6147">
        <w:rPr>
          <w:rFonts w:asciiTheme="majorBidi" w:hAnsiTheme="majorBidi" w:cstheme="majorBidi"/>
          <w:lang w:val="fr-FR"/>
        </w:rPr>
        <w:t>ONU 3161, numéro d’identification du danger 23. Il en va de même pour les Nos</w:t>
      </w:r>
      <w:r w:rsidRPr="00FD6147">
        <w:rPr>
          <w:rFonts w:asciiTheme="majorBidi" w:hAnsiTheme="majorBidi" w:cstheme="majorBidi"/>
          <w:lang w:val="fr-FR"/>
        </w:rPr>
        <w:t> </w:t>
      </w:r>
      <w:r w:rsidRPr="00FD6147">
        <w:rPr>
          <w:rFonts w:asciiTheme="majorBidi" w:hAnsiTheme="majorBidi" w:cstheme="majorBidi"/>
          <w:lang w:val="fr-FR"/>
        </w:rPr>
        <w:t>ONU 1060, 1081, 1085, 1086, 1087, 1959 et 2452. Le No</w:t>
      </w:r>
      <w:r w:rsidRPr="00FD6147">
        <w:rPr>
          <w:rFonts w:asciiTheme="majorBidi" w:hAnsiTheme="majorBidi" w:cstheme="majorBidi"/>
          <w:lang w:val="fr-FR"/>
        </w:rPr>
        <w:t> </w:t>
      </w:r>
      <w:r w:rsidRPr="00FD6147">
        <w:rPr>
          <w:rFonts w:asciiTheme="majorBidi" w:hAnsiTheme="majorBidi" w:cstheme="majorBidi"/>
          <w:lang w:val="fr-FR"/>
        </w:rPr>
        <w:t xml:space="preserve">ONU 2191 (fluorure de sulfuryle), qui a un numéro </w:t>
      </w:r>
      <w:r w:rsidRPr="00FD6147">
        <w:rPr>
          <w:rFonts w:asciiTheme="majorBidi" w:hAnsiTheme="majorBidi" w:cstheme="majorBidi"/>
          <w:lang w:val="fr-FR"/>
        </w:rPr>
        <w:lastRenderedPageBreak/>
        <w:t>d’identification du danger de 26, peut lui aussi être mélangé à un autre gaz liquéfié et affecté au No ONU 3161.</w:t>
      </w:r>
    </w:p>
    <w:p w14:paraId="6BCFB51F" w14:textId="77777777"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7.</w:t>
      </w:r>
      <w:r w:rsidRPr="00FD6147">
        <w:rPr>
          <w:rFonts w:asciiTheme="majorBidi" w:hAnsiTheme="majorBidi" w:cstheme="majorBidi"/>
          <w:lang w:val="fr-FR"/>
        </w:rPr>
        <w:tab/>
        <w:t>En situation d’urgence, des informations détaillées sur le mélange transporté ne sont pas toujours directement disponibles et, si le produit doit être transféré dans un autre récipient sans dispositif de scellement en élastomère adapté, il existe un risque de gonflement inacceptable. Le gonflement se produit au cours des 48 premières heures d’exposition, et les mélanges DME/GPL constitués de plus de 40 % de DME provoquent un gonflement inacceptable sur de nombreux élastomères utilisés dans le secteur du GPL.</w:t>
      </w:r>
    </w:p>
    <w:p w14:paraId="1A645BAD" w14:textId="6A1A0982"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8.</w:t>
      </w:r>
      <w:r w:rsidRPr="00FD6147">
        <w:rPr>
          <w:rFonts w:asciiTheme="majorBidi" w:hAnsiTheme="majorBidi" w:cstheme="majorBidi"/>
          <w:lang w:val="fr-FR"/>
        </w:rPr>
        <w:tab/>
        <w:t xml:space="preserve">Les mélanges de </w:t>
      </w:r>
      <w:proofErr w:type="spellStart"/>
      <w:r w:rsidR="0034502F">
        <w:rPr>
          <w:rFonts w:asciiTheme="majorBidi" w:hAnsiTheme="majorBidi" w:cstheme="majorBidi"/>
          <w:lang w:val="fr-FR"/>
        </w:rPr>
        <w:t>r</w:t>
      </w:r>
      <w:r w:rsidRPr="00FD6147">
        <w:rPr>
          <w:rFonts w:asciiTheme="majorBidi" w:hAnsiTheme="majorBidi" w:cstheme="majorBidi"/>
          <w:lang w:val="fr-FR"/>
        </w:rPr>
        <w:t>DME</w:t>
      </w:r>
      <w:proofErr w:type="spellEnd"/>
      <w:r w:rsidRPr="00FD6147">
        <w:rPr>
          <w:rFonts w:asciiTheme="majorBidi" w:hAnsiTheme="majorBidi" w:cstheme="majorBidi"/>
          <w:lang w:val="fr-FR"/>
        </w:rPr>
        <w:t xml:space="preserve"> et de GPL (hydrocarbures relevant </w:t>
      </w:r>
      <w:proofErr w:type="spellStart"/>
      <w:r w:rsidRPr="00FD6147">
        <w:rPr>
          <w:rFonts w:asciiTheme="majorBidi" w:hAnsiTheme="majorBidi" w:cstheme="majorBidi"/>
          <w:lang w:val="fr-FR"/>
        </w:rPr>
        <w:t>des</w:t>
      </w:r>
      <w:proofErr w:type="spellEnd"/>
      <w:r w:rsidRPr="00FD6147">
        <w:rPr>
          <w:rFonts w:asciiTheme="majorBidi" w:hAnsiTheme="majorBidi" w:cstheme="majorBidi"/>
          <w:lang w:val="fr-FR"/>
        </w:rPr>
        <w:t xml:space="preserve"> Nos ONU 1075, 1965, 1011, 1012, 1055, 1969, 1978) deviendront de plus en plus courants dans la chaîne de transport à mesure que les combustibles fossiles conventionnels seront remplacés. Le fait de disposer d’un numéro ONU propre à ces mélanges permettra d’identifier rapidement le produit réellement transporté, ce qui ne peut qu’être utile en cas d’urgence et bénéfique à la</w:t>
      </w:r>
      <w:r w:rsidRPr="00FD6147">
        <w:rPr>
          <w:rFonts w:asciiTheme="majorBidi" w:hAnsiTheme="majorBidi" w:cstheme="majorBidi"/>
          <w:lang w:val="fr-FR"/>
        </w:rPr>
        <w:t> </w:t>
      </w:r>
      <w:r w:rsidRPr="00FD6147">
        <w:rPr>
          <w:rFonts w:asciiTheme="majorBidi" w:hAnsiTheme="majorBidi" w:cstheme="majorBidi"/>
          <w:lang w:val="fr-FR"/>
        </w:rPr>
        <w:t>sécurité.</w:t>
      </w:r>
    </w:p>
    <w:p w14:paraId="171DC79A" w14:textId="02A67DA7" w:rsidR="00FD6147" w:rsidRPr="00FD6147" w:rsidRDefault="00FD6147" w:rsidP="00FD6147">
      <w:pPr>
        <w:pStyle w:val="HChG"/>
        <w:rPr>
          <w:rFonts w:asciiTheme="majorBidi" w:hAnsiTheme="majorBidi" w:cstheme="majorBidi"/>
          <w:lang w:val="fr-FR"/>
        </w:rPr>
      </w:pPr>
      <w:r w:rsidRPr="00FD6147">
        <w:rPr>
          <w:rFonts w:asciiTheme="majorBidi" w:hAnsiTheme="majorBidi" w:cstheme="majorBidi"/>
          <w:bCs/>
          <w:lang w:val="fr-FR"/>
        </w:rPr>
        <w:tab/>
      </w:r>
      <w:r w:rsidRPr="00FD6147">
        <w:rPr>
          <w:rFonts w:asciiTheme="majorBidi" w:hAnsiTheme="majorBidi" w:cstheme="majorBidi"/>
          <w:bCs/>
          <w:lang w:val="fr-FR"/>
        </w:rPr>
        <w:t>II.</w:t>
      </w:r>
      <w:r w:rsidRPr="00FD6147">
        <w:rPr>
          <w:rFonts w:asciiTheme="majorBidi" w:hAnsiTheme="majorBidi" w:cstheme="majorBidi"/>
          <w:lang w:val="fr-FR"/>
        </w:rPr>
        <w:tab/>
      </w:r>
      <w:r w:rsidRPr="00FD6147">
        <w:rPr>
          <w:rFonts w:asciiTheme="majorBidi" w:hAnsiTheme="majorBidi" w:cstheme="majorBidi"/>
          <w:bCs/>
          <w:lang w:val="fr-FR"/>
        </w:rPr>
        <w:t>Proposition</w:t>
      </w:r>
    </w:p>
    <w:p w14:paraId="6C7F2AEC" w14:textId="316CAA03" w:rsidR="00FD6147" w:rsidRPr="00FD6147" w:rsidRDefault="00FD6147" w:rsidP="00FD6147">
      <w:pPr>
        <w:pStyle w:val="SingleTxtG"/>
        <w:rPr>
          <w:rFonts w:asciiTheme="majorBidi" w:hAnsiTheme="majorBidi" w:cstheme="majorBidi"/>
          <w:lang w:val="fr-FR"/>
        </w:rPr>
      </w:pPr>
      <w:r w:rsidRPr="00FD6147">
        <w:rPr>
          <w:rFonts w:asciiTheme="majorBidi" w:hAnsiTheme="majorBidi" w:cstheme="majorBidi"/>
          <w:lang w:val="fr-FR"/>
        </w:rPr>
        <w:t>9.</w:t>
      </w:r>
      <w:r w:rsidRPr="00FD6147">
        <w:rPr>
          <w:rFonts w:asciiTheme="majorBidi" w:hAnsiTheme="majorBidi" w:cstheme="majorBidi"/>
          <w:lang w:val="fr-FR"/>
        </w:rPr>
        <w:tab/>
        <w:t>Ajouter une nouvelle rubrique à la Liste des marchandises dangereuses, au 3.2.2, comme suit</w:t>
      </w:r>
      <w:r w:rsidRPr="00FD6147">
        <w:rPr>
          <w:rFonts w:asciiTheme="majorBidi" w:hAnsiTheme="majorBidi" w:cstheme="majorBidi"/>
          <w:lang w:val="fr-FR"/>
        </w:rPr>
        <w:t> :</w:t>
      </w:r>
    </w:p>
    <w:tbl>
      <w:tblPr>
        <w:tblStyle w:val="Grilledutableau"/>
        <w:tblW w:w="9637" w:type="dxa"/>
        <w:tblLayout w:type="fixed"/>
        <w:tblLook w:val="04A0" w:firstRow="1" w:lastRow="0" w:firstColumn="1" w:lastColumn="0" w:noHBand="0" w:noVBand="1"/>
      </w:tblPr>
      <w:tblGrid>
        <w:gridCol w:w="716"/>
        <w:gridCol w:w="3454"/>
        <w:gridCol w:w="546"/>
        <w:gridCol w:w="547"/>
        <w:gridCol w:w="547"/>
        <w:gridCol w:w="546"/>
        <w:gridCol w:w="547"/>
        <w:gridCol w:w="547"/>
        <w:gridCol w:w="546"/>
        <w:gridCol w:w="547"/>
        <w:gridCol w:w="547"/>
        <w:gridCol w:w="547"/>
      </w:tblGrid>
      <w:tr w:rsidR="00FD6147" w:rsidRPr="00FD6147" w14:paraId="79BB7A5C" w14:textId="77777777" w:rsidTr="00D92D51">
        <w:trPr>
          <w:trHeight w:val="337"/>
        </w:trPr>
        <w:tc>
          <w:tcPr>
            <w:tcW w:w="704" w:type="dxa"/>
            <w:vAlign w:val="center"/>
          </w:tcPr>
          <w:p w14:paraId="659E809D" w14:textId="77777777" w:rsidR="00FD6147" w:rsidRPr="00FD6147" w:rsidRDefault="00FD6147" w:rsidP="00FD6147">
            <w:pPr>
              <w:spacing w:before="60" w:after="60" w:line="240" w:lineRule="auto"/>
              <w:ind w:left="57" w:right="57"/>
              <w:jc w:val="center"/>
              <w:rPr>
                <w:rFonts w:asciiTheme="majorBidi" w:hAnsiTheme="majorBidi" w:cstheme="majorBidi"/>
                <w:b/>
                <w:bCs/>
                <w:i/>
                <w:iCs/>
                <w:sz w:val="16"/>
                <w:szCs w:val="16"/>
                <w:lang w:val="fr-FR"/>
              </w:rPr>
            </w:pPr>
            <w:r w:rsidRPr="00FD6147">
              <w:rPr>
                <w:rFonts w:asciiTheme="majorBidi" w:hAnsiTheme="majorBidi" w:cstheme="majorBidi"/>
                <w:b/>
                <w:bCs/>
                <w:i/>
                <w:iCs/>
                <w:sz w:val="16"/>
                <w:szCs w:val="16"/>
                <w:lang w:val="fr-FR"/>
              </w:rPr>
              <w:t>(1)</w:t>
            </w:r>
          </w:p>
        </w:tc>
        <w:tc>
          <w:tcPr>
            <w:tcW w:w="3402" w:type="dxa"/>
            <w:vAlign w:val="center"/>
          </w:tcPr>
          <w:p w14:paraId="0CB901FF"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(2)</w:t>
            </w:r>
          </w:p>
        </w:tc>
        <w:tc>
          <w:tcPr>
            <w:tcW w:w="538" w:type="dxa"/>
            <w:vAlign w:val="center"/>
          </w:tcPr>
          <w:p w14:paraId="308E49E3"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(3)</w:t>
            </w:r>
          </w:p>
        </w:tc>
        <w:tc>
          <w:tcPr>
            <w:tcW w:w="539" w:type="dxa"/>
            <w:vAlign w:val="center"/>
          </w:tcPr>
          <w:p w14:paraId="5DB5506C"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(4)</w:t>
            </w:r>
          </w:p>
        </w:tc>
        <w:tc>
          <w:tcPr>
            <w:tcW w:w="539" w:type="dxa"/>
            <w:vAlign w:val="center"/>
          </w:tcPr>
          <w:p w14:paraId="0FDB199A"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(5)</w:t>
            </w:r>
          </w:p>
        </w:tc>
        <w:tc>
          <w:tcPr>
            <w:tcW w:w="538" w:type="dxa"/>
            <w:vAlign w:val="center"/>
          </w:tcPr>
          <w:p w14:paraId="6371DEAB"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(6)</w:t>
            </w:r>
          </w:p>
        </w:tc>
        <w:tc>
          <w:tcPr>
            <w:tcW w:w="539" w:type="dxa"/>
            <w:vAlign w:val="center"/>
          </w:tcPr>
          <w:p w14:paraId="22782907"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(7a)</w:t>
            </w:r>
          </w:p>
        </w:tc>
        <w:tc>
          <w:tcPr>
            <w:tcW w:w="539" w:type="dxa"/>
            <w:vAlign w:val="center"/>
          </w:tcPr>
          <w:p w14:paraId="76CAC263"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(7b)</w:t>
            </w:r>
          </w:p>
        </w:tc>
        <w:tc>
          <w:tcPr>
            <w:tcW w:w="538" w:type="dxa"/>
            <w:vAlign w:val="center"/>
          </w:tcPr>
          <w:p w14:paraId="5B904FCB"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(8)</w:t>
            </w:r>
          </w:p>
        </w:tc>
        <w:tc>
          <w:tcPr>
            <w:tcW w:w="539" w:type="dxa"/>
            <w:vAlign w:val="center"/>
          </w:tcPr>
          <w:p w14:paraId="4A51F417"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(9)</w:t>
            </w:r>
          </w:p>
        </w:tc>
        <w:tc>
          <w:tcPr>
            <w:tcW w:w="539" w:type="dxa"/>
            <w:vAlign w:val="center"/>
          </w:tcPr>
          <w:p w14:paraId="450DEBEC"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(10)</w:t>
            </w:r>
          </w:p>
        </w:tc>
        <w:tc>
          <w:tcPr>
            <w:tcW w:w="539" w:type="dxa"/>
            <w:vAlign w:val="center"/>
          </w:tcPr>
          <w:p w14:paraId="4220A735"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(11)</w:t>
            </w:r>
          </w:p>
        </w:tc>
      </w:tr>
      <w:tr w:rsidR="00FD6147" w:rsidRPr="00FD6147" w14:paraId="1C0E9103" w14:textId="77777777" w:rsidTr="00D92D51">
        <w:tc>
          <w:tcPr>
            <w:tcW w:w="704" w:type="dxa"/>
          </w:tcPr>
          <w:p w14:paraId="28522105" w14:textId="77777777" w:rsidR="00FD6147" w:rsidRPr="00FD6147" w:rsidRDefault="00FD6147" w:rsidP="00FD6147">
            <w:pPr>
              <w:spacing w:before="60" w:after="60" w:line="240" w:lineRule="auto"/>
              <w:ind w:left="57" w:right="57"/>
              <w:jc w:val="center"/>
              <w:rPr>
                <w:rFonts w:asciiTheme="majorBidi" w:hAnsiTheme="majorBidi" w:cstheme="majorBidi"/>
                <w:i/>
                <w:iCs/>
                <w:sz w:val="16"/>
                <w:szCs w:val="16"/>
                <w:lang w:val="fr-FR"/>
              </w:rPr>
            </w:pPr>
            <w:r w:rsidRPr="00FD6147">
              <w:rPr>
                <w:rFonts w:asciiTheme="majorBidi" w:hAnsiTheme="majorBidi" w:cstheme="majorBidi"/>
                <w:i/>
                <w:iCs/>
                <w:sz w:val="16"/>
                <w:szCs w:val="16"/>
                <w:lang w:val="fr-FR"/>
              </w:rPr>
              <w:t>XXXX</w:t>
            </w:r>
          </w:p>
        </w:tc>
        <w:tc>
          <w:tcPr>
            <w:tcW w:w="3402" w:type="dxa"/>
          </w:tcPr>
          <w:p w14:paraId="71C9918F" w14:textId="77777777" w:rsidR="00FD6147" w:rsidRPr="00FD6147" w:rsidRDefault="00FD6147" w:rsidP="00FD6147">
            <w:pPr>
              <w:spacing w:before="60" w:after="60" w:line="240" w:lineRule="auto"/>
              <w:ind w:left="57" w:right="57"/>
              <w:rPr>
                <w:rFonts w:asciiTheme="majorBidi" w:hAnsiTheme="majorBidi" w:cstheme="majorBidi"/>
                <w:sz w:val="16"/>
                <w:szCs w:val="16"/>
                <w:lang w:val="fr-FR"/>
              </w:rPr>
            </w:pPr>
            <w:r w:rsidRPr="00FD6147">
              <w:rPr>
                <w:rFonts w:asciiTheme="majorBidi" w:hAnsiTheme="majorBidi" w:cstheme="majorBidi"/>
                <w:sz w:val="16"/>
                <w:szCs w:val="16"/>
                <w:lang w:val="fr-FR"/>
              </w:rPr>
              <w:t>HYDROCARBURES GAZEUX (NOS ONU 1075, 1965, 1011, 1012, 1055, 1969, OU 1978) ET ÉTHER MÉTHYLIQUE (NO ONU 1033), EN MÉLANGE LIQUÉFIÉ</w:t>
            </w:r>
          </w:p>
        </w:tc>
        <w:tc>
          <w:tcPr>
            <w:tcW w:w="538" w:type="dxa"/>
          </w:tcPr>
          <w:p w14:paraId="5CE2057F"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2.1</w:t>
            </w:r>
          </w:p>
        </w:tc>
        <w:tc>
          <w:tcPr>
            <w:tcW w:w="539" w:type="dxa"/>
          </w:tcPr>
          <w:p w14:paraId="65F9BE5D"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p>
        </w:tc>
        <w:tc>
          <w:tcPr>
            <w:tcW w:w="539" w:type="dxa"/>
          </w:tcPr>
          <w:p w14:paraId="3908DED6"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p>
        </w:tc>
        <w:tc>
          <w:tcPr>
            <w:tcW w:w="538" w:type="dxa"/>
          </w:tcPr>
          <w:p w14:paraId="2459848C" w14:textId="21281750"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274</w:t>
            </w:r>
            <w:r w:rsidRPr="00FD6147">
              <w:rPr>
                <w:rFonts w:asciiTheme="majorBidi" w:hAnsiTheme="majorBidi" w:cstheme="majorBidi"/>
                <w:sz w:val="16"/>
                <w:szCs w:val="16"/>
                <w:lang w:val="fr-FR"/>
              </w:rPr>
              <w:br/>
            </w:r>
            <w:r w:rsidRPr="00FD6147">
              <w:rPr>
                <w:rFonts w:asciiTheme="majorBidi" w:hAnsiTheme="majorBidi" w:cstheme="majorBidi"/>
                <w:sz w:val="16"/>
                <w:szCs w:val="16"/>
                <w:lang w:val="fr-FR"/>
              </w:rPr>
              <w:t>392</w:t>
            </w:r>
          </w:p>
        </w:tc>
        <w:tc>
          <w:tcPr>
            <w:tcW w:w="539" w:type="dxa"/>
          </w:tcPr>
          <w:p w14:paraId="193EA94E"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0</w:t>
            </w:r>
          </w:p>
        </w:tc>
        <w:tc>
          <w:tcPr>
            <w:tcW w:w="539" w:type="dxa"/>
          </w:tcPr>
          <w:p w14:paraId="13F1E2E4"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E0</w:t>
            </w:r>
          </w:p>
        </w:tc>
        <w:tc>
          <w:tcPr>
            <w:tcW w:w="538" w:type="dxa"/>
          </w:tcPr>
          <w:p w14:paraId="4199F83B"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P200</w:t>
            </w:r>
          </w:p>
        </w:tc>
        <w:tc>
          <w:tcPr>
            <w:tcW w:w="539" w:type="dxa"/>
          </w:tcPr>
          <w:p w14:paraId="4AD4BA23"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p>
        </w:tc>
        <w:tc>
          <w:tcPr>
            <w:tcW w:w="539" w:type="dxa"/>
          </w:tcPr>
          <w:p w14:paraId="5DF5AE39"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T50</w:t>
            </w:r>
          </w:p>
        </w:tc>
        <w:tc>
          <w:tcPr>
            <w:tcW w:w="539" w:type="dxa"/>
          </w:tcPr>
          <w:p w14:paraId="3529B4EC"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p>
        </w:tc>
      </w:tr>
    </w:tbl>
    <w:p w14:paraId="5B0CE7B5" w14:textId="453A9C7B" w:rsidR="00FD6147" w:rsidRPr="00FD6147" w:rsidRDefault="00FD6147" w:rsidP="00FD6147">
      <w:pPr>
        <w:pStyle w:val="SingleTxtG"/>
        <w:spacing w:before="120"/>
        <w:rPr>
          <w:rFonts w:asciiTheme="majorBidi" w:hAnsiTheme="majorBidi" w:cstheme="majorBidi"/>
          <w:lang w:val="fr-FR"/>
        </w:rPr>
      </w:pPr>
      <w:r w:rsidRPr="00FD6147">
        <w:rPr>
          <w:rFonts w:asciiTheme="majorBidi" w:hAnsiTheme="majorBidi" w:cstheme="majorBidi"/>
          <w:lang w:val="fr-FR"/>
        </w:rPr>
        <w:t>10.</w:t>
      </w:r>
      <w:r w:rsidRPr="00FD6147">
        <w:rPr>
          <w:rFonts w:asciiTheme="majorBidi" w:hAnsiTheme="majorBidi" w:cstheme="majorBidi"/>
          <w:lang w:val="fr-FR"/>
        </w:rPr>
        <w:tab/>
        <w:t>Au 4.1.4.1, instruction d’emballage P200, tableau 2, ajouter une nouvelle rubrique, comme suit</w:t>
      </w:r>
      <w:r w:rsidRPr="00FD6147">
        <w:rPr>
          <w:rFonts w:asciiTheme="majorBidi" w:hAnsiTheme="majorBidi" w:cstheme="majorBidi"/>
          <w:lang w:val="fr-FR"/>
        </w:rPr>
        <w:t> :</w:t>
      </w:r>
    </w:p>
    <w:tbl>
      <w:tblPr>
        <w:tblStyle w:val="Grilledutableau"/>
        <w:tblW w:w="9637" w:type="dxa"/>
        <w:tblLayout w:type="fixed"/>
        <w:tblLook w:val="04A0" w:firstRow="1" w:lastRow="0" w:firstColumn="1" w:lastColumn="0" w:noHBand="0" w:noVBand="1"/>
      </w:tblPr>
      <w:tblGrid>
        <w:gridCol w:w="720"/>
        <w:gridCol w:w="2728"/>
        <w:gridCol w:w="485"/>
        <w:gridCol w:w="486"/>
        <w:gridCol w:w="485"/>
        <w:gridCol w:w="486"/>
        <w:gridCol w:w="485"/>
        <w:gridCol w:w="486"/>
        <w:gridCol w:w="485"/>
        <w:gridCol w:w="486"/>
        <w:gridCol w:w="575"/>
        <w:gridCol w:w="575"/>
        <w:gridCol w:w="431"/>
        <w:gridCol w:w="724"/>
      </w:tblGrid>
      <w:tr w:rsidR="00D92D51" w:rsidRPr="00FD6147" w14:paraId="402899AB" w14:textId="77777777" w:rsidTr="00D92D51">
        <w:trPr>
          <w:cantSplit/>
          <w:trHeight w:val="1747"/>
        </w:trPr>
        <w:tc>
          <w:tcPr>
            <w:tcW w:w="709" w:type="dxa"/>
            <w:vAlign w:val="center"/>
          </w:tcPr>
          <w:p w14:paraId="1921F0E2"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No ONU</w:t>
            </w:r>
          </w:p>
        </w:tc>
        <w:tc>
          <w:tcPr>
            <w:tcW w:w="2688" w:type="dxa"/>
            <w:vAlign w:val="center"/>
          </w:tcPr>
          <w:p w14:paraId="4622D7AE"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Nom et description</w:t>
            </w:r>
          </w:p>
        </w:tc>
        <w:tc>
          <w:tcPr>
            <w:tcW w:w="478" w:type="dxa"/>
            <w:textDirection w:val="btLr"/>
            <w:vAlign w:val="center"/>
          </w:tcPr>
          <w:p w14:paraId="41B91649"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Classe ou division</w:t>
            </w:r>
          </w:p>
        </w:tc>
        <w:tc>
          <w:tcPr>
            <w:tcW w:w="479" w:type="dxa"/>
            <w:textDirection w:val="btLr"/>
            <w:vAlign w:val="center"/>
          </w:tcPr>
          <w:p w14:paraId="7498D3D2"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Dangers subsidiaires</w:t>
            </w:r>
          </w:p>
        </w:tc>
        <w:tc>
          <w:tcPr>
            <w:tcW w:w="478" w:type="dxa"/>
            <w:textDirection w:val="btLr"/>
            <w:vAlign w:val="center"/>
          </w:tcPr>
          <w:p w14:paraId="26030F4F"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CL</w:t>
            </w:r>
            <w:r w:rsidRPr="00FD6147">
              <w:rPr>
                <w:rFonts w:asciiTheme="majorBidi" w:hAnsiTheme="majorBidi" w:cstheme="majorBidi"/>
                <w:b/>
                <w:bCs/>
                <w:sz w:val="16"/>
                <w:szCs w:val="16"/>
                <w:vertAlign w:val="subscript"/>
                <w:lang w:val="fr-FR"/>
              </w:rPr>
              <w:t>50</w:t>
            </w:r>
            <w:r w:rsidRPr="00FD6147">
              <w:rPr>
                <w:rFonts w:asciiTheme="majorBidi" w:hAnsiTheme="majorBidi" w:cstheme="majorBidi"/>
                <w:b/>
                <w:bCs/>
                <w:sz w:val="16"/>
                <w:szCs w:val="16"/>
                <w:lang w:val="fr-FR"/>
              </w:rPr>
              <w:t xml:space="preserve"> (en ml/m</w:t>
            </w:r>
            <w:r w:rsidRPr="00FD6147">
              <w:rPr>
                <w:rFonts w:asciiTheme="majorBidi" w:hAnsiTheme="majorBidi" w:cstheme="majorBidi"/>
                <w:b/>
                <w:bCs/>
                <w:sz w:val="16"/>
                <w:szCs w:val="16"/>
                <w:vertAlign w:val="superscript"/>
                <w:lang w:val="fr-FR"/>
              </w:rPr>
              <w:t>3</w:t>
            </w:r>
            <w:r w:rsidRPr="00FD6147">
              <w:rPr>
                <w:rFonts w:asciiTheme="majorBidi" w:hAnsiTheme="majorBidi" w:cstheme="majorBidi"/>
                <w:b/>
                <w:bCs/>
                <w:sz w:val="16"/>
                <w:szCs w:val="16"/>
                <w:lang w:val="fr-FR"/>
              </w:rPr>
              <w:t>)</w:t>
            </w:r>
          </w:p>
        </w:tc>
        <w:tc>
          <w:tcPr>
            <w:tcW w:w="479" w:type="dxa"/>
            <w:textDirection w:val="btLr"/>
            <w:vAlign w:val="center"/>
          </w:tcPr>
          <w:p w14:paraId="5E6F1274"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Bouteilles</w:t>
            </w:r>
          </w:p>
        </w:tc>
        <w:tc>
          <w:tcPr>
            <w:tcW w:w="478" w:type="dxa"/>
            <w:textDirection w:val="btLr"/>
            <w:vAlign w:val="center"/>
          </w:tcPr>
          <w:p w14:paraId="6623D44A"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Tubes</w:t>
            </w:r>
          </w:p>
        </w:tc>
        <w:tc>
          <w:tcPr>
            <w:tcW w:w="479" w:type="dxa"/>
            <w:textDirection w:val="btLr"/>
            <w:vAlign w:val="center"/>
          </w:tcPr>
          <w:p w14:paraId="07940728"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Fûts à pression</w:t>
            </w:r>
          </w:p>
        </w:tc>
        <w:tc>
          <w:tcPr>
            <w:tcW w:w="478" w:type="dxa"/>
            <w:textDirection w:val="btLr"/>
            <w:vAlign w:val="center"/>
          </w:tcPr>
          <w:p w14:paraId="54E34F10"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Cadres de bouteilles</w:t>
            </w:r>
          </w:p>
        </w:tc>
        <w:tc>
          <w:tcPr>
            <w:tcW w:w="479" w:type="dxa"/>
            <w:textDirection w:val="btLr"/>
            <w:vAlign w:val="center"/>
          </w:tcPr>
          <w:p w14:paraId="2F5D083B"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CGEM</w:t>
            </w:r>
          </w:p>
        </w:tc>
        <w:tc>
          <w:tcPr>
            <w:tcW w:w="567" w:type="dxa"/>
            <w:textDirection w:val="btLr"/>
            <w:vAlign w:val="center"/>
          </w:tcPr>
          <w:p w14:paraId="1F119D19"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Périodicité des épreuves (en années)</w:t>
            </w:r>
          </w:p>
        </w:tc>
        <w:tc>
          <w:tcPr>
            <w:tcW w:w="567" w:type="dxa"/>
            <w:textDirection w:val="btLr"/>
            <w:vAlign w:val="center"/>
          </w:tcPr>
          <w:p w14:paraId="01C47D83"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Pression d’épreuve (en bar)</w:t>
            </w:r>
          </w:p>
        </w:tc>
        <w:tc>
          <w:tcPr>
            <w:tcW w:w="425" w:type="dxa"/>
            <w:textDirection w:val="btLr"/>
            <w:vAlign w:val="center"/>
          </w:tcPr>
          <w:p w14:paraId="6A0FAB42"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Taux de remplissage</w:t>
            </w:r>
          </w:p>
        </w:tc>
        <w:tc>
          <w:tcPr>
            <w:tcW w:w="714" w:type="dxa"/>
            <w:textDirection w:val="btLr"/>
            <w:vAlign w:val="center"/>
          </w:tcPr>
          <w:p w14:paraId="7629E44F" w14:textId="77777777" w:rsidR="00FD6147" w:rsidRPr="00FD6147" w:rsidRDefault="00FD6147" w:rsidP="00FD6147">
            <w:pPr>
              <w:keepNext/>
              <w:keepLines/>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Dispositions spéciales d’emballage</w:t>
            </w:r>
          </w:p>
        </w:tc>
      </w:tr>
      <w:tr w:rsidR="00D92D51" w:rsidRPr="00FD6147" w14:paraId="70181A42" w14:textId="77777777" w:rsidTr="00D92D51">
        <w:tc>
          <w:tcPr>
            <w:tcW w:w="709" w:type="dxa"/>
          </w:tcPr>
          <w:p w14:paraId="709C0F68"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XXXX</w:t>
            </w:r>
          </w:p>
        </w:tc>
        <w:tc>
          <w:tcPr>
            <w:tcW w:w="2688" w:type="dxa"/>
          </w:tcPr>
          <w:p w14:paraId="2E080444" w14:textId="77777777" w:rsidR="00FD6147" w:rsidRPr="00FD6147" w:rsidRDefault="00FD6147" w:rsidP="00FD6147">
            <w:pPr>
              <w:keepNext/>
              <w:keepLines/>
              <w:spacing w:before="60" w:after="60" w:line="240" w:lineRule="auto"/>
              <w:ind w:left="57" w:right="57"/>
              <w:rPr>
                <w:rFonts w:asciiTheme="majorBidi" w:hAnsiTheme="majorBidi" w:cstheme="majorBidi"/>
                <w:sz w:val="16"/>
                <w:szCs w:val="16"/>
                <w:lang w:val="fr-FR"/>
              </w:rPr>
            </w:pPr>
            <w:r w:rsidRPr="00FD6147">
              <w:rPr>
                <w:rFonts w:asciiTheme="majorBidi" w:hAnsiTheme="majorBidi" w:cstheme="majorBidi"/>
                <w:sz w:val="16"/>
                <w:szCs w:val="16"/>
                <w:lang w:val="fr-FR"/>
              </w:rPr>
              <w:t>HYDROCARBURES GAZEUX (NOS ONU 1075 1965, 1011, 1012, 1055, 1969, OU 1978) ET ÉTHER MÉTHYLIQUE (NO ONU 1033), EN MÉLANGE LIQUÉFIÉ</w:t>
            </w:r>
          </w:p>
        </w:tc>
        <w:tc>
          <w:tcPr>
            <w:tcW w:w="478" w:type="dxa"/>
          </w:tcPr>
          <w:p w14:paraId="0498655F"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2.1</w:t>
            </w:r>
          </w:p>
        </w:tc>
        <w:tc>
          <w:tcPr>
            <w:tcW w:w="479" w:type="dxa"/>
          </w:tcPr>
          <w:p w14:paraId="6575979F"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478" w:type="dxa"/>
          </w:tcPr>
          <w:p w14:paraId="6B468BBF"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479" w:type="dxa"/>
          </w:tcPr>
          <w:p w14:paraId="0C6C0830"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X</w:t>
            </w:r>
          </w:p>
        </w:tc>
        <w:tc>
          <w:tcPr>
            <w:tcW w:w="478" w:type="dxa"/>
          </w:tcPr>
          <w:p w14:paraId="2782DF33"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X</w:t>
            </w:r>
          </w:p>
        </w:tc>
        <w:tc>
          <w:tcPr>
            <w:tcW w:w="479" w:type="dxa"/>
          </w:tcPr>
          <w:p w14:paraId="62B95F1F"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X</w:t>
            </w:r>
          </w:p>
        </w:tc>
        <w:tc>
          <w:tcPr>
            <w:tcW w:w="478" w:type="dxa"/>
          </w:tcPr>
          <w:p w14:paraId="7C831FEB"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479" w:type="dxa"/>
          </w:tcPr>
          <w:p w14:paraId="4D6C7DA5"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567" w:type="dxa"/>
          </w:tcPr>
          <w:p w14:paraId="561D05C5"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10</w:t>
            </w:r>
          </w:p>
        </w:tc>
        <w:tc>
          <w:tcPr>
            <w:tcW w:w="567" w:type="dxa"/>
          </w:tcPr>
          <w:p w14:paraId="327346CF"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425" w:type="dxa"/>
          </w:tcPr>
          <w:p w14:paraId="0B7050CA"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p>
        </w:tc>
        <w:tc>
          <w:tcPr>
            <w:tcW w:w="714" w:type="dxa"/>
          </w:tcPr>
          <w:p w14:paraId="6ED803D6" w14:textId="77777777" w:rsidR="00FD6147" w:rsidRPr="00FD6147" w:rsidRDefault="00FD6147" w:rsidP="00FD6147">
            <w:pPr>
              <w:keepNext/>
              <w:keepLines/>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z</w:t>
            </w:r>
          </w:p>
        </w:tc>
      </w:tr>
    </w:tbl>
    <w:p w14:paraId="07AF2A43" w14:textId="1BF76608" w:rsidR="00FD6147" w:rsidRPr="00FD6147" w:rsidRDefault="00FD6147" w:rsidP="00FD6147">
      <w:pPr>
        <w:pStyle w:val="SingleTxtG"/>
        <w:spacing w:before="120"/>
        <w:rPr>
          <w:rFonts w:asciiTheme="majorBidi" w:hAnsiTheme="majorBidi" w:cstheme="majorBidi"/>
          <w:lang w:val="fr-FR"/>
        </w:rPr>
      </w:pPr>
      <w:r w:rsidRPr="00FD6147">
        <w:rPr>
          <w:rFonts w:asciiTheme="majorBidi" w:hAnsiTheme="majorBidi" w:cstheme="majorBidi"/>
          <w:lang w:val="fr-FR"/>
        </w:rPr>
        <w:t>11.</w:t>
      </w:r>
      <w:r w:rsidRPr="00FD6147">
        <w:rPr>
          <w:rFonts w:asciiTheme="majorBidi" w:hAnsiTheme="majorBidi" w:cstheme="majorBidi"/>
          <w:lang w:val="fr-FR"/>
        </w:rPr>
        <w:tab/>
        <w:t>Au 4.2.5.2.6, instruction de transport en citernes mobiles T50, ajouter une nouvelle rubrique, comme suit</w:t>
      </w:r>
      <w:r w:rsidRPr="00FD6147">
        <w:rPr>
          <w:rFonts w:asciiTheme="majorBidi" w:hAnsiTheme="majorBidi" w:cstheme="majorBidi"/>
          <w:lang w:val="fr-FR"/>
        </w:rPr>
        <w:t> :</w:t>
      </w:r>
    </w:p>
    <w:tbl>
      <w:tblPr>
        <w:tblStyle w:val="Grilledutableau"/>
        <w:tblW w:w="9637" w:type="dxa"/>
        <w:tblLayout w:type="fixed"/>
        <w:tblLook w:val="04A0" w:firstRow="1" w:lastRow="0" w:firstColumn="1" w:lastColumn="0" w:noHBand="0" w:noVBand="1"/>
      </w:tblPr>
      <w:tblGrid>
        <w:gridCol w:w="718"/>
        <w:gridCol w:w="3452"/>
        <w:gridCol w:w="2014"/>
        <w:gridCol w:w="1007"/>
        <w:gridCol w:w="1297"/>
        <w:gridCol w:w="1149"/>
      </w:tblGrid>
      <w:tr w:rsidR="00FD6147" w:rsidRPr="00FD6147" w14:paraId="07520E1D" w14:textId="77777777" w:rsidTr="00FD6147">
        <w:trPr>
          <w:cantSplit/>
          <w:trHeight w:val="893"/>
        </w:trPr>
        <w:tc>
          <w:tcPr>
            <w:tcW w:w="709" w:type="dxa"/>
            <w:vAlign w:val="center"/>
          </w:tcPr>
          <w:p w14:paraId="65F4FA58"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No ONU</w:t>
            </w:r>
          </w:p>
        </w:tc>
        <w:tc>
          <w:tcPr>
            <w:tcW w:w="3402" w:type="dxa"/>
            <w:vAlign w:val="center"/>
          </w:tcPr>
          <w:p w14:paraId="0234F00B"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Gaz liquéfiés non réfrigérés</w:t>
            </w:r>
          </w:p>
        </w:tc>
        <w:tc>
          <w:tcPr>
            <w:tcW w:w="1985" w:type="dxa"/>
            <w:vAlign w:val="center"/>
          </w:tcPr>
          <w:p w14:paraId="7051A3E1" w14:textId="4A759566" w:rsidR="00FD6147" w:rsidRPr="00FD6147" w:rsidRDefault="00FD6147" w:rsidP="0034502F">
            <w:pPr>
              <w:spacing w:before="60" w:after="60" w:line="240" w:lineRule="auto"/>
              <w:ind w:left="57" w:right="57"/>
              <w:jc w:val="center"/>
              <w:rPr>
                <w:rFonts w:asciiTheme="majorBidi" w:hAnsiTheme="majorBidi" w:cstheme="majorBidi"/>
                <w:b/>
                <w:bCs/>
                <w:sz w:val="16"/>
                <w:szCs w:val="16"/>
                <w:vertAlign w:val="superscript"/>
                <w:lang w:val="fr-FR"/>
              </w:rPr>
            </w:pPr>
            <w:r w:rsidRPr="00FD6147">
              <w:rPr>
                <w:rFonts w:asciiTheme="majorBidi" w:hAnsiTheme="majorBidi" w:cstheme="majorBidi"/>
                <w:b/>
                <w:bCs/>
                <w:sz w:val="16"/>
                <w:szCs w:val="16"/>
                <w:lang w:val="fr-FR"/>
              </w:rPr>
              <w:t>Pression de service maximale autorisée (bar)</w:t>
            </w:r>
            <w:r w:rsidR="0034502F">
              <w:rPr>
                <w:rFonts w:asciiTheme="majorBidi" w:hAnsiTheme="majorBidi" w:cstheme="majorBidi"/>
                <w:b/>
                <w:bCs/>
                <w:sz w:val="16"/>
                <w:szCs w:val="16"/>
                <w:lang w:val="fr-FR"/>
              </w:rPr>
              <w:br/>
            </w:r>
            <w:r w:rsidRPr="00FD6147">
              <w:rPr>
                <w:rFonts w:asciiTheme="majorBidi" w:hAnsiTheme="majorBidi" w:cstheme="majorBidi"/>
                <w:b/>
                <w:bCs/>
                <w:sz w:val="16"/>
                <w:szCs w:val="16"/>
                <w:lang w:val="fr-FR"/>
              </w:rPr>
              <w:t>Petite citerne</w:t>
            </w:r>
            <w:r w:rsidRPr="00FD6147">
              <w:rPr>
                <w:rFonts w:asciiTheme="majorBidi" w:hAnsiTheme="majorBidi" w:cstheme="majorBidi"/>
                <w:b/>
                <w:bCs/>
                <w:sz w:val="16"/>
                <w:szCs w:val="16"/>
                <w:lang w:val="fr-FR"/>
              </w:rPr>
              <w:t> ;</w:t>
            </w:r>
            <w:r w:rsidRPr="00FD6147">
              <w:rPr>
                <w:rFonts w:asciiTheme="majorBidi" w:hAnsiTheme="majorBidi" w:cstheme="majorBidi"/>
                <w:b/>
                <w:bCs/>
                <w:sz w:val="16"/>
                <w:szCs w:val="16"/>
                <w:lang w:val="fr-FR"/>
              </w:rPr>
              <w:t xml:space="preserve"> Citerne nue</w:t>
            </w:r>
            <w:r w:rsidRPr="00FD6147">
              <w:rPr>
                <w:rFonts w:asciiTheme="majorBidi" w:hAnsiTheme="majorBidi" w:cstheme="majorBidi"/>
                <w:b/>
                <w:bCs/>
                <w:sz w:val="16"/>
                <w:szCs w:val="16"/>
                <w:lang w:val="fr-FR"/>
              </w:rPr>
              <w:t> ;</w:t>
            </w:r>
            <w:r w:rsidRPr="00FD6147">
              <w:rPr>
                <w:rFonts w:asciiTheme="majorBidi" w:hAnsiTheme="majorBidi" w:cstheme="majorBidi"/>
                <w:sz w:val="16"/>
                <w:szCs w:val="16"/>
                <w:lang w:val="fr-FR"/>
              </w:rPr>
              <w:t xml:space="preserve"> </w:t>
            </w:r>
            <w:r w:rsidRPr="00FD6147">
              <w:rPr>
                <w:rFonts w:asciiTheme="majorBidi" w:hAnsiTheme="majorBidi" w:cstheme="majorBidi"/>
                <w:b/>
                <w:bCs/>
                <w:sz w:val="16"/>
                <w:szCs w:val="16"/>
                <w:lang w:val="fr-FR"/>
              </w:rPr>
              <w:t>Citerne avec pare</w:t>
            </w:r>
            <w:r w:rsidR="0034502F">
              <w:rPr>
                <w:rFonts w:asciiTheme="majorBidi" w:hAnsiTheme="majorBidi" w:cstheme="majorBidi"/>
                <w:b/>
                <w:bCs/>
                <w:sz w:val="16"/>
                <w:szCs w:val="16"/>
                <w:lang w:val="fr-FR"/>
              </w:rPr>
              <w:noBreakHyphen/>
            </w:r>
            <w:r w:rsidRPr="00FD6147">
              <w:rPr>
                <w:rFonts w:asciiTheme="majorBidi" w:hAnsiTheme="majorBidi" w:cstheme="majorBidi"/>
                <w:b/>
                <w:bCs/>
                <w:sz w:val="16"/>
                <w:szCs w:val="16"/>
                <w:lang w:val="fr-FR"/>
              </w:rPr>
              <w:t>soleil</w:t>
            </w:r>
            <w:r w:rsidRPr="00FD6147">
              <w:rPr>
                <w:rFonts w:asciiTheme="majorBidi" w:hAnsiTheme="majorBidi" w:cstheme="majorBidi"/>
                <w:b/>
                <w:bCs/>
                <w:sz w:val="16"/>
                <w:szCs w:val="16"/>
                <w:lang w:val="fr-FR"/>
              </w:rPr>
              <w:t> ;</w:t>
            </w:r>
            <w:r w:rsidRPr="00FD6147">
              <w:rPr>
                <w:rFonts w:asciiTheme="majorBidi" w:hAnsiTheme="majorBidi" w:cstheme="majorBidi"/>
                <w:sz w:val="16"/>
                <w:szCs w:val="16"/>
                <w:lang w:val="fr-FR"/>
              </w:rPr>
              <w:t xml:space="preserve"> </w:t>
            </w:r>
            <w:r w:rsidRPr="00FD6147">
              <w:rPr>
                <w:rFonts w:asciiTheme="majorBidi" w:hAnsiTheme="majorBidi" w:cstheme="majorBidi"/>
                <w:b/>
                <w:bCs/>
                <w:sz w:val="16"/>
                <w:szCs w:val="16"/>
                <w:lang w:val="fr-FR"/>
              </w:rPr>
              <w:t>Citerne avec isolation thermique</w:t>
            </w:r>
            <w:r w:rsidRPr="00FD6147">
              <w:rPr>
                <w:rFonts w:asciiTheme="majorBidi" w:hAnsiTheme="majorBidi" w:cstheme="majorBidi"/>
                <w:b/>
                <w:bCs/>
                <w:sz w:val="16"/>
                <w:szCs w:val="16"/>
                <w:lang w:val="fr-FR"/>
              </w:rPr>
              <w:t> ;</w:t>
            </w:r>
            <w:r w:rsidRPr="00FD6147">
              <w:rPr>
                <w:rFonts w:asciiTheme="majorBidi" w:hAnsiTheme="majorBidi" w:cstheme="majorBidi"/>
                <w:b/>
                <w:bCs/>
                <w:sz w:val="16"/>
                <w:szCs w:val="16"/>
                <w:lang w:val="fr-FR"/>
              </w:rPr>
              <w:t xml:space="preserve"> </w:t>
            </w:r>
            <w:proofErr w:type="spellStart"/>
            <w:r w:rsidRPr="00FD6147">
              <w:rPr>
                <w:rFonts w:asciiTheme="majorBidi" w:hAnsiTheme="majorBidi" w:cstheme="majorBidi"/>
                <w:b/>
                <w:bCs/>
                <w:sz w:val="16"/>
                <w:szCs w:val="16"/>
                <w:lang w:val="fr-FR"/>
              </w:rPr>
              <w:t>respectivement</w:t>
            </w:r>
            <w:r w:rsidRPr="00FD6147">
              <w:rPr>
                <w:rFonts w:asciiTheme="majorBidi" w:hAnsiTheme="majorBidi" w:cstheme="majorBidi"/>
                <w:b/>
                <w:bCs/>
                <w:i/>
                <w:iCs/>
                <w:sz w:val="16"/>
                <w:szCs w:val="16"/>
                <w:vertAlign w:val="superscript"/>
                <w:lang w:val="fr-FR"/>
              </w:rPr>
              <w:t>a</w:t>
            </w:r>
            <w:proofErr w:type="spellEnd"/>
          </w:p>
        </w:tc>
        <w:tc>
          <w:tcPr>
            <w:tcW w:w="992" w:type="dxa"/>
            <w:vAlign w:val="center"/>
          </w:tcPr>
          <w:p w14:paraId="0708EC66" w14:textId="1136C055"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Orifices au</w:t>
            </w:r>
            <w:r w:rsidR="0034502F">
              <w:rPr>
                <w:rFonts w:asciiTheme="majorBidi" w:hAnsiTheme="majorBidi" w:cstheme="majorBidi"/>
                <w:b/>
                <w:bCs/>
                <w:sz w:val="16"/>
                <w:szCs w:val="16"/>
                <w:lang w:val="fr-FR"/>
              </w:rPr>
              <w:noBreakHyphen/>
            </w:r>
            <w:r w:rsidRPr="00FD6147">
              <w:rPr>
                <w:rFonts w:asciiTheme="majorBidi" w:hAnsiTheme="majorBidi" w:cstheme="majorBidi"/>
                <w:b/>
                <w:bCs/>
                <w:sz w:val="16"/>
                <w:szCs w:val="16"/>
                <w:lang w:val="fr-FR"/>
              </w:rPr>
              <w:t>dessous du niveau du liquide</w:t>
            </w:r>
          </w:p>
        </w:tc>
        <w:tc>
          <w:tcPr>
            <w:tcW w:w="1278" w:type="dxa"/>
            <w:vAlign w:val="center"/>
          </w:tcPr>
          <w:p w14:paraId="49B7E4AF" w14:textId="0A038C49"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Dispositifs de décompression</w:t>
            </w:r>
            <w:r w:rsidRPr="00FD6147">
              <w:rPr>
                <w:rFonts w:asciiTheme="majorBidi" w:hAnsiTheme="majorBidi" w:cstheme="majorBidi"/>
                <w:b/>
                <w:bCs/>
                <w:sz w:val="16"/>
                <w:szCs w:val="16"/>
                <w:lang w:val="fr-FR"/>
              </w:rPr>
              <w:br/>
            </w:r>
            <w:r w:rsidRPr="00FD6147">
              <w:rPr>
                <w:rFonts w:asciiTheme="majorBidi" w:hAnsiTheme="majorBidi" w:cstheme="majorBidi"/>
                <w:b/>
                <w:bCs/>
                <w:sz w:val="16"/>
                <w:szCs w:val="16"/>
                <w:lang w:val="fr-FR"/>
              </w:rPr>
              <w:t>(voir 6.7.3.7)</w:t>
            </w:r>
            <w:r w:rsidRPr="00FD6147">
              <w:rPr>
                <w:rFonts w:asciiTheme="majorBidi" w:hAnsiTheme="majorBidi" w:cstheme="majorBidi"/>
                <w:b/>
                <w:bCs/>
                <w:i/>
                <w:iCs/>
                <w:sz w:val="16"/>
                <w:szCs w:val="16"/>
                <w:vertAlign w:val="superscript"/>
                <w:lang w:val="fr-FR"/>
              </w:rPr>
              <w:t>b</w:t>
            </w:r>
          </w:p>
        </w:tc>
        <w:tc>
          <w:tcPr>
            <w:tcW w:w="1132" w:type="dxa"/>
            <w:vAlign w:val="center"/>
          </w:tcPr>
          <w:p w14:paraId="2ECCF14E" w14:textId="77777777" w:rsidR="00FD6147" w:rsidRPr="00FD6147" w:rsidRDefault="00FD6147" w:rsidP="00FD6147">
            <w:pPr>
              <w:spacing w:before="60" w:after="60" w:line="240" w:lineRule="auto"/>
              <w:ind w:left="57" w:right="57"/>
              <w:jc w:val="center"/>
              <w:rPr>
                <w:rFonts w:asciiTheme="majorBidi" w:hAnsiTheme="majorBidi" w:cstheme="majorBidi"/>
                <w:b/>
                <w:bCs/>
                <w:sz w:val="16"/>
                <w:szCs w:val="16"/>
                <w:lang w:val="fr-FR"/>
              </w:rPr>
            </w:pPr>
            <w:r w:rsidRPr="00FD6147">
              <w:rPr>
                <w:rFonts w:asciiTheme="majorBidi" w:hAnsiTheme="majorBidi" w:cstheme="majorBidi"/>
                <w:b/>
                <w:bCs/>
                <w:sz w:val="16"/>
                <w:szCs w:val="16"/>
                <w:lang w:val="fr-FR"/>
              </w:rPr>
              <w:t>Taux de remplissage maximal</w:t>
            </w:r>
          </w:p>
        </w:tc>
      </w:tr>
      <w:tr w:rsidR="00FD6147" w:rsidRPr="00FD6147" w14:paraId="19EA3B68" w14:textId="77777777" w:rsidTr="00FD6147">
        <w:tc>
          <w:tcPr>
            <w:tcW w:w="709" w:type="dxa"/>
          </w:tcPr>
          <w:p w14:paraId="71F41AAA"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XXXX</w:t>
            </w:r>
          </w:p>
        </w:tc>
        <w:tc>
          <w:tcPr>
            <w:tcW w:w="3402" w:type="dxa"/>
          </w:tcPr>
          <w:p w14:paraId="3CAFEB70" w14:textId="77777777" w:rsidR="00FD6147" w:rsidRPr="00FD6147" w:rsidRDefault="00FD6147" w:rsidP="00FD6147">
            <w:pPr>
              <w:spacing w:before="60" w:after="60" w:line="240" w:lineRule="auto"/>
              <w:ind w:left="57" w:right="57"/>
              <w:rPr>
                <w:rFonts w:asciiTheme="majorBidi" w:hAnsiTheme="majorBidi" w:cstheme="majorBidi"/>
                <w:sz w:val="16"/>
                <w:szCs w:val="16"/>
                <w:lang w:val="fr-FR"/>
              </w:rPr>
            </w:pPr>
            <w:r w:rsidRPr="00FD6147">
              <w:rPr>
                <w:rFonts w:asciiTheme="majorBidi" w:hAnsiTheme="majorBidi" w:cstheme="majorBidi"/>
                <w:sz w:val="16"/>
                <w:szCs w:val="16"/>
                <w:lang w:val="fr-FR"/>
              </w:rPr>
              <w:t>Hydrocarbures gazeux (Nos ONU 1075 1965, 1011, 1012, 1055, 1969, ou 1978) et éther méthylique (No ONU 1033), en mélange liquéfié</w:t>
            </w:r>
          </w:p>
        </w:tc>
        <w:tc>
          <w:tcPr>
            <w:tcW w:w="1985" w:type="dxa"/>
          </w:tcPr>
          <w:p w14:paraId="43E7EEF2" w14:textId="7C7D3E23"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 xml:space="preserve">Voir définition de PSMA </w:t>
            </w:r>
            <w:r w:rsidR="0034502F">
              <w:rPr>
                <w:rFonts w:asciiTheme="majorBidi" w:hAnsiTheme="majorBidi" w:cstheme="majorBidi"/>
                <w:sz w:val="16"/>
                <w:szCs w:val="16"/>
                <w:lang w:val="fr-FR"/>
              </w:rPr>
              <w:br/>
            </w:r>
            <w:r w:rsidRPr="00FD6147">
              <w:rPr>
                <w:rFonts w:asciiTheme="majorBidi" w:hAnsiTheme="majorBidi" w:cstheme="majorBidi"/>
                <w:sz w:val="16"/>
                <w:szCs w:val="16"/>
                <w:lang w:val="fr-FR"/>
              </w:rPr>
              <w:t>au 6.7.3.1</w:t>
            </w:r>
          </w:p>
        </w:tc>
        <w:tc>
          <w:tcPr>
            <w:tcW w:w="992" w:type="dxa"/>
          </w:tcPr>
          <w:p w14:paraId="33C689CA"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Autorisés</w:t>
            </w:r>
          </w:p>
        </w:tc>
        <w:tc>
          <w:tcPr>
            <w:tcW w:w="1278" w:type="dxa"/>
          </w:tcPr>
          <w:p w14:paraId="62A0D5FC"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Normaux</w:t>
            </w:r>
          </w:p>
        </w:tc>
        <w:tc>
          <w:tcPr>
            <w:tcW w:w="1132" w:type="dxa"/>
          </w:tcPr>
          <w:p w14:paraId="4F3E08F3" w14:textId="77777777" w:rsidR="00FD6147" w:rsidRPr="00FD6147" w:rsidRDefault="00FD6147" w:rsidP="00FD6147">
            <w:pPr>
              <w:spacing w:before="60" w:after="60" w:line="240" w:lineRule="auto"/>
              <w:ind w:left="57" w:right="57"/>
              <w:jc w:val="center"/>
              <w:rPr>
                <w:rFonts w:asciiTheme="majorBidi" w:hAnsiTheme="majorBidi" w:cstheme="majorBidi"/>
                <w:sz w:val="16"/>
                <w:szCs w:val="16"/>
                <w:lang w:val="fr-FR"/>
              </w:rPr>
            </w:pPr>
            <w:r w:rsidRPr="00FD6147">
              <w:rPr>
                <w:rFonts w:asciiTheme="majorBidi" w:hAnsiTheme="majorBidi" w:cstheme="majorBidi"/>
                <w:sz w:val="16"/>
                <w:szCs w:val="16"/>
                <w:lang w:val="fr-FR"/>
              </w:rPr>
              <w:t>Voir 4.2.2.7</w:t>
            </w:r>
          </w:p>
        </w:tc>
      </w:tr>
    </w:tbl>
    <w:p w14:paraId="49F5B230" w14:textId="3F1568FA" w:rsidR="00FD6147" w:rsidRPr="00FD6147" w:rsidRDefault="00FD6147" w:rsidP="00FD6147">
      <w:pPr>
        <w:pStyle w:val="HChG"/>
        <w:rPr>
          <w:rFonts w:asciiTheme="majorBidi" w:hAnsiTheme="majorBidi" w:cstheme="majorBidi"/>
          <w:lang w:val="fr-FR"/>
        </w:rPr>
      </w:pPr>
      <w:r w:rsidRPr="00FD6147">
        <w:rPr>
          <w:rFonts w:asciiTheme="majorBidi" w:hAnsiTheme="majorBidi" w:cstheme="majorBidi"/>
          <w:bCs/>
          <w:lang w:val="fr-FR"/>
        </w:rPr>
        <w:lastRenderedPageBreak/>
        <w:tab/>
      </w:r>
      <w:r w:rsidRPr="00FD6147">
        <w:rPr>
          <w:rFonts w:asciiTheme="majorBidi" w:hAnsiTheme="majorBidi" w:cstheme="majorBidi"/>
          <w:bCs/>
          <w:lang w:val="fr-FR"/>
        </w:rPr>
        <w:t>III.</w:t>
      </w:r>
      <w:r w:rsidRPr="00FD6147">
        <w:rPr>
          <w:rFonts w:asciiTheme="majorBidi" w:hAnsiTheme="majorBidi" w:cstheme="majorBidi"/>
          <w:lang w:val="fr-FR"/>
        </w:rPr>
        <w:tab/>
      </w:r>
      <w:r w:rsidRPr="00FD6147">
        <w:rPr>
          <w:rFonts w:asciiTheme="majorBidi" w:hAnsiTheme="majorBidi" w:cstheme="majorBidi"/>
          <w:bCs/>
          <w:lang w:val="fr-FR"/>
        </w:rPr>
        <w:t>Incidences sur la sécurité</w:t>
      </w:r>
    </w:p>
    <w:p w14:paraId="71C1B81F" w14:textId="77777777" w:rsidR="00FD6147" w:rsidRPr="00FD6147" w:rsidRDefault="00FD6147" w:rsidP="0034502F">
      <w:pPr>
        <w:pStyle w:val="SingleTxtG"/>
        <w:keepLines/>
        <w:rPr>
          <w:rFonts w:asciiTheme="majorBidi" w:hAnsiTheme="majorBidi" w:cstheme="majorBidi"/>
          <w:lang w:val="fr-FR"/>
        </w:rPr>
      </w:pPr>
      <w:r w:rsidRPr="00FD6147">
        <w:rPr>
          <w:rFonts w:asciiTheme="majorBidi" w:hAnsiTheme="majorBidi" w:cstheme="majorBidi"/>
          <w:lang w:val="fr-FR"/>
        </w:rPr>
        <w:t>12.</w:t>
      </w:r>
      <w:r w:rsidRPr="00FD6147">
        <w:rPr>
          <w:rFonts w:asciiTheme="majorBidi" w:hAnsiTheme="majorBidi" w:cstheme="majorBidi"/>
          <w:lang w:val="fr-FR"/>
        </w:rPr>
        <w:tab/>
        <w:t>La présente proposition ne devrait avoir aucune incidence négative du point de vue de la sécurité. Le fait de disposer d’un numéro ONU dédié au produit en question permettra aux services d’urgence d’identifier facilement ce produit sans avoir à vérifier les documents de transport, ce qui ne peut avoir qu’une incidence positive sur la sécurité.</w:t>
      </w:r>
    </w:p>
    <w:p w14:paraId="05B2F707" w14:textId="3925FA58" w:rsidR="00FF4B9C" w:rsidRPr="00FD6147" w:rsidRDefault="00FD6147" w:rsidP="00FD6147">
      <w:pPr>
        <w:pStyle w:val="SingleTxtG"/>
        <w:spacing w:before="240" w:after="0"/>
        <w:jc w:val="center"/>
        <w:rPr>
          <w:rFonts w:asciiTheme="majorBidi" w:hAnsiTheme="majorBidi" w:cstheme="majorBidi"/>
          <w:u w:val="single"/>
        </w:rPr>
      </w:pPr>
      <w:r w:rsidRPr="00FD6147">
        <w:rPr>
          <w:rFonts w:asciiTheme="majorBidi" w:hAnsiTheme="majorBidi" w:cstheme="majorBidi"/>
          <w:u w:val="single"/>
        </w:rPr>
        <w:tab/>
      </w:r>
      <w:r w:rsidRPr="00FD6147">
        <w:rPr>
          <w:rFonts w:asciiTheme="majorBidi" w:hAnsiTheme="majorBidi" w:cstheme="majorBidi"/>
          <w:u w:val="single"/>
        </w:rPr>
        <w:tab/>
      </w:r>
      <w:r w:rsidRPr="00FD6147">
        <w:rPr>
          <w:rFonts w:asciiTheme="majorBidi" w:hAnsiTheme="majorBidi" w:cstheme="majorBidi"/>
          <w:u w:val="single"/>
        </w:rPr>
        <w:tab/>
      </w:r>
    </w:p>
    <w:sectPr w:rsidR="00FF4B9C" w:rsidRPr="00FD6147" w:rsidSect="00FF4B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2BAF" w14:textId="77777777" w:rsidR="00265611" w:rsidRDefault="00265611" w:rsidP="00F95C08">
      <w:pPr>
        <w:spacing w:line="240" w:lineRule="auto"/>
      </w:pPr>
    </w:p>
  </w:endnote>
  <w:endnote w:type="continuationSeparator" w:id="0">
    <w:p w14:paraId="39BA2240" w14:textId="77777777" w:rsidR="00265611" w:rsidRPr="00AC3823" w:rsidRDefault="00265611" w:rsidP="00AC3823">
      <w:pPr>
        <w:pStyle w:val="Pieddepage"/>
      </w:pPr>
    </w:p>
  </w:endnote>
  <w:endnote w:type="continuationNotice" w:id="1">
    <w:p w14:paraId="5F5C4FA5" w14:textId="77777777" w:rsidR="00265611" w:rsidRDefault="002656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A656" w14:textId="10B7F23F" w:rsidR="00FF4B9C" w:rsidRPr="00FF4B9C" w:rsidRDefault="00FF4B9C" w:rsidP="00FF4B9C">
    <w:pPr>
      <w:pStyle w:val="Pieddepage"/>
      <w:tabs>
        <w:tab w:val="right" w:pos="9638"/>
      </w:tabs>
    </w:pPr>
    <w:r w:rsidRPr="00FF4B9C">
      <w:rPr>
        <w:b/>
        <w:sz w:val="18"/>
      </w:rPr>
      <w:fldChar w:fldCharType="begin"/>
    </w:r>
    <w:r w:rsidRPr="00FF4B9C">
      <w:rPr>
        <w:b/>
        <w:sz w:val="18"/>
      </w:rPr>
      <w:instrText xml:space="preserve"> PAGE  \* MERGEFORMAT </w:instrText>
    </w:r>
    <w:r w:rsidRPr="00FF4B9C">
      <w:rPr>
        <w:b/>
        <w:sz w:val="18"/>
      </w:rPr>
      <w:fldChar w:fldCharType="separate"/>
    </w:r>
    <w:r w:rsidRPr="00FF4B9C">
      <w:rPr>
        <w:b/>
        <w:noProof/>
        <w:sz w:val="18"/>
      </w:rPr>
      <w:t>2</w:t>
    </w:r>
    <w:r w:rsidRPr="00FF4B9C">
      <w:rPr>
        <w:b/>
        <w:sz w:val="18"/>
      </w:rPr>
      <w:fldChar w:fldCharType="end"/>
    </w:r>
    <w:r>
      <w:rPr>
        <w:b/>
        <w:sz w:val="18"/>
      </w:rPr>
      <w:tab/>
    </w:r>
    <w:r>
      <w:t>GE.24-06776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702B" w14:textId="4BD319AE" w:rsidR="00FF4B9C" w:rsidRPr="00FF4B9C" w:rsidRDefault="00FF4B9C" w:rsidP="00FF4B9C">
    <w:pPr>
      <w:pStyle w:val="Pieddepage"/>
      <w:tabs>
        <w:tab w:val="right" w:pos="9638"/>
      </w:tabs>
      <w:rPr>
        <w:b/>
        <w:sz w:val="18"/>
      </w:rPr>
    </w:pPr>
    <w:r>
      <w:t>GE.24-06776</w:t>
    </w:r>
    <w:r>
      <w:tab/>
    </w:r>
    <w:r w:rsidRPr="00FF4B9C">
      <w:rPr>
        <w:b/>
        <w:sz w:val="18"/>
      </w:rPr>
      <w:fldChar w:fldCharType="begin"/>
    </w:r>
    <w:r w:rsidRPr="00FF4B9C">
      <w:rPr>
        <w:b/>
        <w:sz w:val="18"/>
      </w:rPr>
      <w:instrText xml:space="preserve"> PAGE  \* MERGEFORMAT </w:instrText>
    </w:r>
    <w:r w:rsidRPr="00FF4B9C">
      <w:rPr>
        <w:b/>
        <w:sz w:val="18"/>
      </w:rPr>
      <w:fldChar w:fldCharType="separate"/>
    </w:r>
    <w:r w:rsidRPr="00FF4B9C">
      <w:rPr>
        <w:b/>
        <w:noProof/>
        <w:sz w:val="18"/>
      </w:rPr>
      <w:t>3</w:t>
    </w:r>
    <w:r w:rsidRPr="00FF4B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1519" w14:textId="0572A959" w:rsidR="0068456F" w:rsidRPr="00FF4B9C" w:rsidRDefault="00FF4B9C" w:rsidP="00FF4B9C">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DEC192C" wp14:editId="1277AD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24-06776  (F)</w:t>
    </w:r>
    <w:r>
      <w:rPr>
        <w:noProof/>
        <w:sz w:val="20"/>
      </w:rPr>
      <w:drawing>
        <wp:anchor distT="0" distB="0" distL="114300" distR="114300" simplePos="0" relativeHeight="251660288" behindDoc="0" locked="0" layoutInCell="1" allowOverlap="1" wp14:anchorId="71684C9B" wp14:editId="435285A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7D64" w14:textId="77777777" w:rsidR="00265611" w:rsidRPr="00AC3823" w:rsidRDefault="00265611" w:rsidP="00AC3823">
      <w:pPr>
        <w:pStyle w:val="Pieddepage"/>
        <w:tabs>
          <w:tab w:val="right" w:pos="2155"/>
        </w:tabs>
        <w:spacing w:after="80" w:line="240" w:lineRule="atLeast"/>
        <w:ind w:left="680"/>
        <w:rPr>
          <w:u w:val="single"/>
        </w:rPr>
      </w:pPr>
      <w:r>
        <w:rPr>
          <w:u w:val="single"/>
        </w:rPr>
        <w:tab/>
      </w:r>
    </w:p>
  </w:footnote>
  <w:footnote w:type="continuationSeparator" w:id="0">
    <w:p w14:paraId="5888BCA6" w14:textId="77777777" w:rsidR="00265611" w:rsidRPr="00AC3823" w:rsidRDefault="00265611" w:rsidP="00AC3823">
      <w:pPr>
        <w:pStyle w:val="Pieddepage"/>
        <w:tabs>
          <w:tab w:val="right" w:pos="2155"/>
        </w:tabs>
        <w:spacing w:after="80" w:line="240" w:lineRule="atLeast"/>
        <w:ind w:left="680"/>
        <w:rPr>
          <w:u w:val="single"/>
        </w:rPr>
      </w:pPr>
      <w:r>
        <w:rPr>
          <w:u w:val="single"/>
        </w:rPr>
        <w:tab/>
      </w:r>
    </w:p>
  </w:footnote>
  <w:footnote w:type="continuationNotice" w:id="1">
    <w:p w14:paraId="4DD4F0BB" w14:textId="77777777" w:rsidR="00265611" w:rsidRPr="00AC3823" w:rsidRDefault="00265611">
      <w:pPr>
        <w:spacing w:line="240" w:lineRule="auto"/>
        <w:rPr>
          <w:sz w:val="2"/>
          <w:szCs w:val="2"/>
        </w:rPr>
      </w:pPr>
    </w:p>
  </w:footnote>
  <w:footnote w:id="2">
    <w:p w14:paraId="2FC1718D" w14:textId="77777777" w:rsidR="00FD6147" w:rsidRPr="008442FC" w:rsidRDefault="00FD6147" w:rsidP="00FD6147">
      <w:pPr>
        <w:pStyle w:val="Notedebasdepage"/>
      </w:pPr>
      <w:r>
        <w:rPr>
          <w:lang w:val="fr-FR"/>
        </w:rPr>
        <w:tab/>
      </w:r>
      <w:r w:rsidRPr="00FD6147">
        <w:rPr>
          <w:sz w:val="20"/>
          <w:lang w:val="fr-FR"/>
        </w:rPr>
        <w:t>*</w:t>
      </w:r>
      <w:r>
        <w:rPr>
          <w:lang w:val="fr-FR"/>
        </w:rPr>
        <w:tab/>
        <w:t>A/78/6 (Sect. 20), tableau 20.5.</w:t>
      </w:r>
    </w:p>
  </w:footnote>
  <w:footnote w:id="3">
    <w:p w14:paraId="2B2E0477" w14:textId="77777777" w:rsidR="00FD6147" w:rsidRPr="00D71236" w:rsidRDefault="00FD6147" w:rsidP="00FD6147">
      <w:pPr>
        <w:pStyle w:val="Notedebasdepage"/>
      </w:pPr>
      <w:r>
        <w:rPr>
          <w:lang w:val="fr-FR"/>
        </w:rPr>
        <w:tab/>
      </w:r>
      <w:r w:rsidRPr="003C59DF">
        <w:rPr>
          <w:rStyle w:val="Appelnotedebasdep"/>
        </w:rPr>
        <w:footnoteRef/>
      </w:r>
      <w:r>
        <w:rPr>
          <w:lang w:val="fr-FR"/>
        </w:rPr>
        <w:tab/>
        <w:t xml:space="preserve">Voir la colonne (20) du tableau A au chapitre 3.2 de </w:t>
      </w:r>
      <w:r w:rsidRPr="00D71236">
        <w:rPr>
          <w:lang w:val="fr-FR"/>
        </w:rPr>
        <w:t>l</w:t>
      </w:r>
      <w:r>
        <w:rPr>
          <w:lang w:val="fr-FR"/>
        </w:rPr>
        <w:t>’</w:t>
      </w:r>
      <w:r w:rsidRPr="003C59DF">
        <w:rPr>
          <w:lang w:val="fr-FR"/>
        </w:rPr>
        <w:t>Accord relatif au transport international des marchandises dangereuses par route (ADR)</w:t>
      </w:r>
      <w:r w:rsidRPr="00D712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835" w14:textId="6FF31EF2" w:rsidR="00FF4B9C" w:rsidRPr="00FF4B9C" w:rsidRDefault="00FF4B9C">
    <w:pPr>
      <w:pStyle w:val="En-tte"/>
    </w:pPr>
    <w:fldSimple w:instr=" TITLE  \* MERGEFORMAT ">
      <w:r w:rsidR="00D92D51">
        <w:t>ST/SG/AC.10/C.3/2024/50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7006" w14:textId="0E0F7591" w:rsidR="00FF4B9C" w:rsidRPr="00FF4B9C" w:rsidRDefault="00FF4B9C" w:rsidP="00FF4B9C">
    <w:pPr>
      <w:pStyle w:val="En-tte"/>
      <w:jc w:val="right"/>
    </w:pPr>
    <w:fldSimple w:instr=" TITLE  \* MERGEFORMAT ">
      <w:r w:rsidR="00D92D51">
        <w:t>ST/SG/AC.10/C.3/2024/50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11"/>
    <w:rsid w:val="00017F94"/>
    <w:rsid w:val="00023842"/>
    <w:rsid w:val="000305D3"/>
    <w:rsid w:val="000334F9"/>
    <w:rsid w:val="0007796D"/>
    <w:rsid w:val="000B7790"/>
    <w:rsid w:val="00111F2F"/>
    <w:rsid w:val="00132EA9"/>
    <w:rsid w:val="0014365E"/>
    <w:rsid w:val="00172E49"/>
    <w:rsid w:val="00176178"/>
    <w:rsid w:val="001F525A"/>
    <w:rsid w:val="002017E4"/>
    <w:rsid w:val="00223272"/>
    <w:rsid w:val="0024779E"/>
    <w:rsid w:val="00265611"/>
    <w:rsid w:val="00283190"/>
    <w:rsid w:val="002832AC"/>
    <w:rsid w:val="002D7C93"/>
    <w:rsid w:val="0034502F"/>
    <w:rsid w:val="00441C3B"/>
    <w:rsid w:val="00446FE5"/>
    <w:rsid w:val="00452396"/>
    <w:rsid w:val="004E468C"/>
    <w:rsid w:val="005172F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92D51"/>
    <w:rsid w:val="00DB1831"/>
    <w:rsid w:val="00DD1655"/>
    <w:rsid w:val="00DD3BFD"/>
    <w:rsid w:val="00DF6678"/>
    <w:rsid w:val="00DF757A"/>
    <w:rsid w:val="00EF2E22"/>
    <w:rsid w:val="00F01738"/>
    <w:rsid w:val="00F660DF"/>
    <w:rsid w:val="00F730C8"/>
    <w:rsid w:val="00F95C08"/>
    <w:rsid w:val="00FD6147"/>
    <w:rsid w:val="00FF4B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5841"/>
  <w15:docId w15:val="{A0F86C5F-EDF5-437F-9C13-2CEAD89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D6147"/>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FD6147"/>
    <w:rPr>
      <w:rFonts w:ascii="Times New Roman" w:eastAsiaTheme="minorHAnsi" w:hAnsi="Times New Roman" w:cs="Times New Roman"/>
      <w:b/>
      <w:sz w:val="28"/>
      <w:szCs w:val="20"/>
      <w:lang w:eastAsia="en-US"/>
    </w:rPr>
  </w:style>
  <w:style w:type="character" w:customStyle="1" w:styleId="H1GChar">
    <w:name w:val="_ H_1_G Char"/>
    <w:link w:val="H1G"/>
    <w:locked/>
    <w:rsid w:val="00FD6147"/>
    <w:rPr>
      <w:rFonts w:ascii="Times New Roman" w:eastAsiaTheme="minorHAnsi" w:hAnsi="Times New Roman" w:cs="Times New Roman"/>
      <w:b/>
      <w:sz w:val="24"/>
      <w:szCs w:val="20"/>
      <w:lang w:eastAsia="en-US"/>
    </w:rPr>
  </w:style>
  <w:style w:type="character" w:customStyle="1" w:styleId="SingleTxtGCar">
    <w:name w:val="_ Single Txt_G Car"/>
    <w:link w:val="SingleTxtG"/>
    <w:locked/>
    <w:rsid w:val="00FD6147"/>
    <w:rPr>
      <w:rFonts w:ascii="Times New Roman" w:eastAsiaTheme="minorHAnsi" w:hAnsi="Times New Roman" w:cs="Times New Roman"/>
      <w:sz w:val="20"/>
      <w:szCs w:val="20"/>
      <w:lang w:eastAsia="en-US"/>
    </w:rPr>
  </w:style>
  <w:style w:type="character" w:customStyle="1" w:styleId="SingleTxtGChar">
    <w:name w:val="_ Single Txt_G Char"/>
    <w:rsid w:val="00FD6147"/>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E5C83-A6E0-46AA-92EF-D169BBFA1FA6}"/>
</file>

<file path=customXml/itemProps2.xml><?xml version="1.0" encoding="utf-8"?>
<ds:datastoreItem xmlns:ds="http://schemas.openxmlformats.org/officeDocument/2006/customXml" ds:itemID="{11CF85CD-14FF-4256-A775-F8233C3E3FC2}"/>
</file>

<file path=docProps/app.xml><?xml version="1.0" encoding="utf-8"?>
<Properties xmlns="http://schemas.openxmlformats.org/officeDocument/2006/extended-properties" xmlns:vt="http://schemas.openxmlformats.org/officeDocument/2006/docPropsVTypes">
  <Template>ST.dotm</Template>
  <TotalTime>1</TotalTime>
  <Pages>4</Pages>
  <Words>1059</Words>
  <Characters>8115</Characters>
  <Application>Microsoft Office Word</Application>
  <DocSecurity>0</DocSecurity>
  <Lines>2705</Lines>
  <Paragraphs>764</Paragraphs>
  <ScaleCrop>false</ScaleCrop>
  <HeadingPairs>
    <vt:vector size="2" baseType="variant">
      <vt:variant>
        <vt:lpstr>Titre</vt:lpstr>
      </vt:variant>
      <vt:variant>
        <vt:i4>1</vt:i4>
      </vt:variant>
    </vt:vector>
  </HeadingPairs>
  <TitlesOfParts>
    <vt:vector size="1" baseType="lpstr">
      <vt:lpstr>ST/SG/AC.10/C.3/2024/50</vt:lpstr>
    </vt:vector>
  </TitlesOfParts>
  <Company>DCM</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ST/SG/AC.10/C.3/2024/50</dc:title>
  <dc:subject/>
  <dc:creator>Nicolas MORIN</dc:creator>
  <cp:keywords/>
  <cp:lastModifiedBy>Nicolas Morin</cp:lastModifiedBy>
  <cp:revision>3</cp:revision>
  <cp:lastPrinted>2024-05-02T09:42:00Z</cp:lastPrinted>
  <dcterms:created xsi:type="dcterms:W3CDTF">2024-05-02T09:42:00Z</dcterms:created>
  <dcterms:modified xsi:type="dcterms:W3CDTF">2024-05-02T09:43:00Z</dcterms:modified>
</cp:coreProperties>
</file>