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89B87C5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B023B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1380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F068F" w14:textId="40F8DA44" w:rsidR="00E52109" w:rsidRDefault="00D61EE2" w:rsidP="00D61EE2">
            <w:pPr>
              <w:jc w:val="right"/>
            </w:pPr>
            <w:r w:rsidRPr="00D61EE2">
              <w:rPr>
                <w:sz w:val="40"/>
              </w:rPr>
              <w:t>ST</w:t>
            </w:r>
            <w:r>
              <w:t>/SG/AC.10/C.3/2024/55</w:t>
            </w:r>
          </w:p>
        </w:tc>
      </w:tr>
      <w:tr w:rsidR="00E52109" w14:paraId="5A407842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B47918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CA0390" wp14:editId="13F78A4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96502F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DAC256" w14:textId="77777777" w:rsidR="00D94B05" w:rsidRDefault="00D61EE2" w:rsidP="00D61EE2">
            <w:pPr>
              <w:spacing w:before="240" w:line="240" w:lineRule="exact"/>
            </w:pPr>
            <w:r>
              <w:t>Distr.: General</w:t>
            </w:r>
          </w:p>
          <w:p w14:paraId="62F24506" w14:textId="77777777" w:rsidR="00D61EE2" w:rsidRDefault="00D61EE2" w:rsidP="00D61EE2">
            <w:pPr>
              <w:spacing w:line="240" w:lineRule="exact"/>
            </w:pPr>
            <w:r>
              <w:t>18 April 2024</w:t>
            </w:r>
          </w:p>
          <w:p w14:paraId="03D1E62E" w14:textId="77777777" w:rsidR="00D61EE2" w:rsidRDefault="00D61EE2" w:rsidP="00D61EE2">
            <w:pPr>
              <w:spacing w:line="240" w:lineRule="exact"/>
            </w:pPr>
          </w:p>
          <w:p w14:paraId="388ED2F9" w14:textId="26781E40" w:rsidR="00D61EE2" w:rsidRDefault="00D61EE2" w:rsidP="00D61EE2">
            <w:pPr>
              <w:spacing w:line="240" w:lineRule="exact"/>
            </w:pPr>
            <w:r>
              <w:t>Original: English</w:t>
            </w:r>
          </w:p>
        </w:tc>
      </w:tr>
    </w:tbl>
    <w:p w14:paraId="0641D18C" w14:textId="77777777" w:rsidR="00D61EE2" w:rsidRPr="006500BA" w:rsidRDefault="00D61EE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26109352" w14:textId="77777777" w:rsidR="00D61EE2" w:rsidRPr="006500BA" w:rsidRDefault="00D61EE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64F071C0" w14:textId="0F4A40B8" w:rsidR="00D61EE2" w:rsidRPr="006500BA" w:rsidRDefault="005D1FF5" w:rsidP="004858F5">
      <w:pPr>
        <w:spacing w:before="120"/>
        <w:rPr>
          <w:b/>
        </w:rPr>
      </w:pPr>
      <w:r>
        <w:rPr>
          <w:b/>
        </w:rPr>
        <w:t>Sixty-fourth</w:t>
      </w:r>
      <w:r w:rsidR="00D61EE2">
        <w:rPr>
          <w:b/>
        </w:rPr>
        <w:t xml:space="preserve"> </w:t>
      </w:r>
      <w:r w:rsidR="00D61EE2" w:rsidRPr="006500BA">
        <w:rPr>
          <w:b/>
        </w:rPr>
        <w:t>session</w:t>
      </w:r>
    </w:p>
    <w:p w14:paraId="7748BF18" w14:textId="0729C573" w:rsidR="00D61EE2" w:rsidRPr="006500BA" w:rsidRDefault="00D61EE2" w:rsidP="004858F5">
      <w:r w:rsidRPr="006500BA">
        <w:t xml:space="preserve">Geneva, </w:t>
      </w:r>
      <w:r w:rsidR="005464D4">
        <w:t>24 June</w:t>
      </w:r>
      <w:r w:rsidR="000A09E8">
        <w:t xml:space="preserve"> </w:t>
      </w:r>
      <w:r w:rsidR="005464D4">
        <w:t>-</w:t>
      </w:r>
      <w:r w:rsidR="000A09E8">
        <w:t xml:space="preserve"> </w:t>
      </w:r>
      <w:r w:rsidR="005464D4">
        <w:t>3 July 2024</w:t>
      </w:r>
    </w:p>
    <w:p w14:paraId="3CD7EE96" w14:textId="1227E8D4" w:rsidR="00D61EE2" w:rsidRPr="006500BA" w:rsidRDefault="00D61EE2" w:rsidP="004858F5">
      <w:r w:rsidRPr="006500BA">
        <w:t xml:space="preserve">Item </w:t>
      </w:r>
      <w:r w:rsidR="005464D4">
        <w:t>4 (a)</w:t>
      </w:r>
      <w:r w:rsidRPr="006500BA">
        <w:t xml:space="preserve"> of the provisional agenda</w:t>
      </w:r>
    </w:p>
    <w:p w14:paraId="45FD0E32" w14:textId="77777777" w:rsidR="00F37313" w:rsidRPr="00FA7103" w:rsidRDefault="00F37313" w:rsidP="00F37313">
      <w:pPr>
        <w:rPr>
          <w:b/>
          <w:bCs/>
        </w:rPr>
      </w:pPr>
      <w:r w:rsidRPr="00FA7103">
        <w:rPr>
          <w:b/>
          <w:bCs/>
        </w:rPr>
        <w:t>Electric storage systems:</w:t>
      </w:r>
    </w:p>
    <w:p w14:paraId="1816786C" w14:textId="77777777" w:rsidR="00F37313" w:rsidRDefault="00F37313" w:rsidP="00F37313">
      <w:pPr>
        <w:rPr>
          <w:b/>
          <w:bCs/>
        </w:rPr>
      </w:pPr>
      <w:r>
        <w:rPr>
          <w:b/>
          <w:bCs/>
        </w:rPr>
        <w:t>Testing of lithium batteries</w:t>
      </w:r>
    </w:p>
    <w:p w14:paraId="3E9D0317" w14:textId="6B1CA1BC" w:rsidR="003C6834" w:rsidRPr="00CF3204" w:rsidRDefault="003C6834" w:rsidP="003C6834">
      <w:pPr>
        <w:pStyle w:val="HChG"/>
      </w:pPr>
      <w:r>
        <w:tab/>
      </w:r>
      <w:r>
        <w:tab/>
      </w:r>
      <w:r w:rsidRPr="007878E1">
        <w:t>Reuse</w:t>
      </w:r>
      <w:r>
        <w:t xml:space="preserve">, </w:t>
      </w:r>
      <w:r w:rsidRPr="003C6834">
        <w:t>repair</w:t>
      </w:r>
      <w:r w:rsidRPr="007878E1">
        <w:t xml:space="preserve"> and </w:t>
      </w:r>
      <w:r>
        <w:t>r</w:t>
      </w:r>
      <w:r w:rsidRPr="007878E1">
        <w:t xml:space="preserve">epurposing </w:t>
      </w:r>
      <w:r w:rsidR="000A09E8">
        <w:t xml:space="preserve">of </w:t>
      </w:r>
      <w:r>
        <w:t>l</w:t>
      </w:r>
      <w:r w:rsidRPr="007878E1">
        <w:t>ithium</w:t>
      </w:r>
      <w:r>
        <w:t>-</w:t>
      </w:r>
      <w:r w:rsidRPr="007878E1">
        <w:t xml:space="preserve">ion </w:t>
      </w:r>
      <w:r>
        <w:t>c</w:t>
      </w:r>
      <w:r w:rsidRPr="007878E1">
        <w:t xml:space="preserve">ells and </w:t>
      </w:r>
      <w:r>
        <w:t>b</w:t>
      </w:r>
      <w:r w:rsidRPr="007878E1">
        <w:t xml:space="preserve">atteries and </w:t>
      </w:r>
      <w:r>
        <w:t>i</w:t>
      </w:r>
      <w:r w:rsidRPr="007878E1">
        <w:t xml:space="preserve">mplications on </w:t>
      </w:r>
      <w:r w:rsidRPr="006A4948">
        <w:t>safety</w:t>
      </w:r>
      <w:r w:rsidRPr="007878E1">
        <w:t xml:space="preserve"> and UN</w:t>
      </w:r>
      <w:r>
        <w:t xml:space="preserve"> </w:t>
      </w:r>
      <w:r w:rsidRPr="007878E1">
        <w:t xml:space="preserve">38.3 </w:t>
      </w:r>
      <w:r>
        <w:t>t</w:t>
      </w:r>
      <w:r w:rsidRPr="007878E1">
        <w:t xml:space="preserve">esting </w:t>
      </w:r>
      <w:r>
        <w:t>r</w:t>
      </w:r>
      <w:r w:rsidRPr="007878E1">
        <w:t>equirements</w:t>
      </w:r>
    </w:p>
    <w:p w14:paraId="288C4FF1" w14:textId="18C8E76E" w:rsidR="003C6834" w:rsidRPr="00CF3204" w:rsidRDefault="003C6834" w:rsidP="003C6834">
      <w:pPr>
        <w:pStyle w:val="H1G"/>
      </w:pPr>
      <w:r w:rsidRPr="00CF3204">
        <w:tab/>
      </w:r>
      <w:r w:rsidRPr="00CF3204">
        <w:tab/>
      </w:r>
      <w:r>
        <w:t>Submitted</w:t>
      </w:r>
      <w:r w:rsidRPr="00CF3204">
        <w:t xml:space="preserve"> </w:t>
      </w:r>
      <w:r w:rsidRPr="003C6834">
        <w:t>by</w:t>
      </w:r>
      <w:r w:rsidRPr="00CF3204">
        <w:t xml:space="preserve"> </w:t>
      </w:r>
      <w:r>
        <w:t xml:space="preserve">PRBA – The Rechargeable Battery Association and </w:t>
      </w:r>
      <w:r w:rsidRPr="00CF3204">
        <w:t xml:space="preserve">Advanced Rechargeable </w:t>
      </w:r>
      <w:r w:rsidR="003E6DFA">
        <w:t>and</w:t>
      </w:r>
      <w:r w:rsidRPr="00CF3204">
        <w:t xml:space="preserve"> Lithium Batteries Association</w:t>
      </w:r>
      <w:r>
        <w:t xml:space="preserve"> (RECHARGE)</w:t>
      </w:r>
      <w:r w:rsidRPr="003C6834">
        <w:rPr>
          <w:rStyle w:val="FootnoteReference"/>
          <w:sz w:val="20"/>
          <w:vertAlign w:val="baseline"/>
        </w:rPr>
        <w:footnoteReference w:customMarkFollows="1" w:id="2"/>
        <w:t>*</w:t>
      </w:r>
      <w:r w:rsidR="00490441">
        <w:rPr>
          <w:sz w:val="20"/>
        </w:rPr>
        <w:t xml:space="preserve">, </w:t>
      </w:r>
      <w:r w:rsidR="00490441" w:rsidRPr="00490441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29E38813" w14:textId="77777777" w:rsidR="003C6834" w:rsidRPr="00CF3204" w:rsidRDefault="003C6834" w:rsidP="003C6834">
      <w:pPr>
        <w:pStyle w:val="HChG"/>
      </w:pPr>
      <w:r w:rsidRPr="00CF3204">
        <w:tab/>
      </w:r>
      <w:r>
        <w:t>I.</w:t>
      </w:r>
      <w:r>
        <w:tab/>
      </w:r>
      <w:r w:rsidRPr="006A4948">
        <w:t>Introduction</w:t>
      </w:r>
    </w:p>
    <w:p w14:paraId="18E80B3C" w14:textId="148C3D73" w:rsidR="003C6834" w:rsidRPr="00606E7C" w:rsidRDefault="003C6834" w:rsidP="00C44417">
      <w:pPr>
        <w:pStyle w:val="SingleTxtG"/>
      </w:pPr>
      <w:r w:rsidRPr="00606E7C">
        <w:t>1.</w:t>
      </w:r>
      <w:r w:rsidRPr="00606E7C">
        <w:tab/>
        <w:t xml:space="preserve">PRBA and RECHARGE have previously presented information on how governments and non-governmental organizations (NGOs) are promoting concepts associated with a “circular economy” and how </w:t>
      </w:r>
      <w:proofErr w:type="gramStart"/>
      <w:r w:rsidRPr="00606E7C">
        <w:t>lithium</w:t>
      </w:r>
      <w:r w:rsidR="00C15FF0">
        <w:t xml:space="preserve"> </w:t>
      </w:r>
      <w:r w:rsidRPr="00606E7C">
        <w:t>ion</w:t>
      </w:r>
      <w:proofErr w:type="gramEnd"/>
      <w:r w:rsidRPr="00606E7C">
        <w:t xml:space="preserve"> cells and batteries are often identified as products that should be “reused” (i.e., remanufactured or repaired) and “repurposed” before </w:t>
      </w:r>
      <w:r w:rsidRPr="00C44417">
        <w:t>being</w:t>
      </w:r>
      <w:r w:rsidRPr="00606E7C">
        <w:t xml:space="preserve"> shipped for final disposal and recycling at end-of-life. Our previously introduced </w:t>
      </w:r>
      <w:r w:rsidR="009C2FE3">
        <w:t>i</w:t>
      </w:r>
      <w:r w:rsidRPr="00606E7C">
        <w:t xml:space="preserve">nformal </w:t>
      </w:r>
      <w:r w:rsidR="009C2FE3">
        <w:t>d</w:t>
      </w:r>
      <w:r w:rsidRPr="00606E7C">
        <w:t xml:space="preserve">ocuments on this matter identified how reusing, repairing or repurposing </w:t>
      </w:r>
      <w:proofErr w:type="gramStart"/>
      <w:r w:rsidRPr="00606E7C">
        <w:t>lithium</w:t>
      </w:r>
      <w:r w:rsidR="00E841C3">
        <w:t xml:space="preserve"> </w:t>
      </w:r>
      <w:r w:rsidRPr="00606E7C">
        <w:t>ion</w:t>
      </w:r>
      <w:proofErr w:type="gramEnd"/>
      <w:r w:rsidRPr="00606E7C">
        <w:t xml:space="preserve"> cells and batteries may have implications on the applicable technical, regulatory, and safety requirements found in the </w:t>
      </w:r>
      <w:r w:rsidR="00810D17" w:rsidRPr="00810D17">
        <w:rPr>
          <w:i/>
          <w:iCs/>
        </w:rPr>
        <w:t>Manual of Tests and Criteria</w:t>
      </w:r>
      <w:r w:rsidR="00810D17" w:rsidRPr="00810D17">
        <w:t xml:space="preserve"> </w:t>
      </w:r>
      <w:r w:rsidR="00D42AAA">
        <w:t>section</w:t>
      </w:r>
      <w:r w:rsidR="00E841C3">
        <w:t xml:space="preserve"> </w:t>
      </w:r>
      <w:r w:rsidRPr="00606E7C">
        <w:t xml:space="preserve">38.3 </w:t>
      </w:r>
      <w:r w:rsidR="00D42AAA">
        <w:t xml:space="preserve">on </w:t>
      </w:r>
      <w:r w:rsidRPr="00606E7C">
        <w:t>lithium battery tests and</w:t>
      </w:r>
      <w:r w:rsidR="00D42AAA">
        <w:t xml:space="preserve"> the</w:t>
      </w:r>
      <w:r w:rsidRPr="00606E7C">
        <w:t xml:space="preserve"> </w:t>
      </w:r>
      <w:r w:rsidRPr="00260C67">
        <w:rPr>
          <w:i/>
          <w:iCs/>
        </w:rPr>
        <w:t>Model Regulations</w:t>
      </w:r>
      <w:r w:rsidRPr="00606E7C">
        <w:t xml:space="preserve"> that are associated with the safe transport of these dangerous goods.</w:t>
      </w:r>
    </w:p>
    <w:p w14:paraId="1903B778" w14:textId="3F43125C" w:rsidR="003C6834" w:rsidRDefault="003C6834" w:rsidP="00C44417">
      <w:pPr>
        <w:pStyle w:val="SingleTxtG"/>
      </w:pPr>
      <w:r w:rsidRPr="00606E7C">
        <w:t>2.</w:t>
      </w:r>
      <w:r w:rsidRPr="00606E7C">
        <w:tab/>
      </w:r>
      <w:r>
        <w:t xml:space="preserve">Based on comments </w:t>
      </w:r>
      <w:r w:rsidRPr="00C44417">
        <w:t>and</w:t>
      </w:r>
      <w:r>
        <w:t xml:space="preserve"> questions </w:t>
      </w:r>
      <w:r w:rsidR="005D5462">
        <w:t xml:space="preserve">that </w:t>
      </w:r>
      <w:r>
        <w:t>we</w:t>
      </w:r>
      <w:r w:rsidR="005D5462">
        <w:t>re</w:t>
      </w:r>
      <w:r>
        <w:t xml:space="preserve"> received on </w:t>
      </w:r>
      <w:r w:rsidR="00BE1CFB">
        <w:t>the</w:t>
      </w:r>
      <w:r>
        <w:t xml:space="preserve"> </w:t>
      </w:r>
      <w:r w:rsidR="003926DA">
        <w:t>i</w:t>
      </w:r>
      <w:r>
        <w:t xml:space="preserve">nformal </w:t>
      </w:r>
      <w:r w:rsidR="003926DA">
        <w:t>documents</w:t>
      </w:r>
      <w:r>
        <w:t xml:space="preserve"> from the sixty-third session, </w:t>
      </w:r>
      <w:r w:rsidR="003926DA" w:rsidRPr="00606E7C">
        <w:t xml:space="preserve">PRBA and RECHARGE </w:t>
      </w:r>
      <w:r>
        <w:t xml:space="preserve">are now simply proposing a new provision and note be added to section 38.3.2.1 that highlights the potential </w:t>
      </w:r>
      <w:r w:rsidRPr="00285364">
        <w:t>design change</w:t>
      </w:r>
      <w:r>
        <w:t>s</w:t>
      </w:r>
      <w:r w:rsidRPr="00285364">
        <w:t xml:space="preserve"> resulting from repurposing, </w:t>
      </w:r>
      <w:proofErr w:type="gramStart"/>
      <w:r w:rsidRPr="00285364">
        <w:t>remanufacturing</w:t>
      </w:r>
      <w:proofErr w:type="gramEnd"/>
      <w:r w:rsidRPr="00285364">
        <w:t xml:space="preserve"> or repairing of a battery</w:t>
      </w:r>
      <w:r>
        <w:t xml:space="preserve"> and need for retesting. Unlike previous </w:t>
      </w:r>
      <w:r w:rsidR="002E6ABE">
        <w:t>i</w:t>
      </w:r>
      <w:r>
        <w:t xml:space="preserve">nformal </w:t>
      </w:r>
      <w:r w:rsidR="002E6ABE">
        <w:t>document</w:t>
      </w:r>
      <w:r>
        <w:t>s that included definitions and a more complex approach to addressing these issues, we believe this simplified approach will provide the necessary guidance for the industry and authorities enforcing the dangerous goods regulations.</w:t>
      </w:r>
    </w:p>
    <w:p w14:paraId="3EA232B0" w14:textId="77777777" w:rsidR="003C6834" w:rsidRDefault="003C6834" w:rsidP="003C6834">
      <w:pPr>
        <w:pStyle w:val="SingleTxtG"/>
      </w:pPr>
    </w:p>
    <w:p w14:paraId="6F7F5756" w14:textId="7137A702" w:rsidR="003C6834" w:rsidRPr="00E15F5F" w:rsidRDefault="00C44417" w:rsidP="00C44417">
      <w:pPr>
        <w:pStyle w:val="HChG"/>
        <w:rPr>
          <w:lang w:val="en-US"/>
        </w:rPr>
      </w:pPr>
      <w:r>
        <w:rPr>
          <w:lang w:val="en-US"/>
        </w:rPr>
        <w:lastRenderedPageBreak/>
        <w:tab/>
        <w:t>II.</w:t>
      </w:r>
      <w:r>
        <w:rPr>
          <w:lang w:val="en-US"/>
        </w:rPr>
        <w:tab/>
      </w:r>
      <w:r w:rsidR="003C6834">
        <w:rPr>
          <w:lang w:val="en-US"/>
        </w:rPr>
        <w:t>P</w:t>
      </w:r>
      <w:r>
        <w:rPr>
          <w:lang w:val="en-US"/>
        </w:rPr>
        <w:t>roposal</w:t>
      </w:r>
    </w:p>
    <w:p w14:paraId="03467070" w14:textId="55A9244A" w:rsidR="003C6834" w:rsidRDefault="00C44417" w:rsidP="003C6834">
      <w:pPr>
        <w:pStyle w:val="SingleTxtG"/>
      </w:pPr>
      <w:r>
        <w:t>3.</w:t>
      </w:r>
      <w:r>
        <w:tab/>
      </w:r>
      <w:r w:rsidR="003C6834">
        <w:t xml:space="preserve">Add a new </w:t>
      </w:r>
      <w:r w:rsidR="00E05468">
        <w:t>sub</w:t>
      </w:r>
      <w:r w:rsidR="003C6834">
        <w:t xml:space="preserve">paragraph (g) under the NOTE </w:t>
      </w:r>
      <w:r w:rsidR="00E05468">
        <w:t>in section</w:t>
      </w:r>
      <w:r w:rsidR="003C6834">
        <w:t xml:space="preserve"> 38.3.2.2</w:t>
      </w:r>
      <w:r w:rsidR="00E05468">
        <w:t xml:space="preserve"> of the </w:t>
      </w:r>
      <w:r w:rsidR="00E05468" w:rsidRPr="00810D17">
        <w:rPr>
          <w:i/>
          <w:iCs/>
        </w:rPr>
        <w:t>Manual of Tests and Criteria</w:t>
      </w:r>
      <w:r w:rsidR="00E05468" w:rsidRPr="00E05468">
        <w:t>, as follows</w:t>
      </w:r>
      <w:r w:rsidR="00E05468">
        <w:t xml:space="preserve"> (new te</w:t>
      </w:r>
      <w:r w:rsidR="00E93948">
        <w:t xml:space="preserve">xt is </w:t>
      </w:r>
      <w:r w:rsidR="00E93948" w:rsidRPr="00E93948">
        <w:rPr>
          <w:u w:val="single"/>
        </w:rPr>
        <w:t>underlined</w:t>
      </w:r>
      <w:r w:rsidR="00E05468">
        <w:t>)</w:t>
      </w:r>
      <w:r w:rsidR="003C6834">
        <w:t>:</w:t>
      </w:r>
    </w:p>
    <w:p w14:paraId="40542545" w14:textId="659E3930" w:rsidR="003C6834" w:rsidRDefault="00E05468" w:rsidP="003C6834">
      <w:pPr>
        <w:pStyle w:val="SingleTxtG"/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>“</w:t>
      </w:r>
      <w:r w:rsidR="003C6834" w:rsidRPr="009A127A">
        <w:rPr>
          <w:b/>
          <w:bCs/>
          <w:i/>
          <w:iCs/>
          <w:lang w:val="en-US"/>
        </w:rPr>
        <w:t>NOTE</w:t>
      </w:r>
      <w:r w:rsidR="003C6834" w:rsidRPr="009A127A">
        <w:rPr>
          <w:i/>
          <w:iCs/>
          <w:lang w:val="en-US"/>
        </w:rPr>
        <w:t>:</w:t>
      </w:r>
      <w:r w:rsidR="003C6834">
        <w:rPr>
          <w:i/>
          <w:iCs/>
          <w:lang w:val="en-US"/>
        </w:rPr>
        <w:t xml:space="preserve"> </w:t>
      </w:r>
      <w:r w:rsidR="003C6834" w:rsidRPr="009A127A">
        <w:rPr>
          <w:i/>
          <w:iCs/>
          <w:lang w:val="en-US"/>
        </w:rPr>
        <w:t>The type of change that might be considered to differ from a tested type, such that it might lead to failure of any of the test results, may include, but is not limited to:</w:t>
      </w:r>
    </w:p>
    <w:p w14:paraId="73DA48CC" w14:textId="32518264" w:rsidR="00E93948" w:rsidRDefault="00E93948" w:rsidP="003C6834">
      <w:pPr>
        <w:pStyle w:val="SingleTxtG"/>
        <w:rPr>
          <w:i/>
          <w:iCs/>
          <w:lang w:val="en-US"/>
        </w:rPr>
      </w:pPr>
      <w:r>
        <w:rPr>
          <w:i/>
          <w:iCs/>
          <w:lang w:val="en-US"/>
        </w:rPr>
        <w:tab/>
        <w:t>…</w:t>
      </w:r>
    </w:p>
    <w:p w14:paraId="422ACCDC" w14:textId="77777777" w:rsidR="00557A47" w:rsidRDefault="00E93948" w:rsidP="00C44417">
      <w:pPr>
        <w:pStyle w:val="SingleTxtG"/>
        <w:rPr>
          <w:lang w:val="en-US"/>
        </w:rPr>
      </w:pPr>
      <w:bookmarkStart w:id="0" w:name="_Hlk161139238"/>
      <w:r w:rsidRPr="00E93948">
        <w:rPr>
          <w:i/>
          <w:iCs/>
          <w:lang w:val="en-US"/>
        </w:rPr>
        <w:tab/>
      </w:r>
      <w:r w:rsidR="003C6834" w:rsidRPr="00E93948">
        <w:rPr>
          <w:i/>
          <w:iCs/>
          <w:u w:val="single"/>
          <w:lang w:val="en-US"/>
        </w:rPr>
        <w:t>(g)</w:t>
      </w:r>
      <w:r w:rsidR="003C6834" w:rsidRPr="00C44417">
        <w:rPr>
          <w:i/>
          <w:iCs/>
          <w:lang w:val="en-US"/>
        </w:rPr>
        <w:tab/>
      </w:r>
      <w:r w:rsidR="003C6834" w:rsidRPr="00C44417">
        <w:rPr>
          <w:i/>
          <w:iCs/>
          <w:u w:val="single"/>
          <w:lang w:val="en-US"/>
        </w:rPr>
        <w:t xml:space="preserve">A design change resulting from repurposing, </w:t>
      </w:r>
      <w:proofErr w:type="gramStart"/>
      <w:r w:rsidR="003C6834" w:rsidRPr="00C44417">
        <w:rPr>
          <w:i/>
          <w:iCs/>
          <w:u w:val="single"/>
          <w:lang w:val="en-US"/>
        </w:rPr>
        <w:t>remanufacturing  or</w:t>
      </w:r>
      <w:proofErr w:type="gramEnd"/>
      <w:r w:rsidR="003C6834" w:rsidRPr="00C44417">
        <w:rPr>
          <w:i/>
          <w:iCs/>
          <w:u w:val="single"/>
          <w:lang w:val="en-US"/>
        </w:rPr>
        <w:t xml:space="preserve"> repairing of a battery.</w:t>
      </w:r>
      <w:bookmarkEnd w:id="0"/>
      <w:r w:rsidR="003C6834" w:rsidRPr="00C44417">
        <w:rPr>
          <w:i/>
          <w:iCs/>
          <w:u w:val="single"/>
          <w:lang w:val="en-US"/>
        </w:rPr>
        <w:t xml:space="preserve"> </w:t>
      </w:r>
      <w:r w:rsidR="003C6834" w:rsidRPr="00C44417">
        <w:rPr>
          <w:b/>
          <w:bCs/>
          <w:i/>
          <w:iCs/>
          <w:u w:val="single"/>
          <w:lang w:val="en-US"/>
        </w:rPr>
        <w:t>Note</w:t>
      </w:r>
      <w:r w:rsidR="003C6834" w:rsidRPr="00C44417">
        <w:rPr>
          <w:i/>
          <w:iCs/>
          <w:u w:val="single"/>
          <w:lang w:val="en-US"/>
        </w:rPr>
        <w:t>: A repair operation, according to a process authorized by the original battery manufacturer, in the sense of restoring a battery equivalent to the tested type by replacement of defective parts with original spare parts or parts of equal specification and quality, shall not be considered to differ from a tested type</w:t>
      </w:r>
      <w:r w:rsidR="003C6834" w:rsidRPr="00E93948">
        <w:rPr>
          <w:lang w:val="en-US"/>
        </w:rPr>
        <w:t>.</w:t>
      </w:r>
    </w:p>
    <w:p w14:paraId="1EDB6AF0" w14:textId="35D4DC16" w:rsidR="003C6834" w:rsidRPr="00C44417" w:rsidRDefault="00557A47" w:rsidP="00C44417">
      <w:pPr>
        <w:pStyle w:val="SingleTxtG"/>
        <w:rPr>
          <w:i/>
          <w:iCs/>
          <w:lang w:val="en-US"/>
        </w:rPr>
      </w:pPr>
      <w:r>
        <w:rPr>
          <w:lang w:val="en-US"/>
        </w:rPr>
        <w:tab/>
        <w:t>…</w:t>
      </w:r>
      <w:r w:rsidR="00E05468" w:rsidRPr="00E93948">
        <w:rPr>
          <w:lang w:val="en-US"/>
        </w:rPr>
        <w:t>”</w:t>
      </w:r>
    </w:p>
    <w:p w14:paraId="08700E97" w14:textId="4DEC70A0" w:rsidR="003C6834" w:rsidRPr="003C6834" w:rsidRDefault="003C6834" w:rsidP="003C6834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C6834" w:rsidRPr="003C6834" w:rsidSect="00D61EE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07DA" w14:textId="77777777" w:rsidR="00B91B3D" w:rsidRPr="00C47B2E" w:rsidRDefault="00B91B3D" w:rsidP="00C47B2E">
      <w:pPr>
        <w:pStyle w:val="Footer"/>
      </w:pPr>
    </w:p>
  </w:endnote>
  <w:endnote w:type="continuationSeparator" w:id="0">
    <w:p w14:paraId="0825967A" w14:textId="77777777" w:rsidR="00B91B3D" w:rsidRPr="00C47B2E" w:rsidRDefault="00B91B3D" w:rsidP="00C47B2E">
      <w:pPr>
        <w:pStyle w:val="Footer"/>
      </w:pPr>
    </w:p>
  </w:endnote>
  <w:endnote w:type="continuationNotice" w:id="1">
    <w:p w14:paraId="1C2EECF5" w14:textId="77777777" w:rsidR="00B91B3D" w:rsidRPr="00C47B2E" w:rsidRDefault="00B91B3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E3A7" w14:textId="722B21D9" w:rsidR="00D94B05" w:rsidRPr="00D61EE2" w:rsidRDefault="00D61EE2" w:rsidP="00D85308">
    <w:pPr>
      <w:pStyle w:val="Footer"/>
      <w:tabs>
        <w:tab w:val="right" w:pos="9639"/>
      </w:tabs>
      <w:rPr>
        <w:sz w:val="18"/>
      </w:rPr>
    </w:pPr>
    <w:r w:rsidRPr="00D61EE2">
      <w:rPr>
        <w:b/>
        <w:sz w:val="18"/>
      </w:rPr>
      <w:fldChar w:fldCharType="begin"/>
    </w:r>
    <w:r w:rsidRPr="00D61EE2">
      <w:rPr>
        <w:b/>
        <w:sz w:val="18"/>
      </w:rPr>
      <w:instrText xml:space="preserve"> PAGE  \* MERGEFORMAT </w:instrText>
    </w:r>
    <w:r w:rsidRPr="00D61EE2">
      <w:rPr>
        <w:b/>
        <w:sz w:val="18"/>
      </w:rPr>
      <w:fldChar w:fldCharType="separate"/>
    </w:r>
    <w:r w:rsidRPr="00D61EE2">
      <w:rPr>
        <w:b/>
        <w:noProof/>
        <w:sz w:val="18"/>
      </w:rPr>
      <w:t>2</w:t>
    </w:r>
    <w:r w:rsidRPr="00D61E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6D97" w14:textId="19AE5E4C" w:rsidR="00D94B05" w:rsidRPr="00D61EE2" w:rsidRDefault="00D61EE2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D61EE2">
      <w:rPr>
        <w:b/>
        <w:bCs/>
        <w:sz w:val="18"/>
      </w:rPr>
      <w:fldChar w:fldCharType="begin"/>
    </w:r>
    <w:r w:rsidRPr="00D61EE2">
      <w:rPr>
        <w:b/>
        <w:bCs/>
        <w:sz w:val="18"/>
      </w:rPr>
      <w:instrText xml:space="preserve"> PAGE  \* MERGEFORMAT </w:instrText>
    </w:r>
    <w:r w:rsidRPr="00D61EE2">
      <w:rPr>
        <w:b/>
        <w:bCs/>
        <w:sz w:val="18"/>
      </w:rPr>
      <w:fldChar w:fldCharType="separate"/>
    </w:r>
    <w:r w:rsidRPr="00D61EE2">
      <w:rPr>
        <w:b/>
        <w:bCs/>
        <w:noProof/>
        <w:sz w:val="18"/>
      </w:rPr>
      <w:t>3</w:t>
    </w:r>
    <w:r w:rsidRPr="00D61EE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38D2" w14:textId="6014B35E" w:rsidR="00DD52C4" w:rsidRDefault="00DD52C4" w:rsidP="00DD52C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53206CD" wp14:editId="3B3B9E4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9D153" w14:textId="17AF622D" w:rsidR="00DD52C4" w:rsidRPr="00DD52C4" w:rsidRDefault="00DD52C4" w:rsidP="00DD52C4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07076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B869C95" wp14:editId="79B36F2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B34D" w14:textId="77777777" w:rsidR="00B91B3D" w:rsidRPr="00C47B2E" w:rsidRDefault="00B91B3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F67DB6D" w14:textId="77777777" w:rsidR="00B91B3D" w:rsidRPr="00C47B2E" w:rsidRDefault="00B91B3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6418588" w14:textId="77777777" w:rsidR="00B91B3D" w:rsidRPr="00C47B2E" w:rsidRDefault="00B91B3D" w:rsidP="00C47B2E">
      <w:pPr>
        <w:pStyle w:val="Footer"/>
      </w:pPr>
    </w:p>
  </w:footnote>
  <w:footnote w:id="2">
    <w:p w14:paraId="43E830FA" w14:textId="108A8D6E" w:rsidR="003C6834" w:rsidRPr="003C6834" w:rsidRDefault="003C6834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3C683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EC6BF0" w:rsidRPr="005B6A23">
        <w:t>A/78/6 (Sect. 20), table 20.5</w:t>
      </w:r>
      <w:r w:rsidR="00EC6BF0">
        <w:t>.</w:t>
      </w:r>
    </w:p>
  </w:footnote>
  <w:footnote w:id="3">
    <w:p w14:paraId="4170E534" w14:textId="6E9819BB" w:rsidR="00490441" w:rsidRPr="00490441" w:rsidRDefault="00490441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490441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EC06E6">
        <w:t xml:space="preserve">The </w:t>
      </w:r>
      <w:r w:rsidR="00EC06E6" w:rsidRPr="00A9441E">
        <w:t>document</w:t>
      </w:r>
      <w:r w:rsidR="00EC06E6">
        <w:t xml:space="preserve"> was submitted late to the conference services for processing without the explanation required under paragraph 8 of General Assembly resolution 53/208 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4A32" w14:textId="3F6F9426" w:rsidR="00D61EE2" w:rsidRPr="00D61EE2" w:rsidRDefault="00DD52C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61EE2">
      <w:t>ST/SG/AC.10/C.3/2024/55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CE53" w14:textId="5D323DC8" w:rsidR="00D94B05" w:rsidRPr="00D61EE2" w:rsidRDefault="00DD52C4" w:rsidP="00D61EE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61EE2">
      <w:t>ST/SG/AC.10/C.3/2024/55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27E3"/>
    <w:multiLevelType w:val="multilevel"/>
    <w:tmpl w:val="3FB448EA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6"/>
  </w:num>
  <w:num w:numId="2" w16cid:durableId="1073159890">
    <w:abstractNumId w:val="5"/>
  </w:num>
  <w:num w:numId="3" w16cid:durableId="551188904">
    <w:abstractNumId w:val="0"/>
  </w:num>
  <w:num w:numId="4" w16cid:durableId="44254624">
    <w:abstractNumId w:val="7"/>
  </w:num>
  <w:num w:numId="5" w16cid:durableId="1816027029">
    <w:abstractNumId w:val="8"/>
  </w:num>
  <w:num w:numId="6" w16cid:durableId="1836190579">
    <w:abstractNumId w:val="10"/>
  </w:num>
  <w:num w:numId="7" w16cid:durableId="634676252">
    <w:abstractNumId w:val="4"/>
  </w:num>
  <w:num w:numId="8" w16cid:durableId="1039166836">
    <w:abstractNumId w:val="1"/>
  </w:num>
  <w:num w:numId="9" w16cid:durableId="644969981">
    <w:abstractNumId w:val="9"/>
  </w:num>
  <w:num w:numId="10" w16cid:durableId="525103391">
    <w:abstractNumId w:val="1"/>
  </w:num>
  <w:num w:numId="11" w16cid:durableId="297342166">
    <w:abstractNumId w:val="9"/>
  </w:num>
  <w:num w:numId="12" w16cid:durableId="1280380300">
    <w:abstractNumId w:val="3"/>
  </w:num>
  <w:num w:numId="13" w16cid:durableId="1988699530">
    <w:abstractNumId w:val="3"/>
  </w:num>
  <w:num w:numId="14" w16cid:durableId="121662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E2"/>
    <w:rsid w:val="00046E92"/>
    <w:rsid w:val="00063C90"/>
    <w:rsid w:val="00070000"/>
    <w:rsid w:val="000A09E8"/>
    <w:rsid w:val="00101B98"/>
    <w:rsid w:val="00142FE4"/>
    <w:rsid w:val="001514D1"/>
    <w:rsid w:val="001A246C"/>
    <w:rsid w:val="00247E2C"/>
    <w:rsid w:val="002A32CB"/>
    <w:rsid w:val="002D5B2C"/>
    <w:rsid w:val="002D6C53"/>
    <w:rsid w:val="002E6ABE"/>
    <w:rsid w:val="002F5595"/>
    <w:rsid w:val="00334F6A"/>
    <w:rsid w:val="00342AC8"/>
    <w:rsid w:val="00343302"/>
    <w:rsid w:val="003926DA"/>
    <w:rsid w:val="003979DE"/>
    <w:rsid w:val="003B1248"/>
    <w:rsid w:val="003B4550"/>
    <w:rsid w:val="003C6834"/>
    <w:rsid w:val="003D2A18"/>
    <w:rsid w:val="003E6DFA"/>
    <w:rsid w:val="00413386"/>
    <w:rsid w:val="0045737C"/>
    <w:rsid w:val="00461253"/>
    <w:rsid w:val="004858F5"/>
    <w:rsid w:val="00490441"/>
    <w:rsid w:val="004A2814"/>
    <w:rsid w:val="004C0622"/>
    <w:rsid w:val="004F73D0"/>
    <w:rsid w:val="005042C2"/>
    <w:rsid w:val="005464D4"/>
    <w:rsid w:val="00557A47"/>
    <w:rsid w:val="005D1FF5"/>
    <w:rsid w:val="005D5462"/>
    <w:rsid w:val="005E716E"/>
    <w:rsid w:val="006476E1"/>
    <w:rsid w:val="006604DF"/>
    <w:rsid w:val="00671529"/>
    <w:rsid w:val="006F1EF5"/>
    <w:rsid w:val="0070489D"/>
    <w:rsid w:val="007200A1"/>
    <w:rsid w:val="007268F9"/>
    <w:rsid w:val="00750282"/>
    <w:rsid w:val="00764440"/>
    <w:rsid w:val="0077101B"/>
    <w:rsid w:val="007C52B0"/>
    <w:rsid w:val="007C6033"/>
    <w:rsid w:val="007E47E7"/>
    <w:rsid w:val="00810D17"/>
    <w:rsid w:val="008147C8"/>
    <w:rsid w:val="0081753A"/>
    <w:rsid w:val="00857D23"/>
    <w:rsid w:val="008E4CA5"/>
    <w:rsid w:val="009132C4"/>
    <w:rsid w:val="009411B4"/>
    <w:rsid w:val="00946F1D"/>
    <w:rsid w:val="009A0A7F"/>
    <w:rsid w:val="009C2FE3"/>
    <w:rsid w:val="009D0139"/>
    <w:rsid w:val="009D717D"/>
    <w:rsid w:val="009F5CDC"/>
    <w:rsid w:val="00A072D7"/>
    <w:rsid w:val="00A66021"/>
    <w:rsid w:val="00A775CF"/>
    <w:rsid w:val="00AD1A9C"/>
    <w:rsid w:val="00AF5DE1"/>
    <w:rsid w:val="00B06045"/>
    <w:rsid w:val="00B206DD"/>
    <w:rsid w:val="00B52EF4"/>
    <w:rsid w:val="00B777AD"/>
    <w:rsid w:val="00B91B3D"/>
    <w:rsid w:val="00BE1CFB"/>
    <w:rsid w:val="00C03015"/>
    <w:rsid w:val="00C0358D"/>
    <w:rsid w:val="00C15FF0"/>
    <w:rsid w:val="00C35A27"/>
    <w:rsid w:val="00C44417"/>
    <w:rsid w:val="00C47B2E"/>
    <w:rsid w:val="00D42AAA"/>
    <w:rsid w:val="00D61EE2"/>
    <w:rsid w:val="00D63CD2"/>
    <w:rsid w:val="00D85308"/>
    <w:rsid w:val="00D87DC2"/>
    <w:rsid w:val="00D93887"/>
    <w:rsid w:val="00D94B05"/>
    <w:rsid w:val="00DC7379"/>
    <w:rsid w:val="00DD52C4"/>
    <w:rsid w:val="00E02C2B"/>
    <w:rsid w:val="00E05468"/>
    <w:rsid w:val="00E21C27"/>
    <w:rsid w:val="00E26BCF"/>
    <w:rsid w:val="00E52109"/>
    <w:rsid w:val="00E75317"/>
    <w:rsid w:val="00E841C3"/>
    <w:rsid w:val="00E93948"/>
    <w:rsid w:val="00EC06E6"/>
    <w:rsid w:val="00EC0CE6"/>
    <w:rsid w:val="00EC6BF0"/>
    <w:rsid w:val="00EC7C1D"/>
    <w:rsid w:val="00ED6C48"/>
    <w:rsid w:val="00EE3045"/>
    <w:rsid w:val="00F26186"/>
    <w:rsid w:val="00F37313"/>
    <w:rsid w:val="00F65F5D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1A3D"/>
  <w15:docId w15:val="{B3BE8133-BF12-4222-BE6C-7DE3AEFA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3C6834"/>
    <w:rPr>
      <w:b/>
      <w:sz w:val="28"/>
    </w:rPr>
  </w:style>
  <w:style w:type="character" w:customStyle="1" w:styleId="SingleTxtGChar">
    <w:name w:val="_ Single Txt_G Char"/>
    <w:link w:val="SingleTxtG"/>
    <w:qFormat/>
    <w:rsid w:val="003C6834"/>
  </w:style>
  <w:style w:type="character" w:customStyle="1" w:styleId="H1GChar">
    <w:name w:val="_ H_1_G Char"/>
    <w:link w:val="H1G"/>
    <w:qFormat/>
    <w:locked/>
    <w:rsid w:val="003C6834"/>
    <w:rPr>
      <w:b/>
      <w:sz w:val="24"/>
    </w:rPr>
  </w:style>
  <w:style w:type="numbering" w:customStyle="1" w:styleId="Style1">
    <w:name w:val="Style1"/>
    <w:uiPriority w:val="99"/>
    <w:rsid w:val="003C683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A784B-2752-47B5-8517-100715E837DF}"/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432</Words>
  <Characters>2449</Characters>
  <Application>Microsoft Office Word</Application>
  <DocSecurity>0</DocSecurity>
  <Lines>56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ST/SG/AC.10/C.3/2024/55</dc:title>
  <dc:subject>2407076</dc:subject>
  <dc:creator>Alicia DORCA-GARCIA</dc:creator>
  <cp:keywords/>
  <dc:description/>
  <cp:lastModifiedBy>Pauline Anne Escalante</cp:lastModifiedBy>
  <cp:revision>2</cp:revision>
  <dcterms:created xsi:type="dcterms:W3CDTF">2024-04-18T12:43:00Z</dcterms:created>
  <dcterms:modified xsi:type="dcterms:W3CDTF">2024-04-18T12:43:00Z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