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5B5BC6" w14:paraId="3C5AB56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DAEFE0" w14:textId="77777777" w:rsidR="00132EA9" w:rsidRPr="002769DF" w:rsidRDefault="00132EA9" w:rsidP="00201F2A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315810" w14:textId="77777777" w:rsidR="00132EA9" w:rsidRPr="002769DF" w:rsidRDefault="00132EA9" w:rsidP="00F01738">
            <w:pPr>
              <w:spacing w:after="80" w:line="300" w:lineRule="exact"/>
              <w:rPr>
                <w:sz w:val="28"/>
                <w:lang w:val="fr-FR"/>
              </w:rPr>
            </w:pPr>
            <w:r w:rsidRPr="002769DF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0C4909" w14:textId="66E832DF" w:rsidR="00201F2A" w:rsidRPr="005B5BC6" w:rsidRDefault="00201F2A" w:rsidP="00201F2A">
            <w:pPr>
              <w:jc w:val="right"/>
              <w:rPr>
                <w:lang w:val="en-US"/>
              </w:rPr>
            </w:pPr>
            <w:r w:rsidRPr="005B5BC6">
              <w:rPr>
                <w:sz w:val="40"/>
                <w:lang w:val="en-US"/>
              </w:rPr>
              <w:t>ST</w:t>
            </w:r>
            <w:r w:rsidRPr="005B5BC6">
              <w:rPr>
                <w:lang w:val="en-US"/>
              </w:rPr>
              <w:t>/SG/AC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10/C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3/2024/24−</w:t>
            </w:r>
            <w:r w:rsidRPr="005B5BC6">
              <w:rPr>
                <w:sz w:val="40"/>
                <w:lang w:val="en-US"/>
              </w:rPr>
              <w:t>ST</w:t>
            </w:r>
            <w:r w:rsidRPr="005B5BC6">
              <w:rPr>
                <w:lang w:val="en-US"/>
              </w:rPr>
              <w:t>/SG/AC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10/C</w:t>
            </w:r>
            <w:r w:rsidR="00154A20" w:rsidRPr="005B5BC6">
              <w:rPr>
                <w:lang w:val="en-US"/>
              </w:rPr>
              <w:t>.</w:t>
            </w:r>
            <w:r w:rsidRPr="005B5BC6">
              <w:rPr>
                <w:lang w:val="en-US"/>
              </w:rPr>
              <w:t>4/2024/5</w:t>
            </w:r>
          </w:p>
        </w:tc>
      </w:tr>
      <w:tr w:rsidR="00132EA9" w:rsidRPr="002769DF" w14:paraId="295C782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EEE607F" w14:textId="77777777" w:rsidR="00132EA9" w:rsidRPr="002769DF" w:rsidRDefault="00132EA9" w:rsidP="00F01738">
            <w:pPr>
              <w:spacing w:before="120"/>
              <w:jc w:val="center"/>
              <w:rPr>
                <w:lang w:val="fr-FR"/>
              </w:rPr>
            </w:pPr>
            <w:r w:rsidRPr="002769DF">
              <w:rPr>
                <w:noProof/>
                <w:lang w:val="fr-FR" w:eastAsia="fr-CH"/>
              </w:rPr>
              <w:drawing>
                <wp:inline distT="0" distB="0" distL="0" distR="0" wp14:anchorId="71330D9F" wp14:editId="4E9E71D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8E2CC" w14:textId="77777777" w:rsidR="00132EA9" w:rsidRPr="002769DF" w:rsidRDefault="00132EA9" w:rsidP="00F01738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2769DF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228809" w14:textId="611989AF" w:rsidR="00132EA9" w:rsidRPr="002769DF" w:rsidRDefault="00201F2A" w:rsidP="00F01738">
            <w:pPr>
              <w:spacing w:before="240"/>
              <w:rPr>
                <w:lang w:val="fr-FR"/>
              </w:rPr>
            </w:pPr>
            <w:r w:rsidRPr="002769DF">
              <w:rPr>
                <w:lang w:val="fr-FR"/>
              </w:rPr>
              <w:t>Distr</w:t>
            </w:r>
            <w:r w:rsidR="00154A20" w:rsidRPr="002769DF">
              <w:rPr>
                <w:lang w:val="fr-FR"/>
              </w:rPr>
              <w:t>.</w:t>
            </w:r>
            <w:r w:rsidRPr="002769DF">
              <w:rPr>
                <w:lang w:val="fr-FR"/>
              </w:rPr>
              <w:t xml:space="preserve"> générale</w:t>
            </w:r>
          </w:p>
          <w:p w14:paraId="6A1C0550" w14:textId="77777777" w:rsidR="00201F2A" w:rsidRPr="002769DF" w:rsidRDefault="00201F2A" w:rsidP="00201F2A">
            <w:pPr>
              <w:spacing w:line="240" w:lineRule="exact"/>
              <w:rPr>
                <w:lang w:val="fr-FR"/>
              </w:rPr>
            </w:pPr>
            <w:r w:rsidRPr="002769DF">
              <w:rPr>
                <w:lang w:val="fr-FR"/>
              </w:rPr>
              <w:t>5 avril 2024</w:t>
            </w:r>
          </w:p>
          <w:p w14:paraId="1211E07C" w14:textId="77777777" w:rsidR="00201F2A" w:rsidRPr="002769DF" w:rsidRDefault="00201F2A" w:rsidP="00201F2A">
            <w:pPr>
              <w:spacing w:line="240" w:lineRule="exact"/>
              <w:rPr>
                <w:lang w:val="fr-FR"/>
              </w:rPr>
            </w:pPr>
            <w:r w:rsidRPr="002769DF">
              <w:rPr>
                <w:lang w:val="fr-FR"/>
              </w:rPr>
              <w:t>Français</w:t>
            </w:r>
          </w:p>
          <w:p w14:paraId="7C216CEB" w14:textId="59F24E99" w:rsidR="00201F2A" w:rsidRPr="002769DF" w:rsidRDefault="00201F2A" w:rsidP="00201F2A">
            <w:pPr>
              <w:spacing w:line="240" w:lineRule="exact"/>
              <w:rPr>
                <w:lang w:val="fr-FR"/>
              </w:rPr>
            </w:pPr>
            <w:r w:rsidRPr="002769DF">
              <w:rPr>
                <w:lang w:val="fr-FR"/>
              </w:rPr>
              <w:t>Original</w:t>
            </w:r>
            <w:r w:rsidR="001748AC" w:rsidRPr="002769DF">
              <w:rPr>
                <w:lang w:val="fr-FR"/>
              </w:rPr>
              <w:t> :</w:t>
            </w:r>
            <w:r w:rsidRPr="002769DF">
              <w:rPr>
                <w:lang w:val="fr-FR"/>
              </w:rPr>
              <w:t xml:space="preserve"> anglais</w:t>
            </w:r>
          </w:p>
        </w:tc>
      </w:tr>
    </w:tbl>
    <w:p w14:paraId="6C96BA1F" w14:textId="4CA7D7BC" w:rsidR="00201F2A" w:rsidRPr="002769DF" w:rsidRDefault="00201F2A" w:rsidP="007C1FF4">
      <w:pPr>
        <w:spacing w:after="120"/>
        <w:ind w:right="3259"/>
        <w:rPr>
          <w:b/>
          <w:sz w:val="24"/>
          <w:szCs w:val="24"/>
          <w:lang w:val="fr-FR"/>
        </w:rPr>
      </w:pPr>
      <w:r w:rsidRPr="002769DF">
        <w:rPr>
          <w:b/>
          <w:bCs/>
          <w:sz w:val="24"/>
          <w:szCs w:val="24"/>
          <w:lang w:val="fr-FR"/>
        </w:rPr>
        <w:t>Comité d</w:t>
      </w:r>
      <w:r w:rsidR="001748AC" w:rsidRPr="002769DF">
        <w:rPr>
          <w:b/>
          <w:bCs/>
          <w:sz w:val="24"/>
          <w:szCs w:val="24"/>
          <w:lang w:val="fr-FR"/>
        </w:rPr>
        <w:t>’</w:t>
      </w:r>
      <w:r w:rsidRPr="002769DF">
        <w:rPr>
          <w:b/>
          <w:bCs/>
          <w:sz w:val="24"/>
          <w:szCs w:val="24"/>
          <w:lang w:val="fr-FR"/>
        </w:rPr>
        <w:t>experts du transport des marchandises dangereuses et du Système général harmonisé de classification et</w:t>
      </w:r>
      <w:r w:rsidR="007C1FF4" w:rsidRPr="002769DF">
        <w:rPr>
          <w:b/>
          <w:bCs/>
          <w:sz w:val="24"/>
          <w:szCs w:val="24"/>
          <w:lang w:val="fr-FR"/>
        </w:rPr>
        <w:t> </w:t>
      </w:r>
      <w:r w:rsidRPr="002769DF">
        <w:rPr>
          <w:b/>
          <w:bCs/>
          <w:sz w:val="24"/>
          <w:szCs w:val="24"/>
          <w:lang w:val="fr-FR"/>
        </w:rPr>
        <w:t>d</w:t>
      </w:r>
      <w:r w:rsidR="001748AC" w:rsidRPr="002769DF">
        <w:rPr>
          <w:b/>
          <w:bCs/>
          <w:sz w:val="24"/>
          <w:szCs w:val="24"/>
          <w:lang w:val="fr-FR"/>
        </w:rPr>
        <w:t>’</w:t>
      </w:r>
      <w:r w:rsidRPr="002769DF">
        <w:rPr>
          <w:b/>
          <w:bCs/>
          <w:sz w:val="24"/>
          <w:szCs w:val="24"/>
          <w:lang w:val="fr-FR"/>
        </w:rPr>
        <w:t>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201F2A" w:rsidRPr="002769DF" w14:paraId="46A54713" w14:textId="77777777" w:rsidTr="003B021D">
        <w:tc>
          <w:tcPr>
            <w:tcW w:w="4644" w:type="dxa"/>
            <w:shd w:val="clear" w:color="auto" w:fill="auto"/>
          </w:tcPr>
          <w:p w14:paraId="6D6F210F" w14:textId="683C2269" w:rsidR="00201F2A" w:rsidRPr="002769DF" w:rsidRDefault="00201F2A" w:rsidP="0031367B">
            <w:pPr>
              <w:spacing w:after="120"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Sous-Comité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experts du transport des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marchandises dangereuses</w:t>
            </w:r>
          </w:p>
        </w:tc>
        <w:tc>
          <w:tcPr>
            <w:tcW w:w="5103" w:type="dxa"/>
            <w:shd w:val="clear" w:color="auto" w:fill="auto"/>
          </w:tcPr>
          <w:p w14:paraId="5B542892" w14:textId="00ECD29C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Sous-Comité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experts du Système général harmonisé de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classification et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étiquetage des produits chimiques</w:t>
            </w:r>
          </w:p>
        </w:tc>
      </w:tr>
      <w:tr w:rsidR="00201F2A" w:rsidRPr="002769DF" w14:paraId="37CBDD5A" w14:textId="77777777" w:rsidTr="003B021D">
        <w:tc>
          <w:tcPr>
            <w:tcW w:w="4644" w:type="dxa"/>
            <w:shd w:val="clear" w:color="auto" w:fill="auto"/>
          </w:tcPr>
          <w:p w14:paraId="4DA47C2B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5103" w:type="dxa"/>
            <w:shd w:val="clear" w:color="auto" w:fill="auto"/>
          </w:tcPr>
          <w:p w14:paraId="3A3C5669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Quarante-sixième session</w:t>
            </w:r>
          </w:p>
        </w:tc>
      </w:tr>
      <w:tr w:rsidR="00201F2A" w:rsidRPr="002769DF" w14:paraId="4FBC68DE" w14:textId="77777777" w:rsidTr="003B021D">
        <w:tc>
          <w:tcPr>
            <w:tcW w:w="4644" w:type="dxa"/>
            <w:shd w:val="clear" w:color="auto" w:fill="auto"/>
          </w:tcPr>
          <w:p w14:paraId="22F78C0E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lang w:val="fr-FR"/>
              </w:rPr>
              <w:t xml:space="preserve">Genève, 24 juin-3 juillet 2024 </w:t>
            </w:r>
          </w:p>
        </w:tc>
        <w:tc>
          <w:tcPr>
            <w:tcW w:w="5103" w:type="dxa"/>
            <w:shd w:val="clear" w:color="auto" w:fill="auto"/>
          </w:tcPr>
          <w:p w14:paraId="0DC4BE12" w14:textId="77777777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lang w:val="fr-FR"/>
              </w:rPr>
              <w:t>Genève, 3-5 juillet 2024</w:t>
            </w:r>
          </w:p>
        </w:tc>
      </w:tr>
      <w:tr w:rsidR="00201F2A" w:rsidRPr="002769DF" w14:paraId="46054F29" w14:textId="77777777" w:rsidTr="003B021D">
        <w:tc>
          <w:tcPr>
            <w:tcW w:w="4644" w:type="dxa"/>
            <w:shd w:val="clear" w:color="auto" w:fill="auto"/>
          </w:tcPr>
          <w:p w14:paraId="0A0FEC8F" w14:textId="74163FC2" w:rsidR="00201F2A" w:rsidRPr="002769DF" w:rsidRDefault="00201F2A" w:rsidP="0031367B">
            <w:pPr>
              <w:spacing w:line="236" w:lineRule="atLeast"/>
              <w:rPr>
                <w:lang w:val="fr-FR"/>
              </w:rPr>
            </w:pPr>
            <w:r w:rsidRPr="002769DF">
              <w:rPr>
                <w:lang w:val="fr-FR"/>
              </w:rPr>
              <w:t xml:space="preserve">Point 10 </w:t>
            </w:r>
            <w:r w:rsidR="006E1282">
              <w:rPr>
                <w:lang w:val="fr-FR"/>
              </w:rPr>
              <w:t xml:space="preserve">c) </w:t>
            </w:r>
            <w:r w:rsidRPr="002769DF">
              <w:rPr>
                <w:lang w:val="fr-FR"/>
              </w:rPr>
              <w:t>de l</w:t>
            </w:r>
            <w:r w:rsidR="001748AC" w:rsidRPr="002769DF">
              <w:rPr>
                <w:lang w:val="fr-FR"/>
              </w:rPr>
              <w:t>’</w:t>
            </w:r>
            <w:r w:rsidRPr="002769DF">
              <w:rPr>
                <w:lang w:val="fr-FR"/>
              </w:rPr>
              <w:t>ordre du jour provisoire</w:t>
            </w:r>
          </w:p>
        </w:tc>
        <w:tc>
          <w:tcPr>
            <w:tcW w:w="5103" w:type="dxa"/>
            <w:shd w:val="clear" w:color="auto" w:fill="auto"/>
          </w:tcPr>
          <w:p w14:paraId="1FF2F09C" w14:textId="7671F9A9" w:rsidR="00201F2A" w:rsidRPr="002769DF" w:rsidRDefault="00201F2A" w:rsidP="0031367B">
            <w:pPr>
              <w:spacing w:line="236" w:lineRule="atLeast"/>
              <w:rPr>
                <w:lang w:val="fr-FR"/>
              </w:rPr>
            </w:pPr>
            <w:r w:rsidRPr="002769DF">
              <w:rPr>
                <w:lang w:val="fr-FR"/>
              </w:rPr>
              <w:t>Point 2 j) de l</w:t>
            </w:r>
            <w:r w:rsidR="001748AC" w:rsidRPr="002769DF">
              <w:rPr>
                <w:lang w:val="fr-FR"/>
              </w:rPr>
              <w:t>’</w:t>
            </w:r>
            <w:r w:rsidRPr="002769DF">
              <w:rPr>
                <w:lang w:val="fr-FR"/>
              </w:rPr>
              <w:t>ordre du jour provisoire</w:t>
            </w:r>
          </w:p>
        </w:tc>
      </w:tr>
      <w:tr w:rsidR="00201F2A" w:rsidRPr="002769DF" w14:paraId="5F27E6F6" w14:textId="77777777" w:rsidTr="003B021D">
        <w:tc>
          <w:tcPr>
            <w:tcW w:w="4644" w:type="dxa"/>
            <w:shd w:val="clear" w:color="auto" w:fill="auto"/>
          </w:tcPr>
          <w:p w14:paraId="54BAC477" w14:textId="1F4582DD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Questions relatives au Système général harmonisé de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classification et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étiquetage des produits chimiques</w:t>
            </w:r>
            <w:r w:rsidR="001748AC" w:rsidRPr="002769DF">
              <w:rPr>
                <w:b/>
                <w:bCs/>
                <w:lang w:val="fr-FR"/>
              </w:rPr>
              <w:t> :</w:t>
            </w:r>
            <w:r w:rsidRPr="002769DF">
              <w:rPr>
                <w:b/>
                <w:bCs/>
                <w:lang w:val="fr-FR"/>
              </w:rPr>
              <w:t xml:space="preserve"> Questions diverses</w:t>
            </w:r>
          </w:p>
        </w:tc>
        <w:tc>
          <w:tcPr>
            <w:tcW w:w="5103" w:type="dxa"/>
            <w:shd w:val="clear" w:color="auto" w:fill="auto"/>
          </w:tcPr>
          <w:p w14:paraId="29A94E27" w14:textId="283BFD28" w:rsidR="00201F2A" w:rsidRPr="002769DF" w:rsidRDefault="00201F2A" w:rsidP="0031367B">
            <w:pPr>
              <w:spacing w:line="236" w:lineRule="atLeast"/>
              <w:rPr>
                <w:b/>
                <w:lang w:val="fr-FR"/>
              </w:rPr>
            </w:pPr>
            <w:r w:rsidRPr="002769DF">
              <w:rPr>
                <w:b/>
                <w:bCs/>
                <w:lang w:val="fr-FR"/>
              </w:rPr>
              <w:t>Travaux relatifs au Système général harmonisé de</w:t>
            </w:r>
            <w:r w:rsidR="007C1FF4" w:rsidRPr="002769DF">
              <w:rPr>
                <w:b/>
                <w:bCs/>
                <w:lang w:val="fr-FR"/>
              </w:rPr>
              <w:t> </w:t>
            </w:r>
            <w:r w:rsidRPr="002769DF">
              <w:rPr>
                <w:b/>
                <w:bCs/>
                <w:lang w:val="fr-FR"/>
              </w:rPr>
              <w:t>classification et d</w:t>
            </w:r>
            <w:r w:rsidR="001748AC" w:rsidRPr="002769DF">
              <w:rPr>
                <w:b/>
                <w:bCs/>
                <w:lang w:val="fr-FR"/>
              </w:rPr>
              <w:t>’</w:t>
            </w:r>
            <w:r w:rsidRPr="002769DF">
              <w:rPr>
                <w:b/>
                <w:bCs/>
                <w:lang w:val="fr-FR"/>
              </w:rPr>
              <w:t>étiquetage des produits chimiques</w:t>
            </w:r>
            <w:r w:rsidR="001748AC" w:rsidRPr="002769DF">
              <w:rPr>
                <w:b/>
                <w:bCs/>
                <w:lang w:val="fr-FR"/>
              </w:rPr>
              <w:t> :</w:t>
            </w:r>
            <w:r w:rsidR="007C1FF4" w:rsidRPr="002769DF">
              <w:rPr>
                <w:b/>
                <w:bCs/>
                <w:lang w:val="fr-FR"/>
              </w:rPr>
              <w:t xml:space="preserve"> </w:t>
            </w:r>
            <w:r w:rsidRPr="002769DF">
              <w:rPr>
                <w:b/>
                <w:bCs/>
                <w:lang w:val="fr-FR"/>
              </w:rPr>
              <w:t>Autres questions</w:t>
            </w:r>
          </w:p>
        </w:tc>
      </w:tr>
    </w:tbl>
    <w:p w14:paraId="265DE6AA" w14:textId="1568D421" w:rsidR="00201F2A" w:rsidRPr="002769DF" w:rsidRDefault="00201F2A" w:rsidP="0031367B">
      <w:pPr>
        <w:pStyle w:val="HChG"/>
        <w:spacing w:before="320" w:after="200" w:line="296" w:lineRule="exact"/>
        <w:rPr>
          <w:lang w:val="fr-FR"/>
        </w:rPr>
      </w:pPr>
      <w:r w:rsidRPr="002769DF">
        <w:rPr>
          <w:lang w:val="fr-FR"/>
        </w:rPr>
        <w:tab/>
      </w:r>
      <w:r w:rsidRPr="002769DF">
        <w:rPr>
          <w:lang w:val="fr-FR"/>
        </w:rPr>
        <w:tab/>
      </w:r>
      <w:r w:rsidRPr="002769DF">
        <w:rPr>
          <w:spacing w:val="-3"/>
          <w:lang w:val="fr-FR"/>
        </w:rPr>
        <w:t>Prise en compte des mélanges de nitrocellulose au chapitre 2</w:t>
      </w:r>
      <w:r w:rsidR="00154A20" w:rsidRPr="002769DF">
        <w:rPr>
          <w:spacing w:val="-3"/>
          <w:lang w:val="fr-FR"/>
        </w:rPr>
        <w:t>.</w:t>
      </w:r>
      <w:r w:rsidRPr="002769DF">
        <w:rPr>
          <w:spacing w:val="-3"/>
          <w:lang w:val="fr-FR"/>
        </w:rPr>
        <w:t>17</w:t>
      </w:r>
      <w:r w:rsidRPr="002769DF">
        <w:rPr>
          <w:lang w:val="fr-FR"/>
        </w:rPr>
        <w:t xml:space="preserve"> du Système général harmonisé (Matières explosibles désensibilisées), à la section 51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épreuves </w:t>
      </w:r>
      <w:r w:rsidR="007C1FF4" w:rsidRPr="002769DF">
        <w:rPr>
          <w:lang w:val="fr-FR"/>
        </w:rPr>
        <w:br/>
      </w:r>
      <w:r w:rsidRPr="002769DF">
        <w:rPr>
          <w:lang w:val="fr-FR"/>
        </w:rPr>
        <w:t xml:space="preserve">et de critères et dans la disposition spéciale 393 </w:t>
      </w:r>
      <w:r w:rsidR="007C1FF4" w:rsidRPr="002769DF">
        <w:rPr>
          <w:lang w:val="fr-FR"/>
        </w:rPr>
        <w:br/>
      </w:r>
      <w:r w:rsidRPr="002769DF">
        <w:rPr>
          <w:lang w:val="fr-FR"/>
        </w:rPr>
        <w:t>du Règlement type</w:t>
      </w:r>
    </w:p>
    <w:p w14:paraId="7B66CA37" w14:textId="6EE38B62" w:rsidR="00201F2A" w:rsidRPr="002769DF" w:rsidRDefault="00201F2A" w:rsidP="00A97ACF">
      <w:pPr>
        <w:pStyle w:val="H1G"/>
        <w:spacing w:before="340" w:after="220"/>
        <w:rPr>
          <w:lang w:val="fr-FR"/>
        </w:rPr>
      </w:pPr>
      <w:r w:rsidRPr="002769DF">
        <w:rPr>
          <w:lang w:val="fr-FR"/>
        </w:rPr>
        <w:tab/>
      </w:r>
      <w:r w:rsidRPr="002769DF">
        <w:rPr>
          <w:lang w:val="fr-FR"/>
        </w:rPr>
        <w:tab/>
      </w:r>
      <w:r w:rsidRPr="005B5BC6">
        <w:rPr>
          <w:spacing w:val="-2"/>
          <w:lang w:val="en-US"/>
        </w:rPr>
        <w:t>Communication de l</w:t>
      </w:r>
      <w:r w:rsidR="001748AC" w:rsidRPr="005B5BC6">
        <w:rPr>
          <w:spacing w:val="-2"/>
          <w:lang w:val="en-US"/>
        </w:rPr>
        <w:t>’</w:t>
      </w:r>
      <w:r w:rsidRPr="005B5BC6">
        <w:rPr>
          <w:spacing w:val="-2"/>
          <w:lang w:val="en-US"/>
        </w:rPr>
        <w:t>Australasian Explosives Industry Safety Group Inc</w:t>
      </w:r>
      <w:r w:rsidR="00154A20" w:rsidRPr="005B5BC6">
        <w:rPr>
          <w:spacing w:val="-2"/>
          <w:lang w:val="en-US"/>
        </w:rPr>
        <w:t>.</w:t>
      </w:r>
      <w:r w:rsidRPr="005B5BC6">
        <w:rPr>
          <w:lang w:val="en-US"/>
        </w:rPr>
        <w:t xml:space="preserve"> </w:t>
      </w:r>
      <w:r w:rsidRPr="002769DF">
        <w:rPr>
          <w:lang w:val="fr-FR"/>
        </w:rPr>
        <w:t>(AEISG)</w:t>
      </w:r>
      <w:r w:rsidRPr="002769DF">
        <w:rPr>
          <w:b w:val="0"/>
          <w:bCs/>
          <w:sz w:val="20"/>
          <w:lang w:val="fr-FR"/>
        </w:rPr>
        <w:footnoteReference w:customMarkFollows="1" w:id="2"/>
        <w:t>*</w:t>
      </w:r>
    </w:p>
    <w:p w14:paraId="3168A49B" w14:textId="50F7838D" w:rsidR="00201F2A" w:rsidRPr="002769DF" w:rsidRDefault="007C1FF4" w:rsidP="00A97ACF">
      <w:pPr>
        <w:pStyle w:val="HChG"/>
        <w:spacing w:after="220"/>
        <w:rPr>
          <w:lang w:val="fr-FR"/>
        </w:rPr>
      </w:pPr>
      <w:r w:rsidRPr="002769DF">
        <w:rPr>
          <w:lang w:val="fr-FR"/>
        </w:rPr>
        <w:tab/>
      </w:r>
      <w:r w:rsidR="00201F2A" w:rsidRPr="002769DF">
        <w:rPr>
          <w:lang w:val="fr-FR"/>
        </w:rPr>
        <w:t>I</w:t>
      </w:r>
      <w:r w:rsidR="00154A20" w:rsidRPr="002769DF">
        <w:rPr>
          <w:lang w:val="fr-FR"/>
        </w:rPr>
        <w:t>.</w:t>
      </w:r>
      <w:r w:rsidR="00201F2A" w:rsidRPr="002769DF">
        <w:rPr>
          <w:lang w:val="fr-FR"/>
        </w:rPr>
        <w:tab/>
        <w:t>Contexte</w:t>
      </w:r>
    </w:p>
    <w:p w14:paraId="167F9545" w14:textId="4D790C40" w:rsidR="00201F2A" w:rsidRPr="002769DF" w:rsidRDefault="00201F2A" w:rsidP="0031367B">
      <w:pPr>
        <w:pStyle w:val="SingleTxtG"/>
        <w:spacing w:after="100" w:line="234" w:lineRule="atLeast"/>
        <w:rPr>
          <w:lang w:val="fr-FR"/>
        </w:rPr>
      </w:pPr>
      <w:r w:rsidRPr="002769DF">
        <w:rPr>
          <w:lang w:val="fr-FR"/>
        </w:rPr>
        <w:t>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À sa quarante-troisième session, le Sous-Comité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experts du Système général harmonisé de classification et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étiquetage des produits chimiques (Sous-Comité SGH) a adopté des modifications au chapitre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17 du SGH (Matières explosibles désensibilisées), comme proposé dans le document </w:t>
      </w:r>
      <w:hyperlink r:id="rId11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4/2022/10</w:t>
        </w:r>
      </w:hyperlink>
      <w:r w:rsidRPr="002769DF">
        <w:rPr>
          <w:lang w:val="fr-FR"/>
        </w:rPr>
        <w:t xml:space="preserve"> soumis par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Allemagne et les États-Unis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Amérique, tel que modifié par le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35 présenté par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Allemagne, les États-Unis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Amérique et le Royaume-Uni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Le Sous-Comité SGH a également adopté quelques corrections rédactionnelles de conséquence, figurant dans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annexe I du rapport sur sa quarante-troisième session (</w:t>
      </w:r>
      <w:hyperlink r:id="rId12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4/86</w:t>
        </w:r>
      </w:hyperlink>
      <w:r w:rsidRPr="002769DF">
        <w:rPr>
          <w:lang w:val="fr-FR"/>
        </w:rPr>
        <w:t>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Il a en outre pris note des débats du Sous-Comité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experts du transport des marchandises dangereuses (Sous-Comité TMD) sur cette question, y compris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adoption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à la section</w:t>
      </w:r>
      <w:r w:rsidR="002C481E" w:rsidRPr="002769DF">
        <w:rPr>
          <w:lang w:val="fr-FR"/>
        </w:rPr>
        <w:t> </w:t>
      </w:r>
      <w:r w:rsidRPr="002769DF">
        <w:rPr>
          <w:lang w:val="fr-FR"/>
        </w:rPr>
        <w:t>51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épreuves et de critères (voir le rapport du Sous-Comité TMD sur sa soixante et unième session, document </w:t>
      </w:r>
      <w:hyperlink r:id="rId13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3/122</w:t>
        </w:r>
      </w:hyperlink>
      <w:r w:rsidRPr="002769DF">
        <w:rPr>
          <w:lang w:val="fr-FR"/>
        </w:rPr>
        <w:t>, par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70 et annexe II)</w:t>
      </w:r>
      <w:r w:rsidR="00154A20" w:rsidRPr="002769DF">
        <w:rPr>
          <w:lang w:val="fr-FR"/>
        </w:rPr>
        <w:t>.</w:t>
      </w:r>
    </w:p>
    <w:p w14:paraId="378E2C11" w14:textId="2279A954" w:rsidR="00201F2A" w:rsidRPr="002769DF" w:rsidRDefault="00201F2A" w:rsidP="0031367B">
      <w:pPr>
        <w:pStyle w:val="SingleTxtG"/>
        <w:widowControl w:val="0"/>
        <w:spacing w:after="100" w:line="234" w:lineRule="atLeast"/>
        <w:rPr>
          <w:lang w:val="fr-FR"/>
        </w:rPr>
      </w:pP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Bien que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ait appuyé les modifications proposées, il a fait observer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elles pouvaient dans certains cas être source de confusion ou avoir des conséquences involontaires (comme indiqué dans le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12 (Sous-Comité SGH, quarante-troisième session) −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20 (Sous-Comité TMD, soixante et unième session)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a pris note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invitation du Président du Groupe de travail des explosifs de soumettre une proposition traitant des questions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il avait soulevées, pour examen au cours de la période biennale suivante (actuelle) (voir le rapport ST/SG/AC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10/C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4/86, par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28 et 29)</w:t>
      </w:r>
      <w:r w:rsidR="00154A20" w:rsidRPr="002769DF">
        <w:rPr>
          <w:lang w:val="fr-FR"/>
        </w:rPr>
        <w:t>.</w:t>
      </w:r>
    </w:p>
    <w:p w14:paraId="643D6443" w14:textId="6DB96079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lastRenderedPageBreak/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À la soixante-deuxième session du Sous-Comité TMD et à la quarante-quatrième session du Sous-Comité SGH,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AEISG a abordé ces questions dans le document </w:t>
      </w:r>
      <w:hyperlink r:id="rId14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3/2023/17-ST/SG/AC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4/2023/3</w:t>
        </w:r>
      </w:hyperlink>
      <w:r w:rsidRPr="002769DF">
        <w:rPr>
          <w:lang w:val="fr-FR"/>
        </w:rPr>
        <w:t>, qui contenait trois propositions</w:t>
      </w:r>
      <w:r w:rsidR="00154A20" w:rsidRPr="002769DF">
        <w:rPr>
          <w:lang w:val="fr-FR"/>
        </w:rPr>
        <w:t>.</w:t>
      </w:r>
    </w:p>
    <w:p w14:paraId="223C413F" w14:textId="7FA6CC60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Les propositions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ont été examinées par le Groupe de travail des explosifs à la soixante-deuxième session du Sous-Comité TMD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Comme il est indiqué dans son </w:t>
      </w:r>
      <w:r w:rsidRPr="002769DF">
        <w:rPr>
          <w:spacing w:val="-1"/>
          <w:lang w:val="fr-FR"/>
        </w:rPr>
        <w:t>rapport, le Groupe de travail des explosifs a recommandé que soit acceptée la proposition de l</w:t>
      </w:r>
      <w:r w:rsidR="001748AC" w:rsidRPr="002769DF">
        <w:rPr>
          <w:spacing w:val="-1"/>
          <w:lang w:val="fr-FR"/>
        </w:rPr>
        <w:t>’</w:t>
      </w:r>
      <w:r w:rsidRPr="002769DF">
        <w:rPr>
          <w:spacing w:val="-1"/>
          <w:lang w:val="fr-FR"/>
        </w:rPr>
        <w:t>AEISG visant à supprimer le nota du 2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17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2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3, au chapitre 2</w:t>
      </w:r>
      <w:r w:rsidR="00154A20" w:rsidRPr="002769DF">
        <w:rPr>
          <w:spacing w:val="-1"/>
          <w:lang w:val="fr-FR"/>
        </w:rPr>
        <w:t>.</w:t>
      </w:r>
      <w:r w:rsidRPr="002769DF">
        <w:rPr>
          <w:spacing w:val="-1"/>
          <w:lang w:val="fr-FR"/>
        </w:rPr>
        <w:t>17 du SGH, sur l</w:t>
      </w:r>
      <w:r w:rsidR="001748AC" w:rsidRPr="002769DF">
        <w:rPr>
          <w:spacing w:val="-1"/>
          <w:lang w:val="fr-FR"/>
        </w:rPr>
        <w:t>’</w:t>
      </w:r>
      <w:r w:rsidRPr="002769DF">
        <w:rPr>
          <w:spacing w:val="-1"/>
          <w:lang w:val="fr-FR"/>
        </w:rPr>
        <w:t>exemption des mélanges de nitrocellulose des épreuves de sensibilité (voir la section</w:t>
      </w:r>
      <w:r w:rsidR="008F701F" w:rsidRPr="002769DF">
        <w:rPr>
          <w:spacing w:val="-1"/>
          <w:lang w:val="fr-FR"/>
        </w:rPr>
        <w:t> </w:t>
      </w:r>
      <w:r w:rsidRPr="002769DF">
        <w:rPr>
          <w:spacing w:val="-1"/>
          <w:lang w:val="fr-FR"/>
        </w:rPr>
        <w:t>11 et l</w:t>
      </w:r>
      <w:r w:rsidR="001748AC" w:rsidRPr="002769DF">
        <w:rPr>
          <w:spacing w:val="-1"/>
          <w:lang w:val="fr-FR"/>
        </w:rPr>
        <w:t>’</w:t>
      </w:r>
      <w:r w:rsidRPr="002769DF">
        <w:rPr>
          <w:spacing w:val="-1"/>
          <w:lang w:val="fr-FR"/>
        </w:rPr>
        <w:t>amendement</w:t>
      </w:r>
      <w:r w:rsidR="008F701F" w:rsidRPr="002769DF">
        <w:rPr>
          <w:spacing w:val="-1"/>
          <w:lang w:val="fr-FR"/>
        </w:rPr>
        <w:t> </w:t>
      </w:r>
      <w:r w:rsidRPr="002769DF">
        <w:rPr>
          <w:spacing w:val="-1"/>
          <w:lang w:val="fr-FR"/>
        </w:rPr>
        <w:t>3</w:t>
      </w:r>
      <w:r w:rsidRPr="002769DF">
        <w:rPr>
          <w:lang w:val="fr-FR"/>
        </w:rPr>
        <w:t xml:space="preserve"> qui figure à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annexe 2 du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47 de cette session)</w:t>
      </w:r>
      <w:r w:rsidR="00154A20" w:rsidRPr="002769DF">
        <w:rPr>
          <w:lang w:val="fr-FR"/>
        </w:rPr>
        <w:t>.</w:t>
      </w:r>
    </w:p>
    <w:p w14:paraId="7C9FDEBB" w14:textId="5C998B6A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5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La recommandation du Groupe a ensuite été soumise au Sous-Comité SGH à sa quarante-quatrième session (voir le document informel INF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22, point 3)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La question a été examinée par le Sous-Comité, mais elle est restée en suspens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a fait savoir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il réviserait sa proposition en vue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une prochaine session du Sous-Comité, compte tenu des observations formulées (voir les par</w:t>
      </w:r>
      <w:r w:rsidR="00154A20" w:rsidRPr="002769DF">
        <w:rPr>
          <w:lang w:val="fr-FR"/>
        </w:rPr>
        <w:t>.</w:t>
      </w:r>
      <w:r w:rsidR="00CA0D2B" w:rsidRPr="002769DF">
        <w:rPr>
          <w:lang w:val="fr-FR"/>
        </w:rPr>
        <w:t> </w:t>
      </w:r>
      <w:r w:rsidRPr="002769DF">
        <w:rPr>
          <w:lang w:val="fr-FR"/>
        </w:rPr>
        <w:t xml:space="preserve">10 et 11 du rapport du Sous-Comité SGH sur sa quarante-quatrième session, document </w:t>
      </w:r>
      <w:hyperlink r:id="rId15" w:history="1">
        <w:r w:rsidRPr="00692169">
          <w:rPr>
            <w:rStyle w:val="Hyperlink"/>
            <w:lang w:val="fr-FR"/>
          </w:rPr>
          <w:t>ST/SG/AC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10/C</w:t>
        </w:r>
        <w:r w:rsidR="00154A20" w:rsidRPr="00692169">
          <w:rPr>
            <w:rStyle w:val="Hyperlink"/>
            <w:lang w:val="fr-FR"/>
          </w:rPr>
          <w:t>.</w:t>
        </w:r>
        <w:r w:rsidRPr="00692169">
          <w:rPr>
            <w:rStyle w:val="Hyperlink"/>
            <w:lang w:val="fr-FR"/>
          </w:rPr>
          <w:t>4/88</w:t>
        </w:r>
      </w:hyperlink>
      <w:r w:rsidRPr="002769DF">
        <w:rPr>
          <w:lang w:val="fr-FR"/>
        </w:rPr>
        <w:t>)</w:t>
      </w:r>
      <w:r w:rsidR="00154A20" w:rsidRPr="002769DF">
        <w:rPr>
          <w:lang w:val="fr-FR"/>
        </w:rPr>
        <w:t>.</w:t>
      </w:r>
    </w:p>
    <w:p w14:paraId="1C30ABC4" w14:textId="3B734B01" w:rsidR="00201F2A" w:rsidRPr="002769DF" w:rsidRDefault="00D03C2E" w:rsidP="00D03C2E">
      <w:pPr>
        <w:pStyle w:val="HChG"/>
        <w:rPr>
          <w:lang w:val="fr-FR"/>
        </w:rPr>
      </w:pPr>
      <w:r w:rsidRPr="002769DF">
        <w:rPr>
          <w:lang w:val="fr-FR"/>
        </w:rPr>
        <w:tab/>
      </w:r>
      <w:r w:rsidR="00201F2A" w:rsidRPr="002769DF">
        <w:rPr>
          <w:lang w:val="fr-FR"/>
        </w:rPr>
        <w:t>II</w:t>
      </w:r>
      <w:r w:rsidR="00154A20" w:rsidRPr="002769DF">
        <w:rPr>
          <w:lang w:val="fr-FR"/>
        </w:rPr>
        <w:t>.</w:t>
      </w:r>
      <w:r w:rsidR="00201F2A" w:rsidRPr="002769DF">
        <w:rPr>
          <w:lang w:val="fr-FR"/>
        </w:rPr>
        <w:tab/>
        <w:t>Mélanges de nitrocellulose exemptés des épreuves de</w:t>
      </w:r>
      <w:r w:rsidRPr="002769DF">
        <w:rPr>
          <w:lang w:val="fr-FR"/>
        </w:rPr>
        <w:t> </w:t>
      </w:r>
      <w:r w:rsidR="00201F2A" w:rsidRPr="002769DF">
        <w:rPr>
          <w:lang w:val="fr-FR"/>
        </w:rPr>
        <w:t>sensibilité</w:t>
      </w:r>
    </w:p>
    <w:p w14:paraId="123A2D30" w14:textId="6B736BDE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6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un des principaux objectifs des travaux récents de révision du chapitre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 du SGH, pilotés par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expert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Allemagne, était de veiller à ce que les produits trop sensibles ou thermiquement instables ne soient pas classés comme matières explosibles désensibilisées</w:t>
      </w:r>
      <w:r w:rsidR="00154A20" w:rsidRPr="002769DF">
        <w:rPr>
          <w:lang w:val="fr-FR"/>
        </w:rPr>
        <w:t>.</w:t>
      </w:r>
    </w:p>
    <w:p w14:paraId="5CE439A4" w14:textId="20E3F0C8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 xml:space="preserve">Un critère exigeant que les matières et les mélanges ne soient </w:t>
      </w:r>
      <w:r w:rsidR="00673DB3" w:rsidRPr="002769DF">
        <w:rPr>
          <w:lang w:val="fr-FR"/>
        </w:rPr>
        <w:t>« </w:t>
      </w:r>
      <w:r w:rsidRPr="002769DF">
        <w:rPr>
          <w:lang w:val="fr-FR"/>
        </w:rPr>
        <w:t>[</w:t>
      </w:r>
      <w:r w:rsidR="00154A20" w:rsidRPr="002769DF">
        <w:rPr>
          <w:lang w:val="fr-FR"/>
        </w:rPr>
        <w:t>...</w:t>
      </w:r>
      <w:r w:rsidRPr="002769DF">
        <w:rPr>
          <w:lang w:val="fr-FR"/>
        </w:rPr>
        <w:t>] pas trop sensible[s] ou thermiquement instable[s] selon les résultats de la série 3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</w:t>
      </w:r>
      <w:r w:rsidR="00673DB3" w:rsidRPr="002769DF">
        <w:rPr>
          <w:lang w:val="fr-FR"/>
        </w:rPr>
        <w:t> »</w:t>
      </w:r>
      <w:r w:rsidRPr="002769DF">
        <w:rPr>
          <w:lang w:val="fr-FR"/>
        </w:rPr>
        <w:t xml:space="preserve"> a donc été ajouté en tant que paragraphe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b) ii)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Cependant, un nota ajouté au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SGH dispose que les mélanges de nitrocellulose ne contenant pas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autres matières explosibles que la nitrocellulose ne doivent pas satisfaire à ce critère</w:t>
      </w:r>
      <w:r w:rsidR="00154A20" w:rsidRPr="002769DF">
        <w:rPr>
          <w:lang w:val="fr-FR"/>
        </w:rPr>
        <w:t>.</w:t>
      </w:r>
    </w:p>
    <w:p w14:paraId="3A84330D" w14:textId="50DC3A05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8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De plus, au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 du SGH, la note de bas de page 2 relative au diagramme de décision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 dispose également que la série 3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ne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pas aux mélanges de nitrocellulose ne contenant pas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autres matières explosibles que la nitrocellulose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</w:t>
      </w:r>
      <w:r w:rsidRPr="002769DF">
        <w:rPr>
          <w:spacing w:val="-2"/>
          <w:lang w:val="fr-FR"/>
        </w:rPr>
        <w:t>Cette</w:t>
      </w:r>
      <w:r w:rsidR="00C070FE" w:rsidRPr="002769DF">
        <w:rPr>
          <w:spacing w:val="-2"/>
          <w:lang w:val="fr-FR"/>
        </w:rPr>
        <w:t> </w:t>
      </w:r>
      <w:r w:rsidRPr="002769DF">
        <w:rPr>
          <w:spacing w:val="-2"/>
          <w:lang w:val="fr-FR"/>
        </w:rPr>
        <w:t>exemption figure aussi à la section 51 du Manuel d</w:t>
      </w:r>
      <w:r w:rsidR="001748AC" w:rsidRPr="002769DF">
        <w:rPr>
          <w:spacing w:val="-2"/>
          <w:lang w:val="fr-FR"/>
        </w:rPr>
        <w:t>’</w:t>
      </w:r>
      <w:r w:rsidRPr="002769DF">
        <w:rPr>
          <w:spacing w:val="-2"/>
          <w:lang w:val="fr-FR"/>
        </w:rPr>
        <w:t>épreuves et de critères (voir 51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 a)</w:t>
      </w:r>
      <w:r w:rsidRPr="002769DF">
        <w:rPr>
          <w:lang w:val="fr-FR"/>
        </w:rPr>
        <w:t xml:space="preserve"> et 51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c))</w:t>
      </w:r>
      <w:r w:rsidR="00154A20" w:rsidRPr="002769DF">
        <w:rPr>
          <w:lang w:val="fr-FR"/>
        </w:rPr>
        <w:t>.</w:t>
      </w:r>
    </w:p>
    <w:p w14:paraId="7CA757D4" w14:textId="69EA5A57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9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La disposition spéciale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393 du chapitre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Règlement type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aux rubriques de la classe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1 concernant la nitrocellulose du chapitre</w:t>
      </w:r>
      <w:r w:rsidR="00E45992" w:rsidRPr="002769DF">
        <w:rPr>
          <w:lang w:val="fr-FR"/>
        </w:rPr>
        <w:t> 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du Règlement type (Nos</w:t>
      </w:r>
      <w:r w:rsidR="00EC5355" w:rsidRPr="002769DF">
        <w:rPr>
          <w:lang w:val="fr-FR"/>
        </w:rPr>
        <w:t> </w:t>
      </w:r>
      <w:r w:rsidRPr="002769DF">
        <w:rPr>
          <w:lang w:val="fr-FR"/>
        </w:rPr>
        <w:t>ONU 0340, 0341, 0342 et 0343)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Cette disposition exempte ces rubriques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 de stabilité thermique de la série 3 c)</w:t>
      </w:r>
      <w:r w:rsidR="00154A20" w:rsidRPr="002769DF">
        <w:rPr>
          <w:lang w:val="fr-FR"/>
        </w:rPr>
        <w:t>.</w:t>
      </w:r>
    </w:p>
    <w:p w14:paraId="3AE1659D" w14:textId="3434B6CC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10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Les épreuves de la série 3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 portent sur la sensibilité aux sollicitations mécaniques (impact, choc, frottement) et la stabilité thermique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La</w:t>
      </w:r>
      <w:r w:rsidR="004D1E02" w:rsidRPr="002769DF">
        <w:rPr>
          <w:lang w:val="fr-FR"/>
        </w:rPr>
        <w:t> </w:t>
      </w:r>
      <w:r w:rsidRPr="002769DF">
        <w:rPr>
          <w:lang w:val="fr-FR"/>
        </w:rPr>
        <w:t>nitrocellulose contenue dans les mélanges de nitrocellulose est soumise à des épreuves de stabilité conformément à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appendice 10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 (voir le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SGH) et pourrait donc raisonnablement être exemptée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 de stabilité thermique de la série 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Cependant, on ignore pourquoi les mélanges de nitrocellulose (c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est-à-dire de la nitrocellulose mélangée à tout autre plastifiant ou flegmatisant) ne devraient pas être soumis aux épreuves de sensibilité aux sollicitations mécaniques et de stabilité thermique</w:t>
      </w:r>
      <w:r w:rsidR="00154A20" w:rsidRPr="002769DF">
        <w:rPr>
          <w:lang w:val="fr-FR"/>
        </w:rPr>
        <w:t>.</w:t>
      </w:r>
    </w:p>
    <w:p w14:paraId="74040CC7" w14:textId="3F83A553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spacing w:val="-3"/>
          <w:lang w:val="fr-FR"/>
        </w:rPr>
        <w:t>11</w:t>
      </w:r>
      <w:r w:rsidR="00154A20" w:rsidRPr="002769DF">
        <w:rPr>
          <w:spacing w:val="-3"/>
          <w:lang w:val="fr-FR"/>
        </w:rPr>
        <w:t>.</w:t>
      </w:r>
      <w:r w:rsidRPr="002769DF">
        <w:rPr>
          <w:spacing w:val="-3"/>
          <w:lang w:val="fr-FR"/>
        </w:rPr>
        <w:tab/>
        <w:t>Il semblerait que l</w:t>
      </w:r>
      <w:r w:rsidR="001748AC" w:rsidRPr="002769DF">
        <w:rPr>
          <w:spacing w:val="-3"/>
          <w:lang w:val="fr-FR"/>
        </w:rPr>
        <w:t>’</w:t>
      </w:r>
      <w:r w:rsidRPr="002769DF">
        <w:rPr>
          <w:spacing w:val="-3"/>
          <w:lang w:val="fr-FR"/>
        </w:rPr>
        <w:t>ajout à la nitrocellulose d</w:t>
      </w:r>
      <w:r w:rsidR="001748AC" w:rsidRPr="002769DF">
        <w:rPr>
          <w:spacing w:val="-3"/>
          <w:lang w:val="fr-FR"/>
        </w:rPr>
        <w:t>’</w:t>
      </w:r>
      <w:r w:rsidRPr="002769DF">
        <w:rPr>
          <w:spacing w:val="-3"/>
          <w:lang w:val="fr-FR"/>
        </w:rPr>
        <w:t>un plastifiant ou flegmatisant potentiellement incompatible pourrait avoir un effet néfaste sur sa sensibilité mécanique et/ou sa stabilité thermique</w:t>
      </w:r>
      <w:r w:rsidR="00154A20" w:rsidRPr="002769DF">
        <w:rPr>
          <w:spacing w:val="-3"/>
          <w:lang w:val="fr-FR"/>
        </w:rPr>
        <w:t>.</w:t>
      </w:r>
      <w:r w:rsidRPr="002769DF">
        <w:rPr>
          <w:spacing w:val="-3"/>
          <w:lang w:val="fr-FR"/>
        </w:rPr>
        <w:t xml:space="preserve"> Ainsi, la nitrocellulose contenue dans le mélange de nitrocellulose pourrait, certes, raisonnablement être exemptée de l</w:t>
      </w:r>
      <w:r w:rsidR="001748AC" w:rsidRPr="002769DF">
        <w:rPr>
          <w:spacing w:val="-3"/>
          <w:lang w:val="fr-FR"/>
        </w:rPr>
        <w:t>’</w:t>
      </w:r>
      <w:r w:rsidRPr="002769DF">
        <w:rPr>
          <w:spacing w:val="-3"/>
          <w:lang w:val="fr-FR"/>
        </w:rPr>
        <w:t>épreuve de stabilité thermique 3 c), mais le mélange de nitrocellulose final devrait être soumis aux épreuves de la série 3 (y compris 3 c))</w:t>
      </w:r>
      <w:r w:rsidRPr="002769DF">
        <w:rPr>
          <w:lang w:val="fr-FR"/>
        </w:rPr>
        <w:t xml:space="preserve"> pour des raisons de sécurité dans le cadre du processus de classement</w:t>
      </w:r>
      <w:r w:rsidR="00154A20" w:rsidRPr="002769DF">
        <w:rPr>
          <w:lang w:val="fr-FR"/>
        </w:rPr>
        <w:t>.</w:t>
      </w:r>
    </w:p>
    <w:p w14:paraId="5A6B18D7" w14:textId="7BEE3FE5" w:rsidR="00201F2A" w:rsidRPr="002769DF" w:rsidRDefault="00201F2A" w:rsidP="001A6062">
      <w:pPr>
        <w:pStyle w:val="SingleTxtG"/>
        <w:keepLines/>
        <w:rPr>
          <w:lang w:val="fr-FR"/>
        </w:rPr>
      </w:pPr>
      <w:r w:rsidRPr="002769DF">
        <w:rPr>
          <w:spacing w:val="-2"/>
          <w:lang w:val="fr-FR"/>
        </w:rPr>
        <w:lastRenderedPageBreak/>
        <w:t>12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ab/>
        <w:t>Sans autre précision quant au bien-fondé du libellé actuel du nota du 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17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 du SGH, de la note de bas de page 2 relative au diagramme de décision 2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17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1 du SGH, des 51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 a) et 51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3</w:t>
      </w:r>
      <w:r w:rsidR="00154A20" w:rsidRPr="002769DF">
        <w:rPr>
          <w:spacing w:val="-2"/>
          <w:lang w:val="fr-FR"/>
        </w:rPr>
        <w:t>.</w:t>
      </w:r>
      <w:r w:rsidRPr="002769DF">
        <w:rPr>
          <w:spacing w:val="-2"/>
          <w:lang w:val="fr-FR"/>
        </w:rPr>
        <w:t>2 c) de la section 51 du Manuel d</w:t>
      </w:r>
      <w:r w:rsidR="001748AC" w:rsidRPr="002769DF">
        <w:rPr>
          <w:spacing w:val="-2"/>
          <w:lang w:val="fr-FR"/>
        </w:rPr>
        <w:t>’</w:t>
      </w:r>
      <w:r w:rsidRPr="002769DF">
        <w:rPr>
          <w:spacing w:val="-2"/>
          <w:lang w:val="fr-FR"/>
        </w:rPr>
        <w:t>épreuves et de critères, et de la disposition spéciale 393</w:t>
      </w:r>
      <w:r w:rsidRPr="002769DF">
        <w:rPr>
          <w:lang w:val="fr-FR"/>
        </w:rPr>
        <w:t xml:space="preserve"> du Règlement type, il est proposé de supprimer ou de modifier ces exemptions afin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éliminer ce qui semble être une anomalie et de garantir que tous les produits sont bien soumis à des épreuves de sensibilité appropriées</w:t>
      </w:r>
      <w:r w:rsidR="00154A20" w:rsidRPr="002769DF">
        <w:rPr>
          <w:lang w:val="fr-FR"/>
        </w:rPr>
        <w:t>.</w:t>
      </w:r>
    </w:p>
    <w:p w14:paraId="59A4D555" w14:textId="691D7260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Étant donné que la disposition spéciale 393 du Règlement type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aux mélanges de nitrocellulose de la classe 1 afin que la stabilité de la nitrocellulose qui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y trouve soit garantie,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AEISG se demande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il ne faudrait pas également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elle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applique aux Nos</w:t>
      </w:r>
      <w:r w:rsidR="00412882" w:rsidRPr="002769DF">
        <w:rPr>
          <w:lang w:val="fr-FR"/>
        </w:rPr>
        <w:t> </w:t>
      </w:r>
      <w:r w:rsidRPr="002769DF">
        <w:rPr>
          <w:lang w:val="fr-FR"/>
        </w:rPr>
        <w:t>ONU 0160, 0161 et 0509 (POUDRE SANS FUMÉE) (chapitre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du Règlement type), afin que la stabilité de la nitrocellulose qui s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y trouve soit garantie</w:t>
      </w:r>
      <w:r w:rsidR="00154A20" w:rsidRPr="002769DF">
        <w:rPr>
          <w:lang w:val="fr-FR"/>
        </w:rPr>
        <w:t>.</w:t>
      </w:r>
    </w:p>
    <w:p w14:paraId="239906EE" w14:textId="52FE237D" w:rsidR="00201F2A" w:rsidRPr="002769DF" w:rsidRDefault="00D03C2E" w:rsidP="00D03C2E">
      <w:pPr>
        <w:pStyle w:val="HChG"/>
        <w:rPr>
          <w:lang w:val="fr-FR"/>
        </w:rPr>
      </w:pPr>
      <w:r w:rsidRPr="002769DF">
        <w:rPr>
          <w:lang w:val="fr-FR"/>
        </w:rPr>
        <w:tab/>
      </w:r>
      <w:r w:rsidR="00201F2A" w:rsidRPr="002769DF">
        <w:rPr>
          <w:lang w:val="fr-FR"/>
        </w:rPr>
        <w:t>III</w:t>
      </w:r>
      <w:r w:rsidR="00154A20" w:rsidRPr="002769DF">
        <w:rPr>
          <w:lang w:val="fr-FR"/>
        </w:rPr>
        <w:t>.</w:t>
      </w:r>
      <w:r w:rsidR="00201F2A" w:rsidRPr="002769DF">
        <w:rPr>
          <w:lang w:val="fr-FR"/>
        </w:rPr>
        <w:tab/>
        <w:t>Propositions</w:t>
      </w:r>
    </w:p>
    <w:p w14:paraId="40ABA543" w14:textId="0ED21307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Propositions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au chapitre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 du SGH (le texte qu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il est proposé de supprimer apparaît en caractères </w:t>
      </w:r>
      <w:r w:rsidRPr="002769DF">
        <w:rPr>
          <w:strike/>
          <w:lang w:val="fr-FR"/>
        </w:rPr>
        <w:t>b</w:t>
      </w:r>
      <w:r w:rsidR="00624C8B" w:rsidRPr="002769DF">
        <w:rPr>
          <w:strike/>
          <w:lang w:val="fr-FR"/>
        </w:rPr>
        <w:t>iffé</w:t>
      </w:r>
      <w:r w:rsidRPr="002769DF">
        <w:rPr>
          <w:strike/>
          <w:lang w:val="fr-FR"/>
        </w:rPr>
        <w:t>s</w:t>
      </w:r>
      <w:r w:rsidRPr="002769DF">
        <w:rPr>
          <w:lang w:val="fr-FR"/>
        </w:rPr>
        <w:t>)</w:t>
      </w:r>
      <w:r w:rsidR="001748AC" w:rsidRPr="002769DF">
        <w:rPr>
          <w:lang w:val="fr-FR"/>
        </w:rPr>
        <w:t> :</w:t>
      </w:r>
    </w:p>
    <w:p w14:paraId="13EFDC26" w14:textId="335B4BDE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Pr="002769DF">
        <w:rPr>
          <w:lang w:val="fr-FR"/>
        </w:rPr>
        <w:tab/>
        <w:t>Supprimer la note, comme suit</w:t>
      </w:r>
      <w:r w:rsidR="001748AC" w:rsidRPr="002769DF">
        <w:rPr>
          <w:lang w:val="fr-FR"/>
        </w:rPr>
        <w:t> :</w:t>
      </w:r>
    </w:p>
    <w:p w14:paraId="73DD6B5A" w14:textId="02965FEB" w:rsidR="00201F2A" w:rsidRPr="002769DF" w:rsidRDefault="00201F2A" w:rsidP="00BD46FA">
      <w:pPr>
        <w:pStyle w:val="SingleTxtG"/>
        <w:ind w:left="1701"/>
        <w:rPr>
          <w:strike/>
          <w:lang w:val="fr-FR"/>
        </w:rPr>
      </w:pPr>
      <w:r w:rsidRPr="002769DF">
        <w:rPr>
          <w:i/>
          <w:iCs/>
          <w:lang w:val="fr-FR"/>
        </w:rPr>
        <w:t>«</w:t>
      </w:r>
      <w:r w:rsidR="00624C8B" w:rsidRPr="002769DF">
        <w:rPr>
          <w:i/>
          <w:iCs/>
          <w:lang w:val="fr-FR"/>
        </w:rPr>
        <w:t> </w:t>
      </w:r>
      <w:r w:rsidRPr="002769DF">
        <w:rPr>
          <w:b/>
          <w:bCs/>
          <w:i/>
          <w:iCs/>
          <w:strike/>
          <w:lang w:val="fr-FR"/>
        </w:rPr>
        <w:t>NOTA</w:t>
      </w:r>
      <w:r w:rsidR="001748AC" w:rsidRPr="002769DF">
        <w:rPr>
          <w:i/>
          <w:iCs/>
          <w:strike/>
          <w:lang w:val="fr-FR"/>
        </w:rPr>
        <w:t> :</w:t>
      </w:r>
      <w:r w:rsidRPr="002769DF">
        <w:rPr>
          <w:i/>
          <w:iCs/>
          <w:strike/>
          <w:lang w:val="fr-FR"/>
        </w:rPr>
        <w:t xml:space="preserve"> Les mélanges de nitrocellulose ne contenant pas d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autres matières explosibles que la nitrocellulose ne doivent pas satisfaire au critère énoncé au 2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strike/>
          <w:lang w:val="fr-FR"/>
        </w:rPr>
        <w:t>17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strike/>
          <w:lang w:val="fr-FR"/>
        </w:rPr>
        <w:t>2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strike/>
          <w:lang w:val="fr-FR"/>
        </w:rPr>
        <w:t>2 b) ii)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i/>
          <w:iCs/>
          <w:lang w:val="fr-FR"/>
        </w:rPr>
        <w:t> »</w:t>
      </w:r>
      <w:r w:rsidR="00154A20" w:rsidRPr="002769DF">
        <w:rPr>
          <w:i/>
          <w:iCs/>
          <w:lang w:val="fr-FR"/>
        </w:rPr>
        <w:t>.</w:t>
      </w:r>
    </w:p>
    <w:p w14:paraId="106C5BD3" w14:textId="09D281F1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4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</w:t>
      </w:r>
      <w:r w:rsidRPr="002769DF">
        <w:rPr>
          <w:lang w:val="fr-FR"/>
        </w:rPr>
        <w:tab/>
        <w:t>Diagramme de décision 2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17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1, supprimer la note de bas de page 2, comme suit</w:t>
      </w:r>
      <w:r w:rsidR="001748AC" w:rsidRPr="002769DF">
        <w:rPr>
          <w:lang w:val="fr-FR"/>
        </w:rPr>
        <w:t> :</w:t>
      </w:r>
    </w:p>
    <w:p w14:paraId="280B7882" w14:textId="0C870A25" w:rsidR="00201F2A" w:rsidRPr="002769DF" w:rsidRDefault="00201F2A" w:rsidP="00BD46FA">
      <w:pPr>
        <w:pStyle w:val="SingleTxtG"/>
        <w:ind w:left="1701"/>
        <w:rPr>
          <w:strike/>
          <w:lang w:val="fr-FR"/>
        </w:rPr>
      </w:pPr>
      <w:r w:rsidRPr="002769DF">
        <w:rPr>
          <w:lang w:val="fr-FR"/>
        </w:rPr>
        <w:t>«</w:t>
      </w:r>
      <w:r w:rsidR="00637C2B" w:rsidRPr="002769DF">
        <w:rPr>
          <w:lang w:val="fr-FR"/>
        </w:rPr>
        <w:t> </w:t>
      </w:r>
      <w:r w:rsidRPr="002769DF">
        <w:rPr>
          <w:i/>
          <w:iCs/>
          <w:strike/>
          <w:vertAlign w:val="superscript"/>
          <w:lang w:val="fr-FR"/>
        </w:rPr>
        <w:t>2</w:t>
      </w:r>
      <w:r w:rsidRPr="002769DF">
        <w:rPr>
          <w:i/>
          <w:iCs/>
          <w:strike/>
          <w:lang w:val="fr-FR"/>
        </w:rPr>
        <w:t xml:space="preserve"> La série 3 d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épreuves ne s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applique pas aux mélanges de nitrocellulose ne contenant pas d</w:t>
      </w:r>
      <w:r w:rsidR="001748AC" w:rsidRPr="002769DF">
        <w:rPr>
          <w:i/>
          <w:iCs/>
          <w:strike/>
          <w:lang w:val="fr-FR"/>
        </w:rPr>
        <w:t>’</w:t>
      </w:r>
      <w:r w:rsidRPr="002769DF">
        <w:rPr>
          <w:i/>
          <w:iCs/>
          <w:strike/>
          <w:lang w:val="fr-FR"/>
        </w:rPr>
        <w:t>autres matières explosibles que la nitrocellulose</w:t>
      </w:r>
      <w:r w:rsidR="00154A20" w:rsidRPr="002769DF">
        <w:rPr>
          <w:i/>
          <w:iCs/>
          <w:strike/>
          <w:lang w:val="fr-FR"/>
        </w:rPr>
        <w:t>.</w:t>
      </w:r>
      <w:r w:rsidRPr="002769DF">
        <w:rPr>
          <w:lang w:val="fr-FR"/>
        </w:rPr>
        <w:t> »</w:t>
      </w:r>
      <w:r w:rsidR="00154A20" w:rsidRPr="002769DF">
        <w:rPr>
          <w:lang w:val="fr-FR"/>
        </w:rPr>
        <w:t>.</w:t>
      </w:r>
    </w:p>
    <w:p w14:paraId="5B1AD84F" w14:textId="64968209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15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Propositions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au 51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2, à la section 51 du Manuel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épreuves et de critères</w:t>
      </w:r>
      <w:r w:rsidR="001748AC" w:rsidRPr="002769DF">
        <w:rPr>
          <w:lang w:val="fr-FR"/>
        </w:rPr>
        <w:t> :</w:t>
      </w:r>
    </w:p>
    <w:p w14:paraId="2FE93AAC" w14:textId="70A2954B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Supprimer les alinéas a) et c) du 51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2, comme suit, et renuméroter les alinéas restants en conséquence</w:t>
      </w:r>
      <w:r w:rsidR="001748AC" w:rsidRPr="002769DF">
        <w:rPr>
          <w:lang w:val="fr-FR"/>
        </w:rPr>
        <w:t> :</w:t>
      </w:r>
    </w:p>
    <w:p w14:paraId="217CA883" w14:textId="2A32873E" w:rsidR="00201F2A" w:rsidRPr="002769DF" w:rsidRDefault="00201F2A" w:rsidP="00BD46FA">
      <w:pPr>
        <w:pStyle w:val="SingleTxtG"/>
        <w:ind w:left="2268" w:hanging="567"/>
        <w:rPr>
          <w:strike/>
          <w:lang w:val="fr-FR"/>
        </w:rPr>
      </w:pPr>
      <w:r w:rsidRPr="002769DF">
        <w:rPr>
          <w:lang w:val="fr-FR"/>
        </w:rPr>
        <w:t>«</w:t>
      </w:r>
      <w:r w:rsidR="000108CC" w:rsidRPr="002769DF">
        <w:rPr>
          <w:lang w:val="fr-FR"/>
        </w:rPr>
        <w:t> </w:t>
      </w:r>
      <w:r w:rsidRPr="002769DF">
        <w:rPr>
          <w:strike/>
          <w:lang w:val="fr-FR"/>
        </w:rPr>
        <w:t>a)</w:t>
      </w:r>
      <w:r w:rsidRPr="002769DF">
        <w:rPr>
          <w:lang w:val="fr-FR"/>
        </w:rPr>
        <w:tab/>
      </w:r>
      <w:r w:rsidRPr="002769DF">
        <w:rPr>
          <w:strike/>
          <w:lang w:val="fr-FR"/>
        </w:rPr>
        <w:t>Les épreuves de la série 3 ne sont pas obligatoires si la matière explosible elle-même (avant d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être désensibilisée) n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est ni trop sensible ni trop instable thermiquement conformément aux épreuves de la série 3</w:t>
      </w:r>
      <w:r w:rsidR="001748AC" w:rsidRPr="002769DF">
        <w:rPr>
          <w:strike/>
          <w:lang w:val="fr-FR"/>
        </w:rPr>
        <w:t> ;</w:t>
      </w:r>
      <w:r w:rsidR="000108CC" w:rsidRPr="002769DF">
        <w:rPr>
          <w:lang w:val="fr-FR"/>
        </w:rPr>
        <w:t> </w:t>
      </w:r>
      <w:r w:rsidRPr="002769DF">
        <w:rPr>
          <w:lang w:val="fr-FR"/>
        </w:rPr>
        <w:t>»</w:t>
      </w:r>
      <w:r w:rsidR="001748AC" w:rsidRPr="002769DF">
        <w:rPr>
          <w:lang w:val="fr-FR"/>
        </w:rPr>
        <w:t> ;</w:t>
      </w:r>
    </w:p>
    <w:p w14:paraId="46595CC4" w14:textId="2B271B9E" w:rsidR="00201F2A" w:rsidRPr="002769DF" w:rsidRDefault="00201F2A" w:rsidP="00BD46FA">
      <w:pPr>
        <w:pStyle w:val="SingleTxtG"/>
        <w:ind w:left="2268" w:hanging="567"/>
        <w:rPr>
          <w:strike/>
          <w:lang w:val="fr-FR"/>
        </w:rPr>
      </w:pPr>
      <w:r w:rsidRPr="002769DF">
        <w:rPr>
          <w:lang w:val="fr-FR"/>
        </w:rPr>
        <w:t>«</w:t>
      </w:r>
      <w:r w:rsidR="000108CC" w:rsidRPr="002769DF">
        <w:rPr>
          <w:lang w:val="fr-FR"/>
        </w:rPr>
        <w:t> </w:t>
      </w:r>
      <w:r w:rsidRPr="002769DF">
        <w:rPr>
          <w:strike/>
          <w:lang w:val="fr-FR"/>
        </w:rPr>
        <w:t>c)</w:t>
      </w:r>
      <w:r w:rsidRPr="002769DF">
        <w:rPr>
          <w:lang w:val="fr-FR"/>
        </w:rPr>
        <w:tab/>
      </w:r>
      <w:r w:rsidRPr="002769DF">
        <w:rPr>
          <w:strike/>
          <w:lang w:val="fr-FR"/>
        </w:rPr>
        <w:t>Les épreuves de la série 3 ne s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appliquent pas aux mélanges de nitrocellulose qui ne contiennent pas de matières explosibles autres que la nitrocellulose et pour lesquels la stabilité de la nitrocellulose a été établie conformément à l</w:t>
      </w:r>
      <w:r w:rsidR="001748AC" w:rsidRPr="002769DF">
        <w:rPr>
          <w:strike/>
          <w:lang w:val="fr-FR"/>
        </w:rPr>
        <w:t>’</w:t>
      </w:r>
      <w:r w:rsidRPr="002769DF">
        <w:rPr>
          <w:strike/>
          <w:lang w:val="fr-FR"/>
        </w:rPr>
        <w:t>appendice 10</w:t>
      </w:r>
      <w:r w:rsidR="001748AC" w:rsidRPr="002769DF">
        <w:rPr>
          <w:strike/>
          <w:lang w:val="fr-FR"/>
        </w:rPr>
        <w:t> ;</w:t>
      </w:r>
      <w:r w:rsidR="000108CC" w:rsidRPr="002769DF">
        <w:rPr>
          <w:lang w:val="fr-FR"/>
        </w:rPr>
        <w:t> </w:t>
      </w:r>
      <w:r w:rsidRPr="002769DF">
        <w:rPr>
          <w:lang w:val="fr-FR"/>
        </w:rPr>
        <w:t>»</w:t>
      </w:r>
      <w:r w:rsidR="00154A20" w:rsidRPr="002769DF">
        <w:rPr>
          <w:lang w:val="fr-FR"/>
        </w:rPr>
        <w:t>.</w:t>
      </w:r>
    </w:p>
    <w:p w14:paraId="6D48A75D" w14:textId="1974C3D6" w:rsidR="00201F2A" w:rsidRPr="002769DF" w:rsidRDefault="00201F2A" w:rsidP="00D03C2E">
      <w:pPr>
        <w:pStyle w:val="SingleTxtG"/>
        <w:rPr>
          <w:lang w:val="fr-FR"/>
        </w:rPr>
      </w:pPr>
      <w:r w:rsidRPr="002769DF">
        <w:rPr>
          <w:lang w:val="fr-FR"/>
        </w:rPr>
        <w:t>16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ab/>
        <w:t>Propositions d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amendements aux chapitres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 et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3 du Règlement type</w:t>
      </w:r>
      <w:r w:rsidR="001748AC" w:rsidRPr="002769DF">
        <w:rPr>
          <w:lang w:val="fr-FR"/>
        </w:rPr>
        <w:t> :</w:t>
      </w:r>
    </w:p>
    <w:p w14:paraId="174984A9" w14:textId="4CF30540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Au chapitre</w:t>
      </w:r>
      <w:r w:rsidR="00AF197F" w:rsidRPr="002769DF">
        <w:rPr>
          <w:lang w:val="fr-FR"/>
        </w:rPr>
        <w:t> </w:t>
      </w:r>
      <w:r w:rsidRPr="002769DF">
        <w:rPr>
          <w:lang w:val="fr-FR"/>
        </w:rPr>
        <w:t>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3, modifier la disposition spéciale 393 comme suit (les ajouts apparaissent en caractères </w:t>
      </w:r>
      <w:r w:rsidRPr="002769DF">
        <w:rPr>
          <w:u w:val="single"/>
          <w:lang w:val="fr-FR"/>
        </w:rPr>
        <w:t>soulignés</w:t>
      </w:r>
      <w:r w:rsidRPr="002769DF">
        <w:rPr>
          <w:lang w:val="fr-FR"/>
        </w:rPr>
        <w:t>)</w:t>
      </w:r>
      <w:r w:rsidR="001748AC" w:rsidRPr="002769DF">
        <w:rPr>
          <w:lang w:val="fr-FR"/>
        </w:rPr>
        <w:t> :</w:t>
      </w:r>
    </w:p>
    <w:p w14:paraId="7A731431" w14:textId="350CB272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«</w:t>
      </w:r>
      <w:r w:rsidR="00DE4D43" w:rsidRPr="002769DF">
        <w:rPr>
          <w:lang w:val="fr-FR"/>
        </w:rPr>
        <w:t> </w:t>
      </w:r>
      <w:r w:rsidRPr="002769DF">
        <w:rPr>
          <w:lang w:val="fr-FR"/>
        </w:rPr>
        <w:t>393 La nitrocellulose doit remplir les critères de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épreuve de Bergmann-Junk ou du papier réactif au violet de méthyle qui figurent à l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 xml:space="preserve">appendice 10 du </w:t>
      </w:r>
      <w:r w:rsidRPr="002769DF">
        <w:rPr>
          <w:i/>
          <w:iCs/>
          <w:lang w:val="fr-FR"/>
        </w:rPr>
        <w:t>Manuel d</w:t>
      </w:r>
      <w:r w:rsidR="001748AC" w:rsidRPr="002769DF">
        <w:rPr>
          <w:i/>
          <w:iCs/>
          <w:lang w:val="fr-FR"/>
        </w:rPr>
        <w:t>’</w:t>
      </w:r>
      <w:r w:rsidRPr="002769DF">
        <w:rPr>
          <w:i/>
          <w:iCs/>
          <w:lang w:val="fr-FR"/>
        </w:rPr>
        <w:t>épreuves et de critères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 xml:space="preserve"> Il n</w:t>
      </w:r>
      <w:r w:rsidR="001748AC" w:rsidRPr="002769DF">
        <w:rPr>
          <w:lang w:val="fr-FR"/>
        </w:rPr>
        <w:t>’</w:t>
      </w:r>
      <w:r w:rsidRPr="002769DF">
        <w:rPr>
          <w:lang w:val="fr-FR"/>
        </w:rPr>
        <w:t>est pas nécessaire de réaliser les épreuves de la série 3 c)</w:t>
      </w:r>
      <w:r w:rsidRPr="002769DF">
        <w:rPr>
          <w:u w:val="single"/>
          <w:lang w:val="fr-FR"/>
        </w:rPr>
        <w:t xml:space="preserve"> dans le cas de la nitrocellulose</w:t>
      </w:r>
      <w:r w:rsidR="00154A20" w:rsidRPr="002769DF">
        <w:rPr>
          <w:u w:val="single"/>
          <w:lang w:val="fr-FR"/>
        </w:rPr>
        <w:t>.</w:t>
      </w:r>
      <w:r w:rsidRPr="002769DF">
        <w:rPr>
          <w:lang w:val="fr-FR"/>
        </w:rPr>
        <w:t xml:space="preserve"> </w:t>
      </w:r>
      <w:r w:rsidRPr="002769DF">
        <w:rPr>
          <w:u w:val="single"/>
          <w:lang w:val="fr-FR"/>
        </w:rPr>
        <w:t>En revanche, les mélanges de nitrocellulose contenant des plastifiants, des pigments, etc</w:t>
      </w:r>
      <w:r w:rsidR="00154A20" w:rsidRPr="002769DF">
        <w:rPr>
          <w:u w:val="single"/>
          <w:lang w:val="fr-FR"/>
        </w:rPr>
        <w:t>.</w:t>
      </w:r>
      <w:r w:rsidRPr="002769DF">
        <w:rPr>
          <w:u w:val="single"/>
          <w:lang w:val="fr-FR"/>
        </w:rPr>
        <w:t>, devraient être soumis aux épreuves de la série 3 c)</w:t>
      </w:r>
      <w:r w:rsidR="00154A20" w:rsidRPr="002769DF">
        <w:rPr>
          <w:lang w:val="fr-FR"/>
        </w:rPr>
        <w:t>.</w:t>
      </w:r>
      <w:r w:rsidR="00DE4D43" w:rsidRPr="002769DF">
        <w:rPr>
          <w:lang w:val="fr-FR"/>
        </w:rPr>
        <w:t> </w:t>
      </w:r>
      <w:r w:rsidRPr="002769DF">
        <w:rPr>
          <w:lang w:val="fr-FR"/>
        </w:rPr>
        <w:t>»</w:t>
      </w:r>
      <w:r w:rsidR="00154A20" w:rsidRPr="002769DF">
        <w:rPr>
          <w:lang w:val="fr-FR"/>
        </w:rPr>
        <w:t>.</w:t>
      </w:r>
    </w:p>
    <w:p w14:paraId="2BDAA2F9" w14:textId="38C13C15" w:rsidR="00201F2A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Chapitre 3</w:t>
      </w:r>
      <w:r w:rsidR="00154A20" w:rsidRPr="002769DF">
        <w:rPr>
          <w:lang w:val="fr-FR"/>
        </w:rPr>
        <w:t>.</w:t>
      </w:r>
      <w:r w:rsidRPr="002769DF">
        <w:rPr>
          <w:lang w:val="fr-FR"/>
        </w:rPr>
        <w:t>2</w:t>
      </w:r>
    </w:p>
    <w:p w14:paraId="29A733A4" w14:textId="5744B9A5" w:rsidR="00446FE5" w:rsidRPr="002769DF" w:rsidRDefault="00201F2A" w:rsidP="00BD46FA">
      <w:pPr>
        <w:pStyle w:val="SingleTxtG"/>
        <w:ind w:left="1701"/>
        <w:rPr>
          <w:lang w:val="fr-FR"/>
        </w:rPr>
      </w:pPr>
      <w:r w:rsidRPr="002769DF">
        <w:rPr>
          <w:lang w:val="fr-FR"/>
        </w:rPr>
        <w:t>Dans la Liste des marchandises dangereuses, dans la colonne 6, affecter la disposition spéciale 393 aux Nos ONU 0160, 0161 et 0509 (POUDRE SANS FUMÉE)</w:t>
      </w:r>
      <w:r w:rsidR="00154A20" w:rsidRPr="002769DF">
        <w:rPr>
          <w:lang w:val="fr-FR"/>
        </w:rPr>
        <w:t>.</w:t>
      </w:r>
    </w:p>
    <w:p w14:paraId="61627F68" w14:textId="1ABEA43B" w:rsidR="00201F2A" w:rsidRPr="002769DF" w:rsidRDefault="00201F2A" w:rsidP="00201F2A">
      <w:pPr>
        <w:pStyle w:val="SingleTxtG"/>
        <w:spacing w:before="240" w:after="0"/>
        <w:jc w:val="center"/>
        <w:rPr>
          <w:u w:val="single"/>
          <w:lang w:val="fr-FR"/>
        </w:rPr>
      </w:pPr>
      <w:r w:rsidRPr="002769DF">
        <w:rPr>
          <w:u w:val="single"/>
          <w:lang w:val="fr-FR"/>
        </w:rPr>
        <w:tab/>
      </w:r>
      <w:r w:rsidRPr="002769DF">
        <w:rPr>
          <w:u w:val="single"/>
          <w:lang w:val="fr-FR"/>
        </w:rPr>
        <w:tab/>
      </w:r>
      <w:r w:rsidRPr="002769DF">
        <w:rPr>
          <w:u w:val="single"/>
          <w:lang w:val="fr-FR"/>
        </w:rPr>
        <w:tab/>
      </w:r>
    </w:p>
    <w:sectPr w:rsidR="00201F2A" w:rsidRPr="002769DF" w:rsidSect="00DE0F29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89E5" w14:textId="77777777" w:rsidR="00DE0F29" w:rsidRDefault="00DE0F29" w:rsidP="00F95C08">
      <w:pPr>
        <w:spacing w:line="240" w:lineRule="auto"/>
      </w:pPr>
    </w:p>
  </w:endnote>
  <w:endnote w:type="continuationSeparator" w:id="0">
    <w:p w14:paraId="6A1ED430" w14:textId="77777777" w:rsidR="00DE0F29" w:rsidRPr="00AC3823" w:rsidRDefault="00DE0F29" w:rsidP="00AC3823">
      <w:pPr>
        <w:pStyle w:val="Footer"/>
      </w:pPr>
    </w:p>
  </w:endnote>
  <w:endnote w:type="continuationNotice" w:id="1">
    <w:p w14:paraId="2F8E1C5E" w14:textId="77777777" w:rsidR="00DE0F29" w:rsidRDefault="00DE0F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26F3" w14:textId="09E031DF" w:rsidR="00201F2A" w:rsidRPr="00201F2A" w:rsidRDefault="00201F2A" w:rsidP="00201F2A">
    <w:pPr>
      <w:pStyle w:val="Footer"/>
      <w:tabs>
        <w:tab w:val="right" w:pos="9638"/>
      </w:tabs>
    </w:pPr>
    <w:r w:rsidRPr="00201F2A">
      <w:rPr>
        <w:b/>
        <w:sz w:val="18"/>
      </w:rPr>
      <w:fldChar w:fldCharType="begin"/>
    </w:r>
    <w:r w:rsidRPr="00201F2A">
      <w:rPr>
        <w:b/>
        <w:sz w:val="18"/>
      </w:rPr>
      <w:instrText xml:space="preserve"> PAGE  \* MERGEFORMAT </w:instrText>
    </w:r>
    <w:r w:rsidRPr="00201F2A">
      <w:rPr>
        <w:b/>
        <w:sz w:val="18"/>
      </w:rPr>
      <w:fldChar w:fldCharType="separate"/>
    </w:r>
    <w:r w:rsidRPr="00201F2A">
      <w:rPr>
        <w:b/>
        <w:noProof/>
        <w:sz w:val="18"/>
      </w:rPr>
      <w:t>2</w:t>
    </w:r>
    <w:r w:rsidRPr="00201F2A">
      <w:rPr>
        <w:b/>
        <w:sz w:val="18"/>
      </w:rPr>
      <w:fldChar w:fldCharType="end"/>
    </w:r>
    <w:r>
      <w:rPr>
        <w:b/>
        <w:sz w:val="18"/>
      </w:rPr>
      <w:tab/>
    </w:r>
    <w:r>
      <w:t>GE.24-06252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1C32" w14:textId="4755E4BC" w:rsidR="00201F2A" w:rsidRPr="00201F2A" w:rsidRDefault="00201F2A" w:rsidP="00201F2A">
    <w:pPr>
      <w:pStyle w:val="Footer"/>
      <w:tabs>
        <w:tab w:val="right" w:pos="9638"/>
      </w:tabs>
      <w:rPr>
        <w:b/>
        <w:sz w:val="18"/>
      </w:rPr>
    </w:pPr>
    <w:r>
      <w:t>GE.24-06252</w:t>
    </w:r>
    <w:r>
      <w:tab/>
    </w:r>
    <w:r w:rsidRPr="00201F2A">
      <w:rPr>
        <w:b/>
        <w:sz w:val="18"/>
      </w:rPr>
      <w:fldChar w:fldCharType="begin"/>
    </w:r>
    <w:r w:rsidRPr="00201F2A">
      <w:rPr>
        <w:b/>
        <w:sz w:val="18"/>
      </w:rPr>
      <w:instrText xml:space="preserve"> PAGE  \* MERGEFORMAT </w:instrText>
    </w:r>
    <w:r w:rsidRPr="00201F2A">
      <w:rPr>
        <w:b/>
        <w:sz w:val="18"/>
      </w:rPr>
      <w:fldChar w:fldCharType="separate"/>
    </w:r>
    <w:r w:rsidRPr="00201F2A">
      <w:rPr>
        <w:b/>
        <w:noProof/>
        <w:sz w:val="18"/>
      </w:rPr>
      <w:t>3</w:t>
    </w:r>
    <w:r w:rsidRPr="00201F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2B5C" w14:textId="6ECA0705" w:rsidR="0068456F" w:rsidRPr="00201F2A" w:rsidRDefault="00201F2A" w:rsidP="00201F2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CBB0E0" wp14:editId="17147E9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91DF28" wp14:editId="3A34BEC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321826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010524    0</w:t>
    </w:r>
    <w:r w:rsidR="005B5BC6">
      <w:rPr>
        <w:sz w:val="20"/>
      </w:rPr>
      <w:t>2</w:t>
    </w:r>
    <w:r>
      <w:rPr>
        <w:sz w:val="20"/>
      </w:rPr>
      <w:t>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13D8" w14:textId="77777777" w:rsidR="00DE0F29" w:rsidRPr="00AC3823" w:rsidRDefault="00DE0F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925E61" w14:textId="77777777" w:rsidR="00DE0F29" w:rsidRPr="00AC3823" w:rsidRDefault="00DE0F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818256" w14:textId="77777777" w:rsidR="00DE0F29" w:rsidRPr="00AC3823" w:rsidRDefault="00DE0F29">
      <w:pPr>
        <w:spacing w:line="240" w:lineRule="auto"/>
        <w:rPr>
          <w:sz w:val="2"/>
          <w:szCs w:val="2"/>
        </w:rPr>
      </w:pPr>
    </w:p>
  </w:footnote>
  <w:footnote w:id="2">
    <w:p w14:paraId="22F93E7E" w14:textId="29D299E1" w:rsidR="00201F2A" w:rsidRPr="00255143" w:rsidRDefault="00201F2A" w:rsidP="00201F2A">
      <w:pPr>
        <w:pStyle w:val="FootnoteText"/>
      </w:pPr>
      <w:r>
        <w:rPr>
          <w:lang w:val="fr-FR"/>
        </w:rPr>
        <w:tab/>
      </w:r>
      <w:r w:rsidRPr="005B6565">
        <w:rPr>
          <w:sz w:val="20"/>
          <w:lang w:val="fr-FR"/>
        </w:rPr>
        <w:t>*</w:t>
      </w:r>
      <w:r>
        <w:rPr>
          <w:lang w:val="fr-FR"/>
        </w:rPr>
        <w:tab/>
      </w:r>
      <w:hyperlink r:id="rId1" w:history="1">
        <w:r w:rsidRPr="00692169">
          <w:rPr>
            <w:rStyle w:val="Hyperlink"/>
            <w:lang w:val="fr-FR"/>
          </w:rPr>
          <w:t>A/78/6 (Sect. 20)</w:t>
        </w:r>
      </w:hyperlink>
      <w:r>
        <w:rPr>
          <w:lang w:val="fr-FR"/>
        </w:rPr>
        <w:t>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1526" w14:textId="21E52356" w:rsidR="00201F2A" w:rsidRPr="00201F2A" w:rsidRDefault="00201F2A">
    <w:pPr>
      <w:pStyle w:val="Header"/>
      <w:rPr>
        <w:lang w:val="en-US"/>
      </w:rPr>
    </w:pPr>
    <w:r>
      <w:fldChar w:fldCharType="begin"/>
    </w:r>
    <w:r w:rsidRPr="00201F2A">
      <w:rPr>
        <w:lang w:val="en-US"/>
      </w:rPr>
      <w:instrText xml:space="preserve"> TITLE  \* MERGEFORMAT </w:instrText>
    </w:r>
    <w:r>
      <w:fldChar w:fldCharType="separate"/>
    </w:r>
    <w:r w:rsidR="005E436F">
      <w:rPr>
        <w:lang w:val="en-US"/>
      </w:rPr>
      <w:t>ST/SG/AC.10/C.3/2024/24</w:t>
    </w:r>
    <w:r>
      <w:fldChar w:fldCharType="end"/>
    </w:r>
    <w:r w:rsidRPr="00201F2A">
      <w:rPr>
        <w:lang w:val="en-US"/>
      </w:rPr>
      <w:br/>
    </w:r>
    <w:r>
      <w:fldChar w:fldCharType="begin"/>
    </w:r>
    <w:r w:rsidRPr="00201F2A">
      <w:rPr>
        <w:lang w:val="en-US"/>
      </w:rPr>
      <w:instrText xml:space="preserve"> KEYWORDS  \* MERGEFORMAT </w:instrText>
    </w:r>
    <w:r>
      <w:fldChar w:fldCharType="separate"/>
    </w:r>
    <w:r w:rsidR="005E436F">
      <w:rPr>
        <w:lang w:val="en-US"/>
      </w:rPr>
      <w:t>ST/SG/AC.10/C.4/2024/5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933C" w14:textId="539BC4E0" w:rsidR="00201F2A" w:rsidRPr="00201F2A" w:rsidRDefault="00201F2A" w:rsidP="00201F2A">
    <w:pPr>
      <w:pStyle w:val="Header"/>
      <w:jc w:val="right"/>
      <w:rPr>
        <w:lang w:val="en-US"/>
      </w:rPr>
    </w:pPr>
    <w:r>
      <w:fldChar w:fldCharType="begin"/>
    </w:r>
    <w:r w:rsidRPr="00201F2A">
      <w:rPr>
        <w:lang w:val="en-US"/>
      </w:rPr>
      <w:instrText xml:space="preserve"> TITLE  \* MERGEFORMAT </w:instrText>
    </w:r>
    <w:r>
      <w:fldChar w:fldCharType="separate"/>
    </w:r>
    <w:r w:rsidR="005E436F">
      <w:rPr>
        <w:lang w:val="en-US"/>
      </w:rPr>
      <w:t>ST/SG/AC.10/C.3/2024/24</w:t>
    </w:r>
    <w:r>
      <w:fldChar w:fldCharType="end"/>
    </w:r>
    <w:r w:rsidRPr="00201F2A">
      <w:rPr>
        <w:lang w:val="en-US"/>
      </w:rPr>
      <w:br/>
    </w:r>
    <w:r>
      <w:fldChar w:fldCharType="begin"/>
    </w:r>
    <w:r w:rsidRPr="00201F2A">
      <w:rPr>
        <w:lang w:val="en-US"/>
      </w:rPr>
      <w:instrText xml:space="preserve"> KEYWORDS  \* MERGEFORMAT </w:instrText>
    </w:r>
    <w:r>
      <w:fldChar w:fldCharType="separate"/>
    </w:r>
    <w:r w:rsidR="005E436F">
      <w:rPr>
        <w:lang w:val="en-US"/>
      </w:rPr>
      <w:t>ST/SG/AC.10/C.4/2024/5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3306521">
    <w:abstractNumId w:val="12"/>
  </w:num>
  <w:num w:numId="2" w16cid:durableId="2145000348">
    <w:abstractNumId w:val="11"/>
  </w:num>
  <w:num w:numId="3" w16cid:durableId="1109549315">
    <w:abstractNumId w:val="10"/>
  </w:num>
  <w:num w:numId="4" w16cid:durableId="1178696056">
    <w:abstractNumId w:val="8"/>
  </w:num>
  <w:num w:numId="5" w16cid:durableId="1327198829">
    <w:abstractNumId w:val="3"/>
  </w:num>
  <w:num w:numId="6" w16cid:durableId="1922447286">
    <w:abstractNumId w:val="2"/>
  </w:num>
  <w:num w:numId="7" w16cid:durableId="484661748">
    <w:abstractNumId w:val="1"/>
  </w:num>
  <w:num w:numId="8" w16cid:durableId="445270001">
    <w:abstractNumId w:val="0"/>
  </w:num>
  <w:num w:numId="9" w16cid:durableId="491070508">
    <w:abstractNumId w:val="9"/>
  </w:num>
  <w:num w:numId="10" w16cid:durableId="773983168">
    <w:abstractNumId w:val="7"/>
  </w:num>
  <w:num w:numId="11" w16cid:durableId="294481952">
    <w:abstractNumId w:val="6"/>
  </w:num>
  <w:num w:numId="12" w16cid:durableId="1470325722">
    <w:abstractNumId w:val="5"/>
  </w:num>
  <w:num w:numId="13" w16cid:durableId="1625427749">
    <w:abstractNumId w:val="4"/>
  </w:num>
  <w:num w:numId="14" w16cid:durableId="2029863921">
    <w:abstractNumId w:val="12"/>
  </w:num>
  <w:num w:numId="15" w16cid:durableId="680203576">
    <w:abstractNumId w:val="11"/>
  </w:num>
  <w:num w:numId="16" w16cid:durableId="9184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92"/>
    <w:rsid w:val="000108CC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54A20"/>
    <w:rsid w:val="00172E49"/>
    <w:rsid w:val="001748AC"/>
    <w:rsid w:val="00176178"/>
    <w:rsid w:val="001A6062"/>
    <w:rsid w:val="001F525A"/>
    <w:rsid w:val="00201F2A"/>
    <w:rsid w:val="00212C8E"/>
    <w:rsid w:val="00223272"/>
    <w:rsid w:val="0024779E"/>
    <w:rsid w:val="002769DF"/>
    <w:rsid w:val="00283190"/>
    <w:rsid w:val="002832AC"/>
    <w:rsid w:val="002A185E"/>
    <w:rsid w:val="002C481E"/>
    <w:rsid w:val="002D7C93"/>
    <w:rsid w:val="002E4C3E"/>
    <w:rsid w:val="0031367B"/>
    <w:rsid w:val="003E5A20"/>
    <w:rsid w:val="00412882"/>
    <w:rsid w:val="00441C3B"/>
    <w:rsid w:val="00446FE5"/>
    <w:rsid w:val="00452396"/>
    <w:rsid w:val="004D1E02"/>
    <w:rsid w:val="004E468C"/>
    <w:rsid w:val="00543CBD"/>
    <w:rsid w:val="005442D1"/>
    <w:rsid w:val="005505B7"/>
    <w:rsid w:val="00573BE5"/>
    <w:rsid w:val="00584DC4"/>
    <w:rsid w:val="00586ED3"/>
    <w:rsid w:val="00596AA9"/>
    <w:rsid w:val="005B5BC6"/>
    <w:rsid w:val="005B6565"/>
    <w:rsid w:val="005E436F"/>
    <w:rsid w:val="00624C8B"/>
    <w:rsid w:val="00637C2B"/>
    <w:rsid w:val="00673DB3"/>
    <w:rsid w:val="0068456F"/>
    <w:rsid w:val="00692169"/>
    <w:rsid w:val="006961F2"/>
    <w:rsid w:val="006E1282"/>
    <w:rsid w:val="0071601D"/>
    <w:rsid w:val="007A62E6"/>
    <w:rsid w:val="007C1FF4"/>
    <w:rsid w:val="0080684C"/>
    <w:rsid w:val="008123E0"/>
    <w:rsid w:val="008375D1"/>
    <w:rsid w:val="00871C75"/>
    <w:rsid w:val="008776DC"/>
    <w:rsid w:val="008B40CD"/>
    <w:rsid w:val="008D56BE"/>
    <w:rsid w:val="008F54BB"/>
    <w:rsid w:val="008F701F"/>
    <w:rsid w:val="009705C8"/>
    <w:rsid w:val="009C1CF4"/>
    <w:rsid w:val="009D4C49"/>
    <w:rsid w:val="00A30353"/>
    <w:rsid w:val="00A81281"/>
    <w:rsid w:val="00A97ACF"/>
    <w:rsid w:val="00AC3823"/>
    <w:rsid w:val="00AE323C"/>
    <w:rsid w:val="00AF197F"/>
    <w:rsid w:val="00B00181"/>
    <w:rsid w:val="00B00B0D"/>
    <w:rsid w:val="00B765F7"/>
    <w:rsid w:val="00BA0CA9"/>
    <w:rsid w:val="00BA6F76"/>
    <w:rsid w:val="00BD46FA"/>
    <w:rsid w:val="00C02897"/>
    <w:rsid w:val="00C070FE"/>
    <w:rsid w:val="00C22E11"/>
    <w:rsid w:val="00CA0D2B"/>
    <w:rsid w:val="00CB2708"/>
    <w:rsid w:val="00CB5C92"/>
    <w:rsid w:val="00D03C2E"/>
    <w:rsid w:val="00D3439C"/>
    <w:rsid w:val="00D6632E"/>
    <w:rsid w:val="00DB1831"/>
    <w:rsid w:val="00DD3BFD"/>
    <w:rsid w:val="00DE0F29"/>
    <w:rsid w:val="00DE4D43"/>
    <w:rsid w:val="00DF6678"/>
    <w:rsid w:val="00E45992"/>
    <w:rsid w:val="00EC5355"/>
    <w:rsid w:val="00ED1067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F4BA"/>
  <w15:docId w15:val="{8AE51C40-4EDB-428E-B78B-1324173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ndocs.org/fr/ST/SG/AC.10/C.3/1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undocs.org/fr/ST/SG/AC.10/C.4/8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ndocs.org/fr/ST/SG/AC.10/C.4/2022/10" TargetMode="External"/><Relationship Id="rId5" Type="http://schemas.openxmlformats.org/officeDocument/2006/relationships/styles" Target="styles.xml"/><Relationship Id="rId15" Type="http://schemas.openxmlformats.org/officeDocument/2006/relationships/hyperlink" Target="http://undocs.org/fr/ST/SG/AC.10/C.4/88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undocs.org/fr/ST/SG/AC.10/C.3/2023/17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(Sect.2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876CE-933C-4D79-9ABA-CDB2BABD146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DC7615E-3038-41E6-9A8D-08E7FABE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FB55E-7311-47F2-BE0B-1BBE34989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3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ST/SG/AC.10/C.3/2024/24</dc:title>
  <dc:subject/>
  <dc:creator>Luisa PENA-MONTERO</dc:creator>
  <cp:keywords>ST/SG/AC.10/C.4/2024/5</cp:keywords>
  <cp:lastModifiedBy>Alicia Dorca Garcia</cp:lastModifiedBy>
  <cp:revision>3</cp:revision>
  <cp:lastPrinted>2024-05-01T15:36:00Z</cp:lastPrinted>
  <dcterms:created xsi:type="dcterms:W3CDTF">2024-05-02T08:14:00Z</dcterms:created>
  <dcterms:modified xsi:type="dcterms:W3CDTF">2024-05-08T10:11:00Z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